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8DA2C" w14:textId="08DEFEAC"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p>
    <w:p w14:paraId="55B8DA2E" w14:textId="28DBD555" w:rsidR="004F7D7E" w:rsidRPr="003B1CC5" w:rsidRDefault="004F7D7E" w:rsidP="0078463F">
      <w:pPr>
        <w:spacing w:before="120"/>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color w:val="7030A0"/>
          </w:rPr>
          <w:id w:val="1103681744"/>
          <w:placeholder>
            <w:docPart w:val="AB1B0578B87C4E9EA043F449B0E6989F"/>
          </w:placeholder>
        </w:sdtPr>
        <w:sdtEndPr>
          <w:rPr>
            <w:rStyle w:val="DefaultParagraphFont"/>
            <w:rFonts w:cstheme="minorHAnsi"/>
            <w:b/>
            <w:noProof/>
          </w:rPr>
        </w:sdtEndPr>
        <w:sdtContent>
          <w:sdt>
            <w:sdtPr>
              <w:rPr>
                <w:rStyle w:val="Style1"/>
                <w:color w:val="7030A0"/>
              </w:rPr>
              <w:id w:val="-968273708"/>
              <w:placeholder>
                <w:docPart w:val="CFDE55EA5A8844FEB85FA8522FDABF26"/>
              </w:placeholder>
            </w:sdtPr>
            <w:sdtEndPr>
              <w:rPr>
                <w:rStyle w:val="DefaultParagraphFont"/>
                <w:rFonts w:cstheme="minorHAnsi"/>
                <w:b/>
                <w:noProof/>
              </w:rPr>
            </w:sdtEndPr>
            <w:sdtContent>
              <w:r w:rsidR="00EB3D68" w:rsidRPr="00FA3806">
                <w:rPr>
                  <w:rStyle w:val="Style1"/>
                  <w:color w:val="7030A0"/>
                </w:rPr>
                <w:t>0468</w:t>
              </w:r>
            </w:sdtContent>
          </w:sdt>
        </w:sdtContent>
      </w:sdt>
    </w:p>
    <w:p w14:paraId="55B8DA2F" w14:textId="226AA5C2" w:rsidR="00496AF8" w:rsidRPr="003B1CC5" w:rsidRDefault="00496AF8" w:rsidP="002E2177">
      <w:pPr>
        <w:ind w:left="0" w:firstLine="0"/>
        <w:rPr>
          <w:noProof/>
        </w:rPr>
      </w:pPr>
      <w:r w:rsidRPr="003B1CC5">
        <w:rPr>
          <w:b/>
          <w:noProof/>
        </w:rPr>
        <w:t>Measure Title</w:t>
      </w:r>
      <w:r w:rsidR="00151A5E">
        <w:rPr>
          <w:noProof/>
        </w:rPr>
        <w:t>:</w:t>
      </w:r>
      <w:r w:rsidRPr="003B1CC5">
        <w:rPr>
          <w:noProof/>
        </w:rPr>
        <w:t xml:space="preserve"> </w:t>
      </w:r>
      <w:sdt>
        <w:sdtPr>
          <w:rPr>
            <w:rStyle w:val="Style1"/>
          </w:rPr>
          <w:id w:val="-882640736"/>
          <w:placeholder>
            <w:docPart w:val="61E91D4220034A64A72268AE9C6EBC95"/>
          </w:placeholder>
        </w:sdtPr>
        <w:sdtEndPr>
          <w:rPr>
            <w:rStyle w:val="DefaultParagraphFont"/>
            <w:noProof/>
            <w:color w:val="7030A0"/>
          </w:rPr>
        </w:sdtEndPr>
        <w:sdtContent>
          <w:sdt>
            <w:sdtPr>
              <w:rPr>
                <w:rStyle w:val="Style1"/>
                <w:color w:val="7030A0"/>
              </w:rPr>
              <w:id w:val="757636676"/>
              <w:placeholder>
                <w:docPart w:val="46FD91BC3C904908A91E1475F5C8C376"/>
              </w:placeholder>
            </w:sdtPr>
            <w:sdtEndPr>
              <w:rPr>
                <w:rStyle w:val="DefaultParagraphFont"/>
                <w:noProof/>
              </w:rPr>
            </w:sdtEndPr>
            <w:sdtContent>
              <w:r w:rsidR="00EB3D68" w:rsidRPr="006011FD">
                <w:rPr>
                  <w:color w:val="7030A0"/>
                </w:rPr>
                <w:t>Hospital 30-day, all-cause, risk-standardized mortality rate (RSMR) following pneumonia hospitalization</w:t>
              </w:r>
            </w:sdtContent>
          </w:sdt>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2" w14:textId="1F4BF814" w:rsidR="00176E60" w:rsidRPr="003B1CC5" w:rsidRDefault="00496AF8" w:rsidP="0078463F">
      <w:pPr>
        <w:spacing w:after="240"/>
        <w:ind w:left="0" w:firstLine="0"/>
        <w:rPr>
          <w:rStyle w:val="Style2"/>
        </w:rPr>
      </w:pPr>
      <w:r w:rsidRPr="003B1CC5">
        <w:rPr>
          <w:b/>
          <w:noProof/>
        </w:rPr>
        <w:t>Date of Submission</w:t>
      </w:r>
      <w:r w:rsidRPr="003B1CC5">
        <w:rPr>
          <w:noProof/>
        </w:rPr>
        <w:t xml:space="preserve">:  </w:t>
      </w:r>
      <w:sdt>
        <w:sdtPr>
          <w:rPr>
            <w:rStyle w:val="Style2"/>
            <w:color w:val="C00000"/>
          </w:rPr>
          <w:id w:val="-1689821638"/>
          <w:placeholder>
            <w:docPart w:val="6A100845774148B09AFD987423307E3B"/>
          </w:placeholder>
          <w:date w:fullDate="2020-11-02T00:00:00Z">
            <w:dateFormat w:val="M/d/yyyy"/>
            <w:lid w:val="en-US"/>
            <w:storeMappedDataAs w:val="dateTime"/>
            <w:calendar w:val="gregorian"/>
          </w:date>
        </w:sdtPr>
        <w:sdtEndPr>
          <w:rPr>
            <w:rStyle w:val="DefaultParagraphFont"/>
            <w:noProof/>
            <w:u w:val="none"/>
          </w:rPr>
        </w:sdtEndPr>
        <w:sdtContent>
          <w:r w:rsidR="004D3A71" w:rsidRPr="006011FD">
            <w:rPr>
              <w:rStyle w:val="Style2"/>
              <w:color w:val="C00000"/>
            </w:rPr>
            <w:t>11/2/2020</w:t>
          </w:r>
        </w:sdtContent>
      </w:sdt>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33363B68" w:rsidR="00024526" w:rsidRPr="003B1CC5" w:rsidRDefault="00024526" w:rsidP="00024526">
            <w:pPr>
              <w:pStyle w:val="CommentText"/>
              <w:numPr>
                <w:ilvl w:val="0"/>
                <w:numId w:val="5"/>
              </w:numPr>
              <w:rPr>
                <w:i/>
                <w:sz w:val="22"/>
                <w:szCs w:val="22"/>
              </w:rPr>
            </w:pPr>
            <w:r w:rsidRPr="003B1CC5">
              <w:rPr>
                <w:i/>
                <w:sz w:val="22"/>
                <w:szCs w:val="22"/>
              </w:rPr>
              <w:t>For c</w:t>
            </w:r>
            <w:r w:rsidR="00882EB9">
              <w:rPr>
                <w:i/>
                <w:sz w:val="22"/>
                <w:szCs w:val="22"/>
              </w:rPr>
              <w:t>omposite performance measures:</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882EB9">
      <w:pPr>
        <w:spacing w:before="240"/>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lastRenderedPageBreak/>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F" w14:textId="0ED0E88E" w:rsidR="00A67EB1" w:rsidRPr="003B1CC5" w:rsidRDefault="00496AF8" w:rsidP="00882EB9">
      <w:pPr>
        <w:spacing w:before="120"/>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882EB9">
        <w:rPr>
          <w:bCs/>
        </w:rPr>
        <w:t>)</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22750F0F" w:rsidR="00496AF8" w:rsidRPr="003B1CC5" w:rsidRDefault="00E779F4" w:rsidP="00A9011D">
      <w:pPr>
        <w:ind w:left="432"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573A3A">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auto"/>
            <w:u w:val="none"/>
          </w:rPr>
        </w:sdtEndPr>
        <w:sdtContent>
          <w:sdt>
            <w:sdtPr>
              <w:rPr>
                <w:rStyle w:val="Style1"/>
              </w:rPr>
              <w:id w:val="878430009"/>
              <w:placeholder>
                <w:docPart w:val="7F2256AA8C8D484A9301CA4ED9911719"/>
              </w:placeholder>
            </w:sdtPr>
            <w:sdtEndPr>
              <w:rPr>
                <w:rStyle w:val="DefaultParagraphFont"/>
                <w:noProof/>
                <w:color w:val="7030A0"/>
              </w:rPr>
            </w:sdtEndPr>
            <w:sdtContent>
              <w:r w:rsidR="004D3A71" w:rsidRPr="006011FD">
                <w:rPr>
                  <w:color w:val="7030A0"/>
                </w:rPr>
                <w:t>Hospital 30-day, all-cause, risk-standardized mortality rate (RSMR) following pneumonia hospitalization</w:t>
              </w:r>
            </w:sdtContent>
          </w:sdt>
        </w:sdtContent>
      </w:sdt>
    </w:p>
    <w:p w14:paraId="55B8DA52" w14:textId="77777777" w:rsidR="00236F87" w:rsidRPr="003B1CC5" w:rsidRDefault="00E779F4"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E779F4"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7777777" w:rsidR="00D73685" w:rsidRDefault="00E779F4"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E779F4"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E779F4"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DC4F6AE" w14:textId="0B0B8576" w:rsidR="006011FD" w:rsidRDefault="00676BD4" w:rsidP="00882EB9">
      <w:pPr>
        <w:spacing w:before="120" w:after="120"/>
        <w:ind w:left="0" w:firstLine="0"/>
        <w:rPr>
          <w:iCs/>
        </w:rPr>
      </w:pPr>
      <w:r w:rsidRPr="006011FD">
        <w:rPr>
          <w:b/>
          <w:bCs/>
          <w:color w:val="0000FF"/>
        </w:rPr>
        <w:t>1a.</w:t>
      </w:r>
      <w:r w:rsidR="00C41794" w:rsidRPr="006011FD">
        <w:rPr>
          <w:b/>
          <w:bCs/>
          <w:color w:val="0000FF"/>
        </w:rPr>
        <w:t>2</w:t>
      </w:r>
      <w:r w:rsidR="002B06BD" w:rsidRPr="006011FD">
        <w:rPr>
          <w:bCs/>
        </w:rPr>
        <w:t xml:space="preserve"> </w:t>
      </w:r>
      <w:r w:rsidRPr="006011FD">
        <w:rPr>
          <w:b/>
          <w:bCs/>
        </w:rPr>
        <w:t>LOGIC MODEL</w:t>
      </w:r>
      <w:r w:rsidRPr="006011FD">
        <w:rPr>
          <w:bCs/>
        </w:rPr>
        <w:t xml:space="preserve"> </w:t>
      </w:r>
      <w:r w:rsidRPr="006011FD">
        <w:rPr>
          <w:iCs/>
        </w:rPr>
        <w:t>Diagram or briefly describe</w:t>
      </w:r>
      <w:r w:rsidR="002B06BD" w:rsidRPr="006011FD">
        <w:rPr>
          <w:iCs/>
        </w:rPr>
        <w:t xml:space="preserve"> the </w:t>
      </w:r>
      <w:r w:rsidRPr="006011FD">
        <w:rPr>
          <w:iCs/>
        </w:rPr>
        <w:t>steps</w:t>
      </w:r>
      <w:r w:rsidR="00236F87" w:rsidRPr="006011FD">
        <w:rPr>
          <w:iCs/>
        </w:rPr>
        <w:t xml:space="preserve"> </w:t>
      </w:r>
      <w:r w:rsidR="002B06BD" w:rsidRPr="006011FD">
        <w:rPr>
          <w:iCs/>
        </w:rPr>
        <w:t xml:space="preserve">between </w:t>
      </w:r>
      <w:r w:rsidR="00CB06C9" w:rsidRPr="006011FD">
        <w:rPr>
          <w:iCs/>
        </w:rPr>
        <w:t>the</w:t>
      </w:r>
      <w:r w:rsidR="002B06BD" w:rsidRPr="006011FD">
        <w:rPr>
          <w:iCs/>
        </w:rPr>
        <w:t xml:space="preserve"> healthcare structure</w:t>
      </w:r>
      <w:r w:rsidR="00CB06C9" w:rsidRPr="006011FD">
        <w:rPr>
          <w:iCs/>
        </w:rPr>
        <w:t>s</w:t>
      </w:r>
      <w:r w:rsidR="00F90F82" w:rsidRPr="006011FD">
        <w:rPr>
          <w:iCs/>
        </w:rPr>
        <w:t xml:space="preserve"> and</w:t>
      </w:r>
      <w:r w:rsidR="002B06BD" w:rsidRPr="006011FD">
        <w:rPr>
          <w:iCs/>
        </w:rPr>
        <w:t xml:space="preserve"> process</w:t>
      </w:r>
      <w:r w:rsidR="00CB06C9" w:rsidRPr="006011FD">
        <w:rPr>
          <w:iCs/>
        </w:rPr>
        <w:t>es</w:t>
      </w:r>
      <w:r w:rsidRPr="006011FD">
        <w:rPr>
          <w:iCs/>
        </w:rPr>
        <w:t xml:space="preserve"> (e.g.,</w:t>
      </w:r>
      <w:r w:rsidR="002B06BD" w:rsidRPr="006011FD">
        <w:rPr>
          <w:iCs/>
        </w:rPr>
        <w:t xml:space="preserve"> intervention</w:t>
      </w:r>
      <w:r w:rsidR="00CB06C9" w:rsidRPr="006011FD">
        <w:rPr>
          <w:iCs/>
        </w:rPr>
        <w:t>s</w:t>
      </w:r>
      <w:r w:rsidR="002B06BD" w:rsidRPr="006011FD">
        <w:rPr>
          <w:iCs/>
        </w:rPr>
        <w:t>, or service</w:t>
      </w:r>
      <w:r w:rsidR="00CB06C9" w:rsidRPr="006011FD">
        <w:rPr>
          <w:iCs/>
        </w:rPr>
        <w:t>s</w:t>
      </w:r>
      <w:r w:rsidRPr="006011FD">
        <w:rPr>
          <w:iCs/>
        </w:rPr>
        <w:t>)</w:t>
      </w:r>
      <w:r w:rsidR="00CB06C9" w:rsidRPr="006011FD">
        <w:rPr>
          <w:iCs/>
        </w:rPr>
        <w:t xml:space="preserve"> </w:t>
      </w:r>
      <w:r w:rsidRPr="006011FD">
        <w:rPr>
          <w:iCs/>
        </w:rPr>
        <w:t>and the patient’s health outcome</w:t>
      </w:r>
      <w:r w:rsidR="00F90F82" w:rsidRPr="006011FD">
        <w:rPr>
          <w:iCs/>
        </w:rPr>
        <w:t>(s)</w:t>
      </w:r>
      <w:r w:rsidRPr="006011FD">
        <w:rPr>
          <w:iCs/>
        </w:rPr>
        <w:t xml:space="preserve">. The relationships in the diagram should be easily understood by general, non-technical audiences. Indicate the </w:t>
      </w:r>
      <w:r w:rsidR="00F90F82" w:rsidRPr="006011FD">
        <w:rPr>
          <w:iCs/>
        </w:rPr>
        <w:t xml:space="preserve">structure, </w:t>
      </w:r>
      <w:r w:rsidRPr="006011FD">
        <w:rPr>
          <w:iCs/>
        </w:rPr>
        <w:t>process or outcome being measured</w:t>
      </w:r>
      <w:r w:rsidR="006011FD">
        <w:rPr>
          <w:iCs/>
        </w:rPr>
        <w:t>.</w:t>
      </w:r>
    </w:p>
    <w:p w14:paraId="540BA8DA" w14:textId="493588A3" w:rsidR="00FA3806" w:rsidRPr="00FA3806" w:rsidRDefault="00660FB0" w:rsidP="00882EB9">
      <w:pPr>
        <w:spacing w:before="120" w:after="120"/>
        <w:ind w:left="0" w:firstLine="0"/>
        <w:rPr>
          <w:iCs/>
          <w:color w:val="7030A0"/>
        </w:rPr>
      </w:pPr>
      <w:r>
        <w:rPr>
          <w:iCs/>
          <w:color w:val="7030A0"/>
        </w:rPr>
        <w:t>Figure</w:t>
      </w:r>
      <w:r w:rsidR="00FA3806" w:rsidRPr="00FA3806">
        <w:rPr>
          <w:iCs/>
          <w:color w:val="7030A0"/>
        </w:rPr>
        <w:t xml:space="preserve"> 1. PN Mortality Logic Model</w:t>
      </w:r>
    </w:p>
    <w:bookmarkStart w:id="5" w:name="_GoBack"/>
    <w:p w14:paraId="5791314D" w14:textId="39324216" w:rsidR="006011FD" w:rsidRDefault="00E779F4" w:rsidP="007D3844">
      <w:pPr>
        <w:spacing w:after="120"/>
        <w:ind w:left="432" w:hanging="432"/>
        <w:rPr>
          <w:iCs/>
        </w:rPr>
      </w:pPr>
      <w:r>
        <w:object w:dxaOrig="12711" w:dyaOrig="5391" w14:anchorId="37E2D5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ic Model displaying process of improving patient outcomes through quality measurement for pneumonia mortality. " style="width:468pt;height:200.5pt" o:ole="">
            <v:imagedata r:id="rId16" o:title=""/>
          </v:shape>
          <o:OLEObject Type="Embed" ProgID="Visio.Drawing.15" ShapeID="_x0000_i1025" DrawAspect="Content" ObjectID="_1667191570" r:id="rId17"/>
        </w:object>
      </w:r>
      <w:bookmarkEnd w:id="5"/>
    </w:p>
    <w:p w14:paraId="55B8DA5C" w14:textId="63A008D7" w:rsidR="00676BD4" w:rsidRDefault="004D3A71" w:rsidP="00EE2C9A">
      <w:pPr>
        <w:spacing w:after="120"/>
        <w:ind w:left="0" w:firstLine="0"/>
        <w:rPr>
          <w:b/>
          <w:color w:val="0000FF"/>
        </w:rPr>
      </w:pPr>
      <w:r w:rsidRPr="007D3844">
        <w:rPr>
          <w:color w:val="7030A0"/>
        </w:rPr>
        <w:t xml:space="preserve">The goal of this measure is to improve patient outcomes by providing patients, physicians, and hospitals with information about hospital-level, risk-standardized mortality rates following hospitalization for pneumonia. Measurement of patient outcomes allows for a broad view of quality of care that encompasses more than what can be captured by individual process-of-care measures. Complex and critical aspects of care, such as communication between providers, prevention of, and response to, complications, patient safety and coordinated transitions to the outpatient environment, all contribute to patient outcomes but are difficult to measure by individual process measures. The goal of outcomes </w:t>
      </w:r>
      <w:r w:rsidRPr="007D3844">
        <w:rPr>
          <w:color w:val="7030A0"/>
        </w:rPr>
        <w:lastRenderedPageBreak/>
        <w:t>measurement is to risk-adjust for patients’ conditions at the time of hospital admission and then evaluate patient outcomes. This mortality measure was developed to identify institutions, whose performance is better or worse than would be expected based on their patient case-mix, and therefore promote hospital quality improvement and better inform consumers about care quality.</w:t>
      </w:r>
    </w:p>
    <w:p w14:paraId="55B8DA60" w14:textId="35FF48CF" w:rsidR="00676BD4" w:rsidRDefault="004922E4" w:rsidP="00C550F5">
      <w:pPr>
        <w:spacing w:after="120"/>
        <w:ind w:right="140"/>
        <w:rPr>
          <w:iCs/>
        </w:rPr>
      </w:pPr>
      <w:r w:rsidRPr="00A5634E">
        <w:rPr>
          <w:b/>
          <w:bCs/>
          <w:color w:val="0000FF"/>
        </w:rPr>
        <w:t>1a.3</w:t>
      </w:r>
      <w:r w:rsidRPr="00A5634E">
        <w:rPr>
          <w:bCs/>
        </w:rPr>
        <w:t xml:space="preserve"> </w:t>
      </w:r>
      <w:r w:rsidRPr="00A5634E">
        <w:rPr>
          <w:b/>
          <w:bCs/>
        </w:rPr>
        <w:t xml:space="preserve">Value and Meaningfulness: </w:t>
      </w:r>
      <w:r w:rsidRPr="00A5634E">
        <w:rPr>
          <w:b/>
          <w:iCs/>
        </w:rPr>
        <w:t xml:space="preserve">IF </w:t>
      </w:r>
      <w:r w:rsidRPr="00A5634E">
        <w:rPr>
          <w:iCs/>
        </w:rPr>
        <w:t xml:space="preserve">this measure is derived from patient report, provide evidence that the target population values the measured </w:t>
      </w:r>
      <w:r w:rsidRPr="00A5634E">
        <w:rPr>
          <w:b/>
          <w:i/>
          <w:iCs/>
        </w:rPr>
        <w:t>outcome, process, or structure</w:t>
      </w:r>
      <w:r w:rsidRPr="00A5634E">
        <w:rPr>
          <w:iCs/>
        </w:rPr>
        <w:t xml:space="preserve"> and finds it meaningful. (Describe how and from whom their input was obtained.)</w:t>
      </w:r>
    </w:p>
    <w:p w14:paraId="33FDA76B" w14:textId="77777777" w:rsidR="00A5634E" w:rsidRPr="008854AC" w:rsidRDefault="00A5634E" w:rsidP="00A5634E">
      <w:pPr>
        <w:spacing w:before="120" w:after="120"/>
        <w:ind w:right="144"/>
        <w:rPr>
          <w:b/>
          <w:iCs/>
          <w:color w:val="7030A0"/>
        </w:rPr>
      </w:pPr>
      <w:r w:rsidRPr="008854AC">
        <w:rPr>
          <w:iCs/>
          <w:color w:val="7030A0"/>
        </w:rPr>
        <w:t>N/A. This measure is not an intermediate outcome, process, or structure performance measure.</w:t>
      </w: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288FA5D9" w14:textId="77963A28" w:rsidR="007D3844" w:rsidRDefault="00B058A6" w:rsidP="008160BD">
      <w:pPr>
        <w:spacing w:before="240" w:after="120"/>
        <w:ind w:left="0" w:firstLine="0"/>
        <w:rPr>
          <w:b/>
        </w:rPr>
      </w:pPr>
      <w:r w:rsidRPr="00136584">
        <w:rPr>
          <w:b/>
          <w:color w:val="0000FF"/>
        </w:rPr>
        <w:t>1</w:t>
      </w:r>
      <w:r w:rsidR="00773485" w:rsidRPr="00136584">
        <w:rPr>
          <w:b/>
          <w:color w:val="0000FF"/>
        </w:rPr>
        <w:t>a</w:t>
      </w:r>
      <w:r w:rsidRPr="00136584">
        <w:rPr>
          <w:b/>
          <w:color w:val="0000FF"/>
        </w:rPr>
        <w:t>.2</w:t>
      </w:r>
      <w:r w:rsidR="00E41417" w:rsidRPr="00136584">
        <w:rPr>
          <w:iCs/>
        </w:rPr>
        <w:t xml:space="preserve"> </w:t>
      </w:r>
      <w:r w:rsidR="00C41794" w:rsidRPr="00136584">
        <w:rPr>
          <w:b/>
        </w:rPr>
        <w:t>FOR OUTCOME MEASURES including PATIENT REPORTED OUTCOMES</w:t>
      </w:r>
      <w:r w:rsidR="003D6721" w:rsidRPr="00136584">
        <w:rPr>
          <w:b/>
        </w:rPr>
        <w:t xml:space="preserve"> </w:t>
      </w:r>
      <w:r w:rsidR="00C41794" w:rsidRPr="00136584">
        <w:rPr>
          <w:b/>
        </w:rPr>
        <w:t>-</w:t>
      </w:r>
      <w:r w:rsidR="00C41794" w:rsidRPr="00136584">
        <w:rPr>
          <w:b/>
          <w:iCs/>
        </w:rPr>
        <w:t xml:space="preserve"> </w:t>
      </w:r>
      <w:r w:rsidR="003D6721" w:rsidRPr="00136584">
        <w:rPr>
          <w:b/>
          <w:iCs/>
        </w:rPr>
        <w:t xml:space="preserve">Provide empirical data demonstrating </w:t>
      </w:r>
      <w:r w:rsidR="008B51D9" w:rsidRPr="00136584">
        <w:rPr>
          <w:b/>
          <w:iCs/>
        </w:rPr>
        <w:t xml:space="preserve">the </w:t>
      </w:r>
      <w:r w:rsidR="005D25E9" w:rsidRPr="00136584">
        <w:rPr>
          <w:b/>
          <w:iCs/>
        </w:rPr>
        <w:t xml:space="preserve">relationship </w:t>
      </w:r>
      <w:r w:rsidR="00AC1E53" w:rsidRPr="00136584">
        <w:rPr>
          <w:b/>
          <w:iCs/>
        </w:rPr>
        <w:t>between</w:t>
      </w:r>
      <w:r w:rsidR="005D25E9" w:rsidRPr="00136584">
        <w:rPr>
          <w:b/>
          <w:iCs/>
        </w:rPr>
        <w:t xml:space="preserve"> the </w:t>
      </w:r>
      <w:r w:rsidR="008B51D9" w:rsidRPr="00136584">
        <w:rPr>
          <w:b/>
          <w:iCs/>
        </w:rPr>
        <w:t>outcome</w:t>
      </w:r>
      <w:r w:rsidR="005857F8" w:rsidRPr="00136584">
        <w:rPr>
          <w:b/>
          <w:iCs/>
        </w:rPr>
        <w:t xml:space="preserve"> </w:t>
      </w:r>
      <w:r w:rsidR="00AA5587" w:rsidRPr="00136584">
        <w:rPr>
          <w:b/>
          <w:iCs/>
        </w:rPr>
        <w:t>(</w:t>
      </w:r>
      <w:r w:rsidR="005857F8" w:rsidRPr="00136584">
        <w:rPr>
          <w:b/>
          <w:iCs/>
        </w:rPr>
        <w:t>or PRO</w:t>
      </w:r>
      <w:r w:rsidR="00AA5587" w:rsidRPr="00136584">
        <w:rPr>
          <w:b/>
          <w:iCs/>
        </w:rPr>
        <w:t>)</w:t>
      </w:r>
      <w:r w:rsidR="008B51D9" w:rsidRPr="00136584">
        <w:rPr>
          <w:b/>
          <w:iCs/>
        </w:rPr>
        <w:t xml:space="preserve"> </w:t>
      </w:r>
      <w:r w:rsidR="005D25E9" w:rsidRPr="00136584">
        <w:rPr>
          <w:b/>
          <w:iCs/>
        </w:rPr>
        <w:t>to</w:t>
      </w:r>
      <w:r w:rsidR="00236F87" w:rsidRPr="00136584">
        <w:rPr>
          <w:b/>
          <w:iCs/>
        </w:rPr>
        <w:t xml:space="preserve"> </w:t>
      </w:r>
      <w:r w:rsidR="00496AF8" w:rsidRPr="00136584">
        <w:rPr>
          <w:b/>
          <w:iCs/>
        </w:rPr>
        <w:t>at least one</w:t>
      </w:r>
      <w:r w:rsidR="009B5BEA" w:rsidRPr="00136584">
        <w:rPr>
          <w:b/>
          <w:iCs/>
        </w:rPr>
        <w:t xml:space="preserve"> </w:t>
      </w:r>
      <w:r w:rsidR="003D6721" w:rsidRPr="00136584">
        <w:rPr>
          <w:b/>
          <w:iCs/>
        </w:rPr>
        <w:t xml:space="preserve">healthcare structure, process, </w:t>
      </w:r>
      <w:r w:rsidR="00496AF8" w:rsidRPr="00136584">
        <w:rPr>
          <w:b/>
          <w:iCs/>
        </w:rPr>
        <w:t>intervention, or service</w:t>
      </w:r>
      <w:r w:rsidR="00676BD4" w:rsidRPr="00136584">
        <w:rPr>
          <w:b/>
          <w:iCs/>
        </w:rPr>
        <w:t>.</w:t>
      </w:r>
    </w:p>
    <w:p w14:paraId="66F7BA91" w14:textId="0E07C153" w:rsidR="007D3844" w:rsidRDefault="00A5634E" w:rsidP="007D3844">
      <w:pPr>
        <w:spacing w:after="120"/>
        <w:ind w:left="0" w:firstLine="0"/>
        <w:rPr>
          <w:b/>
        </w:rPr>
      </w:pPr>
      <w:r w:rsidRPr="008854AC">
        <w:rPr>
          <w:color w:val="C00000"/>
        </w:rPr>
        <w:t>Pneumonia continues to be the most common infectious cause of hospitalization in the US, leading to more than 1 million hospitalizations a year and incurring billions of dollars in healthcare costs (</w:t>
      </w:r>
      <w:r w:rsidRPr="00FA3806">
        <w:rPr>
          <w:color w:val="7030A0"/>
        </w:rPr>
        <w:t>Lindenauer et al., 201</w:t>
      </w:r>
      <w:r w:rsidR="008160BD" w:rsidRPr="00FA3806">
        <w:rPr>
          <w:color w:val="7030A0"/>
        </w:rPr>
        <w:t>2</w:t>
      </w:r>
      <w:r w:rsidRPr="008854AC">
        <w:rPr>
          <w:color w:val="C00000"/>
        </w:rPr>
        <w:t>; Jain et al., 2018; FastStats: pneumonia, CDC)</w:t>
      </w:r>
      <w:r w:rsidRPr="00A5634E">
        <w:rPr>
          <w:color w:val="C00000"/>
        </w:rPr>
        <w:t xml:space="preserve">. </w:t>
      </w:r>
      <w:r w:rsidR="004D3A71" w:rsidRPr="00A5634E">
        <w:rPr>
          <w:iCs/>
          <w:color w:val="C00000"/>
        </w:rPr>
        <w:t>The annual mortality rate (deaths per 100,000</w:t>
      </w:r>
      <w:r w:rsidRPr="00A5634E">
        <w:rPr>
          <w:iCs/>
          <w:color w:val="C00000"/>
        </w:rPr>
        <w:t xml:space="preserve"> population) is 15.1</w:t>
      </w:r>
      <w:r w:rsidR="004D3A71" w:rsidRPr="00A5634E">
        <w:rPr>
          <w:iCs/>
          <w:color w:val="C00000"/>
        </w:rPr>
        <w:t xml:space="preserve"> (FastStats: pneumonia, CDC). </w:t>
      </w:r>
      <w:r w:rsidR="004D3A71" w:rsidRPr="007D3844">
        <w:rPr>
          <w:iCs/>
          <w:color w:val="7030A0"/>
        </w:rPr>
        <w:t>Among patients 65 years [of age] or older in the United States, pneumonia is the leading infectious cause of death (Fry et al., 2005; Bratzler et al., 201</w:t>
      </w:r>
      <w:r w:rsidR="00672697">
        <w:rPr>
          <w:iCs/>
          <w:color w:val="7030A0"/>
        </w:rPr>
        <w:t>1</w:t>
      </w:r>
      <w:r w:rsidR="004D3A71" w:rsidRPr="007D3844">
        <w:rPr>
          <w:iCs/>
          <w:color w:val="7030A0"/>
        </w:rPr>
        <w:t>).</w:t>
      </w:r>
    </w:p>
    <w:p w14:paraId="4E7F5B3A" w14:textId="3DD39C09" w:rsidR="007D3844" w:rsidRDefault="00672697" w:rsidP="007D3844">
      <w:pPr>
        <w:spacing w:after="120"/>
        <w:ind w:left="0" w:firstLine="0"/>
        <w:rPr>
          <w:iCs/>
          <w:color w:val="7030A0"/>
        </w:rPr>
      </w:pPr>
      <w:r w:rsidRPr="00672697">
        <w:rPr>
          <w:color w:val="C00000"/>
        </w:rPr>
        <w:t>Pneumonia mortality is costly and represents an undesirable outcome of care from the patient’s perspective, and highly disparate pneumonia readmission rates among hospitals suggest there is room for improvement</w:t>
      </w:r>
      <w:r>
        <w:rPr>
          <w:iCs/>
          <w:color w:val="7030A0"/>
        </w:rPr>
        <w:t>.</w:t>
      </w:r>
      <w:r w:rsidRPr="00672697">
        <w:rPr>
          <w:iCs/>
          <w:color w:val="7030A0"/>
        </w:rPr>
        <w:t xml:space="preserve"> </w:t>
      </w:r>
      <w:r>
        <w:rPr>
          <w:iCs/>
          <w:color w:val="7030A0"/>
        </w:rPr>
        <w:t>C</w:t>
      </w:r>
      <w:r w:rsidR="004D3A71" w:rsidRPr="007D3844">
        <w:rPr>
          <w:iCs/>
          <w:color w:val="7030A0"/>
        </w:rPr>
        <w:t>urrent hospital interventions have been shown to be ass</w:t>
      </w:r>
      <w:r>
        <w:rPr>
          <w:iCs/>
          <w:color w:val="7030A0"/>
        </w:rPr>
        <w:t>ociated with lower risk of mortality</w:t>
      </w:r>
      <w:r w:rsidR="004D3A71" w:rsidRPr="007D3844">
        <w:rPr>
          <w:iCs/>
          <w:color w:val="7030A0"/>
        </w:rPr>
        <w:t xml:space="preserve"> within 30 days of hospital admission (Lee et al., 2014</w:t>
      </w:r>
      <w:r>
        <w:rPr>
          <w:iCs/>
          <w:color w:val="7030A0"/>
        </w:rPr>
        <w:t xml:space="preserve">; </w:t>
      </w:r>
      <w:r w:rsidRPr="008854AC">
        <w:rPr>
          <w:color w:val="C00000"/>
        </w:rPr>
        <w:t>Radhakrishnan et al. 2018</w:t>
      </w:r>
      <w:r w:rsidR="004D3A71" w:rsidRPr="007D3844">
        <w:rPr>
          <w:iCs/>
          <w:color w:val="7030A0"/>
        </w:rPr>
        <w:t>). Current pro</w:t>
      </w:r>
      <w:r>
        <w:rPr>
          <w:iCs/>
          <w:color w:val="7030A0"/>
        </w:rPr>
        <w:t>cess-based performance measures;</w:t>
      </w:r>
      <w:r w:rsidR="004D3A71" w:rsidRPr="007D3844">
        <w:rPr>
          <w:iCs/>
          <w:color w:val="7030A0"/>
        </w:rPr>
        <w:t xml:space="preserve"> however, cannot capture all the ways that care within the hospital might influence outcomes. </w:t>
      </w:r>
      <w:r w:rsidRPr="008854AC">
        <w:rPr>
          <w:color w:val="7030A0"/>
        </w:rPr>
        <w:t>Measurement of patient outcomes allows for a comprehensive view of quality of care that reflects complex aspects of care such as communication between providers and coordinated transitions to the outpatient environment. These aspects a</w:t>
      </w:r>
      <w:r w:rsidR="008160BD">
        <w:rPr>
          <w:color w:val="7030A0"/>
        </w:rPr>
        <w:t>re critical to patient outcomes</w:t>
      </w:r>
      <w:r w:rsidRPr="008854AC">
        <w:rPr>
          <w:color w:val="7030A0"/>
        </w:rPr>
        <w:t xml:space="preserve"> and are broader than what can be captured by individual process-of-care measures</w:t>
      </w:r>
      <w:r>
        <w:rPr>
          <w:color w:val="7030A0"/>
        </w:rPr>
        <w:t>.</w:t>
      </w:r>
    </w:p>
    <w:p w14:paraId="3025052F" w14:textId="04893435" w:rsidR="00672697" w:rsidRDefault="00672697" w:rsidP="007D3844">
      <w:pPr>
        <w:spacing w:after="120"/>
        <w:ind w:left="0" w:firstLine="0"/>
        <w:rPr>
          <w:b/>
        </w:rPr>
      </w:pPr>
      <w:r w:rsidRPr="007D3844">
        <w:rPr>
          <w:iCs/>
          <w:color w:val="7030A0"/>
        </w:rPr>
        <w:t>The diagram above indicates some of the many care processes that can influence mortality risk. Numerous studies have demonstrated that appropriate (guideline recommended care) and timely treatment for pneumonia patients can reduce the risk of mortality within 30 days of hospital admission (Gleason et al., 1999; Houck et al., 2001; Jha et al., 2007; Lee et al., 2014</w:t>
      </w:r>
      <w:r>
        <w:rPr>
          <w:iCs/>
          <w:color w:val="7030A0"/>
        </w:rPr>
        <w:t>;</w:t>
      </w:r>
      <w:r w:rsidRPr="007D3844">
        <w:rPr>
          <w:iCs/>
          <w:color w:val="7030A0"/>
        </w:rPr>
        <w:t>). Evidence that hospitals have been able to reduce mortality rates through these quality-of-care initiatives illustrates the degree to which hospital practices can affect mortality rates (Lee et al., 2014</w:t>
      </w:r>
      <w:r>
        <w:rPr>
          <w:iCs/>
          <w:color w:val="7030A0"/>
        </w:rPr>
        <w:t xml:space="preserve">; </w:t>
      </w:r>
      <w:r w:rsidRPr="008854AC">
        <w:rPr>
          <w:color w:val="C00000"/>
        </w:rPr>
        <w:t>Radhakrishnan et al. 2018</w:t>
      </w:r>
      <w:r w:rsidRPr="007D3844">
        <w:rPr>
          <w:iCs/>
          <w:color w:val="7030A0"/>
        </w:rPr>
        <w:t>).</w:t>
      </w:r>
    </w:p>
    <w:p w14:paraId="4C52E2D1" w14:textId="4CD5941E" w:rsidR="007D3844" w:rsidRDefault="004D3A71" w:rsidP="007D3844">
      <w:pPr>
        <w:spacing w:after="120"/>
        <w:ind w:left="0" w:firstLine="0"/>
        <w:rPr>
          <w:b/>
        </w:rPr>
      </w:pPr>
      <w:r w:rsidRPr="007D3844">
        <w:rPr>
          <w:iCs/>
          <w:color w:val="7030A0"/>
        </w:rPr>
        <w:t>The pneumonia risk standardized mortality rate (RSMR) measure is thus intended to inform quality-of-care improvement efforts, as individual process-based performance measures cannot encompass all the complex and critical aspects of care within a hospital that contribute to patient outcomes. As a result, many stakeholders, including patient organizations, are interested in outcomes measures that allow patients and providers to assess relative outcomes performance for hosp</w:t>
      </w:r>
      <w:r w:rsidR="00672697">
        <w:rPr>
          <w:iCs/>
          <w:color w:val="7030A0"/>
        </w:rPr>
        <w:t>itals (Bratzler et al., 2007</w:t>
      </w:r>
      <w:r w:rsidRPr="007D3844">
        <w:rPr>
          <w:iCs/>
          <w:color w:val="7030A0"/>
        </w:rPr>
        <w:t>).</w:t>
      </w:r>
    </w:p>
    <w:p w14:paraId="583D9B05" w14:textId="77777777" w:rsidR="007D3844" w:rsidRDefault="004D3A71" w:rsidP="007D3844">
      <w:pPr>
        <w:spacing w:after="120"/>
        <w:ind w:left="0" w:firstLine="0"/>
        <w:rPr>
          <w:b/>
        </w:rPr>
      </w:pPr>
      <w:r w:rsidRPr="00672697">
        <w:rPr>
          <w:iCs/>
          <w:color w:val="7030A0"/>
          <w:u w:val="single"/>
        </w:rPr>
        <w:t>References</w:t>
      </w:r>
      <w:r w:rsidRPr="007D3844">
        <w:rPr>
          <w:iCs/>
          <w:color w:val="7030A0"/>
        </w:rPr>
        <w:t>:</w:t>
      </w:r>
    </w:p>
    <w:p w14:paraId="216C2155" w14:textId="0C047B32" w:rsidR="007D3844" w:rsidRDefault="004D3A71" w:rsidP="007D3844">
      <w:pPr>
        <w:spacing w:after="120"/>
        <w:ind w:left="0" w:firstLine="0"/>
        <w:rPr>
          <w:b/>
        </w:rPr>
      </w:pPr>
      <w:r w:rsidRPr="007D3844">
        <w:rPr>
          <w:iCs/>
          <w:color w:val="7030A0"/>
        </w:rPr>
        <w:t>Bratzler DW, Normand SL, Wang Y, et al. An administrative claims model for profiling hospital 30-day mortality rates for pneumonia patients. PLoS One. 2011; 6(4</w:t>
      </w:r>
      <w:r w:rsidR="008160BD" w:rsidRPr="007D3844">
        <w:rPr>
          <w:iCs/>
          <w:color w:val="7030A0"/>
        </w:rPr>
        <w:t>): e</w:t>
      </w:r>
      <w:r w:rsidRPr="007D3844">
        <w:rPr>
          <w:iCs/>
          <w:color w:val="7030A0"/>
        </w:rPr>
        <w:t>17401. [1]</w:t>
      </w:r>
    </w:p>
    <w:p w14:paraId="7A10DE06" w14:textId="77777777" w:rsidR="007D3844" w:rsidRDefault="004D3A71" w:rsidP="007D3844">
      <w:pPr>
        <w:spacing w:after="120"/>
        <w:ind w:left="0" w:firstLine="0"/>
        <w:rPr>
          <w:b/>
        </w:rPr>
      </w:pPr>
      <w:r w:rsidRPr="007D3844">
        <w:rPr>
          <w:iCs/>
          <w:color w:val="7030A0"/>
        </w:rPr>
        <w:lastRenderedPageBreak/>
        <w:t>Bratzler DW, Nsa W, Houck PM. Performance measures for pneumonia: are they valuable, and are process measures adequate. Current Opinion in Infectious Diseases. 2007; 20(2):182-189. [2]</w:t>
      </w:r>
    </w:p>
    <w:p w14:paraId="1BFC8C80" w14:textId="77777777" w:rsidR="00816A3B" w:rsidRPr="00B30EEE" w:rsidRDefault="00816A3B" w:rsidP="00816A3B">
      <w:pPr>
        <w:spacing w:before="120" w:after="120"/>
        <w:ind w:left="0" w:firstLine="0"/>
        <w:rPr>
          <w:color w:val="C00000"/>
        </w:rPr>
      </w:pPr>
      <w:r w:rsidRPr="00B30EEE">
        <w:rPr>
          <w:color w:val="C00000"/>
        </w:rPr>
        <w:t>Centers for Disease Control and Prevention. FastStats: pneumonia. Available at: http://www.cdc.gov/nchs/fastats/pneumonia.htm. Accessed March 13, 2020.</w:t>
      </w:r>
    </w:p>
    <w:p w14:paraId="3C651206" w14:textId="77777777" w:rsidR="007D3844" w:rsidRDefault="004D3A71" w:rsidP="007D3844">
      <w:pPr>
        <w:spacing w:after="120"/>
        <w:ind w:left="0" w:firstLine="0"/>
        <w:rPr>
          <w:b/>
        </w:rPr>
      </w:pPr>
      <w:r w:rsidRPr="007D3844">
        <w:rPr>
          <w:iCs/>
          <w:color w:val="7030A0"/>
        </w:rPr>
        <w:t>Fry AM, Shay DK, Holman RC, et al. Trends in hospitalizations for pneumonia among persons aged 65 years or older in the United States, 1988–2002. JAMA. 2005; 294:2712–2719.</w:t>
      </w:r>
    </w:p>
    <w:p w14:paraId="2C64663B" w14:textId="62159273" w:rsidR="007D3844" w:rsidRDefault="004D3A71" w:rsidP="007D3844">
      <w:pPr>
        <w:spacing w:after="120"/>
        <w:ind w:left="0" w:firstLine="0"/>
        <w:rPr>
          <w:b/>
        </w:rPr>
      </w:pPr>
      <w:r w:rsidRPr="007D3844">
        <w:rPr>
          <w:iCs/>
          <w:color w:val="7030A0"/>
        </w:rPr>
        <w:t>Gleason PP, Meehan TP, Fine JM, et al. Associations between initial antimicrobial therapy and medical outcomes for hospitalized elderly patients with pneumonia. Arch Inter</w:t>
      </w:r>
      <w:r w:rsidR="00151A5E">
        <w:rPr>
          <w:iCs/>
          <w:color w:val="7030A0"/>
        </w:rPr>
        <w:t>n Med. 1999; 159(21):2562-2572.</w:t>
      </w:r>
    </w:p>
    <w:p w14:paraId="487FEFE3" w14:textId="7C868D49" w:rsidR="007D3844" w:rsidRDefault="004D3A71" w:rsidP="007D3844">
      <w:pPr>
        <w:spacing w:after="120"/>
        <w:ind w:left="0" w:firstLine="0"/>
        <w:rPr>
          <w:iCs/>
          <w:color w:val="7030A0"/>
        </w:rPr>
      </w:pPr>
      <w:r w:rsidRPr="007D3844">
        <w:rPr>
          <w:iCs/>
          <w:color w:val="7030A0"/>
        </w:rPr>
        <w:t>Houck PM, MacLehose RF, Niederman MS, Lowery JK. Empiric antibiotic therapy and mortality among Medicare pneumonia inpatients in 10 western states: 1993, 1995, and 1997. Chest. 2001; 119(5):1420-1426.</w:t>
      </w:r>
    </w:p>
    <w:p w14:paraId="16C6E561" w14:textId="569E0D6E" w:rsidR="00816A3B" w:rsidRDefault="00816A3B" w:rsidP="00816A3B">
      <w:pPr>
        <w:spacing w:before="120" w:after="120"/>
        <w:ind w:left="0" w:firstLine="0"/>
        <w:rPr>
          <w:rFonts w:cstheme="minorHAnsi"/>
          <w:color w:val="C00000"/>
          <w:shd w:val="clear" w:color="auto" w:fill="FFFFFF"/>
        </w:rPr>
      </w:pPr>
      <w:r w:rsidRPr="008854AC">
        <w:rPr>
          <w:rFonts w:cstheme="minorHAnsi"/>
          <w:color w:val="C00000"/>
          <w:shd w:val="clear" w:color="auto" w:fill="FFFFFF"/>
        </w:rPr>
        <w:t>Jain S, Khera R, Mortensen EM, Weissler JC. Readmissions of adults within three age groups following hospitalization for pneumonia: Analysis from the Na</w:t>
      </w:r>
      <w:r w:rsidR="008160BD">
        <w:rPr>
          <w:rFonts w:cstheme="minorHAnsi"/>
          <w:color w:val="C00000"/>
          <w:shd w:val="clear" w:color="auto" w:fill="FFFFFF"/>
        </w:rPr>
        <w:t xml:space="preserve">tionwide Readmissions Database. </w:t>
      </w:r>
      <w:r w:rsidRPr="008854AC">
        <w:rPr>
          <w:rFonts w:cstheme="minorHAnsi"/>
          <w:i/>
          <w:iCs/>
          <w:color w:val="C00000"/>
          <w:shd w:val="clear" w:color="auto" w:fill="FFFFFF"/>
        </w:rPr>
        <w:t>PLoS One</w:t>
      </w:r>
      <w:r w:rsidRPr="008854AC">
        <w:rPr>
          <w:rFonts w:cstheme="minorHAnsi"/>
          <w:color w:val="C00000"/>
          <w:shd w:val="clear" w:color="auto" w:fill="FFFFFF"/>
        </w:rPr>
        <w:t>. 2018;13(9</w:t>
      </w:r>
      <w:r w:rsidR="008160BD" w:rsidRPr="008854AC">
        <w:rPr>
          <w:rFonts w:cstheme="minorHAnsi"/>
          <w:color w:val="C00000"/>
          <w:shd w:val="clear" w:color="auto" w:fill="FFFFFF"/>
        </w:rPr>
        <w:t>): e</w:t>
      </w:r>
      <w:r w:rsidRPr="008854AC">
        <w:rPr>
          <w:rFonts w:cstheme="minorHAnsi"/>
          <w:color w:val="C00000"/>
          <w:shd w:val="clear" w:color="auto" w:fill="FFFFFF"/>
        </w:rPr>
        <w:t xml:space="preserve">0203375. Published 2018 Sep 13. </w:t>
      </w:r>
      <w:r w:rsidR="008160BD" w:rsidRPr="008854AC">
        <w:rPr>
          <w:rFonts w:cstheme="minorHAnsi"/>
          <w:color w:val="C00000"/>
          <w:shd w:val="clear" w:color="auto" w:fill="FFFFFF"/>
        </w:rPr>
        <w:t>doi: 10.1371/journal.pone</w:t>
      </w:r>
      <w:r w:rsidRPr="008854AC">
        <w:rPr>
          <w:rFonts w:cstheme="minorHAnsi"/>
          <w:color w:val="C00000"/>
          <w:shd w:val="clear" w:color="auto" w:fill="FFFFFF"/>
        </w:rPr>
        <w:t>.0203375</w:t>
      </w:r>
    </w:p>
    <w:p w14:paraId="37703775" w14:textId="77777777" w:rsidR="007D3844" w:rsidRDefault="004D3A71" w:rsidP="007D3844">
      <w:pPr>
        <w:spacing w:after="120"/>
        <w:ind w:left="0" w:firstLine="0"/>
        <w:rPr>
          <w:b/>
        </w:rPr>
      </w:pPr>
      <w:r w:rsidRPr="007D3844">
        <w:rPr>
          <w:iCs/>
          <w:color w:val="7030A0"/>
        </w:rPr>
        <w:t>Jha AK, Orav EJ, Li Z, Epstein AM. The inverse relationship between mortality rates and performance in the Hospital Quality Alliance measures. Health Aff (Millwood) 2007 Jul-Aug; 26(4):1104-10.</w:t>
      </w:r>
    </w:p>
    <w:p w14:paraId="076B8112" w14:textId="77777777" w:rsidR="007D3844" w:rsidRDefault="004D3A71" w:rsidP="007D3844">
      <w:pPr>
        <w:spacing w:after="120"/>
        <w:ind w:left="0" w:firstLine="0"/>
        <w:rPr>
          <w:b/>
        </w:rPr>
      </w:pPr>
      <w:r w:rsidRPr="007D3844">
        <w:rPr>
          <w:iCs/>
          <w:color w:val="7030A0"/>
        </w:rPr>
        <w:t>Lee JS, Nsa W, Hausmann LR, et al. Quality of care for elderly patients hospitalized for pneumonia in the United States, 2006 to 2010. JAMA Intern Med. 2014; 174(11):1806-1814.</w:t>
      </w:r>
    </w:p>
    <w:p w14:paraId="55B8DA64" w14:textId="159474CF" w:rsidR="00D14F0B" w:rsidRDefault="004D3A71" w:rsidP="007D3844">
      <w:pPr>
        <w:spacing w:after="120"/>
        <w:ind w:left="0" w:firstLine="0"/>
        <w:rPr>
          <w:iCs/>
          <w:color w:val="7030A0"/>
        </w:rPr>
      </w:pPr>
      <w:r w:rsidRPr="007D3844">
        <w:rPr>
          <w:iCs/>
          <w:color w:val="7030A0"/>
        </w:rPr>
        <w:t>Lindenauer PK, Lagu T, Shieh MS, et al. Association of diagnostic coding with trends in hospitalizations and mortality of patients with pneumonia, 2003-2009. JAMA American Medical Association. 2012; 307(13):1405-1413.</w:t>
      </w:r>
    </w:p>
    <w:p w14:paraId="0F1800A0" w14:textId="3ECCA995" w:rsidR="00816A3B" w:rsidRPr="008854AC" w:rsidRDefault="00816A3B" w:rsidP="00816A3B">
      <w:pPr>
        <w:spacing w:before="120" w:after="120"/>
        <w:ind w:left="0" w:firstLine="0"/>
        <w:rPr>
          <w:color w:val="C00000"/>
        </w:rPr>
      </w:pPr>
      <w:r w:rsidRPr="008854AC">
        <w:rPr>
          <w:color w:val="C00000"/>
        </w:rPr>
        <w:t xml:space="preserve">Radhakrishnan K, Jones TL, Weems D, Knight TW, Rice WH. Seamless Transitions: Achieving Patient Safety Through Communication and Collaboration. </w:t>
      </w:r>
      <w:r w:rsidRPr="008854AC">
        <w:rPr>
          <w:i/>
          <w:iCs/>
          <w:color w:val="C00000"/>
        </w:rPr>
        <w:t xml:space="preserve">J Patient Saf. </w:t>
      </w:r>
      <w:r w:rsidRPr="008854AC">
        <w:rPr>
          <w:color w:val="C00000"/>
        </w:rPr>
        <w:t>2018;14(1</w:t>
      </w:r>
      <w:r w:rsidR="006E280E" w:rsidRPr="008854AC">
        <w:rPr>
          <w:color w:val="C00000"/>
        </w:rPr>
        <w:t>): e</w:t>
      </w:r>
      <w:r w:rsidRPr="008854AC">
        <w:rPr>
          <w:color w:val="C00000"/>
        </w:rPr>
        <w:t>3-e5.</w:t>
      </w:r>
    </w:p>
    <w:p w14:paraId="55B8DA66" w14:textId="25FF3935"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p>
    <w:p w14:paraId="55B8DA68" w14:textId="7E9DAFE0" w:rsidR="00A9011D" w:rsidRPr="00A9011D" w:rsidRDefault="00A9011D" w:rsidP="0067005C">
      <w:pPr>
        <w:spacing w:before="240"/>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348B31AE"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0067005C">
        <w:rPr>
          <w:rFonts w:ascii="Calibri" w:eastAsia="Calibri" w:hAnsi="Calibri" w:cs="Times New Roman"/>
        </w:rPr>
        <w:t>)</w:t>
      </w:r>
    </w:p>
    <w:p w14:paraId="55B8DA6C" w14:textId="02880378"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0067005C">
        <w:rPr>
          <w:rFonts w:ascii="Calibri" w:eastAsia="Calibri" w:hAnsi="Calibri" w:cs="Times New Roman"/>
        </w:rPr>
        <w:t xml:space="preserve"> Other</w:t>
      </w: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4068"/>
        <w:gridCol w:w="5130"/>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lastRenderedPageBreak/>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55B8DA75" w14:textId="77777777" w:rsidR="00AB4ECE" w:rsidRPr="00AB4ECE" w:rsidRDefault="00AB4ECE" w:rsidP="002E2177">
            <w:pPr>
              <w:ind w:left="0" w:firstLine="0"/>
              <w:rPr>
                <w:b/>
              </w:rPr>
            </w:pP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55B8DA78" w14:textId="77777777" w:rsidR="00AB4ECE" w:rsidRDefault="00AB4ECE" w:rsidP="002E2177">
            <w:pPr>
              <w:ind w:left="0" w:firstLine="0"/>
            </w:pPr>
          </w:p>
        </w:tc>
      </w:tr>
      <w:tr w:rsidR="00AB4ECE" w14:paraId="55B8DA7C" w14:textId="77777777" w:rsidTr="00F90F82">
        <w:tc>
          <w:tcPr>
            <w:tcW w:w="4068"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55B8DA7B" w14:textId="77777777" w:rsidR="00AB4ECE" w:rsidRDefault="00AB4ECE" w:rsidP="002E2177">
            <w:pPr>
              <w:ind w:left="0" w:firstLine="0"/>
            </w:pPr>
          </w:p>
        </w:tc>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55B8DA7E" w14:textId="77777777" w:rsidR="00AB4ECE" w:rsidRDefault="00AB4ECE" w:rsidP="002E2177">
            <w:pPr>
              <w:ind w:left="0" w:firstLine="0"/>
            </w:pP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55B8DA81" w14:textId="77777777" w:rsidR="00AB4ECE" w:rsidRDefault="00AB4ECE" w:rsidP="002E2177">
            <w:pPr>
              <w:ind w:left="0" w:firstLine="0"/>
            </w:pP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55B8DA84" w14:textId="77777777" w:rsidR="00AB4ECE" w:rsidRDefault="00AB4ECE" w:rsidP="002E2177">
            <w:pPr>
              <w:ind w:left="0" w:firstLine="0"/>
            </w:pP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55B8DA89" w14:textId="77777777" w:rsidR="00AB4ECE" w:rsidRDefault="00AB4ECE" w:rsidP="002E2177">
            <w:pPr>
              <w:ind w:left="0" w:firstLine="0"/>
            </w:pPr>
          </w:p>
        </w:tc>
      </w:tr>
      <w:tr w:rsidR="00AB4ECE" w14:paraId="55B8DA8D" w14:textId="77777777" w:rsidTr="00F90F82">
        <w:tc>
          <w:tcPr>
            <w:tcW w:w="4068" w:type="dxa"/>
          </w:tcPr>
          <w:p w14:paraId="55B8DA8B" w14:textId="77777777" w:rsidR="00AB4ECE" w:rsidRDefault="000E5C93" w:rsidP="002E2177">
            <w:pPr>
              <w:ind w:left="0" w:firstLine="0"/>
            </w:pPr>
            <w:r>
              <w:t xml:space="preserve">Estimates of benefit and consistency across studies </w:t>
            </w:r>
          </w:p>
        </w:tc>
        <w:tc>
          <w:tcPr>
            <w:tcW w:w="5130" w:type="dxa"/>
          </w:tcPr>
          <w:p w14:paraId="55B8DA8C" w14:textId="77777777" w:rsidR="00AB4ECE" w:rsidRDefault="00AB4ECE" w:rsidP="002E2177">
            <w:pPr>
              <w:ind w:left="0" w:firstLine="0"/>
            </w:pP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55B8DA8F" w14:textId="77777777" w:rsidR="000E5C93" w:rsidRDefault="000E5C93" w:rsidP="002E2177">
            <w:pPr>
              <w:ind w:left="0" w:firstLine="0"/>
            </w:pP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55B8DA92" w14:textId="77777777" w:rsidR="000E5C93" w:rsidRDefault="000E5C93" w:rsidP="002E2177">
            <w:pPr>
              <w:ind w:left="0" w:firstLine="0"/>
            </w:pPr>
          </w:p>
        </w:tc>
      </w:tr>
    </w:tbl>
    <w:p w14:paraId="55B8DA95" w14:textId="63BCB316" w:rsidR="0094689F" w:rsidRPr="003B1CC5" w:rsidRDefault="00925F11" w:rsidP="0067005C">
      <w:pPr>
        <w:spacing w:before="120"/>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8" w14:textId="779FC1A1" w:rsidR="00837121" w:rsidRDefault="00837121" w:rsidP="00BE5E3A">
      <w:pPr>
        <w:spacing w:after="120"/>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7695FCF" w14:textId="77777777" w:rsidR="00BE5E3A" w:rsidRPr="007D3844" w:rsidRDefault="00BE5E3A" w:rsidP="00BE5E3A">
      <w:pPr>
        <w:spacing w:after="120"/>
        <w:ind w:left="0" w:firstLine="0"/>
        <w:rPr>
          <w:color w:val="7030A0"/>
        </w:rPr>
      </w:pPr>
      <w:r w:rsidRPr="007D3844">
        <w:rPr>
          <w:color w:val="7030A0"/>
        </w:rPr>
        <w:t>N/A</w:t>
      </w:r>
    </w:p>
    <w:p w14:paraId="3DAE05F5" w14:textId="08056464" w:rsidR="0023164B" w:rsidRDefault="000E5C93" w:rsidP="007D3844">
      <w:pPr>
        <w:spacing w:after="120"/>
        <w:ind w:left="0" w:firstLine="0"/>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1E906BA" w14:textId="461D7688" w:rsidR="007D3844" w:rsidRPr="007D3844" w:rsidRDefault="007D3844" w:rsidP="007D3844">
      <w:pPr>
        <w:spacing w:after="120"/>
        <w:ind w:left="0" w:firstLine="0"/>
        <w:rPr>
          <w:color w:val="7030A0"/>
        </w:rPr>
      </w:pPr>
      <w:r w:rsidRPr="007D3844">
        <w:rPr>
          <w:color w:val="7030A0"/>
        </w:rPr>
        <w:t>N/A</w:t>
      </w:r>
    </w:p>
    <w:p w14:paraId="55B8DA9C" w14:textId="6349F701" w:rsidR="00837121" w:rsidRDefault="000E5C93" w:rsidP="007D3844">
      <w:pPr>
        <w:spacing w:after="120"/>
        <w:ind w:left="0" w:firstLine="0"/>
      </w:pPr>
      <w:r w:rsidRPr="000E5C93">
        <w:rPr>
          <w:b/>
          <w:color w:val="244061" w:themeColor="accent1" w:themeShade="80"/>
        </w:rPr>
        <w:t xml:space="preserve">1a.4.2 </w:t>
      </w:r>
      <w:r w:rsidR="00837121" w:rsidRPr="003B1CC5">
        <w:rPr>
          <w:b/>
        </w:rPr>
        <w:t>What process was used to identify the evidence?</w:t>
      </w:r>
    </w:p>
    <w:p w14:paraId="389CF025" w14:textId="77777777" w:rsidR="007D3844" w:rsidRPr="007D3844" w:rsidRDefault="007D3844" w:rsidP="007D3844">
      <w:pPr>
        <w:spacing w:after="120"/>
        <w:ind w:left="0" w:firstLine="0"/>
        <w:rPr>
          <w:color w:val="7030A0"/>
        </w:rPr>
      </w:pPr>
      <w:r w:rsidRPr="007D3844">
        <w:rPr>
          <w:color w:val="7030A0"/>
        </w:rPr>
        <w:t>N/A</w:t>
      </w:r>
    </w:p>
    <w:p w14:paraId="55B8DA9D" w14:textId="50BFB111" w:rsidR="00837121" w:rsidRDefault="000E5C93" w:rsidP="007D3844">
      <w:pPr>
        <w:spacing w:after="120"/>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64F8C85E" w14:textId="21A2F1DB" w:rsidR="007D3844" w:rsidRPr="007D3844" w:rsidRDefault="007D3844" w:rsidP="007D3844">
      <w:pPr>
        <w:spacing w:after="120"/>
        <w:ind w:left="0" w:firstLine="0"/>
        <w:rPr>
          <w:color w:val="7030A0"/>
        </w:rPr>
      </w:pPr>
      <w:r w:rsidRPr="007D3844">
        <w:rPr>
          <w:color w:val="7030A0"/>
        </w:rPr>
        <w:t>N/A</w:t>
      </w:r>
    </w:p>
    <w:sectPr w:rsidR="007D3844" w:rsidRPr="007D3844">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3" w14:textId="622366E4" w:rsidR="00440687" w:rsidRDefault="00440687">
    <w:pPr>
      <w:pStyle w:val="Footer"/>
    </w:pPr>
    <w:r w:rsidRPr="00395263">
      <w:t xml:space="preserve">Version </w:t>
    </w:r>
    <w:r w:rsidR="00DC7F67">
      <w:t>7.1</w:t>
    </w:r>
    <w:r w:rsidR="00F63E8D">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E779F4">
      <w:rPr>
        <w:noProof/>
      </w:rPr>
      <w:t>2</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9"/>
  </w:num>
  <w:num w:numId="8">
    <w:abstractNumId w:val="8"/>
  </w:num>
  <w:num w:numId="9">
    <w:abstractNumId w:val="10"/>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180E"/>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F4A7F"/>
    <w:rsid w:val="00114848"/>
    <w:rsid w:val="00120934"/>
    <w:rsid w:val="00132070"/>
    <w:rsid w:val="00136584"/>
    <w:rsid w:val="00141875"/>
    <w:rsid w:val="0014347E"/>
    <w:rsid w:val="00151A5E"/>
    <w:rsid w:val="00154438"/>
    <w:rsid w:val="001551F6"/>
    <w:rsid w:val="0015535B"/>
    <w:rsid w:val="00162036"/>
    <w:rsid w:val="001632DD"/>
    <w:rsid w:val="00176E60"/>
    <w:rsid w:val="00194913"/>
    <w:rsid w:val="00194D9A"/>
    <w:rsid w:val="001A196B"/>
    <w:rsid w:val="001A6D05"/>
    <w:rsid w:val="001B38BF"/>
    <w:rsid w:val="001B772D"/>
    <w:rsid w:val="001D5B5D"/>
    <w:rsid w:val="001E6153"/>
    <w:rsid w:val="00201FF9"/>
    <w:rsid w:val="00205857"/>
    <w:rsid w:val="0023164B"/>
    <w:rsid w:val="00235ADC"/>
    <w:rsid w:val="00236F87"/>
    <w:rsid w:val="00265702"/>
    <w:rsid w:val="002662B2"/>
    <w:rsid w:val="002717C7"/>
    <w:rsid w:val="002875E9"/>
    <w:rsid w:val="00287EB3"/>
    <w:rsid w:val="002A47BA"/>
    <w:rsid w:val="002A6777"/>
    <w:rsid w:val="002B06BD"/>
    <w:rsid w:val="002B2986"/>
    <w:rsid w:val="002C0E48"/>
    <w:rsid w:val="002C6F04"/>
    <w:rsid w:val="002E2177"/>
    <w:rsid w:val="002E2E41"/>
    <w:rsid w:val="002E78CD"/>
    <w:rsid w:val="002F20A7"/>
    <w:rsid w:val="003008F4"/>
    <w:rsid w:val="00302B1D"/>
    <w:rsid w:val="00307FA5"/>
    <w:rsid w:val="00324D64"/>
    <w:rsid w:val="00337F0F"/>
    <w:rsid w:val="003422B1"/>
    <w:rsid w:val="00352B52"/>
    <w:rsid w:val="0035760D"/>
    <w:rsid w:val="00363ECC"/>
    <w:rsid w:val="0039020B"/>
    <w:rsid w:val="00395263"/>
    <w:rsid w:val="003956E0"/>
    <w:rsid w:val="0039609A"/>
    <w:rsid w:val="00397500"/>
    <w:rsid w:val="003B1CC5"/>
    <w:rsid w:val="003B65CE"/>
    <w:rsid w:val="003D6721"/>
    <w:rsid w:val="003E039E"/>
    <w:rsid w:val="0040230E"/>
    <w:rsid w:val="0041662F"/>
    <w:rsid w:val="00422917"/>
    <w:rsid w:val="00440687"/>
    <w:rsid w:val="0044131D"/>
    <w:rsid w:val="00441ADA"/>
    <w:rsid w:val="00457E46"/>
    <w:rsid w:val="004922E4"/>
    <w:rsid w:val="00496AF8"/>
    <w:rsid w:val="004A575D"/>
    <w:rsid w:val="004B65C6"/>
    <w:rsid w:val="004D1DC7"/>
    <w:rsid w:val="004D3A71"/>
    <w:rsid w:val="004E7215"/>
    <w:rsid w:val="004F7D7E"/>
    <w:rsid w:val="00500B0C"/>
    <w:rsid w:val="00504C16"/>
    <w:rsid w:val="00515FDB"/>
    <w:rsid w:val="00537150"/>
    <w:rsid w:val="00540984"/>
    <w:rsid w:val="00543851"/>
    <w:rsid w:val="0055559D"/>
    <w:rsid w:val="005569AE"/>
    <w:rsid w:val="00573A3A"/>
    <w:rsid w:val="005857F8"/>
    <w:rsid w:val="005B0D18"/>
    <w:rsid w:val="005B12C3"/>
    <w:rsid w:val="005B409D"/>
    <w:rsid w:val="005D0FDB"/>
    <w:rsid w:val="005D25E9"/>
    <w:rsid w:val="005D6D59"/>
    <w:rsid w:val="006011FD"/>
    <w:rsid w:val="0061327A"/>
    <w:rsid w:val="00617390"/>
    <w:rsid w:val="00623420"/>
    <w:rsid w:val="00634768"/>
    <w:rsid w:val="0063596F"/>
    <w:rsid w:val="00660FB0"/>
    <w:rsid w:val="0067005C"/>
    <w:rsid w:val="006709EB"/>
    <w:rsid w:val="00672697"/>
    <w:rsid w:val="00672824"/>
    <w:rsid w:val="00676BD4"/>
    <w:rsid w:val="0068184A"/>
    <w:rsid w:val="006A0249"/>
    <w:rsid w:val="006B5C51"/>
    <w:rsid w:val="006C7F30"/>
    <w:rsid w:val="006D43FF"/>
    <w:rsid w:val="006E280E"/>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8463F"/>
    <w:rsid w:val="007C0297"/>
    <w:rsid w:val="007C1887"/>
    <w:rsid w:val="007D3844"/>
    <w:rsid w:val="007D4775"/>
    <w:rsid w:val="007D5DC6"/>
    <w:rsid w:val="007E37A5"/>
    <w:rsid w:val="007F49D8"/>
    <w:rsid w:val="00805940"/>
    <w:rsid w:val="0081599C"/>
    <w:rsid w:val="008160BD"/>
    <w:rsid w:val="00816A3B"/>
    <w:rsid w:val="008264D5"/>
    <w:rsid w:val="00837121"/>
    <w:rsid w:val="008471E5"/>
    <w:rsid w:val="00850C35"/>
    <w:rsid w:val="00851466"/>
    <w:rsid w:val="00863E43"/>
    <w:rsid w:val="008647C3"/>
    <w:rsid w:val="008659ED"/>
    <w:rsid w:val="008708DC"/>
    <w:rsid w:val="00870987"/>
    <w:rsid w:val="0087564A"/>
    <w:rsid w:val="00881160"/>
    <w:rsid w:val="00882EB9"/>
    <w:rsid w:val="0088371C"/>
    <w:rsid w:val="008A45F3"/>
    <w:rsid w:val="008B51D9"/>
    <w:rsid w:val="008B652E"/>
    <w:rsid w:val="008D05B7"/>
    <w:rsid w:val="008F1DC6"/>
    <w:rsid w:val="008F6F51"/>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5634E"/>
    <w:rsid w:val="00A67383"/>
    <w:rsid w:val="00A67EB1"/>
    <w:rsid w:val="00A9011D"/>
    <w:rsid w:val="00A91A47"/>
    <w:rsid w:val="00A95D2B"/>
    <w:rsid w:val="00AA5587"/>
    <w:rsid w:val="00AB4ECE"/>
    <w:rsid w:val="00AC1E53"/>
    <w:rsid w:val="00AD79C8"/>
    <w:rsid w:val="00AE6CE0"/>
    <w:rsid w:val="00B058A6"/>
    <w:rsid w:val="00B117D0"/>
    <w:rsid w:val="00B13998"/>
    <w:rsid w:val="00B35C5F"/>
    <w:rsid w:val="00B439DD"/>
    <w:rsid w:val="00B52E0F"/>
    <w:rsid w:val="00B74629"/>
    <w:rsid w:val="00B91F58"/>
    <w:rsid w:val="00BA579E"/>
    <w:rsid w:val="00BE2295"/>
    <w:rsid w:val="00BE5E3A"/>
    <w:rsid w:val="00BE6373"/>
    <w:rsid w:val="00BF533A"/>
    <w:rsid w:val="00C05685"/>
    <w:rsid w:val="00C211A7"/>
    <w:rsid w:val="00C41794"/>
    <w:rsid w:val="00C46677"/>
    <w:rsid w:val="00C5180E"/>
    <w:rsid w:val="00C54E40"/>
    <w:rsid w:val="00C550F5"/>
    <w:rsid w:val="00C55F56"/>
    <w:rsid w:val="00C57BA4"/>
    <w:rsid w:val="00C613EB"/>
    <w:rsid w:val="00C71C1A"/>
    <w:rsid w:val="00C84623"/>
    <w:rsid w:val="00CB06C9"/>
    <w:rsid w:val="00CB1E41"/>
    <w:rsid w:val="00CB271C"/>
    <w:rsid w:val="00CC0F87"/>
    <w:rsid w:val="00CE4F96"/>
    <w:rsid w:val="00CF0AB1"/>
    <w:rsid w:val="00CF4B9B"/>
    <w:rsid w:val="00CF55E6"/>
    <w:rsid w:val="00CF772F"/>
    <w:rsid w:val="00D048DB"/>
    <w:rsid w:val="00D14F0B"/>
    <w:rsid w:val="00D178CA"/>
    <w:rsid w:val="00D31CBC"/>
    <w:rsid w:val="00D3311C"/>
    <w:rsid w:val="00D53405"/>
    <w:rsid w:val="00D54491"/>
    <w:rsid w:val="00D5457B"/>
    <w:rsid w:val="00D72995"/>
    <w:rsid w:val="00D73685"/>
    <w:rsid w:val="00DA7FA2"/>
    <w:rsid w:val="00DC2D8D"/>
    <w:rsid w:val="00DC7F67"/>
    <w:rsid w:val="00DE1F5D"/>
    <w:rsid w:val="00DE50D8"/>
    <w:rsid w:val="00DF278A"/>
    <w:rsid w:val="00E12153"/>
    <w:rsid w:val="00E1664B"/>
    <w:rsid w:val="00E26A68"/>
    <w:rsid w:val="00E30D12"/>
    <w:rsid w:val="00E3394E"/>
    <w:rsid w:val="00E35241"/>
    <w:rsid w:val="00E41417"/>
    <w:rsid w:val="00E42FAA"/>
    <w:rsid w:val="00E536D3"/>
    <w:rsid w:val="00E57BE2"/>
    <w:rsid w:val="00E62A95"/>
    <w:rsid w:val="00E746A2"/>
    <w:rsid w:val="00E779F4"/>
    <w:rsid w:val="00E90D06"/>
    <w:rsid w:val="00E97E59"/>
    <w:rsid w:val="00EA79C9"/>
    <w:rsid w:val="00EB3D68"/>
    <w:rsid w:val="00EB66AC"/>
    <w:rsid w:val="00EC1225"/>
    <w:rsid w:val="00EC2247"/>
    <w:rsid w:val="00EE1F87"/>
    <w:rsid w:val="00EE2C9A"/>
    <w:rsid w:val="00EE3931"/>
    <w:rsid w:val="00EE5AF6"/>
    <w:rsid w:val="00EF2CEF"/>
    <w:rsid w:val="00F1092D"/>
    <w:rsid w:val="00F42C20"/>
    <w:rsid w:val="00F431D8"/>
    <w:rsid w:val="00F63E8D"/>
    <w:rsid w:val="00F67706"/>
    <w:rsid w:val="00F81FE3"/>
    <w:rsid w:val="00F90F82"/>
    <w:rsid w:val="00F92D75"/>
    <w:rsid w:val="00F97327"/>
    <w:rsid w:val="00FA296F"/>
    <w:rsid w:val="00FA3806"/>
    <w:rsid w:val="00FA4E05"/>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package" Target="embeddings/Microsoft_Visio_Drawing.vsdx"/><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CFDE55EA5A8844FEB85FA8522FDABF26"/>
        <w:category>
          <w:name w:val="General"/>
          <w:gallery w:val="placeholder"/>
        </w:category>
        <w:types>
          <w:type w:val="bbPlcHdr"/>
        </w:types>
        <w:behaviors>
          <w:behavior w:val="content"/>
        </w:behaviors>
        <w:guid w:val="{0B52A543-C7BD-4489-BAF7-8AF98F3C9CEE}"/>
      </w:docPartPr>
      <w:docPartBody>
        <w:p w:rsidR="00AB0BDF" w:rsidRDefault="002C09BF" w:rsidP="002C09BF">
          <w:pPr>
            <w:pStyle w:val="CFDE55EA5A8844FEB85FA8522FDABF26"/>
          </w:pPr>
          <w:r w:rsidRPr="003B1CC5">
            <w:rPr>
              <w:rStyle w:val="PlaceholderText"/>
            </w:rPr>
            <w:t>Click here to enter NQF number</w:t>
          </w:r>
        </w:p>
      </w:docPartBody>
    </w:docPart>
    <w:docPart>
      <w:docPartPr>
        <w:name w:val="46FD91BC3C904908A91E1475F5C8C376"/>
        <w:category>
          <w:name w:val="General"/>
          <w:gallery w:val="placeholder"/>
        </w:category>
        <w:types>
          <w:type w:val="bbPlcHdr"/>
        </w:types>
        <w:behaviors>
          <w:behavior w:val="content"/>
        </w:behaviors>
        <w:guid w:val="{8AFCD5C5-76D9-410A-8E83-10BDE8C87322}"/>
      </w:docPartPr>
      <w:docPartBody>
        <w:p w:rsidR="00AB0BDF" w:rsidRDefault="002C09BF" w:rsidP="002C09BF">
          <w:pPr>
            <w:pStyle w:val="46FD91BC3C904908A91E1475F5C8C376"/>
          </w:pPr>
          <w:r w:rsidRPr="003B1CC5">
            <w:rPr>
              <w:rStyle w:val="PlaceholderText"/>
              <w:rFonts w:cstheme="minorHAnsi"/>
              <w:color w:val="A6A6A6" w:themeColor="background1" w:themeShade="A6"/>
            </w:rPr>
            <w:t>Click here to enter measure title</w:t>
          </w:r>
        </w:p>
      </w:docPartBody>
    </w:docPart>
    <w:docPart>
      <w:docPartPr>
        <w:name w:val="7F2256AA8C8D484A9301CA4ED9911719"/>
        <w:category>
          <w:name w:val="General"/>
          <w:gallery w:val="placeholder"/>
        </w:category>
        <w:types>
          <w:type w:val="bbPlcHdr"/>
        </w:types>
        <w:behaviors>
          <w:behavior w:val="content"/>
        </w:behaviors>
        <w:guid w:val="{67031BF9-408E-47BF-A856-70220D682671}"/>
      </w:docPartPr>
      <w:docPartBody>
        <w:p w:rsidR="00AB0BDF" w:rsidRDefault="002C09BF" w:rsidP="002C09BF">
          <w:pPr>
            <w:pStyle w:val="7F2256AA8C8D484A9301CA4ED9911719"/>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2C09BF"/>
    <w:rsid w:val="003A1E4B"/>
    <w:rsid w:val="00455EB5"/>
    <w:rsid w:val="00461C1C"/>
    <w:rsid w:val="004E2027"/>
    <w:rsid w:val="005F21F3"/>
    <w:rsid w:val="008F6A9B"/>
    <w:rsid w:val="00A77B15"/>
    <w:rsid w:val="00AB0BDF"/>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C09BF"/>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CFDE55EA5A8844FEB85FA8522FDABF26">
    <w:name w:val="CFDE55EA5A8844FEB85FA8522FDABF26"/>
    <w:rsid w:val="002C09BF"/>
    <w:pPr>
      <w:spacing w:after="160" w:line="259" w:lineRule="auto"/>
    </w:pPr>
  </w:style>
  <w:style w:type="paragraph" w:customStyle="1" w:styleId="46FD91BC3C904908A91E1475F5C8C376">
    <w:name w:val="46FD91BC3C904908A91E1475F5C8C376"/>
    <w:rsid w:val="002C09BF"/>
    <w:pPr>
      <w:spacing w:after="160" w:line="259" w:lineRule="auto"/>
    </w:pPr>
  </w:style>
  <w:style w:type="paragraph" w:customStyle="1" w:styleId="7F2256AA8C8D484A9301CA4ED9911719">
    <w:name w:val="7F2256AA8C8D484A9301CA4ED9911719"/>
    <w:rsid w:val="002C09B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3.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2CDBE7-7F08-4F52-B308-EE351D989842}">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836b82f1-340d-495e-85b5-201c5296619a"/>
    <ds:schemaRef ds:uri="http://www.w3.org/XML/1998/namespace"/>
    <ds:schemaRef ds:uri="http://purl.org/dc/dcmitype/"/>
  </ds:schemaRefs>
</ds:datastoreItem>
</file>

<file path=customXml/itemProps5.xml><?xml version="1.0" encoding="utf-8"?>
<ds:datastoreItem xmlns:ds="http://schemas.openxmlformats.org/officeDocument/2006/customXml" ds:itemID="{C36BA85E-4998-4DC4-915D-C852B31F9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2168</Words>
  <Characters>12362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Peter, Doris</cp:lastModifiedBy>
  <cp:revision>2</cp:revision>
  <dcterms:created xsi:type="dcterms:W3CDTF">2020-11-18T12:59:00Z</dcterms:created>
  <dcterms:modified xsi:type="dcterms:W3CDTF">2020-11-18T12:59:00Z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