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EBC0EF" w14:textId="4BE4BEE7"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14:paraId="4E212BC8" w14:textId="77777777" w:rsidR="00797624" w:rsidRDefault="00797624" w:rsidP="00105D8B">
      <w:pPr>
        <w:contextualSpacing/>
        <w:rPr>
          <w:rFonts w:cstheme="minorHAnsi"/>
          <w:b/>
          <w:noProof/>
        </w:rPr>
      </w:pPr>
    </w:p>
    <w:p w14:paraId="03555C81" w14:textId="536CAEAB"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551F485C4200468D9EC3FF6F420BE921"/>
          </w:placeholder>
        </w:sdtPr>
        <w:sdtEndPr>
          <w:rPr>
            <w:rStyle w:val="DefaultParagraphFont"/>
            <w:rFonts w:cstheme="minorHAnsi"/>
            <w:b/>
            <w:noProof/>
            <w:color w:val="auto"/>
          </w:rPr>
        </w:sdtEndPr>
        <w:sdtContent>
          <w:r w:rsidR="00023DD7">
            <w:rPr>
              <w:rStyle w:val="Style1"/>
            </w:rPr>
            <w:t>Not applicable</w:t>
          </w:r>
        </w:sdtContent>
      </w:sdt>
    </w:p>
    <w:p w14:paraId="7CCA85DE" w14:textId="1C698982"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CA6F5C" w:rsidRPr="00CA6F5C">
            <w:rPr>
              <w:rFonts w:cstheme="minorHAnsi"/>
              <w:color w:val="0000FF"/>
            </w:rPr>
            <w:t>Inpatient Rehabilitation Facility (IRF) Functional Outcome Measure: Discharge Self-Care Score for Medical Rehabilitation Patients</w:t>
          </w:r>
        </w:sdtContent>
      </w:sdt>
    </w:p>
    <w:p w14:paraId="007EA106" w14:textId="367D4EFE" w:rsidR="005C73CA" w:rsidRDefault="00105D8B" w:rsidP="00D5110B">
      <w:pPr>
        <w:tabs>
          <w:tab w:val="left" w:pos="4159"/>
        </w:tabs>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4-11-03T00:00:00Z">
            <w:dateFormat w:val="M/d/yyyy"/>
            <w:lid w:val="en-US"/>
            <w:storeMappedDataAs w:val="dateTime"/>
            <w:calendar w:val="gregorian"/>
          </w:date>
        </w:sdtPr>
        <w:sdtEndPr>
          <w:rPr>
            <w:rStyle w:val="DefaultParagraphFont"/>
            <w:noProof/>
            <w:color w:val="auto"/>
            <w:u w:val="none"/>
          </w:rPr>
        </w:sdtEndPr>
        <w:sdtContent>
          <w:r w:rsidR="009D386B">
            <w:rPr>
              <w:rStyle w:val="Style2"/>
              <w:rFonts w:cstheme="minorHAnsi"/>
            </w:rPr>
            <w:t>11/3/2014</w:t>
          </w:r>
        </w:sdtContent>
      </w:sdt>
      <w:r w:rsidR="00D5110B">
        <w:rPr>
          <w:rFonts w:cstheme="minorHAnsi"/>
          <w:noProof/>
        </w:rPr>
        <w:tab/>
      </w:r>
    </w:p>
    <w:p w14:paraId="14F401AE" w14:textId="6A76F006" w:rsidR="00CD364B" w:rsidRPr="009E1846" w:rsidRDefault="009E1846" w:rsidP="003140F6">
      <w:pPr>
        <w:spacing w:after="0"/>
        <w:rPr>
          <w:rFonts w:cstheme="minorHAnsi"/>
          <w:b/>
        </w:rPr>
      </w:pPr>
      <w:r>
        <w:rPr>
          <w:rStyle w:val="Style2"/>
          <w:rFonts w:cstheme="minorHAnsi"/>
          <w:b/>
          <w:color w:val="auto"/>
          <w:u w:val="none"/>
        </w:rPr>
        <w:t>Type of Measure:</w:t>
      </w:r>
      <w:r w:rsidR="00023DD7">
        <w:rPr>
          <w:rStyle w:val="Style2"/>
          <w:rFonts w:cstheme="minorHAnsi"/>
          <w:b/>
          <w:color w:val="auto"/>
          <w:u w:val="none"/>
        </w:rPr>
        <w:t xml:space="preserve"> </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14:paraId="635E705E" w14:textId="77777777" w:rsidTr="000B3880">
        <w:trPr>
          <w:jc w:val="center"/>
        </w:trPr>
        <w:tc>
          <w:tcPr>
            <w:tcW w:w="2547" w:type="pct"/>
          </w:tcPr>
          <w:p w14:paraId="6FF120EA" w14:textId="27888DB2" w:rsidR="00CD364B" w:rsidRPr="00B82A57" w:rsidRDefault="00CD364B" w:rsidP="00CD364B">
            <w:pPr>
              <w:autoSpaceDE w:val="0"/>
              <w:autoSpaceDN w:val="0"/>
              <w:adjustRightInd w:val="0"/>
              <w:rPr>
                <w:rFonts w:cstheme="minorHAnsi"/>
                <w:bCs/>
              </w:rPr>
            </w:pPr>
            <w:r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14:paraId="108898E6" w14:textId="1D30622A" w:rsidR="00CD364B" w:rsidRPr="00B82A57" w:rsidRDefault="00A2496B" w:rsidP="00615275">
            <w:pPr>
              <w:autoSpaceDE w:val="0"/>
              <w:autoSpaceDN w:val="0"/>
              <w:adjustRightInd w:val="0"/>
              <w:rPr>
                <w:rFonts w:cstheme="minorHAnsi"/>
                <w:bCs/>
              </w:rPr>
            </w:pPr>
            <w:sdt>
              <w:sdtPr>
                <w:rPr>
                  <w:rFonts w:cstheme="minorHAnsi"/>
                  <w:bCs/>
                  <w:color w:val="0000FF"/>
                </w:rPr>
                <w:id w:val="40960739"/>
              </w:sdtPr>
              <w:sdtContent>
                <w:sdt>
                  <w:sdtPr>
                    <w:rPr>
                      <w:rFonts w:cstheme="minorHAnsi"/>
                      <w:bCs/>
                      <w:color w:val="0000FF"/>
                    </w:rPr>
                    <w:id w:val="296056382"/>
                  </w:sdtPr>
                  <w:sdtContent>
                    <w:r w:rsidR="00A57363">
                      <w:rPr>
                        <w:rFonts w:cstheme="minorHAnsi"/>
                        <w:bCs/>
                        <w:color w:val="0000FF"/>
                      </w:rPr>
                      <w:t>x</w:t>
                    </w:r>
                  </w:sdtContent>
                </w:sdt>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14:paraId="4F0B2ED9" w14:textId="77777777" w:rsidTr="000B3880">
        <w:trPr>
          <w:jc w:val="center"/>
        </w:trPr>
        <w:tc>
          <w:tcPr>
            <w:tcW w:w="2547" w:type="pct"/>
          </w:tcPr>
          <w:p w14:paraId="3909A48F" w14:textId="1855FFE0" w:rsidR="00CD364B" w:rsidRPr="00B82A57" w:rsidRDefault="00A2496B" w:rsidP="00CD364B">
            <w:pPr>
              <w:autoSpaceDE w:val="0"/>
              <w:autoSpaceDN w:val="0"/>
              <w:adjustRightInd w:val="0"/>
              <w:rPr>
                <w:rFonts w:cstheme="minorHAnsi"/>
                <w:bCs/>
              </w:rPr>
            </w:pPr>
            <w:sdt>
              <w:sdtPr>
                <w:rPr>
                  <w:rFonts w:cstheme="minorHAnsi"/>
                  <w:bCs/>
                  <w:color w:val="0000FF"/>
                </w:rPr>
                <w:id w:val="-1629553688"/>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14:paraId="41FAD6B1" w14:textId="1D309003" w:rsidR="00CD364B" w:rsidRPr="00B82A57" w:rsidRDefault="00A2496B" w:rsidP="00CD364B">
            <w:pPr>
              <w:autoSpaceDE w:val="0"/>
              <w:autoSpaceDN w:val="0"/>
              <w:adjustRightInd w:val="0"/>
              <w:rPr>
                <w:rFonts w:cstheme="minorHAnsi"/>
                <w:bCs/>
              </w:rPr>
            </w:pPr>
            <w:sdt>
              <w:sdtPr>
                <w:rPr>
                  <w:rFonts w:cstheme="minorHAnsi"/>
                  <w:bCs/>
                  <w:color w:val="0000FF"/>
                </w:rPr>
                <w:id w:val="-1952933063"/>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14:paraId="7816CF84" w14:textId="77777777" w:rsidTr="000B3880">
        <w:trPr>
          <w:jc w:val="center"/>
        </w:trPr>
        <w:tc>
          <w:tcPr>
            <w:tcW w:w="2547" w:type="pct"/>
          </w:tcPr>
          <w:p w14:paraId="7B111FE8" w14:textId="64E3B798" w:rsidR="00CD364B" w:rsidRPr="00B82A57" w:rsidRDefault="00A2496B" w:rsidP="00CD364B">
            <w:pPr>
              <w:autoSpaceDE w:val="0"/>
              <w:autoSpaceDN w:val="0"/>
              <w:adjustRightInd w:val="0"/>
              <w:rPr>
                <w:rFonts w:cstheme="minorHAnsi"/>
                <w:bCs/>
              </w:rPr>
            </w:pPr>
            <w:sdt>
              <w:sdtPr>
                <w:rPr>
                  <w:rFonts w:cstheme="minorHAnsi"/>
                  <w:bCs/>
                  <w:color w:val="0000FF"/>
                </w:rPr>
                <w:id w:val="1581719781"/>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14:paraId="5B0208C2" w14:textId="70691F6D" w:rsidR="00CD364B" w:rsidRPr="00B82A57" w:rsidRDefault="00A2496B" w:rsidP="00CD364B">
            <w:pPr>
              <w:autoSpaceDE w:val="0"/>
              <w:autoSpaceDN w:val="0"/>
              <w:adjustRightInd w:val="0"/>
              <w:rPr>
                <w:rFonts w:cstheme="minorHAnsi"/>
                <w:bCs/>
              </w:rPr>
            </w:pPr>
            <w:sdt>
              <w:sdtPr>
                <w:rPr>
                  <w:rFonts w:cstheme="minorHAnsi"/>
                  <w:bCs/>
                  <w:color w:val="0000FF"/>
                </w:rPr>
                <w:id w:val="-1898113707"/>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14:paraId="1E240160"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14:paraId="10FE7ADC" w14:textId="77777777" w:rsidTr="00CC7AB5">
        <w:trPr>
          <w:jc w:val="center"/>
        </w:trPr>
        <w:tc>
          <w:tcPr>
            <w:tcW w:w="10285" w:type="dxa"/>
          </w:tcPr>
          <w:p w14:paraId="6655949E" w14:textId="77777777" w:rsidR="00B53E8B" w:rsidRPr="00B53E8B" w:rsidRDefault="00B53E8B" w:rsidP="00B53E8B">
            <w:pPr>
              <w:rPr>
                <w:rFonts w:cstheme="minorHAnsi"/>
                <w:b/>
                <w:noProof/>
              </w:rPr>
            </w:pPr>
            <w:r w:rsidRPr="00B53E8B">
              <w:rPr>
                <w:rFonts w:cstheme="minorHAnsi"/>
                <w:b/>
                <w:noProof/>
              </w:rPr>
              <w:t>Instructions</w:t>
            </w:r>
          </w:p>
          <w:p w14:paraId="7C335BF1"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595B37FE" w14:textId="77777777"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14:paraId="1B7FE677" w14:textId="77777777"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14:paraId="14B918E2" w14:textId="77777777"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14:paraId="1BFC4BAE" w14:textId="77777777"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38F000D1"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6A5C2B03" w14:textId="77777777"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6CEB112A" w14:textId="77777777"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9" w:history="1">
              <w:r w:rsidR="00145149" w:rsidRPr="00145149">
                <w:rPr>
                  <w:rStyle w:val="Hyperlink"/>
                </w:rPr>
                <w:t>Submitting Standards webpage</w:t>
              </w:r>
            </w:hyperlink>
            <w:r w:rsidR="00145149">
              <w:t>.</w:t>
            </w:r>
          </w:p>
        </w:tc>
      </w:tr>
      <w:tr w:rsidR="00BC0D25" w:rsidRPr="004853A0" w14:paraId="7EC81984" w14:textId="77777777" w:rsidTr="00CC7AB5">
        <w:trPr>
          <w:jc w:val="center"/>
        </w:trPr>
        <w:tc>
          <w:tcPr>
            <w:tcW w:w="10285" w:type="dxa"/>
          </w:tcPr>
          <w:p w14:paraId="036A5BE6" w14:textId="77777777" w:rsidR="00B53E8B" w:rsidRPr="004853A0" w:rsidRDefault="00B53E8B" w:rsidP="00702C73">
            <w:pPr>
              <w:rPr>
                <w:rFonts w:cstheme="minorHAnsi"/>
                <w:b/>
                <w:bCs/>
              </w:rPr>
            </w:pPr>
            <w:r w:rsidRPr="004853A0">
              <w:rPr>
                <w:b/>
                <w:bCs/>
                <w:u w:val="single"/>
              </w:rPr>
              <w:t>Note</w:t>
            </w:r>
            <w:r w:rsidRPr="004853A0">
              <w:rPr>
                <w:b/>
                <w:bCs/>
              </w:rPr>
              <w:t>: The information provided in this form is intended to aid the Steering Committee and other stakeholders in understanding to what degree the testing results for this measure meet NQF’s evaluation criteria</w:t>
            </w:r>
            <w:r w:rsidR="000E78F6" w:rsidRPr="004853A0">
              <w:rPr>
                <w:b/>
                <w:bCs/>
              </w:rPr>
              <w:t xml:space="preserve"> for testing</w:t>
            </w:r>
            <w:r w:rsidRPr="004853A0">
              <w:rPr>
                <w:b/>
                <w:bCs/>
              </w:rPr>
              <w:t>.</w:t>
            </w:r>
          </w:p>
          <w:p w14:paraId="22543649" w14:textId="77777777" w:rsidR="00B53E8B" w:rsidRPr="00A57363" w:rsidRDefault="00B53E8B" w:rsidP="00702C73">
            <w:pPr>
              <w:rPr>
                <w:b/>
                <w:sz w:val="20"/>
              </w:rPr>
            </w:pPr>
          </w:p>
          <w:p w14:paraId="13B35D0C" w14:textId="472B889A" w:rsidR="00BC0D25" w:rsidRPr="004853A0" w:rsidRDefault="00145149" w:rsidP="00702C73">
            <w:pPr>
              <w:rPr>
                <w:rFonts w:cstheme="minorHAnsi"/>
                <w:bCs/>
                <w:iCs/>
              </w:rPr>
            </w:pPr>
            <w:r w:rsidRPr="004853A0">
              <w:rPr>
                <w:rFonts w:cstheme="minorHAnsi"/>
                <w:b/>
                <w:bCs/>
              </w:rPr>
              <w:t>2a2.</w:t>
            </w:r>
            <w:r w:rsidRPr="004853A0">
              <w:rPr>
                <w:rFonts w:cstheme="minorHAnsi"/>
              </w:rPr>
              <w:t xml:space="preserve"> </w:t>
            </w:r>
            <w:r w:rsidRPr="004853A0">
              <w:rPr>
                <w:rFonts w:cstheme="minorHAnsi"/>
                <w:b/>
              </w:rPr>
              <w:t>Reliability testing</w:t>
            </w:r>
            <w:r w:rsidRPr="004853A0">
              <w:rPr>
                <w:rFonts w:cstheme="minorHAnsi"/>
              </w:rPr>
              <w:t xml:space="preserve"> </w:t>
            </w:r>
            <w:hyperlink w:anchor="Note10" w:history="1">
              <w:r w:rsidRPr="004853A0">
                <w:rPr>
                  <w:rStyle w:val="Hyperlink"/>
                  <w:rFonts w:cstheme="minorHAnsi"/>
                  <w:b/>
                  <w:vertAlign w:val="superscript"/>
                </w:rPr>
                <w:t>10</w:t>
              </w:r>
            </w:hyperlink>
            <w:r w:rsidRPr="004853A0">
              <w:rPr>
                <w:rFonts w:cstheme="minorHAnsi"/>
              </w:rPr>
              <w:t xml:space="preserve"> demonstrates the measure data elements are repeatable, producing the same results a high proportion of the time when assessed </w:t>
            </w:r>
            <w:r w:rsidRPr="004853A0">
              <w:rPr>
                <w:rFonts w:cstheme="minorHAnsi"/>
                <w:bCs/>
                <w:iCs/>
              </w:rPr>
              <w:t xml:space="preserve">in the same population in the same time period </w:t>
            </w:r>
            <w:r w:rsidRPr="004853A0">
              <w:rPr>
                <w:rFonts w:cstheme="minorHAnsi"/>
              </w:rPr>
              <w:t>and/or that the measure score is precise</w:t>
            </w:r>
            <w:r w:rsidRPr="004853A0">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14:paraId="6305569F" w14:textId="77777777" w:rsidR="00145149" w:rsidRPr="004853A0" w:rsidRDefault="00145149" w:rsidP="00145149">
            <w:pPr>
              <w:autoSpaceDE w:val="0"/>
              <w:autoSpaceDN w:val="0"/>
              <w:adjustRightInd w:val="0"/>
              <w:rPr>
                <w:rFonts w:cstheme="minorHAnsi"/>
                <w:b/>
                <w:iCs/>
              </w:rPr>
            </w:pPr>
          </w:p>
          <w:p w14:paraId="5ED8F39E" w14:textId="6C245E79" w:rsidR="00145149" w:rsidRPr="004853A0" w:rsidRDefault="00145149" w:rsidP="00145149">
            <w:pPr>
              <w:autoSpaceDE w:val="0"/>
              <w:autoSpaceDN w:val="0"/>
              <w:adjustRightInd w:val="0"/>
              <w:rPr>
                <w:rFonts w:cstheme="minorHAnsi"/>
              </w:rPr>
            </w:pPr>
            <w:r w:rsidRPr="004853A0">
              <w:rPr>
                <w:rFonts w:cstheme="minorHAnsi"/>
                <w:b/>
                <w:iCs/>
              </w:rPr>
              <w:t>2b2.</w:t>
            </w:r>
            <w:r w:rsidRPr="004853A0">
              <w:rPr>
                <w:rFonts w:cstheme="minorHAnsi"/>
                <w:bCs/>
                <w:iCs/>
              </w:rPr>
              <w:t xml:space="preserve"> </w:t>
            </w:r>
            <w:r w:rsidRPr="004853A0">
              <w:rPr>
                <w:rFonts w:cstheme="minorHAnsi"/>
                <w:b/>
                <w:bCs/>
                <w:iCs/>
              </w:rPr>
              <w:t>Validity testing</w:t>
            </w:r>
            <w:r w:rsidRPr="004853A0">
              <w:rPr>
                <w:rFonts w:cstheme="minorHAnsi"/>
                <w:bCs/>
                <w:iCs/>
              </w:rPr>
              <w:t xml:space="preserve"> </w:t>
            </w:r>
            <w:hyperlink w:anchor="Note11" w:history="1">
              <w:r w:rsidRPr="004853A0">
                <w:rPr>
                  <w:rStyle w:val="Hyperlink"/>
                  <w:rFonts w:cstheme="minorHAnsi"/>
                  <w:b/>
                  <w:vertAlign w:val="superscript"/>
                </w:rPr>
                <w:t>11</w:t>
              </w:r>
            </w:hyperlink>
            <w:r w:rsidRPr="004853A0">
              <w:rPr>
                <w:rFonts w:cstheme="minorHAnsi"/>
                <w:bCs/>
                <w:iCs/>
              </w:rPr>
              <w:t xml:space="preserve"> demonstrates that the measure data elements are correct and/or the </w:t>
            </w:r>
            <w:r w:rsidRPr="004853A0">
              <w:rPr>
                <w:rFonts w:cstheme="minorHAnsi"/>
              </w:rPr>
              <w:t>measure score correctly reflects the quality of care provided, adequately identifying differences in quality</w:t>
            </w:r>
            <w:r w:rsidRPr="004853A0">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4406D6C8" w14:textId="77777777" w:rsidR="00145149" w:rsidRPr="004853A0" w:rsidRDefault="00145149" w:rsidP="00145149">
            <w:pPr>
              <w:rPr>
                <w:rFonts w:cstheme="minorHAnsi"/>
              </w:rPr>
            </w:pPr>
            <w:bookmarkStart w:id="0" w:name="_Toc256067249"/>
          </w:p>
          <w:p w14:paraId="556A7D16" w14:textId="77777777" w:rsidR="00145149" w:rsidRPr="004853A0" w:rsidRDefault="00145149" w:rsidP="00145149">
            <w:pPr>
              <w:rPr>
                <w:rFonts w:cstheme="minorHAnsi"/>
              </w:rPr>
            </w:pPr>
            <w:r w:rsidRPr="004853A0">
              <w:rPr>
                <w:rFonts w:cstheme="minorHAnsi"/>
                <w:b/>
                <w:bCs/>
              </w:rPr>
              <w:t>2b3.</w:t>
            </w:r>
            <w:r w:rsidRPr="004853A0">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4853A0">
                <w:rPr>
                  <w:rStyle w:val="Hyperlink"/>
                  <w:rFonts w:cstheme="minorHAnsi"/>
                  <w:b/>
                  <w:vertAlign w:val="superscript"/>
                </w:rPr>
                <w:t>12</w:t>
              </w:r>
            </w:hyperlink>
          </w:p>
          <w:p w14:paraId="714DAB4D" w14:textId="77777777" w:rsidR="00145149" w:rsidRPr="004853A0" w:rsidRDefault="00145149" w:rsidP="00145149">
            <w:pPr>
              <w:rPr>
                <w:rFonts w:cstheme="minorHAnsi"/>
                <w:b/>
              </w:rPr>
            </w:pPr>
            <w:r w:rsidRPr="004853A0">
              <w:rPr>
                <w:rFonts w:cstheme="minorHAnsi"/>
                <w:b/>
              </w:rPr>
              <w:t xml:space="preserve">AND </w:t>
            </w:r>
          </w:p>
          <w:p w14:paraId="4BB1A1E8" w14:textId="77777777" w:rsidR="00145149" w:rsidRPr="004853A0" w:rsidRDefault="00145149" w:rsidP="00145149">
            <w:pPr>
              <w:rPr>
                <w:rFonts w:cstheme="minorHAnsi"/>
              </w:rPr>
            </w:pPr>
            <w:r w:rsidRPr="004853A0">
              <w:rPr>
                <w:rFonts w:cstheme="minorHAnsi"/>
              </w:rPr>
              <w:t xml:space="preserve">If patient preference (e.g., informed </w:t>
            </w:r>
            <w:proofErr w:type="spellStart"/>
            <w:r w:rsidRPr="004853A0">
              <w:rPr>
                <w:rFonts w:cstheme="minorHAnsi"/>
              </w:rPr>
              <w:t>decisionmaking</w:t>
            </w:r>
            <w:proofErr w:type="spellEnd"/>
            <w:r w:rsidRPr="004853A0">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4853A0">
                <w:rPr>
                  <w:rStyle w:val="Hyperlink"/>
                  <w:rFonts w:cstheme="minorHAnsi"/>
                  <w:b/>
                  <w:vertAlign w:val="superscript"/>
                </w:rPr>
                <w:t>13</w:t>
              </w:r>
            </w:hyperlink>
          </w:p>
          <w:p w14:paraId="789D21B6" w14:textId="77777777" w:rsidR="00145149" w:rsidRPr="004853A0" w:rsidRDefault="00145149" w:rsidP="00145149">
            <w:pPr>
              <w:rPr>
                <w:rFonts w:cstheme="minorHAnsi"/>
                <w:b/>
                <w:bCs/>
              </w:rPr>
            </w:pPr>
          </w:p>
          <w:p w14:paraId="3F233A8E" w14:textId="77777777" w:rsidR="00145149" w:rsidRPr="004853A0" w:rsidRDefault="00145149" w:rsidP="00145149">
            <w:pPr>
              <w:rPr>
                <w:rFonts w:cstheme="minorHAnsi"/>
              </w:rPr>
            </w:pPr>
            <w:bookmarkStart w:id="1" w:name="_Toc256067250"/>
            <w:r w:rsidRPr="004853A0">
              <w:rPr>
                <w:rFonts w:cstheme="minorHAnsi"/>
                <w:b/>
                <w:bCs/>
              </w:rPr>
              <w:lastRenderedPageBreak/>
              <w:t>2b4.</w:t>
            </w:r>
            <w:r w:rsidRPr="004853A0">
              <w:rPr>
                <w:rFonts w:cstheme="minorHAnsi"/>
              </w:rPr>
              <w:t xml:space="preserve"> </w:t>
            </w:r>
            <w:r w:rsidRPr="004853A0">
              <w:rPr>
                <w:rFonts w:cstheme="minorHAnsi"/>
                <w:b/>
              </w:rPr>
              <w:t>For outcome measures and other measures when indicated</w:t>
            </w:r>
            <w:r w:rsidRPr="004853A0">
              <w:rPr>
                <w:rFonts w:cstheme="minorHAnsi"/>
              </w:rPr>
              <w:t xml:space="preserve"> (e.g., resource use): </w:t>
            </w:r>
          </w:p>
          <w:p w14:paraId="458A21BE" w14:textId="77777777" w:rsidR="00145149" w:rsidRPr="004853A0" w:rsidRDefault="00145149" w:rsidP="00145149">
            <w:pPr>
              <w:numPr>
                <w:ilvl w:val="0"/>
                <w:numId w:val="26"/>
              </w:numPr>
              <w:ind w:left="0" w:firstLine="0"/>
              <w:rPr>
                <w:rFonts w:cstheme="minorHAnsi"/>
              </w:rPr>
            </w:pPr>
            <w:r w:rsidRPr="004853A0">
              <w:rPr>
                <w:rFonts w:cstheme="minorHAnsi"/>
                <w:b/>
              </w:rPr>
              <w:t>an evidence-based risk-adjustment strategy</w:t>
            </w:r>
            <w:r w:rsidRPr="004853A0">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4853A0">
                <w:rPr>
                  <w:rStyle w:val="Hyperlink"/>
                  <w:rFonts w:cstheme="minorHAnsi"/>
                  <w:b/>
                  <w:vertAlign w:val="superscript"/>
                </w:rPr>
                <w:t>14</w:t>
              </w:r>
            </w:hyperlink>
            <w:r w:rsidRPr="004853A0">
              <w:rPr>
                <w:rFonts w:cstheme="minorHAnsi"/>
                <w:b/>
                <w:vertAlign w:val="superscript"/>
              </w:rPr>
              <w:t>,</w:t>
            </w:r>
            <w:hyperlink w:anchor="Note15" w:history="1">
              <w:r w:rsidRPr="004853A0">
                <w:rPr>
                  <w:rStyle w:val="Hyperlink"/>
                  <w:rFonts w:cstheme="minorHAnsi"/>
                  <w:b/>
                  <w:vertAlign w:val="superscript"/>
                </w:rPr>
                <w:t>15</w:t>
              </w:r>
            </w:hyperlink>
            <w:r w:rsidRPr="004853A0">
              <w:rPr>
                <w:rFonts w:cstheme="minorHAnsi"/>
              </w:rPr>
              <w:t xml:space="preserve"> and has demonstrated adequate discrimination and calibration</w:t>
            </w:r>
          </w:p>
          <w:p w14:paraId="5F3D4CCA" w14:textId="77777777" w:rsidR="00145149" w:rsidRPr="004853A0" w:rsidRDefault="00145149" w:rsidP="00145149">
            <w:pPr>
              <w:rPr>
                <w:rFonts w:cstheme="minorHAnsi"/>
                <w:b/>
              </w:rPr>
            </w:pPr>
            <w:r w:rsidRPr="004853A0">
              <w:rPr>
                <w:rFonts w:cstheme="minorHAnsi"/>
                <w:b/>
              </w:rPr>
              <w:t>OR</w:t>
            </w:r>
          </w:p>
          <w:p w14:paraId="4DB7C842" w14:textId="77777777" w:rsidR="00145149" w:rsidRPr="004853A0" w:rsidRDefault="00145149" w:rsidP="00145149">
            <w:pPr>
              <w:numPr>
                <w:ilvl w:val="0"/>
                <w:numId w:val="26"/>
              </w:numPr>
              <w:ind w:left="0" w:firstLine="0"/>
              <w:rPr>
                <w:rFonts w:cstheme="minorHAnsi"/>
              </w:rPr>
            </w:pPr>
            <w:proofErr w:type="gramStart"/>
            <w:r w:rsidRPr="004853A0">
              <w:rPr>
                <w:rFonts w:cstheme="minorHAnsi"/>
              </w:rPr>
              <w:t>rationale/data</w:t>
            </w:r>
            <w:proofErr w:type="gramEnd"/>
            <w:r w:rsidRPr="004853A0">
              <w:rPr>
                <w:rFonts w:cstheme="minorHAnsi"/>
              </w:rPr>
              <w:t xml:space="preserve"> support no risk adjustment/ stratification. </w:t>
            </w:r>
          </w:p>
          <w:p w14:paraId="1E8A74E1" w14:textId="77777777" w:rsidR="00145149" w:rsidRPr="004853A0" w:rsidRDefault="00145149" w:rsidP="00145149">
            <w:pPr>
              <w:rPr>
                <w:rFonts w:cstheme="minorHAnsi"/>
                <w:b/>
                <w:bCs/>
              </w:rPr>
            </w:pPr>
          </w:p>
          <w:bookmarkEnd w:id="1"/>
          <w:p w14:paraId="40B29A9A" w14:textId="77777777" w:rsidR="00145149" w:rsidRPr="004853A0" w:rsidRDefault="00145149" w:rsidP="00145149">
            <w:pPr>
              <w:rPr>
                <w:rFonts w:cstheme="minorHAnsi"/>
              </w:rPr>
            </w:pPr>
            <w:r w:rsidRPr="004853A0">
              <w:rPr>
                <w:rFonts w:cstheme="minorHAnsi"/>
                <w:b/>
                <w:bCs/>
              </w:rPr>
              <w:t>2b5.</w:t>
            </w:r>
            <w:r w:rsidRPr="004853A0">
              <w:rPr>
                <w:rFonts w:cstheme="minorHAnsi"/>
              </w:rPr>
              <w:t xml:space="preserve"> Data analysis of computed measure scores demonstrates that methods for scoring and analysis of the specified measure allow for </w:t>
            </w:r>
            <w:r w:rsidRPr="004853A0">
              <w:rPr>
                <w:rFonts w:cstheme="minorHAnsi"/>
                <w:b/>
              </w:rPr>
              <w:t>identification of statistically significant and practically/clinically meaningful</w:t>
            </w:r>
            <w:r w:rsidRPr="004853A0">
              <w:rPr>
                <w:rFonts w:cstheme="minorHAnsi"/>
              </w:rPr>
              <w:t xml:space="preserve"> </w:t>
            </w:r>
            <w:hyperlink w:anchor="Note16" w:history="1">
              <w:r w:rsidRPr="004853A0">
                <w:rPr>
                  <w:rStyle w:val="Hyperlink"/>
                  <w:rFonts w:cstheme="minorHAnsi"/>
                  <w:b/>
                  <w:vertAlign w:val="superscript"/>
                </w:rPr>
                <w:t>16</w:t>
              </w:r>
            </w:hyperlink>
            <w:r w:rsidRPr="004853A0">
              <w:rPr>
                <w:rFonts w:cstheme="minorHAnsi"/>
              </w:rPr>
              <w:t xml:space="preserve"> </w:t>
            </w:r>
            <w:r w:rsidRPr="004853A0">
              <w:rPr>
                <w:rFonts w:cstheme="minorHAnsi"/>
                <w:b/>
              </w:rPr>
              <w:t>differences in performance</w:t>
            </w:r>
            <w:r w:rsidRPr="004853A0">
              <w:rPr>
                <w:rFonts w:cstheme="minorHAnsi"/>
              </w:rPr>
              <w:t>;</w:t>
            </w:r>
          </w:p>
          <w:p w14:paraId="1EE1EEFF" w14:textId="77777777" w:rsidR="00145149" w:rsidRPr="004853A0" w:rsidRDefault="00145149" w:rsidP="00145149">
            <w:pPr>
              <w:rPr>
                <w:rFonts w:cstheme="minorHAnsi"/>
              </w:rPr>
            </w:pPr>
            <w:r w:rsidRPr="004853A0">
              <w:rPr>
                <w:rFonts w:cstheme="minorHAnsi"/>
                <w:b/>
              </w:rPr>
              <w:t>OR</w:t>
            </w:r>
          </w:p>
          <w:p w14:paraId="5C9A7970" w14:textId="77777777" w:rsidR="00145149" w:rsidRPr="004853A0" w:rsidRDefault="00145149" w:rsidP="00145149">
            <w:pPr>
              <w:rPr>
                <w:rFonts w:cstheme="minorHAnsi"/>
              </w:rPr>
            </w:pPr>
            <w:proofErr w:type="gramStart"/>
            <w:r w:rsidRPr="004853A0">
              <w:rPr>
                <w:rFonts w:cstheme="minorHAnsi"/>
              </w:rPr>
              <w:t>there</w:t>
            </w:r>
            <w:proofErr w:type="gramEnd"/>
            <w:r w:rsidRPr="004853A0">
              <w:rPr>
                <w:rFonts w:cstheme="minorHAnsi"/>
              </w:rPr>
              <w:t xml:space="preserve"> is evidence of overall less-than-optimal performance. </w:t>
            </w:r>
          </w:p>
          <w:p w14:paraId="2D319E7F" w14:textId="77777777" w:rsidR="00145149" w:rsidRPr="004853A0" w:rsidRDefault="00145149" w:rsidP="00145149">
            <w:pPr>
              <w:rPr>
                <w:rFonts w:cstheme="minorHAnsi"/>
                <w:b/>
                <w:bCs/>
              </w:rPr>
            </w:pPr>
          </w:p>
          <w:p w14:paraId="639A3BB0" w14:textId="77777777" w:rsidR="00145149" w:rsidRPr="004853A0" w:rsidRDefault="00145149" w:rsidP="00145149">
            <w:pPr>
              <w:rPr>
                <w:rFonts w:cstheme="minorHAnsi"/>
              </w:rPr>
            </w:pPr>
            <w:r w:rsidRPr="004853A0">
              <w:rPr>
                <w:rFonts w:cstheme="minorHAnsi"/>
                <w:b/>
                <w:bCs/>
              </w:rPr>
              <w:t>2b6.</w:t>
            </w:r>
            <w:r w:rsidRPr="004853A0">
              <w:rPr>
                <w:rFonts w:cstheme="minorHAnsi"/>
              </w:rPr>
              <w:t xml:space="preserve"> </w:t>
            </w:r>
            <w:r w:rsidRPr="004853A0">
              <w:rPr>
                <w:rFonts w:cstheme="minorHAnsi"/>
                <w:b/>
              </w:rPr>
              <w:t>If multiple data sources/methods are specified, there is demonstration they produce comparable results</w:t>
            </w:r>
            <w:r w:rsidRPr="004853A0">
              <w:rPr>
                <w:rFonts w:cstheme="minorHAnsi"/>
              </w:rPr>
              <w:t>.</w:t>
            </w:r>
          </w:p>
          <w:bookmarkEnd w:id="0"/>
          <w:p w14:paraId="2EF0A8B4" w14:textId="77777777" w:rsidR="00145149" w:rsidRPr="00A57363" w:rsidRDefault="00145149" w:rsidP="00145149"/>
          <w:p w14:paraId="4A4942B0" w14:textId="77777777"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proofErr w:type="spellStart"/>
            <w:r w:rsidRPr="000F034A">
              <w:rPr>
                <w:rFonts w:ascii="Calibri" w:eastAsia="Calibri" w:hAnsi="Calibri" w:cs="Calibri"/>
                <w:b/>
              </w:rPr>
              <w:t>eMeasures</w:t>
            </w:r>
            <w:proofErr w:type="spellEnd"/>
            <w:r w:rsidRPr="000F034A">
              <w:rPr>
                <w:rFonts w:ascii="Calibri" w:eastAsia="Calibri" w:hAnsi="Calibri" w:cs="Calibri"/>
                <w:b/>
              </w:rPr>
              <w:t>,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 xml:space="preserve">analyses identify the extent and distribution of missing data (or nonresponse) and demonstrate that performance results are not biased due to systematic missing data (or differences between responders and </w:t>
            </w:r>
            <w:proofErr w:type="spellStart"/>
            <w:r w:rsidRPr="000F034A">
              <w:rPr>
                <w:rFonts w:ascii="Calibri" w:eastAsia="Calibri" w:hAnsi="Calibri" w:cs="Calibri"/>
              </w:rPr>
              <w:t>nonresponders</w:t>
            </w:r>
            <w:proofErr w:type="spellEnd"/>
            <w:r w:rsidRPr="000F034A">
              <w:rPr>
                <w:rFonts w:ascii="Calibri" w:eastAsia="Calibri" w:hAnsi="Calibri" w:cs="Calibri"/>
              </w:rPr>
              <w:t>) and how the specified handling of missing data minimizes bias.</w:t>
            </w:r>
          </w:p>
          <w:p w14:paraId="77904827" w14:textId="77777777" w:rsidR="00145149" w:rsidRPr="00A831B4" w:rsidRDefault="00145149" w:rsidP="00145149">
            <w:pPr>
              <w:rPr>
                <w:rFonts w:cstheme="minorHAnsi"/>
                <w:b/>
                <w:bCs/>
                <w:sz w:val="20"/>
                <w:szCs w:val="20"/>
              </w:rPr>
            </w:pPr>
          </w:p>
          <w:p w14:paraId="6184CC18" w14:textId="77777777" w:rsidR="00145149" w:rsidRPr="00A57363" w:rsidRDefault="00145149" w:rsidP="00145149">
            <w:pPr>
              <w:autoSpaceDE w:val="0"/>
              <w:autoSpaceDN w:val="0"/>
              <w:adjustRightInd w:val="0"/>
              <w:rPr>
                <w:b/>
                <w:sz w:val="20"/>
              </w:rPr>
            </w:pPr>
            <w:r w:rsidRPr="00A57363">
              <w:rPr>
                <w:b/>
                <w:sz w:val="20"/>
              </w:rPr>
              <w:t>Notes</w:t>
            </w:r>
          </w:p>
          <w:p w14:paraId="3E96923B" w14:textId="77777777" w:rsidR="00145149" w:rsidRPr="00A57363" w:rsidRDefault="00145149" w:rsidP="00145149">
            <w:pPr>
              <w:autoSpaceDE w:val="0"/>
              <w:autoSpaceDN w:val="0"/>
              <w:adjustRightInd w:val="0"/>
              <w:rPr>
                <w:sz w:val="20"/>
              </w:rPr>
            </w:pPr>
            <w:bookmarkStart w:id="2" w:name="Note8"/>
            <w:bookmarkStart w:id="3" w:name="Note9"/>
            <w:bookmarkStart w:id="4" w:name="Note10"/>
            <w:bookmarkEnd w:id="2"/>
            <w:bookmarkEnd w:id="3"/>
            <w:bookmarkEnd w:id="4"/>
            <w:r w:rsidRPr="00A57363">
              <w:rPr>
                <w:b/>
                <w:sz w:val="20"/>
              </w:rPr>
              <w:t>10.</w:t>
            </w:r>
            <w:r w:rsidRPr="00A57363">
              <w:rPr>
                <w:sz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3174AF49" w14:textId="77777777" w:rsidR="00145149" w:rsidRPr="00A57363" w:rsidRDefault="00145149" w:rsidP="00145149">
            <w:pPr>
              <w:rPr>
                <w:sz w:val="20"/>
              </w:rPr>
            </w:pPr>
            <w:bookmarkStart w:id="5" w:name="Note11"/>
            <w:bookmarkEnd w:id="5"/>
            <w:r w:rsidRPr="00A57363">
              <w:rPr>
                <w:b/>
                <w:sz w:val="20"/>
              </w:rPr>
              <w:t>11.</w:t>
            </w:r>
            <w:r w:rsidRPr="00A57363">
              <w:rPr>
                <w:sz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14:paraId="647552CB" w14:textId="77777777" w:rsidR="00145149" w:rsidRPr="00A57363" w:rsidRDefault="00145149" w:rsidP="00145149">
            <w:pPr>
              <w:pStyle w:val="FootnoteText"/>
              <w:rPr>
                <w:rFonts w:asciiTheme="minorHAnsi" w:hAnsiTheme="minorHAnsi"/>
              </w:rPr>
            </w:pPr>
            <w:bookmarkStart w:id="6" w:name="Note12"/>
            <w:bookmarkEnd w:id="6"/>
            <w:r w:rsidRPr="00A57363">
              <w:rPr>
                <w:rFonts w:asciiTheme="minorHAnsi" w:hAnsiTheme="minorHAnsi"/>
                <w:b/>
              </w:rPr>
              <w:t>12.</w:t>
            </w:r>
            <w:r w:rsidRPr="00A57363">
              <w:rPr>
                <w:rFonts w:asciiTheme="minorHAnsi" w:hAnsi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3F61655" w14:textId="77777777" w:rsidR="00145149" w:rsidRPr="00A57363" w:rsidRDefault="00145149" w:rsidP="00145149">
            <w:pPr>
              <w:autoSpaceDE w:val="0"/>
              <w:autoSpaceDN w:val="0"/>
              <w:adjustRightInd w:val="0"/>
              <w:rPr>
                <w:b/>
                <w:sz w:val="20"/>
              </w:rPr>
            </w:pPr>
            <w:bookmarkStart w:id="7" w:name="Note13"/>
            <w:bookmarkEnd w:id="7"/>
            <w:r w:rsidRPr="00A57363">
              <w:rPr>
                <w:b/>
                <w:sz w:val="20"/>
              </w:rPr>
              <w:t>13.</w:t>
            </w:r>
            <w:r w:rsidRPr="00A57363">
              <w:rPr>
                <w:sz w:val="20"/>
              </w:rPr>
              <w:t xml:space="preserve"> Patient preference is not a clinical exception to eligibility and can be influenced by provider interventions.</w:t>
            </w:r>
          </w:p>
          <w:p w14:paraId="12C37387" w14:textId="77777777" w:rsidR="00145149" w:rsidRPr="00A57363" w:rsidRDefault="00145149" w:rsidP="00145149">
            <w:pPr>
              <w:pStyle w:val="FootnoteText"/>
              <w:rPr>
                <w:rFonts w:asciiTheme="minorHAnsi" w:hAnsiTheme="minorHAnsi"/>
              </w:rPr>
            </w:pPr>
            <w:bookmarkStart w:id="8" w:name="Note14"/>
            <w:bookmarkEnd w:id="8"/>
            <w:r w:rsidRPr="00A57363">
              <w:rPr>
                <w:rFonts w:asciiTheme="minorHAnsi" w:hAnsiTheme="minorHAnsi"/>
                <w:b/>
              </w:rPr>
              <w:t xml:space="preserve">14. </w:t>
            </w:r>
            <w:r w:rsidRPr="00A57363">
              <w:rPr>
                <w:rFonts w:asciiTheme="minorHAnsi" w:hAnsiTheme="minorHAnsi"/>
              </w:rPr>
              <w:t>Risk factors that influence outcomes should not be specified as exclusions.</w:t>
            </w:r>
          </w:p>
          <w:p w14:paraId="6F33C1CE" w14:textId="77777777" w:rsidR="00145149" w:rsidRPr="00A57363" w:rsidRDefault="00145149" w:rsidP="00145149">
            <w:pPr>
              <w:rPr>
                <w:b/>
                <w:sz w:val="20"/>
              </w:rPr>
            </w:pPr>
            <w:bookmarkStart w:id="9" w:name="Note15"/>
            <w:bookmarkEnd w:id="9"/>
            <w:r w:rsidRPr="00A57363">
              <w:rPr>
                <w:b/>
                <w:sz w:val="20"/>
              </w:rPr>
              <w:t>15.</w:t>
            </w:r>
            <w:r w:rsidRPr="00A57363">
              <w:rPr>
                <w:sz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14:paraId="2F9EEBC8" w14:textId="77777777" w:rsidR="00145149" w:rsidRPr="00A57363" w:rsidRDefault="00145149" w:rsidP="00145149">
            <w:pPr>
              <w:rPr>
                <w:sz w:val="20"/>
              </w:rPr>
            </w:pPr>
            <w:bookmarkStart w:id="10" w:name="Note16"/>
            <w:bookmarkEnd w:id="10"/>
            <w:r w:rsidRPr="00A57363">
              <w:rPr>
                <w:b/>
                <w:sz w:val="20"/>
              </w:rPr>
              <w:t>16.</w:t>
            </w:r>
            <w:r w:rsidRPr="00A57363">
              <w:rPr>
                <w:sz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5D87D031" w14:textId="77777777" w:rsidR="00BC0D25" w:rsidRDefault="00BC0D25" w:rsidP="00702C73">
      <w:pPr>
        <w:spacing w:after="0" w:line="240" w:lineRule="auto"/>
        <w:rPr>
          <w:rFonts w:cstheme="minorHAnsi"/>
          <w:noProof/>
        </w:rPr>
      </w:pPr>
    </w:p>
    <w:p w14:paraId="1BA8455E" w14:textId="77777777" w:rsidR="00A2496B" w:rsidRDefault="00A2496B">
      <w:pPr>
        <w:rPr>
          <w:rFonts w:cstheme="minorHAnsi"/>
          <w:b/>
          <w:noProof/>
        </w:rPr>
      </w:pPr>
      <w:r>
        <w:rPr>
          <w:rFonts w:cstheme="minorHAnsi"/>
          <w:b/>
          <w:noProof/>
        </w:rPr>
        <w:br w:type="page"/>
      </w:r>
    </w:p>
    <w:p w14:paraId="188E6E16" w14:textId="43B1EB9A"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2B2209ED"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53E38AF5" w14:textId="77777777" w:rsidR="000574AB" w:rsidRPr="00A25024" w:rsidRDefault="000574AB" w:rsidP="008A403A">
      <w:pPr>
        <w:spacing w:after="0" w:line="240" w:lineRule="auto"/>
        <w:rPr>
          <w:rFonts w:cstheme="minorHAnsi"/>
          <w:noProof/>
        </w:rPr>
      </w:pPr>
    </w:p>
    <w:p w14:paraId="5B56CC3E"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14:paraId="620E6B21" w14:textId="77777777" w:rsidTr="0014773C">
        <w:trPr>
          <w:jc w:val="center"/>
        </w:trPr>
        <w:tc>
          <w:tcPr>
            <w:tcW w:w="5208" w:type="dxa"/>
            <w:shd w:val="clear" w:color="auto" w:fill="D9D9D9" w:themeFill="background1" w:themeFillShade="D9"/>
          </w:tcPr>
          <w:p w14:paraId="2BE64E4D"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3D56A967" w14:textId="77777777"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14:paraId="40ADAE8F"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2FF7E10" w14:textId="77777777" w:rsidTr="0014773C">
        <w:trPr>
          <w:jc w:val="center"/>
        </w:trPr>
        <w:tc>
          <w:tcPr>
            <w:tcW w:w="5208" w:type="dxa"/>
          </w:tcPr>
          <w:p w14:paraId="5E30C041" w14:textId="0941224E" w:rsidR="00A01494" w:rsidRPr="00A01494" w:rsidRDefault="00A2496B" w:rsidP="00DB3627">
            <w:pPr>
              <w:autoSpaceDE w:val="0"/>
              <w:autoSpaceDN w:val="0"/>
              <w:adjustRightInd w:val="0"/>
              <w:rPr>
                <w:rFonts w:cstheme="minorHAnsi"/>
                <w:bCs/>
              </w:rPr>
            </w:pPr>
            <w:sdt>
              <w:sdtPr>
                <w:rPr>
                  <w:rFonts w:cstheme="minorHAnsi"/>
                  <w:bCs/>
                  <w:color w:val="0000FF"/>
                </w:rPr>
                <w:id w:val="-839233565"/>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F4C73B4" w14:textId="6A61745D" w:rsidR="00A01494" w:rsidRPr="00A01494" w:rsidRDefault="00A2496B" w:rsidP="00DB3627">
            <w:pPr>
              <w:autoSpaceDE w:val="0"/>
              <w:autoSpaceDN w:val="0"/>
              <w:adjustRightInd w:val="0"/>
              <w:rPr>
                <w:rFonts w:cstheme="minorHAnsi"/>
                <w:bCs/>
              </w:rPr>
            </w:pPr>
            <w:sdt>
              <w:sdtPr>
                <w:rPr>
                  <w:rFonts w:cstheme="minorHAnsi"/>
                  <w:bCs/>
                  <w:color w:val="0000FF"/>
                </w:rPr>
                <w:id w:val="98917060"/>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2034A184" w14:textId="77777777" w:rsidTr="0014773C">
        <w:trPr>
          <w:jc w:val="center"/>
        </w:trPr>
        <w:tc>
          <w:tcPr>
            <w:tcW w:w="5208" w:type="dxa"/>
          </w:tcPr>
          <w:p w14:paraId="1E93CBBC" w14:textId="0BEA0668" w:rsidR="00A01494" w:rsidRPr="00A01494" w:rsidRDefault="00A2496B" w:rsidP="00040B82">
            <w:pPr>
              <w:autoSpaceDE w:val="0"/>
              <w:autoSpaceDN w:val="0"/>
              <w:adjustRightInd w:val="0"/>
              <w:rPr>
                <w:rFonts w:cstheme="minorHAnsi"/>
                <w:bCs/>
              </w:rPr>
            </w:pPr>
            <w:sdt>
              <w:sdtPr>
                <w:rPr>
                  <w:rFonts w:cstheme="minorHAnsi"/>
                  <w:bCs/>
                  <w:color w:val="0000FF"/>
                </w:rPr>
                <w:id w:val="560149406"/>
              </w:sdtPr>
              <w:sdtContent>
                <w:sdt>
                  <w:sdtPr>
                    <w:rPr>
                      <w:rFonts w:cstheme="minorHAnsi"/>
                      <w:bCs/>
                      <w:color w:val="0000FF"/>
                    </w:rPr>
                    <w:id w:val="296056297"/>
                  </w:sdtPr>
                  <w:sdtContent>
                    <w:r w:rsidR="00040B82" w:rsidRPr="006574D2">
                      <w:rPr>
                        <w:rFonts w:ascii="MS Gothic" w:eastAsia="MS Gothic" w:cstheme="minorHAnsi" w:hint="eastAsia"/>
                        <w:bCs/>
                        <w:color w:val="0000FF"/>
                      </w:rPr>
                      <w:t>☐</w:t>
                    </w:r>
                  </w:sdtContent>
                </w:sdt>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14:paraId="26FBAD50" w14:textId="69F85718" w:rsidR="00A01494" w:rsidRPr="00A01494" w:rsidRDefault="00A2496B" w:rsidP="001E1B8C">
            <w:pPr>
              <w:autoSpaceDE w:val="0"/>
              <w:autoSpaceDN w:val="0"/>
              <w:adjustRightInd w:val="0"/>
              <w:rPr>
                <w:rFonts w:cstheme="minorHAnsi"/>
                <w:bCs/>
              </w:rPr>
            </w:pPr>
            <w:sdt>
              <w:sdtPr>
                <w:rPr>
                  <w:rFonts w:cstheme="minorHAnsi"/>
                  <w:bCs/>
                  <w:color w:val="0000FF"/>
                </w:rPr>
                <w:id w:val="-387195507"/>
              </w:sdtPr>
              <w:sdtContent>
                <w:sdt>
                  <w:sdtPr>
                    <w:rPr>
                      <w:rFonts w:cstheme="minorHAnsi"/>
                      <w:bCs/>
                      <w:color w:val="0000FF"/>
                    </w:rPr>
                    <w:id w:val="296056298"/>
                  </w:sdtPr>
                  <w:sdtContent>
                    <w:r w:rsidR="00040B82" w:rsidRPr="006574D2">
                      <w:rPr>
                        <w:rFonts w:ascii="MS Gothic" w:eastAsia="MS Gothic" w:cstheme="minorHAnsi" w:hint="eastAsia"/>
                        <w:bCs/>
                        <w:color w:val="0000FF"/>
                      </w:rPr>
                      <w:t>☐</w:t>
                    </w:r>
                  </w:sdtContent>
                </w:sdt>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14:paraId="76C9FC2D" w14:textId="77777777" w:rsidTr="0014773C">
        <w:trPr>
          <w:jc w:val="center"/>
        </w:trPr>
        <w:tc>
          <w:tcPr>
            <w:tcW w:w="5208" w:type="dxa"/>
          </w:tcPr>
          <w:p w14:paraId="1E251B6C" w14:textId="63945B3A" w:rsidR="00A01494" w:rsidRPr="00A01494" w:rsidRDefault="00A2496B" w:rsidP="00DB3627">
            <w:pPr>
              <w:autoSpaceDE w:val="0"/>
              <w:autoSpaceDN w:val="0"/>
              <w:adjustRightInd w:val="0"/>
              <w:rPr>
                <w:rFonts w:cstheme="minorHAnsi"/>
                <w:bCs/>
              </w:rPr>
            </w:pPr>
            <w:sdt>
              <w:sdtPr>
                <w:rPr>
                  <w:rFonts w:cstheme="minorHAnsi"/>
                  <w:bCs/>
                  <w:color w:val="0000FF"/>
                </w:rPr>
                <w:id w:val="751091068"/>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14:paraId="1099C93E" w14:textId="29829286" w:rsidR="00A01494" w:rsidRPr="00A01494" w:rsidRDefault="00A2496B" w:rsidP="00DB3627">
            <w:pPr>
              <w:autoSpaceDE w:val="0"/>
              <w:autoSpaceDN w:val="0"/>
              <w:adjustRightInd w:val="0"/>
              <w:rPr>
                <w:rFonts w:cstheme="minorHAnsi"/>
                <w:bCs/>
              </w:rPr>
            </w:pPr>
            <w:sdt>
              <w:sdtPr>
                <w:rPr>
                  <w:rFonts w:cstheme="minorHAnsi"/>
                  <w:bCs/>
                  <w:color w:val="0000FF"/>
                </w:rPr>
                <w:id w:val="547026371"/>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14:paraId="4759A805" w14:textId="77777777" w:rsidTr="0014773C">
        <w:trPr>
          <w:jc w:val="center"/>
        </w:trPr>
        <w:tc>
          <w:tcPr>
            <w:tcW w:w="5208" w:type="dxa"/>
          </w:tcPr>
          <w:p w14:paraId="3DDC5471" w14:textId="6A0FC4C2" w:rsidR="00A01494" w:rsidRPr="00A01494" w:rsidRDefault="00A2496B" w:rsidP="00DB3627">
            <w:pPr>
              <w:autoSpaceDE w:val="0"/>
              <w:autoSpaceDN w:val="0"/>
              <w:adjustRightInd w:val="0"/>
              <w:rPr>
                <w:rFonts w:cstheme="minorHAnsi"/>
                <w:bCs/>
              </w:rPr>
            </w:pPr>
            <w:sdt>
              <w:sdtPr>
                <w:rPr>
                  <w:rFonts w:cstheme="minorHAnsi"/>
                  <w:bCs/>
                  <w:color w:val="0000FF"/>
                </w:rPr>
                <w:id w:val="1121342177"/>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14:paraId="48A043E6" w14:textId="1B1D74DA" w:rsidR="00A01494" w:rsidRPr="00A01494" w:rsidRDefault="00A2496B" w:rsidP="00DB3627">
            <w:pPr>
              <w:autoSpaceDE w:val="0"/>
              <w:autoSpaceDN w:val="0"/>
              <w:adjustRightInd w:val="0"/>
              <w:rPr>
                <w:rFonts w:cstheme="minorHAnsi"/>
                <w:bCs/>
              </w:rPr>
            </w:pPr>
            <w:sdt>
              <w:sdtPr>
                <w:rPr>
                  <w:rFonts w:cstheme="minorHAnsi"/>
                  <w:bCs/>
                  <w:color w:val="0000FF"/>
                </w:rPr>
                <w:id w:val="-359203911"/>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14:paraId="3D3DDC8F" w14:textId="77777777" w:rsidTr="0014773C">
        <w:trPr>
          <w:jc w:val="center"/>
        </w:trPr>
        <w:tc>
          <w:tcPr>
            <w:tcW w:w="5208" w:type="dxa"/>
          </w:tcPr>
          <w:p w14:paraId="558F9D02" w14:textId="5B2A5D32" w:rsidR="00A01494" w:rsidRPr="00A01494" w:rsidRDefault="00A2496B" w:rsidP="00B82A57">
            <w:pPr>
              <w:autoSpaceDE w:val="0"/>
              <w:autoSpaceDN w:val="0"/>
              <w:adjustRightInd w:val="0"/>
              <w:rPr>
                <w:rFonts w:cstheme="minorHAnsi"/>
                <w:bCs/>
              </w:rPr>
            </w:pPr>
            <w:sdt>
              <w:sdtPr>
                <w:rPr>
                  <w:rFonts w:cstheme="minorHAnsi"/>
                  <w:bCs/>
                  <w:color w:val="0000FF"/>
                </w:rPr>
                <w:id w:val="615648267"/>
              </w:sdt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14:paraId="018743BA" w14:textId="2D2AAEF4" w:rsidR="00A01494" w:rsidRPr="00A01494" w:rsidRDefault="00A2496B" w:rsidP="00DB3627">
            <w:pPr>
              <w:autoSpaceDE w:val="0"/>
              <w:autoSpaceDN w:val="0"/>
              <w:adjustRightInd w:val="0"/>
              <w:rPr>
                <w:rFonts w:cstheme="minorHAnsi"/>
                <w:bCs/>
              </w:rPr>
            </w:pPr>
            <w:sdt>
              <w:sdtPr>
                <w:rPr>
                  <w:rFonts w:cstheme="minorHAnsi"/>
                  <w:bCs/>
                  <w:color w:val="0000FF"/>
                </w:rPr>
                <w:id w:val="498854310"/>
              </w:sdt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14:paraId="0F2F958E" w14:textId="77777777" w:rsidTr="0014773C">
        <w:trPr>
          <w:jc w:val="center"/>
        </w:trPr>
        <w:tc>
          <w:tcPr>
            <w:tcW w:w="5208" w:type="dxa"/>
          </w:tcPr>
          <w:p w14:paraId="09433751" w14:textId="534311F3" w:rsidR="00A01494" w:rsidRPr="00023DD7" w:rsidRDefault="00A2496B" w:rsidP="009246BA">
            <w:pPr>
              <w:autoSpaceDE w:val="0"/>
              <w:autoSpaceDN w:val="0"/>
              <w:adjustRightInd w:val="0"/>
              <w:rPr>
                <w:color w:val="0000FF"/>
              </w:rPr>
            </w:pPr>
            <w:sdt>
              <w:sdtPr>
                <w:rPr>
                  <w:rFonts w:cstheme="minorHAnsi"/>
                  <w:bCs/>
                  <w:color w:val="0000FF"/>
                </w:rPr>
                <w:id w:val="1316375390"/>
              </w:sdtPr>
              <w:sdtContent/>
            </w:sdt>
            <w:sdt>
              <w:sdtPr>
                <w:rPr>
                  <w:rFonts w:cstheme="minorHAnsi"/>
                  <w:bCs/>
                  <w:color w:val="0000FF"/>
                </w:rPr>
                <w:id w:val="-1531717212"/>
              </w:sdtPr>
              <w:sdtContent>
                <w:sdt>
                  <w:sdtPr>
                    <w:rPr>
                      <w:rFonts w:cstheme="minorHAnsi"/>
                      <w:bCs/>
                      <w:color w:val="0000FF"/>
                    </w:rPr>
                    <w:id w:val="-1571035797"/>
                  </w:sdtPr>
                  <w:sdtContent>
                    <w:r w:rsidR="007A3420">
                      <w:rPr>
                        <w:rFonts w:cstheme="minorHAnsi"/>
                        <w:bCs/>
                        <w:color w:val="0000FF"/>
                      </w:rPr>
                      <w:t>X</w:t>
                    </w:r>
                  </w:sdtContent>
                </w:sdt>
              </w:sdtContent>
            </w:sdt>
            <w:r w:rsidR="008D798E" w:rsidRPr="008D798E">
              <w:rPr>
                <w:rFonts w:cstheme="minorHAnsi"/>
                <w:bCs/>
                <w:color w:val="0000FF"/>
              </w:rPr>
              <w:t xml:space="preserve"> </w:t>
            </w:r>
            <w:r w:rsidR="00A01494" w:rsidRPr="0048507D">
              <w:rPr>
                <w:rFonts w:cstheme="minorHAnsi"/>
                <w:bCs/>
                <w:color w:val="0000FF"/>
              </w:rPr>
              <w:t xml:space="preserve">other: </w:t>
            </w:r>
            <w:r w:rsidR="00023DD7" w:rsidRPr="0048507D">
              <w:rPr>
                <w:color w:val="0000FF"/>
              </w:rPr>
              <w:t>CARE</w:t>
            </w:r>
            <w:r w:rsidR="00023DD7" w:rsidRPr="00023DD7">
              <w:rPr>
                <w:color w:val="0000FF"/>
              </w:rPr>
              <w:t xml:space="preserve"> Tool tested during the Post-Acute Car</w:t>
            </w:r>
            <w:r w:rsidR="002370FA">
              <w:rPr>
                <w:color w:val="0000FF"/>
              </w:rPr>
              <w:t xml:space="preserve">e Payment Reform Demonstration </w:t>
            </w:r>
            <w:r w:rsidR="00023DD7" w:rsidRPr="00023DD7">
              <w:rPr>
                <w:color w:val="0000FF"/>
              </w:rPr>
              <w:t xml:space="preserve">– </w:t>
            </w:r>
            <w:r w:rsidR="00761F14" w:rsidRPr="00023DD7">
              <w:rPr>
                <w:color w:val="0000FF"/>
              </w:rPr>
              <w:t>electronic</w:t>
            </w:r>
            <w:r w:rsidR="00761F14">
              <w:rPr>
                <w:color w:val="0000FF"/>
              </w:rPr>
              <w:t xml:space="preserve"> submission</w:t>
            </w:r>
            <w:r w:rsidR="00761F14" w:rsidRPr="00023DD7">
              <w:rPr>
                <w:color w:val="0000FF"/>
              </w:rPr>
              <w:t>.</w:t>
            </w:r>
            <w:r w:rsidR="00023DD7">
              <w:rPr>
                <w:color w:val="0000FF"/>
              </w:rPr>
              <w:t xml:space="preserve"> </w:t>
            </w:r>
          </w:p>
        </w:tc>
        <w:tc>
          <w:tcPr>
            <w:tcW w:w="4847" w:type="dxa"/>
          </w:tcPr>
          <w:p w14:paraId="72ADC370" w14:textId="01C93CCE" w:rsidR="00A01494" w:rsidRPr="00A01494" w:rsidRDefault="00A2496B" w:rsidP="00761F14">
            <w:pPr>
              <w:autoSpaceDE w:val="0"/>
              <w:autoSpaceDN w:val="0"/>
              <w:adjustRightInd w:val="0"/>
              <w:rPr>
                <w:rFonts w:cstheme="minorHAnsi"/>
                <w:bCs/>
              </w:rPr>
            </w:pPr>
            <w:sdt>
              <w:sdtPr>
                <w:rPr>
                  <w:rFonts w:cstheme="minorHAnsi"/>
                  <w:bCs/>
                  <w:color w:val="0000FF"/>
                </w:rPr>
                <w:id w:val="1689098749"/>
              </w:sdtPr>
              <w:sdtContent/>
            </w:sdt>
            <w:sdt>
              <w:sdtPr>
                <w:rPr>
                  <w:rFonts w:cstheme="minorHAnsi"/>
                  <w:bCs/>
                  <w:color w:val="0000FF"/>
                </w:rPr>
                <w:id w:val="954533264"/>
              </w:sdtPr>
              <w:sdtContent>
                <w:sdt>
                  <w:sdtPr>
                    <w:rPr>
                      <w:rFonts w:cstheme="minorHAnsi"/>
                      <w:bCs/>
                      <w:color w:val="0000FF"/>
                    </w:rPr>
                    <w:id w:val="927009741"/>
                  </w:sdtPr>
                  <w:sdtContent>
                    <w:r w:rsidR="007A3420">
                      <w:rPr>
                        <w:rFonts w:cstheme="minorHAnsi"/>
                        <w:bCs/>
                        <w:color w:val="0000FF"/>
                      </w:rPr>
                      <w:t>X</w:t>
                    </w:r>
                  </w:sdtContent>
                </w:sdt>
              </w:sdtContent>
            </w:sdt>
            <w:r w:rsidR="008D798E" w:rsidRPr="008D798E">
              <w:rPr>
                <w:rFonts w:cstheme="minorHAnsi"/>
                <w:bCs/>
                <w:color w:val="0000FF"/>
              </w:rPr>
              <w:t xml:space="preserve"> </w:t>
            </w:r>
            <w:r w:rsidR="00A01494" w:rsidRPr="00A01494">
              <w:rPr>
                <w:rFonts w:cstheme="minorHAnsi"/>
                <w:bCs/>
              </w:rPr>
              <w:t xml:space="preserve">other:  </w:t>
            </w:r>
            <w:sdt>
              <w:sdtPr>
                <w:rPr>
                  <w:color w:val="0000FF"/>
                </w:rPr>
                <w:id w:val="1976178076"/>
                <w:text/>
              </w:sdtPr>
              <w:sdtContent>
                <w:r w:rsidR="00761F14" w:rsidRPr="00761F14">
                  <w:rPr>
                    <w:color w:val="0000FF"/>
                  </w:rPr>
                  <w:t>CARE Tool tested during the Post-Acute Care Payment Reform Demonstration – electronic submission.</w:t>
                </w:r>
              </w:sdtContent>
            </w:sdt>
          </w:p>
        </w:tc>
      </w:tr>
    </w:tbl>
    <w:p w14:paraId="2F89116C"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386E35D9" w14:textId="77777777"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5C6CCE3F" w14:textId="77777777" w:rsidR="00761F14" w:rsidRDefault="00761F14" w:rsidP="00DB3627">
      <w:pPr>
        <w:autoSpaceDE w:val="0"/>
        <w:autoSpaceDN w:val="0"/>
        <w:adjustRightInd w:val="0"/>
        <w:spacing w:after="0" w:line="240" w:lineRule="auto"/>
        <w:rPr>
          <w:rFonts w:cstheme="minorHAnsi"/>
          <w:bCs/>
        </w:rPr>
      </w:pPr>
    </w:p>
    <w:p w14:paraId="0C34AB42" w14:textId="77777777" w:rsidR="00761F14" w:rsidRPr="00AF05B5" w:rsidRDefault="00761F14" w:rsidP="00761F14">
      <w:pPr>
        <w:autoSpaceDE w:val="0"/>
        <w:autoSpaceDN w:val="0"/>
        <w:adjustRightInd w:val="0"/>
        <w:spacing w:after="0" w:line="240" w:lineRule="auto"/>
        <w:rPr>
          <w:rFonts w:cstheme="minorHAnsi"/>
          <w:b/>
          <w:bCs/>
        </w:rPr>
      </w:pPr>
      <w:r w:rsidRPr="000C18E4">
        <w:rPr>
          <w:rFonts w:ascii="Calibri" w:eastAsia="Calibri" w:hAnsi="Calibri" w:cs="Times New Roman"/>
          <w:color w:val="0000FF"/>
        </w:rPr>
        <w:t>T</w:t>
      </w:r>
      <w:r>
        <w:rPr>
          <w:rFonts w:ascii="Calibri" w:eastAsia="Calibri" w:hAnsi="Calibri" w:cs="Times New Roman"/>
          <w:color w:val="0000FF"/>
        </w:rPr>
        <w:t>h</w:t>
      </w:r>
      <w:r w:rsidRPr="000C18E4">
        <w:rPr>
          <w:rFonts w:ascii="Calibri" w:eastAsia="Calibri" w:hAnsi="Calibri" w:cs="Times New Roman"/>
          <w:color w:val="0000FF"/>
        </w:rPr>
        <w:t>e dataset</w:t>
      </w:r>
      <w:r>
        <w:rPr>
          <w:rFonts w:ascii="Calibri" w:eastAsia="Calibri" w:hAnsi="Calibri" w:cs="Times New Roman"/>
          <w:color w:val="0000FF"/>
        </w:rPr>
        <w:t>s</w:t>
      </w:r>
      <w:r w:rsidRPr="000C18E4">
        <w:rPr>
          <w:rFonts w:ascii="Calibri" w:eastAsia="Calibri" w:hAnsi="Calibri" w:cs="Times New Roman"/>
          <w:color w:val="0000FF"/>
        </w:rPr>
        <w:t xml:space="preserve"> used for the testing of this quality measure </w:t>
      </w:r>
      <w:r>
        <w:rPr>
          <w:rFonts w:ascii="Calibri" w:eastAsia="Calibri" w:hAnsi="Calibri" w:cs="Times New Roman"/>
          <w:color w:val="0000FF"/>
        </w:rPr>
        <w:t xml:space="preserve">are: 1) </w:t>
      </w:r>
      <w:r w:rsidRPr="000C18E4">
        <w:rPr>
          <w:rFonts w:ascii="Calibri" w:eastAsia="Calibri" w:hAnsi="Calibri" w:cs="Times New Roman"/>
          <w:color w:val="0000FF"/>
        </w:rPr>
        <w:t xml:space="preserve">the </w:t>
      </w:r>
      <w:r>
        <w:rPr>
          <w:rFonts w:ascii="Calibri" w:eastAsia="Calibri" w:hAnsi="Calibri" w:cs="Times New Roman"/>
          <w:color w:val="0000FF"/>
        </w:rPr>
        <w:t>CARE Tool</w:t>
      </w:r>
      <w:r w:rsidRPr="000C18E4">
        <w:rPr>
          <w:rFonts w:ascii="Calibri" w:eastAsia="Calibri" w:hAnsi="Calibri" w:cs="Times New Roman"/>
          <w:color w:val="0000FF"/>
        </w:rPr>
        <w:t xml:space="preserve"> data collected during the Post-Acute Care Payment Reform Demonstration</w:t>
      </w:r>
      <w:r>
        <w:rPr>
          <w:rFonts w:ascii="Calibri" w:eastAsia="Calibri" w:hAnsi="Calibri" w:cs="Times New Roman"/>
          <w:color w:val="0000FF"/>
        </w:rPr>
        <w:t xml:space="preserve"> and 2) Medicare claims data</w:t>
      </w:r>
      <w:r w:rsidRPr="000C18E4">
        <w:rPr>
          <w:rFonts w:ascii="Calibri" w:eastAsia="Calibri" w:hAnsi="Calibri" w:cs="Times New Roman"/>
          <w:color w:val="0000FF"/>
        </w:rPr>
        <w:t>.</w:t>
      </w:r>
    </w:p>
    <w:p w14:paraId="794E81CD" w14:textId="77777777" w:rsidR="00D5110B" w:rsidRPr="00D5110B" w:rsidRDefault="00761F14" w:rsidP="00761F14">
      <w:pPr>
        <w:spacing w:before="240" w:after="240" w:line="240" w:lineRule="auto"/>
        <w:rPr>
          <w:rFonts w:ascii="Calibri" w:eastAsia="Calibri" w:hAnsi="Calibri" w:cs="Times New Roman"/>
          <w:b/>
          <w:bCs/>
          <w:color w:val="0000FF"/>
        </w:rPr>
      </w:pPr>
      <w:r w:rsidRPr="00D5110B">
        <w:rPr>
          <w:rFonts w:ascii="Calibri" w:eastAsia="Calibri" w:hAnsi="Calibri" w:cs="Times New Roman"/>
          <w:b/>
          <w:bCs/>
          <w:color w:val="0000FF"/>
        </w:rPr>
        <w:t xml:space="preserve">Citation: </w:t>
      </w:r>
    </w:p>
    <w:p w14:paraId="5B9ACB0E" w14:textId="53D686EA" w:rsidR="00761F14" w:rsidRPr="000C18E4" w:rsidRDefault="00761F14" w:rsidP="00761F14">
      <w:pPr>
        <w:spacing w:before="240" w:after="240" w:line="240" w:lineRule="auto"/>
        <w:rPr>
          <w:rFonts w:ascii="Calibri" w:eastAsia="Calibri" w:hAnsi="Calibri" w:cs="Times New Roman"/>
          <w:color w:val="0000FF"/>
        </w:rPr>
      </w:pPr>
      <w:r>
        <w:rPr>
          <w:rFonts w:ascii="Calibri" w:eastAsia="Calibri" w:hAnsi="Calibri" w:cs="Times New Roman"/>
          <w:color w:val="0000FF"/>
        </w:rPr>
        <w:t xml:space="preserve">Centers for Medicare &amp; Medicaid Services. (2013, July). </w:t>
      </w:r>
      <w:r w:rsidRPr="00A523E7">
        <w:rPr>
          <w:rFonts w:ascii="Calibri" w:eastAsia="Calibri" w:hAnsi="Calibri" w:cs="Times New Roman"/>
          <w:i/>
          <w:color w:val="0000FF"/>
        </w:rPr>
        <w:t>CARE Item Set and B-CARE</w:t>
      </w:r>
      <w:r>
        <w:rPr>
          <w:rFonts w:ascii="Calibri" w:eastAsia="Calibri" w:hAnsi="Calibri" w:cs="Times New Roman"/>
          <w:color w:val="0000FF"/>
        </w:rPr>
        <w:t>. Retrieved from</w:t>
      </w:r>
      <w:r w:rsidRPr="00E231BF">
        <w:rPr>
          <w:rFonts w:ascii="Calibri" w:eastAsia="Calibri" w:hAnsi="Calibri" w:cs="Times New Roman"/>
          <w:color w:val="0000FF"/>
        </w:rPr>
        <w:t xml:space="preserve"> </w:t>
      </w:r>
      <w:hyperlink r:id="rId10" w:history="1">
        <w:r w:rsidRPr="00A3420A">
          <w:rPr>
            <w:rStyle w:val="Hyperlink"/>
            <w:rFonts w:ascii="Calibri" w:eastAsia="Calibri" w:hAnsi="Calibri" w:cs="Times New Roman"/>
          </w:rPr>
          <w:t>http://www.cms.gov/Medicare/Quality-Initiatives-Patient-Assessment-Instruments/Post-Acute-Care-Quality-Initiatives/CARE-Item-Set-and-B-CARE.html</w:t>
        </w:r>
      </w:hyperlink>
    </w:p>
    <w:p w14:paraId="0645EDAC" w14:textId="77777777" w:rsidR="00761F14" w:rsidRDefault="002B5016" w:rsidP="00040B82">
      <w:pPr>
        <w:autoSpaceDE w:val="0"/>
        <w:autoSpaceDN w:val="0"/>
        <w:adjustRightInd w:val="0"/>
        <w:spacing w:after="0" w:line="240" w:lineRule="auto"/>
        <w:rPr>
          <w:rFonts w:cstheme="minorHAnsi"/>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p>
    <w:p w14:paraId="76573183" w14:textId="43BB840D" w:rsidR="0004593A" w:rsidRPr="00A25024" w:rsidRDefault="000574AB" w:rsidP="00040B82">
      <w:pPr>
        <w:autoSpaceDE w:val="0"/>
        <w:autoSpaceDN w:val="0"/>
        <w:adjustRightInd w:val="0"/>
        <w:spacing w:after="0" w:line="240" w:lineRule="auto"/>
        <w:rPr>
          <w:rFonts w:cstheme="minorHAnsi"/>
          <w:bCs/>
        </w:rPr>
      </w:pPr>
      <w:r w:rsidRPr="00A25024">
        <w:rPr>
          <w:rFonts w:cstheme="minorHAnsi"/>
        </w:rPr>
        <w:t xml:space="preserve"> </w:t>
      </w:r>
      <w:sdt>
        <w:sdtPr>
          <w:rPr>
            <w:rStyle w:val="Style1"/>
          </w:rPr>
          <w:id w:val="-1850319225"/>
          <w:showingPlcHdr/>
          <w:text/>
        </w:sdtPr>
        <w:sdtEndPr>
          <w:rPr>
            <w:rStyle w:val="DefaultParagraphFont"/>
            <w:rFonts w:cstheme="minorHAnsi"/>
            <w:color w:val="auto"/>
          </w:rPr>
        </w:sdtEndPr>
        <w:sdtContent>
          <w:r w:rsidR="00A57363">
            <w:rPr>
              <w:rStyle w:val="Style1"/>
            </w:rPr>
            <w:t xml:space="preserve">     </w:t>
          </w:r>
        </w:sdtContent>
      </w:sdt>
      <w:sdt>
        <w:sdtPr>
          <w:rPr>
            <w:rStyle w:val="Style1"/>
          </w:rPr>
          <w:id w:val="950514773"/>
          <w:showingPlcHdr/>
          <w:text/>
        </w:sdtPr>
        <w:sdtEndPr>
          <w:rPr>
            <w:rStyle w:val="DefaultParagraphFont"/>
            <w:rFonts w:cstheme="minorHAnsi"/>
            <w:color w:val="auto"/>
          </w:rPr>
        </w:sdtEndPr>
        <w:sdtContent>
          <w:r w:rsidR="00040B82">
            <w:rPr>
              <w:rStyle w:val="Style1"/>
            </w:rPr>
            <w:t xml:space="preserve">     </w:t>
          </w:r>
        </w:sdtContent>
      </w:sdt>
    </w:p>
    <w:p w14:paraId="305349E0" w14:textId="77777777" w:rsidR="00761F14" w:rsidRPr="001B4B1B" w:rsidRDefault="00761F14" w:rsidP="00761F14">
      <w:pPr>
        <w:autoSpaceDE w:val="0"/>
        <w:autoSpaceDN w:val="0"/>
        <w:adjustRightInd w:val="0"/>
        <w:spacing w:after="0" w:line="240" w:lineRule="auto"/>
        <w:rPr>
          <w:color w:val="0000FF"/>
        </w:rPr>
      </w:pPr>
      <w:r w:rsidRPr="001B4B1B">
        <w:rPr>
          <w:color w:val="0000FF"/>
        </w:rPr>
        <w:t>Data used in testing were collected during the years 2008 to 2010.</w:t>
      </w:r>
    </w:p>
    <w:p w14:paraId="0A1352EC" w14:textId="77777777" w:rsidR="000574AB" w:rsidRDefault="000574AB" w:rsidP="00DB3627">
      <w:pPr>
        <w:autoSpaceDE w:val="0"/>
        <w:autoSpaceDN w:val="0"/>
        <w:adjustRightInd w:val="0"/>
        <w:spacing w:after="0" w:line="240" w:lineRule="auto"/>
        <w:rPr>
          <w:rFonts w:cstheme="minorHAnsi"/>
          <w:bCs/>
        </w:rPr>
      </w:pPr>
    </w:p>
    <w:p w14:paraId="2260E39B" w14:textId="2179F97F"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14:paraId="21BB18FC" w14:textId="77777777" w:rsidTr="000414E8">
        <w:trPr>
          <w:jc w:val="center"/>
        </w:trPr>
        <w:tc>
          <w:tcPr>
            <w:tcW w:w="5027" w:type="dxa"/>
            <w:shd w:val="clear" w:color="auto" w:fill="D9D9D9" w:themeFill="background1" w:themeFillShade="D9"/>
          </w:tcPr>
          <w:p w14:paraId="7A0869CD"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2FCFDC07" w14:textId="77777777"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14:paraId="5438CA70"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2E045198" w14:textId="77777777" w:rsidTr="000414E8">
        <w:trPr>
          <w:jc w:val="center"/>
        </w:trPr>
        <w:tc>
          <w:tcPr>
            <w:tcW w:w="5027" w:type="dxa"/>
          </w:tcPr>
          <w:p w14:paraId="21BA3D69" w14:textId="6A1C743C" w:rsidR="000414E8" w:rsidRPr="00A01494" w:rsidRDefault="00A2496B" w:rsidP="00D61410">
            <w:pPr>
              <w:autoSpaceDE w:val="0"/>
              <w:autoSpaceDN w:val="0"/>
              <w:adjustRightInd w:val="0"/>
              <w:rPr>
                <w:rFonts w:cstheme="minorHAnsi"/>
                <w:bCs/>
              </w:rPr>
            </w:pPr>
            <w:sdt>
              <w:sdtPr>
                <w:rPr>
                  <w:rFonts w:cstheme="minorHAnsi"/>
                  <w:bCs/>
                  <w:color w:val="0000FF"/>
                </w:rPr>
                <w:id w:val="447514278"/>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0D2B206" w14:textId="00D9CCD9" w:rsidR="000414E8" w:rsidRPr="00A01494" w:rsidRDefault="00A2496B" w:rsidP="00D61410">
            <w:pPr>
              <w:autoSpaceDE w:val="0"/>
              <w:autoSpaceDN w:val="0"/>
              <w:adjustRightInd w:val="0"/>
              <w:rPr>
                <w:rFonts w:cstheme="minorHAnsi"/>
                <w:bCs/>
              </w:rPr>
            </w:pPr>
            <w:sdt>
              <w:sdtPr>
                <w:rPr>
                  <w:rFonts w:cstheme="minorHAnsi"/>
                  <w:bCs/>
                  <w:color w:val="0000FF"/>
                </w:rPr>
                <w:id w:val="1571624283"/>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1BC14FDC" w14:textId="77777777" w:rsidTr="000414E8">
        <w:trPr>
          <w:jc w:val="center"/>
        </w:trPr>
        <w:tc>
          <w:tcPr>
            <w:tcW w:w="5027" w:type="dxa"/>
          </w:tcPr>
          <w:p w14:paraId="76BAFDA6" w14:textId="6316C627" w:rsidR="000414E8" w:rsidRPr="00A01494" w:rsidRDefault="00A2496B" w:rsidP="00D61410">
            <w:pPr>
              <w:autoSpaceDE w:val="0"/>
              <w:autoSpaceDN w:val="0"/>
              <w:adjustRightInd w:val="0"/>
              <w:rPr>
                <w:rFonts w:cstheme="minorHAnsi"/>
                <w:bCs/>
              </w:rPr>
            </w:pPr>
            <w:sdt>
              <w:sdtPr>
                <w:rPr>
                  <w:rFonts w:cstheme="minorHAnsi"/>
                  <w:bCs/>
                  <w:color w:val="0000FF"/>
                </w:rPr>
                <w:id w:val="-834455086"/>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7EA1AEF1" w14:textId="4607ED29" w:rsidR="000414E8" w:rsidRPr="00A01494" w:rsidRDefault="00A2496B" w:rsidP="00D61410">
            <w:pPr>
              <w:autoSpaceDE w:val="0"/>
              <w:autoSpaceDN w:val="0"/>
              <w:adjustRightInd w:val="0"/>
              <w:rPr>
                <w:rFonts w:cstheme="minorHAnsi"/>
                <w:bCs/>
              </w:rPr>
            </w:pPr>
            <w:sdt>
              <w:sdtPr>
                <w:rPr>
                  <w:rFonts w:cstheme="minorHAnsi"/>
                  <w:bCs/>
                  <w:color w:val="0000FF"/>
                </w:rPr>
                <w:id w:val="-412627602"/>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413BC5B7" w14:textId="77777777" w:rsidTr="000414E8">
        <w:trPr>
          <w:jc w:val="center"/>
        </w:trPr>
        <w:tc>
          <w:tcPr>
            <w:tcW w:w="5027" w:type="dxa"/>
          </w:tcPr>
          <w:p w14:paraId="62216B95" w14:textId="10F72E39" w:rsidR="000414E8" w:rsidRPr="00A01494" w:rsidRDefault="00A2496B" w:rsidP="001E1B8C">
            <w:pPr>
              <w:autoSpaceDE w:val="0"/>
              <w:autoSpaceDN w:val="0"/>
              <w:adjustRightInd w:val="0"/>
              <w:rPr>
                <w:rFonts w:cstheme="minorHAnsi"/>
                <w:bCs/>
              </w:rPr>
            </w:pPr>
            <w:sdt>
              <w:sdtPr>
                <w:rPr>
                  <w:rFonts w:cstheme="minorHAnsi"/>
                  <w:bCs/>
                  <w:color w:val="0000FF"/>
                </w:rPr>
                <w:id w:val="-1855098074"/>
              </w:sdtPr>
              <w:sdtContent>
                <w:sdt>
                  <w:sdtPr>
                    <w:rPr>
                      <w:rFonts w:cstheme="minorHAnsi"/>
                      <w:bCs/>
                      <w:color w:val="0000FF"/>
                    </w:rPr>
                    <w:id w:val="296056299"/>
                  </w:sdtPr>
                  <w:sdtContent>
                    <w:r w:rsidR="00E41C6E">
                      <w:rPr>
                        <w:rFonts w:cstheme="minorHAnsi"/>
                        <w:bCs/>
                        <w:color w:val="0000FF"/>
                      </w:rPr>
                      <w:t>X</w:t>
                    </w:r>
                  </w:sdtContent>
                </w:sdt>
              </w:sdtContent>
            </w:sdt>
            <w:r w:rsidR="000414E8">
              <w:rPr>
                <w:rFonts w:cstheme="minorHAnsi"/>
                <w:bCs/>
              </w:rPr>
              <w:t xml:space="preserve"> </w:t>
            </w:r>
            <w:r w:rsidR="000414E8">
              <w:rPr>
                <w:rFonts w:eastAsia="MS Gothic" w:cstheme="minorHAnsi"/>
                <w:bCs/>
              </w:rPr>
              <w:t>hospital/facility/agency</w:t>
            </w:r>
          </w:p>
        </w:tc>
        <w:tc>
          <w:tcPr>
            <w:tcW w:w="5028" w:type="dxa"/>
          </w:tcPr>
          <w:p w14:paraId="372929F7" w14:textId="00CE9A04" w:rsidR="000414E8" w:rsidRPr="00A01494" w:rsidRDefault="00A2496B" w:rsidP="001E1B8C">
            <w:pPr>
              <w:autoSpaceDE w:val="0"/>
              <w:autoSpaceDN w:val="0"/>
              <w:adjustRightInd w:val="0"/>
              <w:rPr>
                <w:rFonts w:cstheme="minorHAnsi"/>
                <w:bCs/>
              </w:rPr>
            </w:pPr>
            <w:sdt>
              <w:sdtPr>
                <w:rPr>
                  <w:rFonts w:cstheme="minorHAnsi"/>
                  <w:bCs/>
                  <w:color w:val="0000FF"/>
                </w:rPr>
                <w:id w:val="1857455968"/>
              </w:sdtPr>
              <w:sdtContent>
                <w:sdt>
                  <w:sdtPr>
                    <w:rPr>
                      <w:rFonts w:cstheme="minorHAnsi"/>
                      <w:bCs/>
                      <w:color w:val="0000FF"/>
                    </w:rPr>
                    <w:id w:val="296056300"/>
                  </w:sdtPr>
                  <w:sdtContent>
                    <w:r w:rsidR="00023DD7">
                      <w:rPr>
                        <w:rFonts w:cstheme="minorHAnsi"/>
                        <w:bCs/>
                        <w:color w:val="0000FF"/>
                      </w:rPr>
                      <w:t>X</w:t>
                    </w:r>
                  </w:sdtContent>
                </w:sdt>
              </w:sdtContent>
            </w:sdt>
            <w:r w:rsidR="000414E8">
              <w:rPr>
                <w:rFonts w:cstheme="minorHAnsi"/>
                <w:bCs/>
              </w:rPr>
              <w:t xml:space="preserve"> </w:t>
            </w:r>
            <w:r w:rsidR="000414E8">
              <w:rPr>
                <w:rFonts w:eastAsia="MS Gothic" w:cstheme="minorHAnsi"/>
                <w:bCs/>
              </w:rPr>
              <w:t>hospital/facility/agency</w:t>
            </w:r>
          </w:p>
        </w:tc>
      </w:tr>
      <w:tr w:rsidR="000414E8" w:rsidRPr="00A01494" w14:paraId="0D3540F9" w14:textId="77777777" w:rsidTr="000414E8">
        <w:trPr>
          <w:jc w:val="center"/>
        </w:trPr>
        <w:tc>
          <w:tcPr>
            <w:tcW w:w="5027" w:type="dxa"/>
          </w:tcPr>
          <w:p w14:paraId="2D1CE748" w14:textId="0F4696AA" w:rsidR="000414E8" w:rsidRPr="00A01494" w:rsidRDefault="00A2496B" w:rsidP="00D61410">
            <w:pPr>
              <w:autoSpaceDE w:val="0"/>
              <w:autoSpaceDN w:val="0"/>
              <w:adjustRightInd w:val="0"/>
              <w:rPr>
                <w:rFonts w:cstheme="minorHAnsi"/>
                <w:bCs/>
              </w:rPr>
            </w:pPr>
            <w:sdt>
              <w:sdtPr>
                <w:rPr>
                  <w:rFonts w:cstheme="minorHAnsi"/>
                  <w:bCs/>
                  <w:color w:val="0000FF"/>
                </w:rPr>
                <w:id w:val="275535217"/>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48E17AEA" w14:textId="72CA5694" w:rsidR="000414E8" w:rsidRPr="00A01494" w:rsidRDefault="00A2496B" w:rsidP="00D61410">
            <w:pPr>
              <w:autoSpaceDE w:val="0"/>
              <w:autoSpaceDN w:val="0"/>
              <w:adjustRightInd w:val="0"/>
              <w:rPr>
                <w:rFonts w:cstheme="minorHAnsi"/>
                <w:bCs/>
              </w:rPr>
            </w:pPr>
            <w:sdt>
              <w:sdtPr>
                <w:rPr>
                  <w:rFonts w:cstheme="minorHAnsi"/>
                  <w:bCs/>
                  <w:color w:val="0000FF"/>
                </w:rPr>
                <w:id w:val="1896924375"/>
              </w:sdt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38012EFE" w14:textId="77777777" w:rsidTr="000414E8">
        <w:trPr>
          <w:jc w:val="center"/>
        </w:trPr>
        <w:tc>
          <w:tcPr>
            <w:tcW w:w="5027" w:type="dxa"/>
          </w:tcPr>
          <w:p w14:paraId="4F0A3B64" w14:textId="3563BF85" w:rsidR="000414E8" w:rsidRPr="00A01494" w:rsidRDefault="00A2496B" w:rsidP="00D61410">
            <w:pPr>
              <w:autoSpaceDE w:val="0"/>
              <w:autoSpaceDN w:val="0"/>
              <w:adjustRightInd w:val="0"/>
              <w:rPr>
                <w:rFonts w:cstheme="minorHAnsi"/>
                <w:bCs/>
              </w:rPr>
            </w:pPr>
            <w:sdt>
              <w:sdtPr>
                <w:rPr>
                  <w:rFonts w:cstheme="minorHAnsi"/>
                  <w:bCs/>
                  <w:color w:val="0000FF"/>
                </w:rPr>
                <w:id w:val="-1138024150"/>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5695483D" w14:textId="4C09BAD5" w:rsidR="000414E8" w:rsidRPr="00A01494" w:rsidRDefault="00A2496B" w:rsidP="00D61410">
            <w:pPr>
              <w:autoSpaceDE w:val="0"/>
              <w:autoSpaceDN w:val="0"/>
              <w:adjustRightInd w:val="0"/>
              <w:rPr>
                <w:rFonts w:cstheme="minorHAnsi"/>
                <w:bCs/>
              </w:rPr>
            </w:pPr>
            <w:sdt>
              <w:sdtPr>
                <w:rPr>
                  <w:rFonts w:cstheme="minorHAnsi"/>
                  <w:bCs/>
                  <w:color w:val="0000FF"/>
                </w:rPr>
                <w:id w:val="-417333514"/>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32CB05C1" w14:textId="2C516049" w:rsidR="001E1B8C" w:rsidRDefault="002B5016" w:rsidP="00023DD7">
      <w:pPr>
        <w:pStyle w:val="ListParagraph"/>
        <w:keepNext/>
        <w:keepLines/>
        <w:spacing w:before="120" w:after="40" w:line="240" w:lineRule="auto"/>
        <w:ind w:left="0"/>
        <w:outlineLvl w:val="2"/>
        <w:rPr>
          <w:rFonts w:cstheme="minorHAnsi"/>
          <w:bCs/>
        </w:rPr>
      </w:pPr>
      <w:r>
        <w:rPr>
          <w:rFonts w:cstheme="minorHAnsi"/>
          <w:b/>
          <w:bCs/>
        </w:rPr>
        <w:lastRenderedPageBreak/>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1E1B8C">
        <w:rPr>
          <w:rFonts w:cstheme="minorHAnsi"/>
          <w:bCs/>
        </w:rPr>
        <w:t xml:space="preserve">) </w:t>
      </w:r>
    </w:p>
    <w:p w14:paraId="527DB9E3" w14:textId="1E44ABFB" w:rsidR="00761F14" w:rsidRPr="002355C9" w:rsidRDefault="00761F14" w:rsidP="00CC7AB5">
      <w:pPr>
        <w:spacing w:before="240" w:after="240" w:line="240" w:lineRule="auto"/>
        <w:rPr>
          <w:rFonts w:ascii="Calibri" w:eastAsia="Calibri" w:hAnsi="Calibri" w:cs="Times New Roman"/>
          <w:bCs/>
          <w:color w:val="0000FF"/>
        </w:rPr>
      </w:pPr>
      <w:r w:rsidRPr="002355C9">
        <w:rPr>
          <w:rFonts w:ascii="Calibri" w:eastAsia="Calibri" w:hAnsi="Calibri" w:cs="Times New Roman"/>
          <w:bCs/>
          <w:color w:val="0000FF"/>
        </w:rPr>
        <w:t xml:space="preserve">Testing for this quality measure involved several types of item- and scale-level reliability and validity analyses. The self-care function quality measure includes data for 7 items that are summed to create a scale score. Each provider collected CARE data for either 6 or 9 months (not 12 months, which is the measure time period), so we provide only limited facility-level analyses. The CARE self-care and mobility function items were tested in several types of providers: acute care hospitals, Skilled Nursing Facilities, Long-Term Care Hospitals, and Home Health Agencies in addition to Inpatient Rehabilitation Facilities (IRFs). We report reliability and validity results overall and by type of provider. </w:t>
      </w:r>
    </w:p>
    <w:p w14:paraId="3C511F5E" w14:textId="46143B82" w:rsidR="00761F14" w:rsidRPr="002355C9" w:rsidRDefault="00761F14" w:rsidP="00761F14">
      <w:pPr>
        <w:spacing w:before="240" w:line="240" w:lineRule="auto"/>
        <w:rPr>
          <w:rFonts w:ascii="Calibri" w:eastAsia="Calibri" w:hAnsi="Calibri" w:cs="Times New Roman"/>
          <w:color w:val="0000FF"/>
        </w:rPr>
      </w:pPr>
      <w:r w:rsidRPr="002355C9">
        <w:rPr>
          <w:rFonts w:ascii="Calibri" w:eastAsia="Calibri" w:hAnsi="Calibri" w:cs="Times New Roman"/>
          <w:b/>
          <w:color w:val="0000FF"/>
        </w:rPr>
        <w:t xml:space="preserve">Item Reliability Testing </w:t>
      </w:r>
      <w:r w:rsidR="009627AD">
        <w:rPr>
          <w:rFonts w:ascii="Calibri" w:eastAsia="Calibri" w:hAnsi="Calibri" w:cs="Times New Roman"/>
          <w:b/>
          <w:color w:val="0000FF"/>
        </w:rPr>
        <w:t>–</w:t>
      </w:r>
      <w:r w:rsidRPr="002355C9">
        <w:rPr>
          <w:rFonts w:ascii="Calibri" w:eastAsia="Calibri" w:hAnsi="Calibri" w:cs="Times New Roman"/>
          <w:b/>
          <w:color w:val="0000FF"/>
        </w:rPr>
        <w:t xml:space="preserve"> Traditional Interrater Reliability: </w:t>
      </w:r>
      <w:r w:rsidRPr="002355C9">
        <w:rPr>
          <w:rFonts w:ascii="Calibri" w:eastAsia="Calibri" w:hAnsi="Calibri" w:cs="Times New Roman"/>
          <w:color w:val="0000FF"/>
        </w:rPr>
        <w:t xml:space="preserve">The interrater reliability of the CARE function items were tested in a sample of 34 providers distributed across 11 geographic areas: Lakeland/Tampa, FL (3 providers); Lincoln/Omaha, NE (5 providers); Louisville, KY (4 providers); Chicago, IL (5 providers); Dallas, TX (6 providers); Wilmington, NC (2 providers); Columbia, MO (2 providers); Seattle, WA (2 providers); San Francisco, CA (3 providers); Boston, MA (1 provider); and Rochester, NY (1 provider). The type of providers included: 4 acute hospitals (66 paired assessments); 8 Home Health Agencies (102 paired assessments); 7 Inpatient Rehabilitation Facilities (119 paired assessments); 2 </w:t>
      </w:r>
      <w:r w:rsidRPr="002355C9">
        <w:rPr>
          <w:rFonts w:ascii="Calibri" w:eastAsia="Calibri" w:hAnsi="Calibri" w:cs="Times New Roman"/>
          <w:bCs/>
          <w:color w:val="0000FF"/>
        </w:rPr>
        <w:t>Long-Term Care Hospitals</w:t>
      </w:r>
      <w:r w:rsidRPr="002355C9">
        <w:rPr>
          <w:rFonts w:ascii="Calibri" w:eastAsia="Calibri" w:hAnsi="Calibri" w:cs="Times New Roman"/>
          <w:color w:val="0000FF"/>
        </w:rPr>
        <w:t xml:space="preserve"> (49 paired assessments); and 6 Skilled Nursing Facilities (121 paired assessments). </w:t>
      </w:r>
    </w:p>
    <w:p w14:paraId="0F2D3431" w14:textId="766FE5C7" w:rsidR="00761F14" w:rsidRDefault="00761F14" w:rsidP="00761F14">
      <w:pPr>
        <w:spacing w:before="240" w:after="0" w:line="240" w:lineRule="auto"/>
        <w:rPr>
          <w:rFonts w:ascii="Calibri" w:eastAsia="Calibri" w:hAnsi="Calibri" w:cs="Times New Roman"/>
          <w:color w:val="0000FF"/>
        </w:rPr>
      </w:pPr>
      <w:r w:rsidRPr="002355C9">
        <w:rPr>
          <w:rFonts w:ascii="Calibri" w:eastAsia="Calibri" w:hAnsi="Calibri" w:cs="Times New Roman"/>
          <w:b/>
          <w:color w:val="0000FF"/>
        </w:rPr>
        <w:t xml:space="preserve">Item Reliability Testing </w:t>
      </w:r>
      <w:r w:rsidR="009627AD">
        <w:rPr>
          <w:rFonts w:ascii="Calibri" w:eastAsia="Calibri" w:hAnsi="Calibri" w:cs="Times New Roman"/>
          <w:b/>
          <w:color w:val="0000FF"/>
        </w:rPr>
        <w:t>–</w:t>
      </w:r>
      <w:r w:rsidRPr="002355C9">
        <w:rPr>
          <w:rFonts w:ascii="Calibri" w:eastAsia="Calibri" w:hAnsi="Calibri" w:cs="Times New Roman"/>
          <w:b/>
          <w:color w:val="0000FF"/>
        </w:rPr>
        <w:t xml:space="preserve"> Videotaped Standardized Patient Interrater Reliability: </w:t>
      </w:r>
      <w:r w:rsidRPr="002355C9">
        <w:rPr>
          <w:rFonts w:ascii="Calibri" w:eastAsia="Calibri" w:hAnsi="Calibri" w:cs="Times New Roman"/>
          <w:color w:val="0000FF"/>
        </w:rPr>
        <w:t xml:space="preserve">The standardized patient reliability was tested in a sample of 28 providers (550 assessments), which included 3 acute hospitals (15 assessments [3%]); 9 Home Health Agencies (118 assessments [22%]); 8 Inpatient Rehabilitation Facilities (237 assessments [43%]); 3 </w:t>
      </w:r>
      <w:r w:rsidRPr="002355C9">
        <w:rPr>
          <w:rFonts w:ascii="Calibri" w:eastAsia="Calibri" w:hAnsi="Calibri" w:cs="Times New Roman"/>
          <w:bCs/>
          <w:color w:val="0000FF"/>
        </w:rPr>
        <w:t>Long-Term Care Hospitals</w:t>
      </w:r>
      <w:r w:rsidRPr="002355C9">
        <w:rPr>
          <w:rFonts w:ascii="Calibri" w:eastAsia="Calibri" w:hAnsi="Calibri" w:cs="Times New Roman"/>
          <w:color w:val="0000FF"/>
        </w:rPr>
        <w:t xml:space="preserve"> (114 assessments [21%]); and 5 Skilled Nursing Facilities (66 assessments [12%]). </w:t>
      </w:r>
    </w:p>
    <w:p w14:paraId="78C698CD" w14:textId="4B152644" w:rsidR="00DE04E4" w:rsidRPr="00886EFB" w:rsidRDefault="00DE04E4" w:rsidP="00035808">
      <w:pPr>
        <w:spacing w:before="240" w:after="0" w:line="240" w:lineRule="auto"/>
        <w:rPr>
          <w:rFonts w:ascii="Calibri" w:eastAsia="Calibri" w:hAnsi="Calibri" w:cs="Times New Roman"/>
          <w:color w:val="0000FF"/>
        </w:rPr>
      </w:pPr>
      <w:r w:rsidRPr="009D386B">
        <w:rPr>
          <w:rFonts w:ascii="Calibri" w:eastAsia="Calibri" w:hAnsi="Calibri" w:cs="Times New Roman"/>
          <w:b/>
          <w:color w:val="0000FF"/>
        </w:rPr>
        <w:t>Scale Reliability</w:t>
      </w:r>
      <w:r w:rsidR="00EE4D8A" w:rsidRPr="009D386B">
        <w:rPr>
          <w:rFonts w:ascii="Calibri" w:eastAsia="Calibri" w:hAnsi="Calibri" w:cs="Times New Roman"/>
          <w:b/>
          <w:color w:val="0000FF"/>
        </w:rPr>
        <w:t xml:space="preserve"> and </w:t>
      </w:r>
      <w:r w:rsidRPr="009D386B">
        <w:rPr>
          <w:rFonts w:ascii="Calibri" w:eastAsia="Calibri" w:hAnsi="Calibri" w:cs="Times New Roman"/>
          <w:b/>
          <w:color w:val="0000FF"/>
        </w:rPr>
        <w:t>Construct Validity</w:t>
      </w:r>
      <w:r w:rsidR="00035808" w:rsidRPr="009D386B">
        <w:rPr>
          <w:rFonts w:ascii="Calibri" w:eastAsia="Calibri" w:hAnsi="Calibri" w:cs="Times New Roman"/>
          <w:b/>
          <w:color w:val="0000FF"/>
        </w:rPr>
        <w:t xml:space="preserve"> Testing</w:t>
      </w:r>
      <w:r w:rsidR="009627AD" w:rsidRPr="009D386B">
        <w:rPr>
          <w:rFonts w:ascii="Calibri" w:eastAsia="Calibri" w:hAnsi="Calibri" w:cs="Times New Roman"/>
          <w:b/>
          <w:color w:val="0000FF"/>
        </w:rPr>
        <w:t xml:space="preserve"> –</w:t>
      </w:r>
      <w:r>
        <w:rPr>
          <w:rFonts w:ascii="Calibri" w:eastAsia="Calibri" w:hAnsi="Calibri" w:cs="Times New Roman"/>
          <w:b/>
          <w:color w:val="0000FF"/>
        </w:rPr>
        <w:t xml:space="preserve"> </w:t>
      </w:r>
      <w:r w:rsidR="0047295A">
        <w:rPr>
          <w:rFonts w:ascii="Calibri" w:eastAsia="Calibri" w:hAnsi="Calibri" w:cs="Times New Roman"/>
          <w:b/>
          <w:color w:val="0000FF"/>
        </w:rPr>
        <w:t xml:space="preserve">Item </w:t>
      </w:r>
      <w:r>
        <w:rPr>
          <w:rFonts w:ascii="Calibri" w:eastAsia="Calibri" w:hAnsi="Calibri" w:cs="Times New Roman"/>
          <w:b/>
          <w:color w:val="0000FF"/>
        </w:rPr>
        <w:t>Difficulty Ordering (Rasch Analysis):</w:t>
      </w:r>
      <w:r w:rsidRPr="00DE04E4">
        <w:rPr>
          <w:rFonts w:ascii="Calibri" w:eastAsia="Calibri" w:hAnsi="Calibri" w:cs="Times New Roman"/>
          <w:color w:val="0000FF"/>
        </w:rPr>
        <w:t xml:space="preserve"> </w:t>
      </w:r>
      <w:r w:rsidRPr="002355C9">
        <w:rPr>
          <w:rFonts w:ascii="Calibri" w:eastAsia="Calibri" w:hAnsi="Calibri" w:cs="Times New Roman"/>
          <w:color w:val="0000FF"/>
        </w:rPr>
        <w:t>Data from a sample of 38 IRFs were used for the Rasch analysis response option assessment.</w:t>
      </w:r>
      <w:r>
        <w:rPr>
          <w:rFonts w:ascii="Calibri" w:eastAsia="Calibri" w:hAnsi="Calibri" w:cs="Times New Roman"/>
          <w:color w:val="0000FF"/>
        </w:rPr>
        <w:t xml:space="preserve"> The sample was d</w:t>
      </w:r>
      <w:r w:rsidRPr="00886EFB">
        <w:rPr>
          <w:rFonts w:ascii="Calibri" w:eastAsia="Calibri" w:hAnsi="Calibri" w:cs="Times New Roman"/>
          <w:color w:val="0000FF"/>
        </w:rPr>
        <w:t>istributed across 1</w:t>
      </w:r>
      <w:r>
        <w:rPr>
          <w:rFonts w:ascii="Calibri" w:eastAsia="Calibri" w:hAnsi="Calibri" w:cs="Times New Roman"/>
          <w:color w:val="0000FF"/>
        </w:rPr>
        <w:t>6</w:t>
      </w:r>
      <w:r w:rsidRPr="00886EFB">
        <w:rPr>
          <w:rFonts w:ascii="Calibri" w:eastAsia="Calibri" w:hAnsi="Calibri" w:cs="Times New Roman"/>
          <w:color w:val="0000FF"/>
        </w:rPr>
        <w:t xml:space="preserve"> geographic areas: Boston, MA</w:t>
      </w:r>
      <w:r>
        <w:rPr>
          <w:rFonts w:ascii="Calibri" w:eastAsia="Calibri" w:hAnsi="Calibri" w:cs="Times New Roman"/>
          <w:color w:val="0000FF"/>
        </w:rPr>
        <w:t xml:space="preserve">; Chicago, IL; </w:t>
      </w:r>
      <w:r w:rsidRPr="00886EFB">
        <w:rPr>
          <w:rFonts w:ascii="Calibri" w:eastAsia="Calibri" w:hAnsi="Calibri" w:cs="Times New Roman"/>
          <w:color w:val="0000FF"/>
        </w:rPr>
        <w:t>Dallas, TX</w:t>
      </w:r>
      <w:r>
        <w:rPr>
          <w:rFonts w:ascii="Calibri" w:eastAsia="Calibri" w:hAnsi="Calibri" w:cs="Times New Roman"/>
          <w:color w:val="0000FF"/>
        </w:rPr>
        <w:t xml:space="preserve">; </w:t>
      </w:r>
      <w:r w:rsidRPr="00886EFB">
        <w:rPr>
          <w:rFonts w:ascii="Calibri" w:eastAsia="Calibri" w:hAnsi="Calibri" w:cs="Times New Roman"/>
          <w:color w:val="0000FF"/>
        </w:rPr>
        <w:t>San Francisco</w:t>
      </w:r>
      <w:r>
        <w:rPr>
          <w:rFonts w:ascii="Calibri" w:eastAsia="Calibri" w:hAnsi="Calibri" w:cs="Times New Roman"/>
          <w:color w:val="0000FF"/>
        </w:rPr>
        <w:t>/Sacramento</w:t>
      </w:r>
      <w:r w:rsidRPr="00886EFB">
        <w:rPr>
          <w:rFonts w:ascii="Calibri" w:eastAsia="Calibri" w:hAnsi="Calibri" w:cs="Times New Roman"/>
          <w:color w:val="0000FF"/>
        </w:rPr>
        <w:t>, CA</w:t>
      </w:r>
      <w:r>
        <w:rPr>
          <w:rFonts w:ascii="Calibri" w:eastAsia="Calibri" w:hAnsi="Calibri" w:cs="Times New Roman"/>
          <w:color w:val="0000FF"/>
        </w:rPr>
        <w:t>; Seattle</w:t>
      </w:r>
      <w:r w:rsidRPr="00886EFB">
        <w:rPr>
          <w:rFonts w:ascii="Calibri" w:eastAsia="Calibri" w:hAnsi="Calibri" w:cs="Times New Roman"/>
          <w:color w:val="0000FF"/>
        </w:rPr>
        <w:t>, WA</w:t>
      </w:r>
      <w:r>
        <w:rPr>
          <w:rFonts w:ascii="Calibri" w:eastAsia="Calibri" w:hAnsi="Calibri" w:cs="Times New Roman"/>
          <w:color w:val="0000FF"/>
        </w:rPr>
        <w:t>/Portland. OR</w:t>
      </w:r>
      <w:r w:rsidRPr="00886EFB">
        <w:rPr>
          <w:rFonts w:ascii="Calibri" w:eastAsia="Calibri" w:hAnsi="Calibri" w:cs="Times New Roman"/>
          <w:color w:val="0000FF"/>
        </w:rPr>
        <w:t>; Lincoln/Omaha, NE</w:t>
      </w:r>
      <w:r>
        <w:rPr>
          <w:rFonts w:ascii="Calibri" w:eastAsia="Calibri" w:hAnsi="Calibri" w:cs="Times New Roman"/>
          <w:color w:val="0000FF"/>
        </w:rPr>
        <w:t xml:space="preserve">; </w:t>
      </w:r>
      <w:r w:rsidRPr="00886EFB">
        <w:rPr>
          <w:rFonts w:ascii="Calibri" w:eastAsia="Calibri" w:hAnsi="Calibri" w:cs="Times New Roman"/>
          <w:color w:val="0000FF"/>
        </w:rPr>
        <w:t xml:space="preserve"> Lakeland/Tampa, FL</w:t>
      </w:r>
      <w:r>
        <w:rPr>
          <w:rFonts w:ascii="Calibri" w:eastAsia="Calibri" w:hAnsi="Calibri" w:cs="Times New Roman"/>
          <w:color w:val="0000FF"/>
        </w:rPr>
        <w:t xml:space="preserve">; </w:t>
      </w:r>
      <w:r w:rsidRPr="00886EFB">
        <w:rPr>
          <w:rFonts w:ascii="Calibri" w:eastAsia="Calibri" w:hAnsi="Calibri" w:cs="Times New Roman"/>
          <w:color w:val="0000FF"/>
        </w:rPr>
        <w:t xml:space="preserve"> Louisville, KY</w:t>
      </w:r>
      <w:r>
        <w:rPr>
          <w:rFonts w:ascii="Calibri" w:eastAsia="Calibri" w:hAnsi="Calibri" w:cs="Times New Roman"/>
          <w:color w:val="0000FF"/>
        </w:rPr>
        <w:t xml:space="preserve">; </w:t>
      </w:r>
      <w:r w:rsidRPr="00886EFB">
        <w:rPr>
          <w:rFonts w:ascii="Calibri" w:eastAsia="Calibri" w:hAnsi="Calibri" w:cs="Times New Roman"/>
          <w:color w:val="0000FF"/>
        </w:rPr>
        <w:t>Wilmington, NC</w:t>
      </w:r>
      <w:r>
        <w:rPr>
          <w:rFonts w:ascii="Calibri" w:eastAsia="Calibri" w:hAnsi="Calibri" w:cs="Times New Roman"/>
          <w:color w:val="0000FF"/>
        </w:rPr>
        <w:t>; Rochester, NY; New Hampshire/Maine;  New York/New Jersey/Pennsylvania; Virginia; Maryland/Washington, DC; Ohio/Michigan; California.</w:t>
      </w:r>
    </w:p>
    <w:p w14:paraId="6FDCACB6" w14:textId="108C5EEF" w:rsidR="00DE04E4" w:rsidRPr="00886EFB" w:rsidRDefault="00DE04E4" w:rsidP="00DE04E4">
      <w:pPr>
        <w:spacing w:before="240" w:after="0" w:line="240" w:lineRule="auto"/>
        <w:rPr>
          <w:rFonts w:ascii="Calibri" w:eastAsia="Calibri" w:hAnsi="Calibri" w:cs="Times New Roman"/>
          <w:color w:val="0000FF"/>
        </w:rPr>
      </w:pPr>
      <w:r w:rsidRPr="002355C9">
        <w:rPr>
          <w:rFonts w:ascii="Calibri" w:eastAsia="Calibri" w:hAnsi="Calibri" w:cs="Times New Roman"/>
          <w:b/>
          <w:color w:val="0000FF"/>
        </w:rPr>
        <w:t xml:space="preserve">Scale Reliability and Validity Testing </w:t>
      </w:r>
      <w:r>
        <w:rPr>
          <w:rFonts w:ascii="Calibri" w:eastAsia="Calibri" w:hAnsi="Calibri" w:cs="Times New Roman"/>
          <w:b/>
          <w:color w:val="0000FF"/>
        </w:rPr>
        <w:t xml:space="preserve">– </w:t>
      </w:r>
      <w:r w:rsidRPr="002355C9">
        <w:rPr>
          <w:rFonts w:ascii="Calibri" w:eastAsia="Calibri" w:hAnsi="Calibri" w:cs="Times New Roman"/>
          <w:b/>
          <w:color w:val="0000FF"/>
        </w:rPr>
        <w:t>Fit Assessment (Rasch Analysis)</w:t>
      </w:r>
      <w:r>
        <w:rPr>
          <w:rFonts w:ascii="Calibri" w:eastAsia="Calibri" w:hAnsi="Calibri" w:cs="Times New Roman"/>
          <w:b/>
          <w:color w:val="0000FF"/>
        </w:rPr>
        <w:t xml:space="preserve"> and Internal Consistency</w:t>
      </w:r>
      <w:r w:rsidRPr="002355C9">
        <w:rPr>
          <w:rFonts w:ascii="Calibri" w:eastAsia="Calibri" w:hAnsi="Calibri" w:cs="Times New Roman"/>
          <w:b/>
          <w:color w:val="0000FF"/>
        </w:rPr>
        <w:t xml:space="preserve">: </w:t>
      </w:r>
      <w:r w:rsidRPr="002355C9">
        <w:rPr>
          <w:rFonts w:ascii="Calibri" w:eastAsia="Calibri" w:hAnsi="Calibri" w:cs="Times New Roman"/>
          <w:color w:val="0000FF"/>
        </w:rPr>
        <w:t xml:space="preserve">Data from a sample of 38 IRFs were used for the Rasch </w:t>
      </w:r>
      <w:r w:rsidRPr="009377E7">
        <w:rPr>
          <w:rFonts w:ascii="Calibri" w:eastAsia="Calibri" w:hAnsi="Calibri" w:cs="Times New Roman"/>
          <w:color w:val="0000FF"/>
        </w:rPr>
        <w:t>analysis fit assessment. The sample was distributed across 16 geographic areas: Boston, MA; Chicago, IL; Dallas, TX; San Francisco/Sacramento, CA; Seattle, WA/Portland. OR; Lincoln/Omaha, NE;  Lakeland/Tampa, FL;  Louisville, KY; Wilmington, NC; Rochester, NY; New Hampshire/Maine;  New York/New Jersey/Pennsylvania; Virginia; Maryland/Washington, DC; Ohio/Michigan; California.</w:t>
      </w:r>
    </w:p>
    <w:p w14:paraId="36881D9F" w14:textId="3FFCD0B4" w:rsidR="008929DC" w:rsidRPr="00886EFB" w:rsidRDefault="00761F14" w:rsidP="008929DC">
      <w:pPr>
        <w:spacing w:before="240" w:after="0" w:line="240" w:lineRule="auto"/>
        <w:rPr>
          <w:rFonts w:ascii="Calibri" w:eastAsia="Calibri" w:hAnsi="Calibri" w:cs="Times New Roman"/>
          <w:color w:val="0000FF"/>
        </w:rPr>
      </w:pPr>
      <w:r w:rsidRPr="002355C9">
        <w:rPr>
          <w:rFonts w:ascii="Calibri" w:eastAsia="Calibri" w:hAnsi="Calibri" w:cs="Times New Roman"/>
          <w:b/>
          <w:color w:val="0000FF"/>
        </w:rPr>
        <w:t xml:space="preserve">Item Reliability </w:t>
      </w:r>
      <w:r w:rsidR="000361B0">
        <w:rPr>
          <w:rFonts w:ascii="Calibri" w:eastAsia="Calibri" w:hAnsi="Calibri" w:cs="Times New Roman"/>
          <w:b/>
          <w:color w:val="0000FF"/>
        </w:rPr>
        <w:t xml:space="preserve">and Validity </w:t>
      </w:r>
      <w:r w:rsidRPr="002355C9">
        <w:rPr>
          <w:rFonts w:ascii="Calibri" w:eastAsia="Calibri" w:hAnsi="Calibri" w:cs="Times New Roman"/>
          <w:b/>
          <w:color w:val="0000FF"/>
        </w:rPr>
        <w:t xml:space="preserve">Testing </w:t>
      </w:r>
      <w:r w:rsidR="009627AD">
        <w:rPr>
          <w:rFonts w:ascii="Calibri" w:eastAsia="Calibri" w:hAnsi="Calibri" w:cs="Times New Roman"/>
          <w:b/>
          <w:color w:val="0000FF"/>
        </w:rPr>
        <w:t>–</w:t>
      </w:r>
      <w:r w:rsidRPr="002355C9">
        <w:rPr>
          <w:rFonts w:ascii="Calibri" w:eastAsia="Calibri" w:hAnsi="Calibri" w:cs="Times New Roman"/>
          <w:b/>
          <w:color w:val="0000FF"/>
        </w:rPr>
        <w:t xml:space="preserve"> Response Option Assessment (Rasch Analysis): </w:t>
      </w:r>
      <w:r w:rsidRPr="002355C9">
        <w:rPr>
          <w:rFonts w:ascii="Calibri" w:eastAsia="Calibri" w:hAnsi="Calibri" w:cs="Times New Roman"/>
          <w:color w:val="0000FF"/>
        </w:rPr>
        <w:t>Data from a sample of 38 IRFs were used for the Rasch analysis response option assessment.</w:t>
      </w:r>
      <w:r w:rsidR="008929DC">
        <w:rPr>
          <w:rFonts w:ascii="Calibri" w:eastAsia="Calibri" w:hAnsi="Calibri" w:cs="Times New Roman"/>
          <w:color w:val="0000FF"/>
        </w:rPr>
        <w:t xml:space="preserve"> The sample was d</w:t>
      </w:r>
      <w:r w:rsidR="008929DC" w:rsidRPr="00886EFB">
        <w:rPr>
          <w:rFonts w:ascii="Calibri" w:eastAsia="Calibri" w:hAnsi="Calibri" w:cs="Times New Roman"/>
          <w:color w:val="0000FF"/>
        </w:rPr>
        <w:t>istributed across 1</w:t>
      </w:r>
      <w:r w:rsidR="008929DC">
        <w:rPr>
          <w:rFonts w:ascii="Calibri" w:eastAsia="Calibri" w:hAnsi="Calibri" w:cs="Times New Roman"/>
          <w:color w:val="0000FF"/>
        </w:rPr>
        <w:t>6</w:t>
      </w:r>
      <w:r w:rsidR="008929DC" w:rsidRPr="00886EFB">
        <w:rPr>
          <w:rFonts w:ascii="Calibri" w:eastAsia="Calibri" w:hAnsi="Calibri" w:cs="Times New Roman"/>
          <w:color w:val="0000FF"/>
        </w:rPr>
        <w:t xml:space="preserve"> geographic areas: Boston, MA</w:t>
      </w:r>
      <w:r w:rsidR="008929DC">
        <w:rPr>
          <w:rFonts w:ascii="Calibri" w:eastAsia="Calibri" w:hAnsi="Calibri" w:cs="Times New Roman"/>
          <w:color w:val="0000FF"/>
        </w:rPr>
        <w:t xml:space="preserve">; Chicago, IL; </w:t>
      </w:r>
      <w:r w:rsidR="008929DC" w:rsidRPr="00886EFB">
        <w:rPr>
          <w:rFonts w:ascii="Calibri" w:eastAsia="Calibri" w:hAnsi="Calibri" w:cs="Times New Roman"/>
          <w:color w:val="0000FF"/>
        </w:rPr>
        <w:t>Dallas, TX</w:t>
      </w:r>
      <w:r w:rsidR="008929DC">
        <w:rPr>
          <w:rFonts w:ascii="Calibri" w:eastAsia="Calibri" w:hAnsi="Calibri" w:cs="Times New Roman"/>
          <w:color w:val="0000FF"/>
        </w:rPr>
        <w:t xml:space="preserve">; </w:t>
      </w:r>
      <w:r w:rsidR="008929DC" w:rsidRPr="00886EFB">
        <w:rPr>
          <w:rFonts w:ascii="Calibri" w:eastAsia="Calibri" w:hAnsi="Calibri" w:cs="Times New Roman"/>
          <w:color w:val="0000FF"/>
        </w:rPr>
        <w:t>San Francisco</w:t>
      </w:r>
      <w:r w:rsidR="008929DC">
        <w:rPr>
          <w:rFonts w:ascii="Calibri" w:eastAsia="Calibri" w:hAnsi="Calibri" w:cs="Times New Roman"/>
          <w:color w:val="0000FF"/>
        </w:rPr>
        <w:t>/Sacramento</w:t>
      </w:r>
      <w:r w:rsidR="008929DC" w:rsidRPr="00886EFB">
        <w:rPr>
          <w:rFonts w:ascii="Calibri" w:eastAsia="Calibri" w:hAnsi="Calibri" w:cs="Times New Roman"/>
          <w:color w:val="0000FF"/>
        </w:rPr>
        <w:t>, CA</w:t>
      </w:r>
      <w:r w:rsidR="008929DC">
        <w:rPr>
          <w:rFonts w:ascii="Calibri" w:eastAsia="Calibri" w:hAnsi="Calibri" w:cs="Times New Roman"/>
          <w:color w:val="0000FF"/>
        </w:rPr>
        <w:t>; Seattle</w:t>
      </w:r>
      <w:r w:rsidR="008929DC" w:rsidRPr="00886EFB">
        <w:rPr>
          <w:rFonts w:ascii="Calibri" w:eastAsia="Calibri" w:hAnsi="Calibri" w:cs="Times New Roman"/>
          <w:color w:val="0000FF"/>
        </w:rPr>
        <w:t>, WA</w:t>
      </w:r>
      <w:r w:rsidR="008929DC">
        <w:rPr>
          <w:rFonts w:ascii="Calibri" w:eastAsia="Calibri" w:hAnsi="Calibri" w:cs="Times New Roman"/>
          <w:color w:val="0000FF"/>
        </w:rPr>
        <w:t>/Portland. OR</w:t>
      </w:r>
      <w:r w:rsidR="008929DC" w:rsidRPr="00886EFB">
        <w:rPr>
          <w:rFonts w:ascii="Calibri" w:eastAsia="Calibri" w:hAnsi="Calibri" w:cs="Times New Roman"/>
          <w:color w:val="0000FF"/>
        </w:rPr>
        <w:t>; Lincoln/Omaha, NE</w:t>
      </w:r>
      <w:r w:rsidR="008929DC">
        <w:rPr>
          <w:rFonts w:ascii="Calibri" w:eastAsia="Calibri" w:hAnsi="Calibri" w:cs="Times New Roman"/>
          <w:color w:val="0000FF"/>
        </w:rPr>
        <w:t xml:space="preserve">; </w:t>
      </w:r>
      <w:r w:rsidR="008929DC" w:rsidRPr="00886EFB">
        <w:rPr>
          <w:rFonts w:ascii="Calibri" w:eastAsia="Calibri" w:hAnsi="Calibri" w:cs="Times New Roman"/>
          <w:color w:val="0000FF"/>
        </w:rPr>
        <w:t xml:space="preserve"> Lakeland/Tampa, FL</w:t>
      </w:r>
      <w:r w:rsidR="008929DC">
        <w:rPr>
          <w:rFonts w:ascii="Calibri" w:eastAsia="Calibri" w:hAnsi="Calibri" w:cs="Times New Roman"/>
          <w:color w:val="0000FF"/>
        </w:rPr>
        <w:t xml:space="preserve">; </w:t>
      </w:r>
      <w:r w:rsidR="008929DC" w:rsidRPr="00886EFB">
        <w:rPr>
          <w:rFonts w:ascii="Calibri" w:eastAsia="Calibri" w:hAnsi="Calibri" w:cs="Times New Roman"/>
          <w:color w:val="0000FF"/>
        </w:rPr>
        <w:t xml:space="preserve"> Louisville, KY</w:t>
      </w:r>
      <w:r w:rsidR="008929DC">
        <w:rPr>
          <w:rFonts w:ascii="Calibri" w:eastAsia="Calibri" w:hAnsi="Calibri" w:cs="Times New Roman"/>
          <w:color w:val="0000FF"/>
        </w:rPr>
        <w:t xml:space="preserve">; </w:t>
      </w:r>
      <w:r w:rsidR="008929DC" w:rsidRPr="00886EFB">
        <w:rPr>
          <w:rFonts w:ascii="Calibri" w:eastAsia="Calibri" w:hAnsi="Calibri" w:cs="Times New Roman"/>
          <w:color w:val="0000FF"/>
        </w:rPr>
        <w:t>Wilmington, NC</w:t>
      </w:r>
      <w:r w:rsidR="008929DC">
        <w:rPr>
          <w:rFonts w:ascii="Calibri" w:eastAsia="Calibri" w:hAnsi="Calibri" w:cs="Times New Roman"/>
          <w:color w:val="0000FF"/>
        </w:rPr>
        <w:t>; Rochester, NY; New Hampshire/Maine;  New York/New Jersey/Pennsylvania; Virginia; Maryland/Washington, DC; Ohio/Michigan; California.</w:t>
      </w:r>
    </w:p>
    <w:p w14:paraId="3285ABFD" w14:textId="77777777" w:rsidR="009D386B" w:rsidRDefault="002B5016" w:rsidP="00761F14">
      <w:pPr>
        <w:spacing w:after="0" w:line="240" w:lineRule="auto"/>
        <w:rPr>
          <w:rFonts w:cstheme="minorHAnsi"/>
          <w:bCs/>
        </w:rPr>
      </w:pPr>
      <w:r>
        <w:rPr>
          <w:rFonts w:cstheme="minorHAnsi"/>
          <w:b/>
          <w:bCs/>
        </w:rPr>
        <w:lastRenderedPageBreak/>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0A532FEC" w14:textId="4D23C766" w:rsidR="00761F14" w:rsidRPr="00A961B9" w:rsidRDefault="007422FD" w:rsidP="00761F14">
      <w:pPr>
        <w:spacing w:after="0" w:line="240" w:lineRule="auto"/>
        <w:rPr>
          <w:rFonts w:ascii="Calibri" w:eastAsia="Calibri" w:hAnsi="Calibri" w:cs="Times New Roman"/>
          <w:color w:val="0000FF"/>
        </w:rPr>
      </w:pPr>
      <w:r w:rsidRPr="00A25024">
        <w:rPr>
          <w:rFonts w:cstheme="minorHAnsi"/>
          <w:bCs/>
        </w:rPr>
        <w:br/>
      </w:r>
      <w:r w:rsidR="00761F14" w:rsidRPr="00023DD7">
        <w:rPr>
          <w:rFonts w:ascii="Calibri" w:eastAsia="Calibri" w:hAnsi="Calibri" w:cs="Times New Roman"/>
          <w:b/>
          <w:color w:val="0000FF"/>
        </w:rPr>
        <w:t>Item</w:t>
      </w:r>
      <w:r w:rsidR="00761F14">
        <w:rPr>
          <w:rFonts w:ascii="Calibri" w:eastAsia="Calibri" w:hAnsi="Calibri" w:cs="Times New Roman"/>
          <w:b/>
          <w:color w:val="0000FF"/>
        </w:rPr>
        <w:t xml:space="preserve"> Reliability Testing </w:t>
      </w:r>
      <w:r w:rsidR="00035808">
        <w:rPr>
          <w:rFonts w:ascii="Calibri" w:eastAsia="Calibri" w:hAnsi="Calibri" w:cs="Times New Roman"/>
          <w:b/>
          <w:color w:val="0000FF"/>
        </w:rPr>
        <w:t>–</w:t>
      </w:r>
      <w:r w:rsidR="00761F14" w:rsidRPr="00023DD7">
        <w:rPr>
          <w:rFonts w:ascii="Calibri" w:eastAsia="Calibri" w:hAnsi="Calibri" w:cs="Times New Roman"/>
          <w:b/>
          <w:color w:val="0000FF"/>
        </w:rPr>
        <w:t xml:space="preserve"> </w:t>
      </w:r>
      <w:r w:rsidR="00035808">
        <w:rPr>
          <w:rFonts w:ascii="Calibri" w:eastAsia="Calibri" w:hAnsi="Calibri" w:cs="Times New Roman"/>
          <w:b/>
          <w:color w:val="0000FF"/>
        </w:rPr>
        <w:t xml:space="preserve">Traditional </w:t>
      </w:r>
      <w:r w:rsidR="00761F14" w:rsidRPr="00023DD7">
        <w:rPr>
          <w:rFonts w:ascii="Calibri" w:eastAsia="Calibri" w:hAnsi="Calibri" w:cs="Times New Roman"/>
          <w:b/>
          <w:color w:val="0000FF"/>
        </w:rPr>
        <w:t>Inter</w:t>
      </w:r>
      <w:r w:rsidR="00761F14">
        <w:rPr>
          <w:rFonts w:ascii="Calibri" w:eastAsia="Calibri" w:hAnsi="Calibri" w:cs="Times New Roman"/>
          <w:b/>
          <w:color w:val="0000FF"/>
        </w:rPr>
        <w:t xml:space="preserve">rater Reliability: </w:t>
      </w:r>
      <w:r w:rsidR="00761F14" w:rsidRPr="00023DD7">
        <w:rPr>
          <w:rFonts w:ascii="Calibri" w:eastAsia="Calibri" w:hAnsi="Calibri" w:cs="Times New Roman"/>
          <w:color w:val="0000FF"/>
        </w:rPr>
        <w:t>Providers</w:t>
      </w:r>
      <w:r w:rsidR="00761F14">
        <w:rPr>
          <w:rFonts w:ascii="Calibri" w:eastAsia="Calibri" w:hAnsi="Calibri" w:cs="Times New Roman"/>
          <w:color w:val="0000FF"/>
        </w:rPr>
        <w:t xml:space="preserve"> (all types of providers)</w:t>
      </w:r>
      <w:r w:rsidR="00761F14" w:rsidRPr="00023DD7">
        <w:rPr>
          <w:rFonts w:ascii="Calibri" w:eastAsia="Calibri" w:hAnsi="Calibri" w:cs="Times New Roman"/>
          <w:color w:val="0000FF"/>
        </w:rPr>
        <w:t xml:space="preserve"> were asked to enroll a convenience sample of Medicare patients representing a range of </w:t>
      </w:r>
      <w:r w:rsidR="00761F14">
        <w:rPr>
          <w:rFonts w:ascii="Calibri" w:eastAsia="Calibri" w:hAnsi="Calibri" w:cs="Times New Roman"/>
          <w:color w:val="0000FF"/>
        </w:rPr>
        <w:t>clinical and functional complexity</w:t>
      </w:r>
      <w:r w:rsidR="00761F14" w:rsidRPr="00023DD7">
        <w:rPr>
          <w:rFonts w:ascii="Calibri" w:eastAsia="Calibri" w:hAnsi="Calibri" w:cs="Times New Roman"/>
          <w:color w:val="0000FF"/>
        </w:rPr>
        <w:t xml:space="preserve">. The overall patient sample size for </w:t>
      </w:r>
      <w:r w:rsidR="00761F14">
        <w:rPr>
          <w:rFonts w:ascii="Calibri" w:eastAsia="Calibri" w:hAnsi="Calibri" w:cs="Times New Roman"/>
          <w:color w:val="0000FF"/>
        </w:rPr>
        <w:t xml:space="preserve">all but one </w:t>
      </w:r>
      <w:r w:rsidR="00761F14" w:rsidRPr="00610733">
        <w:rPr>
          <w:rFonts w:ascii="Calibri" w:eastAsia="Calibri" w:hAnsi="Calibri" w:cs="Times New Roman"/>
          <w:color w:val="0000FF"/>
        </w:rPr>
        <w:t>self-care item was 450</w:t>
      </w:r>
      <w:r w:rsidR="00761F14">
        <w:rPr>
          <w:rFonts w:ascii="Calibri" w:eastAsia="Calibri" w:hAnsi="Calibri" w:cs="Times New Roman"/>
          <w:color w:val="0000FF"/>
        </w:rPr>
        <w:t xml:space="preserve">; it was </w:t>
      </w:r>
      <w:r w:rsidR="009377E7">
        <w:rPr>
          <w:rFonts w:ascii="Calibri" w:eastAsia="Calibri" w:hAnsi="Calibri" w:cs="Times New Roman"/>
          <w:color w:val="0000FF"/>
        </w:rPr>
        <w:t>449 for E</w:t>
      </w:r>
      <w:r w:rsidR="00761F14" w:rsidRPr="00610733">
        <w:rPr>
          <w:rFonts w:ascii="Calibri" w:eastAsia="Calibri" w:hAnsi="Calibri" w:cs="Times New Roman"/>
          <w:color w:val="0000FF"/>
        </w:rPr>
        <w:t>ating</w:t>
      </w:r>
      <w:r w:rsidR="00761F14" w:rsidRPr="00023DD7">
        <w:rPr>
          <w:rFonts w:ascii="Calibri" w:eastAsia="Calibri" w:hAnsi="Calibri" w:cs="Times New Roman"/>
          <w:color w:val="0000FF"/>
        </w:rPr>
        <w:t xml:space="preserve">. After </w:t>
      </w:r>
      <w:r w:rsidR="00761F14">
        <w:rPr>
          <w:rFonts w:ascii="Calibri" w:eastAsia="Calibri" w:hAnsi="Calibri" w:cs="Times New Roman"/>
          <w:color w:val="0000FF"/>
        </w:rPr>
        <w:t xml:space="preserve">excluding the records of patients with “not attempted” codes and missing data, </w:t>
      </w:r>
      <w:r w:rsidR="00761F14" w:rsidRPr="00023DD7">
        <w:rPr>
          <w:rFonts w:ascii="Calibri" w:eastAsia="Calibri" w:hAnsi="Calibri" w:cs="Times New Roman"/>
          <w:color w:val="0000FF"/>
        </w:rPr>
        <w:t>the effective sample sizes for the reliability testing were:</w:t>
      </w:r>
      <w:r w:rsidR="00761F14">
        <w:rPr>
          <w:rFonts w:ascii="Calibri" w:eastAsia="Calibri" w:hAnsi="Calibri" w:cs="Times New Roman"/>
          <w:color w:val="0000FF"/>
        </w:rPr>
        <w:t xml:space="preserve"> </w:t>
      </w:r>
      <w:r w:rsidR="007A3420">
        <w:rPr>
          <w:rFonts w:ascii="Calibri" w:eastAsia="Calibri" w:hAnsi="Calibri" w:cs="Times New Roman"/>
          <w:color w:val="0000FF"/>
        </w:rPr>
        <w:t>E</w:t>
      </w:r>
      <w:r w:rsidR="00761F14" w:rsidRPr="00A961B9">
        <w:rPr>
          <w:rFonts w:ascii="Calibri" w:eastAsia="Calibri" w:hAnsi="Calibri" w:cs="Times New Roman"/>
          <w:color w:val="0000FF"/>
        </w:rPr>
        <w:t>ating</w:t>
      </w:r>
      <w:r w:rsidR="00761F14">
        <w:rPr>
          <w:rFonts w:ascii="Calibri" w:eastAsia="Calibri" w:hAnsi="Calibri" w:cs="Times New Roman"/>
          <w:color w:val="0000FF"/>
        </w:rPr>
        <w:t>:</w:t>
      </w:r>
      <w:r w:rsidR="00761F14" w:rsidRPr="00A961B9">
        <w:rPr>
          <w:rFonts w:ascii="Calibri" w:eastAsia="Calibri" w:hAnsi="Calibri" w:cs="Times New Roman"/>
          <w:color w:val="0000FF"/>
        </w:rPr>
        <w:t xml:space="preserve"> 401</w:t>
      </w:r>
      <w:r w:rsidR="00761F14">
        <w:rPr>
          <w:rFonts w:ascii="Calibri" w:eastAsia="Calibri" w:hAnsi="Calibri" w:cs="Times New Roman"/>
          <w:color w:val="0000FF"/>
        </w:rPr>
        <w:t xml:space="preserve">; </w:t>
      </w:r>
      <w:r w:rsidR="007A3420">
        <w:rPr>
          <w:rFonts w:ascii="Calibri" w:eastAsia="Calibri" w:hAnsi="Calibri" w:cs="Times New Roman"/>
          <w:color w:val="0000FF"/>
        </w:rPr>
        <w:t>O</w:t>
      </w:r>
      <w:r w:rsidR="00761F14" w:rsidRPr="00A961B9">
        <w:rPr>
          <w:rFonts w:ascii="Calibri" w:eastAsia="Calibri" w:hAnsi="Calibri" w:cs="Times New Roman"/>
          <w:color w:val="0000FF"/>
        </w:rPr>
        <w:t>ral hygiene: 414</w:t>
      </w:r>
      <w:r w:rsidR="00761F14">
        <w:rPr>
          <w:rFonts w:ascii="Calibri" w:eastAsia="Calibri" w:hAnsi="Calibri" w:cs="Times New Roman"/>
          <w:color w:val="0000FF"/>
        </w:rPr>
        <w:t xml:space="preserve">; </w:t>
      </w:r>
      <w:r w:rsidR="007A3420">
        <w:rPr>
          <w:rFonts w:ascii="Calibri" w:eastAsia="Calibri" w:hAnsi="Calibri" w:cs="Times New Roman"/>
          <w:color w:val="0000FF"/>
        </w:rPr>
        <w:t>T</w:t>
      </w:r>
      <w:r w:rsidR="00761F14" w:rsidRPr="00A961B9">
        <w:rPr>
          <w:rFonts w:ascii="Calibri" w:eastAsia="Calibri" w:hAnsi="Calibri" w:cs="Times New Roman"/>
          <w:color w:val="0000FF"/>
        </w:rPr>
        <w:t>oilet hygiene: 416</w:t>
      </w:r>
      <w:r w:rsidR="00761F14">
        <w:rPr>
          <w:rFonts w:ascii="Calibri" w:eastAsia="Calibri" w:hAnsi="Calibri" w:cs="Times New Roman"/>
          <w:color w:val="0000FF"/>
        </w:rPr>
        <w:t xml:space="preserve">; </w:t>
      </w:r>
      <w:r w:rsidR="007A3420">
        <w:rPr>
          <w:rFonts w:ascii="Calibri" w:eastAsia="Calibri" w:hAnsi="Calibri" w:cs="Times New Roman"/>
          <w:color w:val="0000FF"/>
        </w:rPr>
        <w:t>U</w:t>
      </w:r>
      <w:r w:rsidR="00761F14" w:rsidRPr="00A961B9">
        <w:rPr>
          <w:rFonts w:ascii="Calibri" w:eastAsia="Calibri" w:hAnsi="Calibri" w:cs="Times New Roman"/>
          <w:color w:val="0000FF"/>
        </w:rPr>
        <w:t>pper body dressing: 420</w:t>
      </w:r>
      <w:r w:rsidR="00761F14">
        <w:rPr>
          <w:rFonts w:ascii="Calibri" w:eastAsia="Calibri" w:hAnsi="Calibri" w:cs="Times New Roman"/>
          <w:color w:val="0000FF"/>
        </w:rPr>
        <w:t xml:space="preserve">; </w:t>
      </w:r>
      <w:r w:rsidR="007A3420">
        <w:rPr>
          <w:rFonts w:ascii="Calibri" w:eastAsia="Calibri" w:hAnsi="Calibri" w:cs="Times New Roman"/>
          <w:color w:val="0000FF"/>
        </w:rPr>
        <w:t>l</w:t>
      </w:r>
      <w:r w:rsidR="00761F14" w:rsidRPr="00A961B9">
        <w:rPr>
          <w:rFonts w:ascii="Calibri" w:eastAsia="Calibri" w:hAnsi="Calibri" w:cs="Times New Roman"/>
          <w:color w:val="0000FF"/>
        </w:rPr>
        <w:t>ower body dressing: 413</w:t>
      </w:r>
      <w:r w:rsidR="00761F14">
        <w:rPr>
          <w:rFonts w:ascii="Calibri" w:eastAsia="Calibri" w:hAnsi="Calibri" w:cs="Times New Roman"/>
          <w:color w:val="0000FF"/>
        </w:rPr>
        <w:t xml:space="preserve">.  </w:t>
      </w:r>
      <w:r w:rsidR="00761F14" w:rsidRPr="00A961B9">
        <w:rPr>
          <w:rFonts w:ascii="Calibri" w:eastAsia="Calibri" w:hAnsi="Calibri" w:cs="Times New Roman"/>
          <w:color w:val="0000FF"/>
        </w:rPr>
        <w:t xml:space="preserve">Patients </w:t>
      </w:r>
      <w:r w:rsidR="00761F14">
        <w:rPr>
          <w:rFonts w:ascii="Calibri" w:eastAsia="Calibri" w:hAnsi="Calibri" w:cs="Times New Roman"/>
          <w:color w:val="0000FF"/>
        </w:rPr>
        <w:t xml:space="preserve">in the interrater reliability sample </w:t>
      </w:r>
      <w:r w:rsidR="00761F14" w:rsidRPr="00A961B9">
        <w:rPr>
          <w:rFonts w:ascii="Calibri" w:eastAsia="Calibri" w:hAnsi="Calibri" w:cs="Times New Roman"/>
          <w:color w:val="0000FF"/>
        </w:rPr>
        <w:t xml:space="preserve">had a mean age of 77 and </w:t>
      </w:r>
      <w:r w:rsidR="00761F14">
        <w:rPr>
          <w:rFonts w:ascii="Calibri" w:eastAsia="Calibri" w:hAnsi="Calibri" w:cs="Times New Roman"/>
          <w:color w:val="0000FF"/>
        </w:rPr>
        <w:t xml:space="preserve">the </w:t>
      </w:r>
      <w:r w:rsidR="00761F14" w:rsidRPr="00A961B9">
        <w:rPr>
          <w:rFonts w:ascii="Calibri" w:eastAsia="Calibri" w:hAnsi="Calibri" w:cs="Times New Roman"/>
          <w:color w:val="0000FF"/>
        </w:rPr>
        <w:t xml:space="preserve">majority </w:t>
      </w:r>
      <w:r w:rsidR="00761F14">
        <w:rPr>
          <w:rFonts w:ascii="Calibri" w:eastAsia="Calibri" w:hAnsi="Calibri" w:cs="Times New Roman"/>
          <w:color w:val="0000FF"/>
        </w:rPr>
        <w:t xml:space="preserve">of patients were </w:t>
      </w:r>
      <w:r w:rsidR="00761F14" w:rsidRPr="00A961B9">
        <w:rPr>
          <w:rFonts w:ascii="Calibri" w:eastAsia="Calibri" w:hAnsi="Calibri" w:cs="Times New Roman"/>
          <w:color w:val="0000FF"/>
        </w:rPr>
        <w:t xml:space="preserve">female </w:t>
      </w:r>
      <w:r w:rsidR="00761F14">
        <w:rPr>
          <w:rFonts w:ascii="Calibri" w:eastAsia="Calibri" w:hAnsi="Calibri" w:cs="Times New Roman"/>
          <w:color w:val="0000FF"/>
        </w:rPr>
        <w:t xml:space="preserve">(59.6%) </w:t>
      </w:r>
      <w:r w:rsidR="00761F14" w:rsidRPr="00A961B9">
        <w:rPr>
          <w:rFonts w:ascii="Calibri" w:eastAsia="Calibri" w:hAnsi="Calibri" w:cs="Times New Roman"/>
          <w:color w:val="0000FF"/>
        </w:rPr>
        <w:t>and white</w:t>
      </w:r>
      <w:r w:rsidR="00761F14">
        <w:rPr>
          <w:rFonts w:ascii="Calibri" w:eastAsia="Calibri" w:hAnsi="Calibri" w:cs="Times New Roman"/>
          <w:color w:val="0000FF"/>
        </w:rPr>
        <w:t xml:space="preserve"> (89.9%)</w:t>
      </w:r>
      <w:r w:rsidR="00761F14" w:rsidRPr="00A961B9">
        <w:rPr>
          <w:rFonts w:ascii="Calibri" w:eastAsia="Calibri" w:hAnsi="Calibri" w:cs="Times New Roman"/>
          <w:color w:val="0000FF"/>
        </w:rPr>
        <w:t xml:space="preserve">. </w:t>
      </w:r>
      <w:r w:rsidR="00761F14">
        <w:rPr>
          <w:rFonts w:ascii="Calibri" w:eastAsia="Calibri" w:hAnsi="Calibri" w:cs="Times New Roman"/>
          <w:color w:val="0000FF"/>
        </w:rPr>
        <w:t xml:space="preserve">More than </w:t>
      </w:r>
      <w:r w:rsidR="00761F14" w:rsidRPr="00A961B9">
        <w:rPr>
          <w:rFonts w:ascii="Calibri" w:eastAsia="Calibri" w:hAnsi="Calibri" w:cs="Times New Roman"/>
          <w:color w:val="0000FF"/>
        </w:rPr>
        <w:t xml:space="preserve">half of the sample (65.5%) was admitted </w:t>
      </w:r>
      <w:r w:rsidR="00761F14">
        <w:rPr>
          <w:rFonts w:ascii="Calibri" w:eastAsia="Calibri" w:hAnsi="Calibri" w:cs="Times New Roman"/>
          <w:color w:val="0000FF"/>
        </w:rPr>
        <w:t xml:space="preserve">directly </w:t>
      </w:r>
      <w:r w:rsidR="00761F14" w:rsidRPr="00A961B9">
        <w:rPr>
          <w:rFonts w:ascii="Calibri" w:eastAsia="Calibri" w:hAnsi="Calibri" w:cs="Times New Roman"/>
          <w:color w:val="0000FF"/>
        </w:rPr>
        <w:t>from a short-stay acute hospital</w:t>
      </w:r>
      <w:r w:rsidR="00761F14">
        <w:rPr>
          <w:rFonts w:ascii="Calibri" w:eastAsia="Calibri" w:hAnsi="Calibri" w:cs="Times New Roman"/>
          <w:color w:val="0000FF"/>
        </w:rPr>
        <w:t xml:space="preserve">, and </w:t>
      </w:r>
      <w:r w:rsidR="00761F14" w:rsidRPr="00A961B9">
        <w:rPr>
          <w:rFonts w:ascii="Calibri" w:eastAsia="Calibri" w:hAnsi="Calibri" w:cs="Times New Roman"/>
          <w:color w:val="0000FF"/>
        </w:rPr>
        <w:t xml:space="preserve">14.7% were admitted </w:t>
      </w:r>
      <w:r w:rsidR="00761F14">
        <w:rPr>
          <w:rFonts w:ascii="Calibri" w:eastAsia="Calibri" w:hAnsi="Calibri" w:cs="Times New Roman"/>
          <w:color w:val="0000FF"/>
        </w:rPr>
        <w:t xml:space="preserve">directly </w:t>
      </w:r>
      <w:r w:rsidR="00761F14" w:rsidRPr="00A961B9">
        <w:rPr>
          <w:rFonts w:ascii="Calibri" w:eastAsia="Calibri" w:hAnsi="Calibri" w:cs="Times New Roman"/>
          <w:color w:val="0000FF"/>
        </w:rPr>
        <w:t>from the community</w:t>
      </w:r>
      <w:r w:rsidR="00761F14">
        <w:rPr>
          <w:rFonts w:ascii="Calibri" w:eastAsia="Calibri" w:hAnsi="Calibri" w:cs="Times New Roman"/>
          <w:color w:val="0000FF"/>
        </w:rPr>
        <w:t xml:space="preserve">. </w:t>
      </w:r>
    </w:p>
    <w:p w14:paraId="34623359" w14:textId="77777777" w:rsidR="00761F14" w:rsidRDefault="00761F14" w:rsidP="00761F14">
      <w:pPr>
        <w:spacing w:before="240" w:after="240" w:line="240" w:lineRule="auto"/>
        <w:rPr>
          <w:color w:val="0000FF"/>
        </w:rPr>
      </w:pPr>
      <w:r w:rsidRPr="00023DD7">
        <w:rPr>
          <w:rFonts w:ascii="Calibri" w:eastAsia="Calibri" w:hAnsi="Calibri" w:cs="Times New Roman"/>
          <w:b/>
          <w:color w:val="0000FF"/>
        </w:rPr>
        <w:t>Item Reliability Testing</w:t>
      </w:r>
      <w:r>
        <w:rPr>
          <w:rFonts w:ascii="Calibri" w:eastAsia="Calibri" w:hAnsi="Calibri" w:cs="Times New Roman"/>
          <w:b/>
          <w:color w:val="0000FF"/>
        </w:rPr>
        <w:t xml:space="preserve"> -</w:t>
      </w:r>
      <w:r w:rsidRPr="00023DD7">
        <w:rPr>
          <w:rFonts w:ascii="Calibri" w:eastAsia="Calibri" w:hAnsi="Calibri" w:cs="Times New Roman"/>
          <w:b/>
          <w:color w:val="0000FF"/>
        </w:rPr>
        <w:t xml:space="preserve"> Videotaped Standar</w:t>
      </w:r>
      <w:r>
        <w:rPr>
          <w:rFonts w:ascii="Calibri" w:eastAsia="Calibri" w:hAnsi="Calibri" w:cs="Times New Roman"/>
          <w:b/>
          <w:color w:val="0000FF"/>
        </w:rPr>
        <w:t xml:space="preserve">dized Patient Interrater Reliability: </w:t>
      </w:r>
      <w:r w:rsidRPr="001726A6">
        <w:rPr>
          <w:color w:val="0000FF"/>
        </w:rPr>
        <w:t xml:space="preserve">For the video reliability </w:t>
      </w:r>
      <w:r>
        <w:rPr>
          <w:color w:val="0000FF"/>
        </w:rPr>
        <w:t>testing</w:t>
      </w:r>
      <w:r w:rsidRPr="001726A6">
        <w:rPr>
          <w:color w:val="0000FF"/>
        </w:rPr>
        <w:t xml:space="preserve">, which was designed to examine clinician agreement across </w:t>
      </w:r>
      <w:r>
        <w:rPr>
          <w:color w:val="0000FF"/>
        </w:rPr>
        <w:t>provider types</w:t>
      </w:r>
      <w:r w:rsidRPr="001726A6">
        <w:rPr>
          <w:color w:val="0000FF"/>
        </w:rPr>
        <w:t>, clinicians were asked to assess “standardized” patients presented through a videotape of a patient assessment. This ensured that the same information was presented to each clinician and allowed examination of differences in scoring effects among different clinicians examining the “same” patient.</w:t>
      </w:r>
      <w:r>
        <w:rPr>
          <w:color w:val="0000FF"/>
        </w:rPr>
        <w:t xml:space="preserve"> </w:t>
      </w:r>
      <w:r w:rsidRPr="001726A6">
        <w:rPr>
          <w:color w:val="0000FF"/>
        </w:rPr>
        <w:t xml:space="preserve">The patient “case studies” in each of the videos varied in terms of medical complexity, functional abilities, and cognitive impairments. The nine videos included patients classified as high, medium, or low ability/complexity for each of these three areas. Each facility or agency received three videos, one of which demonstrated one of the following elements: cognitive impairments, skin integrity problems, a wheelchair-dependent patient, and a variety of mid-level functional activities. </w:t>
      </w:r>
    </w:p>
    <w:p w14:paraId="33E99A1E" w14:textId="1A383540" w:rsidR="00653A39" w:rsidRDefault="00DE04E4" w:rsidP="00850EFF">
      <w:pPr>
        <w:pStyle w:val="ListParagraph"/>
        <w:keepNext/>
        <w:keepLines/>
        <w:spacing w:before="120" w:after="40" w:line="240" w:lineRule="auto"/>
        <w:ind w:left="0"/>
        <w:outlineLvl w:val="2"/>
        <w:rPr>
          <w:rFonts w:ascii="Calibri" w:eastAsia="Calibri" w:hAnsi="Calibri" w:cs="Times New Roman"/>
          <w:color w:val="0000FF"/>
        </w:rPr>
      </w:pPr>
      <w:r w:rsidRPr="009D386B">
        <w:rPr>
          <w:rFonts w:ascii="Calibri" w:eastAsia="Calibri" w:hAnsi="Calibri" w:cs="Times New Roman"/>
          <w:b/>
          <w:color w:val="0000FF"/>
        </w:rPr>
        <w:t>Scale Reliability</w:t>
      </w:r>
      <w:r w:rsidR="0064313B" w:rsidRPr="009D386B">
        <w:rPr>
          <w:rFonts w:ascii="Calibri" w:eastAsia="Calibri" w:hAnsi="Calibri" w:cs="Times New Roman"/>
          <w:b/>
          <w:color w:val="0000FF"/>
        </w:rPr>
        <w:t xml:space="preserve"> and </w:t>
      </w:r>
      <w:r w:rsidRPr="009D386B">
        <w:rPr>
          <w:rFonts w:ascii="Calibri" w:eastAsia="Calibri" w:hAnsi="Calibri" w:cs="Times New Roman"/>
          <w:b/>
          <w:color w:val="0000FF"/>
        </w:rPr>
        <w:t>Construct Vali</w:t>
      </w:r>
      <w:r w:rsidR="0056116F" w:rsidRPr="009D386B">
        <w:rPr>
          <w:rFonts w:ascii="Calibri" w:eastAsia="Calibri" w:hAnsi="Calibri" w:cs="Times New Roman"/>
          <w:b/>
          <w:color w:val="0000FF"/>
        </w:rPr>
        <w:t>dity</w:t>
      </w:r>
      <w:r w:rsidR="00035808" w:rsidRPr="009D386B">
        <w:rPr>
          <w:rFonts w:ascii="Calibri" w:eastAsia="Calibri" w:hAnsi="Calibri" w:cs="Times New Roman"/>
          <w:b/>
          <w:color w:val="0000FF"/>
        </w:rPr>
        <w:t xml:space="preserve"> Testing</w:t>
      </w:r>
      <w:r w:rsidR="0056116F" w:rsidRPr="009D386B">
        <w:rPr>
          <w:rFonts w:ascii="Calibri" w:eastAsia="Calibri" w:hAnsi="Calibri" w:cs="Times New Roman"/>
          <w:b/>
          <w:color w:val="0000FF"/>
        </w:rPr>
        <w:t xml:space="preserve"> -</w:t>
      </w:r>
      <w:r w:rsidR="0056116F">
        <w:rPr>
          <w:rFonts w:ascii="Calibri" w:eastAsia="Calibri" w:hAnsi="Calibri" w:cs="Times New Roman"/>
          <w:b/>
          <w:color w:val="0000FF"/>
        </w:rPr>
        <w:t xml:space="preserve"> </w:t>
      </w:r>
      <w:r>
        <w:rPr>
          <w:rFonts w:ascii="Calibri" w:eastAsia="Calibri" w:hAnsi="Calibri" w:cs="Times New Roman"/>
          <w:b/>
          <w:color w:val="0000FF"/>
        </w:rPr>
        <w:t>Item Difficulty Ordering (Rasch Analysis):</w:t>
      </w:r>
      <w:r w:rsidR="00332839">
        <w:rPr>
          <w:rFonts w:ascii="Calibri" w:eastAsia="Calibri" w:hAnsi="Calibri" w:cs="Times New Roman"/>
          <w:b/>
          <w:color w:val="0000FF"/>
        </w:rPr>
        <w:t xml:space="preserve"> </w:t>
      </w:r>
      <w:r w:rsidR="00653A39" w:rsidRPr="001726A6">
        <w:rPr>
          <w:rFonts w:ascii="Calibri" w:eastAsia="Calibri" w:hAnsi="Calibri" w:cs="Times New Roman"/>
          <w:color w:val="0000FF"/>
        </w:rPr>
        <w:t xml:space="preserve">Data for 5,129 </w:t>
      </w:r>
      <w:r w:rsidR="00653A39">
        <w:rPr>
          <w:rFonts w:ascii="Calibri" w:eastAsia="Calibri" w:hAnsi="Calibri" w:cs="Times New Roman"/>
          <w:color w:val="0000FF"/>
        </w:rPr>
        <w:t xml:space="preserve">IRF patients </w:t>
      </w:r>
      <w:r w:rsidR="00653A39" w:rsidRPr="001726A6">
        <w:rPr>
          <w:rFonts w:ascii="Calibri" w:eastAsia="Calibri" w:hAnsi="Calibri" w:cs="Times New Roman"/>
          <w:color w:val="0000FF"/>
        </w:rPr>
        <w:t>was analyzed</w:t>
      </w:r>
      <w:r w:rsidR="00653A39">
        <w:rPr>
          <w:rFonts w:ascii="Calibri" w:eastAsia="Calibri" w:hAnsi="Calibri" w:cs="Times New Roman"/>
          <w:color w:val="0000FF"/>
        </w:rPr>
        <w:t xml:space="preserve"> for the fit assessment and internal consistency</w:t>
      </w:r>
      <w:r w:rsidR="00653A39" w:rsidRPr="001726A6">
        <w:rPr>
          <w:rFonts w:ascii="Calibri" w:eastAsia="Calibri" w:hAnsi="Calibri" w:cs="Times New Roman"/>
          <w:color w:val="0000FF"/>
        </w:rPr>
        <w:t xml:space="preserve">. </w:t>
      </w:r>
      <w:r w:rsidR="00653A39">
        <w:rPr>
          <w:rFonts w:ascii="Calibri" w:eastAsia="Calibri" w:hAnsi="Calibri" w:cs="Times New Roman"/>
          <w:color w:val="0000FF"/>
        </w:rPr>
        <w:t>More than half of the IRF patients were female (57.9%) and 57.6% were 75 years old or older. Most (87.7%) were white and 7.6% had Medicaid as a secondary payer. Most (92.1%) were admitted to the IRF directly from an acute care hospital.</w:t>
      </w:r>
    </w:p>
    <w:p w14:paraId="23CA475E" w14:textId="77777777" w:rsidR="00653A39" w:rsidRDefault="00653A39" w:rsidP="00653A39">
      <w:pPr>
        <w:pStyle w:val="ListParagraph"/>
        <w:keepNext/>
        <w:keepLines/>
        <w:spacing w:before="120" w:after="40" w:line="240" w:lineRule="auto"/>
        <w:ind w:left="0"/>
        <w:outlineLvl w:val="2"/>
        <w:rPr>
          <w:rFonts w:ascii="Calibri" w:eastAsia="Calibri" w:hAnsi="Calibri" w:cs="Times New Roman"/>
          <w:b/>
          <w:color w:val="0000FF"/>
        </w:rPr>
      </w:pPr>
    </w:p>
    <w:p w14:paraId="653B331B" w14:textId="2B59C005" w:rsidR="00653A39" w:rsidRDefault="00653A39" w:rsidP="00653A39">
      <w:pPr>
        <w:pStyle w:val="ListParagraph"/>
        <w:keepNext/>
        <w:keepLines/>
        <w:spacing w:before="120" w:after="40" w:line="240" w:lineRule="auto"/>
        <w:ind w:left="0"/>
        <w:outlineLvl w:val="2"/>
        <w:rPr>
          <w:rFonts w:ascii="Calibri" w:eastAsia="Calibri" w:hAnsi="Calibri" w:cs="Times New Roman"/>
          <w:color w:val="0000FF"/>
        </w:rPr>
      </w:pPr>
      <w:r w:rsidRPr="001726A6">
        <w:rPr>
          <w:rFonts w:ascii="Calibri" w:eastAsia="Calibri" w:hAnsi="Calibri" w:cs="Times New Roman"/>
          <w:b/>
          <w:color w:val="0000FF"/>
        </w:rPr>
        <w:t>Scale Reliability</w:t>
      </w:r>
      <w:r>
        <w:rPr>
          <w:rFonts w:ascii="Calibri" w:eastAsia="Calibri" w:hAnsi="Calibri" w:cs="Times New Roman"/>
          <w:b/>
          <w:color w:val="0000FF"/>
        </w:rPr>
        <w:t xml:space="preserve"> and Validity</w:t>
      </w:r>
      <w:r w:rsidR="009627AD" w:rsidRPr="009627AD">
        <w:rPr>
          <w:rFonts w:ascii="Calibri" w:eastAsia="Calibri" w:hAnsi="Calibri" w:cs="Times New Roman"/>
          <w:b/>
          <w:color w:val="0000FF"/>
        </w:rPr>
        <w:t xml:space="preserve"> </w:t>
      </w:r>
      <w:r w:rsidR="009627AD" w:rsidRPr="009A0D41">
        <w:rPr>
          <w:rFonts w:ascii="Calibri" w:eastAsia="Calibri" w:hAnsi="Calibri" w:cs="Times New Roman"/>
          <w:b/>
          <w:color w:val="0000FF"/>
        </w:rPr>
        <w:t>-</w:t>
      </w:r>
      <w:r w:rsidRPr="001726A6">
        <w:rPr>
          <w:rFonts w:ascii="Calibri" w:eastAsia="Calibri" w:hAnsi="Calibri" w:cs="Times New Roman"/>
          <w:b/>
          <w:color w:val="0000FF"/>
        </w:rPr>
        <w:t xml:space="preserve"> Fit Assessment (Rasch Analysis) and Internal Consistency</w:t>
      </w:r>
      <w:r>
        <w:rPr>
          <w:rFonts w:ascii="Calibri" w:eastAsia="Calibri" w:hAnsi="Calibri" w:cs="Times New Roman"/>
          <w:b/>
          <w:color w:val="0000FF"/>
        </w:rPr>
        <w:t xml:space="preserve">: </w:t>
      </w:r>
      <w:r w:rsidRPr="001726A6">
        <w:rPr>
          <w:rFonts w:ascii="Calibri" w:eastAsia="Calibri" w:hAnsi="Calibri" w:cs="Times New Roman"/>
          <w:color w:val="0000FF"/>
        </w:rPr>
        <w:t xml:space="preserve">Data for 5,129 </w:t>
      </w:r>
      <w:r>
        <w:rPr>
          <w:rFonts w:ascii="Calibri" w:eastAsia="Calibri" w:hAnsi="Calibri" w:cs="Times New Roman"/>
          <w:color w:val="0000FF"/>
        </w:rPr>
        <w:t xml:space="preserve">IRF patients </w:t>
      </w:r>
      <w:r w:rsidRPr="001726A6">
        <w:rPr>
          <w:rFonts w:ascii="Calibri" w:eastAsia="Calibri" w:hAnsi="Calibri" w:cs="Times New Roman"/>
          <w:color w:val="0000FF"/>
        </w:rPr>
        <w:t>was analyzed</w:t>
      </w:r>
      <w:r>
        <w:rPr>
          <w:rFonts w:ascii="Calibri" w:eastAsia="Calibri" w:hAnsi="Calibri" w:cs="Times New Roman"/>
          <w:color w:val="0000FF"/>
        </w:rPr>
        <w:t xml:space="preserve"> for the fit assessment and internal consistency</w:t>
      </w:r>
      <w:r w:rsidRPr="001726A6">
        <w:rPr>
          <w:rFonts w:ascii="Calibri" w:eastAsia="Calibri" w:hAnsi="Calibri" w:cs="Times New Roman"/>
          <w:color w:val="0000FF"/>
        </w:rPr>
        <w:t xml:space="preserve">. </w:t>
      </w:r>
      <w:r>
        <w:rPr>
          <w:rFonts w:ascii="Calibri" w:eastAsia="Calibri" w:hAnsi="Calibri" w:cs="Times New Roman"/>
          <w:color w:val="0000FF"/>
        </w:rPr>
        <w:t>More than half of the IRF patients were female (57.9%) and 57.6% were 75 years old or older. Most (87.7%) were white and 7.6% had Medicaid as a secondary payer. Most (92.1%) were admitted to the IRF directly from an acute care hospital.</w:t>
      </w:r>
    </w:p>
    <w:p w14:paraId="3658A32B" w14:textId="77777777" w:rsidR="00761F14" w:rsidRPr="001726A6" w:rsidRDefault="00761F14" w:rsidP="00761F14">
      <w:pPr>
        <w:spacing w:before="240" w:after="0" w:line="240" w:lineRule="auto"/>
        <w:rPr>
          <w:rFonts w:ascii="Calibri" w:eastAsia="Calibri" w:hAnsi="Calibri" w:cs="Times New Roman"/>
          <w:color w:val="0000FF"/>
        </w:rPr>
      </w:pPr>
      <w:r w:rsidRPr="001726A6">
        <w:rPr>
          <w:rFonts w:ascii="Calibri" w:eastAsia="Calibri" w:hAnsi="Calibri" w:cs="Times New Roman"/>
          <w:b/>
          <w:color w:val="0000FF"/>
        </w:rPr>
        <w:t>Item</w:t>
      </w:r>
      <w:r>
        <w:rPr>
          <w:rFonts w:ascii="Calibri" w:eastAsia="Calibri" w:hAnsi="Calibri" w:cs="Times New Roman"/>
          <w:b/>
          <w:color w:val="0000FF"/>
        </w:rPr>
        <w:t xml:space="preserve"> Reliability and Validity -</w:t>
      </w:r>
      <w:r w:rsidRPr="001726A6">
        <w:rPr>
          <w:rFonts w:ascii="Calibri" w:eastAsia="Calibri" w:hAnsi="Calibri" w:cs="Times New Roman"/>
          <w:b/>
          <w:color w:val="0000FF"/>
        </w:rPr>
        <w:t xml:space="preserve"> Response Option Assessment (Rasch Analysis)</w:t>
      </w:r>
      <w:r>
        <w:rPr>
          <w:rFonts w:ascii="Calibri" w:eastAsia="Calibri" w:hAnsi="Calibri" w:cs="Times New Roman"/>
          <w:b/>
          <w:color w:val="0000FF"/>
        </w:rPr>
        <w:t xml:space="preserve">: </w:t>
      </w:r>
      <w:r w:rsidRPr="001726A6">
        <w:rPr>
          <w:rFonts w:ascii="Calibri" w:eastAsia="Calibri" w:hAnsi="Calibri" w:cs="Times New Roman"/>
          <w:color w:val="0000FF"/>
        </w:rPr>
        <w:t xml:space="preserve">Data for 5,129 </w:t>
      </w:r>
      <w:r>
        <w:rPr>
          <w:rFonts w:ascii="Calibri" w:eastAsia="Calibri" w:hAnsi="Calibri" w:cs="Times New Roman"/>
          <w:color w:val="0000FF"/>
        </w:rPr>
        <w:t xml:space="preserve">IRF </w:t>
      </w:r>
      <w:r w:rsidRPr="001726A6">
        <w:rPr>
          <w:rFonts w:ascii="Calibri" w:eastAsia="Calibri" w:hAnsi="Calibri" w:cs="Times New Roman"/>
          <w:color w:val="0000FF"/>
        </w:rPr>
        <w:t>patients was analyzed</w:t>
      </w:r>
      <w:r>
        <w:rPr>
          <w:rFonts w:ascii="Calibri" w:eastAsia="Calibri" w:hAnsi="Calibri" w:cs="Times New Roman"/>
          <w:color w:val="0000FF"/>
        </w:rPr>
        <w:t xml:space="preserve"> for the response option analysis (Rasch analysis)</w:t>
      </w:r>
      <w:r w:rsidRPr="001726A6">
        <w:rPr>
          <w:rFonts w:ascii="Calibri" w:eastAsia="Calibri" w:hAnsi="Calibri" w:cs="Times New Roman"/>
          <w:color w:val="0000FF"/>
        </w:rPr>
        <w:t xml:space="preserve">. </w:t>
      </w:r>
      <w:r>
        <w:rPr>
          <w:rFonts w:ascii="Calibri" w:eastAsia="Calibri" w:hAnsi="Calibri" w:cs="Times New Roman"/>
          <w:color w:val="0000FF"/>
        </w:rPr>
        <w:t xml:space="preserve">More than half of the IRF patients were female (57.9%) and 57.6% were 75 years old or older. Most (87.7%) were white and 7.6% had Medicaid as a secondary payer. Most (92.1%) were admitted to the IRF directly from an acute care hospital. </w:t>
      </w:r>
    </w:p>
    <w:p w14:paraId="4DAF8952" w14:textId="77777777" w:rsidR="00761F14" w:rsidRDefault="00761F14" w:rsidP="00E37E1B">
      <w:pPr>
        <w:autoSpaceDE w:val="0"/>
        <w:autoSpaceDN w:val="0"/>
        <w:adjustRightInd w:val="0"/>
        <w:spacing w:after="0" w:line="240" w:lineRule="auto"/>
        <w:rPr>
          <w:rFonts w:cstheme="minorHAnsi"/>
          <w:b/>
          <w:bCs/>
        </w:rPr>
      </w:pPr>
    </w:p>
    <w:p w14:paraId="4AA0C759" w14:textId="77777777" w:rsidR="00A2496B" w:rsidRDefault="00A2496B">
      <w:pPr>
        <w:rPr>
          <w:rFonts w:cstheme="minorHAnsi"/>
          <w:b/>
          <w:bCs/>
        </w:rPr>
      </w:pPr>
      <w:r>
        <w:rPr>
          <w:rFonts w:cstheme="minorHAnsi"/>
          <w:b/>
          <w:bCs/>
        </w:rPr>
        <w:br w:type="page"/>
      </w:r>
    </w:p>
    <w:p w14:paraId="7C1B5A2D" w14:textId="310C9444" w:rsidR="00E37E1B" w:rsidRDefault="002B5016" w:rsidP="00E37E1B">
      <w:pPr>
        <w:autoSpaceDE w:val="0"/>
        <w:autoSpaceDN w:val="0"/>
        <w:adjustRightInd w:val="0"/>
        <w:spacing w:after="0" w:line="240" w:lineRule="auto"/>
        <w:rPr>
          <w:rFonts w:cstheme="minorHAnsi"/>
          <w:bCs/>
        </w:rPr>
      </w:pPr>
      <w:r>
        <w:rPr>
          <w:rFonts w:cstheme="minorHAnsi"/>
          <w:b/>
          <w:bCs/>
        </w:rPr>
        <w:lastRenderedPageBreak/>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22CD1124" w14:textId="77777777" w:rsidR="001942F7" w:rsidRDefault="001942F7" w:rsidP="00E37E1B">
      <w:pPr>
        <w:autoSpaceDE w:val="0"/>
        <w:autoSpaceDN w:val="0"/>
        <w:adjustRightInd w:val="0"/>
        <w:spacing w:after="0" w:line="240" w:lineRule="auto"/>
        <w:rPr>
          <w:rFonts w:cstheme="minorHAnsi"/>
          <w:noProof/>
        </w:rPr>
      </w:pPr>
    </w:p>
    <w:p w14:paraId="7EFB35E6" w14:textId="3E2EE0A3" w:rsidR="00761F14" w:rsidRDefault="00761F14" w:rsidP="00761F14">
      <w:pPr>
        <w:autoSpaceDE w:val="0"/>
        <w:autoSpaceDN w:val="0"/>
        <w:adjustRightInd w:val="0"/>
        <w:spacing w:after="0" w:line="240" w:lineRule="auto"/>
        <w:rPr>
          <w:rFonts w:ascii="Calibri" w:eastAsia="Calibri" w:hAnsi="Calibri" w:cs="Times New Roman"/>
          <w:color w:val="0000FF"/>
        </w:rPr>
      </w:pPr>
      <w:r>
        <w:rPr>
          <w:rFonts w:ascii="Calibri" w:eastAsia="Calibri" w:hAnsi="Calibri" w:cs="Times New Roman"/>
          <w:color w:val="0000FF"/>
        </w:rPr>
        <w:t xml:space="preserve">All testing was conducted as part of the </w:t>
      </w:r>
      <w:r w:rsidR="007A3420">
        <w:rPr>
          <w:rFonts w:ascii="Calibri" w:eastAsia="Calibri" w:hAnsi="Calibri" w:cs="Times New Roman"/>
          <w:color w:val="0000FF"/>
        </w:rPr>
        <w:t>Post-Acute</w:t>
      </w:r>
      <w:r>
        <w:rPr>
          <w:rFonts w:ascii="Calibri" w:eastAsia="Calibri" w:hAnsi="Calibri" w:cs="Times New Roman"/>
          <w:color w:val="0000FF"/>
        </w:rPr>
        <w:t xml:space="preserve"> Care Payment Reform Demonstration; each type of testing involved a different set of providers. The traditional interrater reliability testing included a total of 34 providers, of which 7 were IRFs with 119 paired IRF assessments. A total of 9 videotaped “standardized” patients were used to test interrater reliability in 8 IRFs with 238 IRF assessments. T</w:t>
      </w:r>
      <w:r w:rsidRPr="002F017B">
        <w:rPr>
          <w:rFonts w:ascii="Calibri" w:eastAsia="Calibri" w:hAnsi="Calibri" w:cs="Times New Roman"/>
          <w:color w:val="0000FF"/>
        </w:rPr>
        <w:t xml:space="preserve">he </w:t>
      </w:r>
      <w:r>
        <w:rPr>
          <w:rFonts w:ascii="Calibri" w:eastAsia="Calibri" w:hAnsi="Calibri" w:cs="Times New Roman"/>
          <w:color w:val="0000FF"/>
        </w:rPr>
        <w:t xml:space="preserve">IRF sample for the Rasch analyses and internal consistency analyses was 5,129 patients from 38 IRFs. </w:t>
      </w:r>
    </w:p>
    <w:p w14:paraId="3B837C38" w14:textId="77777777" w:rsidR="00EE4D8A" w:rsidRDefault="00EE4D8A" w:rsidP="00761F14">
      <w:pPr>
        <w:autoSpaceDE w:val="0"/>
        <w:autoSpaceDN w:val="0"/>
        <w:adjustRightInd w:val="0"/>
        <w:spacing w:after="0" w:line="240" w:lineRule="auto"/>
        <w:rPr>
          <w:rFonts w:ascii="Calibri" w:eastAsia="Calibri" w:hAnsi="Calibri" w:cs="Times New Roman"/>
          <w:color w:val="0000FF"/>
        </w:rPr>
      </w:pPr>
    </w:p>
    <w:p w14:paraId="7F64CBC8"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58EAB4A3"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3F20AA28" w14:textId="77777777" w:rsidR="008C54A9" w:rsidRPr="00A25024" w:rsidRDefault="008C54A9" w:rsidP="00DB3627">
      <w:pPr>
        <w:autoSpaceDE w:val="0"/>
        <w:autoSpaceDN w:val="0"/>
        <w:adjustRightInd w:val="0"/>
        <w:spacing w:after="0" w:line="240" w:lineRule="auto"/>
        <w:rPr>
          <w:rFonts w:cstheme="minorHAnsi"/>
          <w:b/>
          <w:bCs/>
        </w:rPr>
      </w:pPr>
    </w:p>
    <w:p w14:paraId="5A2338B9" w14:textId="77777777" w:rsidR="00761F14" w:rsidRPr="00000EE2" w:rsidRDefault="00092566" w:rsidP="00761F14">
      <w:pPr>
        <w:autoSpaceDE w:val="0"/>
        <w:autoSpaceDN w:val="0"/>
        <w:adjustRightInd w:val="0"/>
        <w:spacing w:after="0" w:line="240" w:lineRule="auto"/>
        <w:rPr>
          <w:rFonts w:ascii="Calibri" w:eastAsia="Calibri" w:hAnsi="Calibri" w:cs="Times New Roman"/>
          <w:color w:val="0000FF"/>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sdtPr>
        <w:sdtContent>
          <w:r w:rsidR="00E41C6E">
            <w:rPr>
              <w:rFonts w:cstheme="minorHAnsi"/>
              <w:bCs/>
              <w:color w:val="0000FF"/>
            </w:rPr>
            <w:t>X</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D36489" w:rsidRPr="00A25024">
        <w:rPr>
          <w:rFonts w:cstheme="minorHAnsi"/>
          <w:b/>
          <w:bCs/>
        </w:rPr>
        <w:t>data</w:t>
      </w:r>
      <w:r w:rsidR="007422FD" w:rsidRPr="00A25024">
        <w:rPr>
          <w:rFonts w:cstheme="minorHAnsi"/>
          <w:b/>
          <w:bCs/>
        </w:rPr>
        <w:t xml:space="preserve"> elements</w:t>
      </w:r>
      <w:r w:rsidR="00E310B9" w:rsidRPr="00A25024">
        <w:rPr>
          <w:rFonts w:cstheme="minorHAnsi"/>
          <w:b/>
          <w:bCs/>
        </w:rPr>
        <w:t xml:space="preserve"> used in the measure</w:t>
      </w:r>
      <w:r w:rsidR="00E310B9" w:rsidRPr="00A25024">
        <w:rPr>
          <w:rFonts w:cstheme="minorHAnsi"/>
          <w:bCs/>
        </w:rPr>
        <w:t xml:space="preserve"> (</w:t>
      </w:r>
      <w:r w:rsidR="00E310B9" w:rsidRPr="00756FDB">
        <w:rPr>
          <w:rFonts w:cstheme="minorHAnsi"/>
          <w:bCs/>
          <w:i/>
        </w:rPr>
        <w:t>e.g., inter-abstractor reliability</w:t>
      </w:r>
      <w:r w:rsidR="000414E8">
        <w:rPr>
          <w:rFonts w:cstheme="minorHAnsi"/>
          <w:bCs/>
          <w:i/>
        </w:rPr>
        <w:t>; data element reliability</w:t>
      </w:r>
      <w:r w:rsidR="000414E8" w:rsidRPr="000414E8">
        <w:rPr>
          <w:rFonts w:cstheme="minorHAnsi"/>
          <w:bCs/>
          <w:i/>
        </w:rPr>
        <w:t xml:space="preserve"> must address ALL critical data elements</w:t>
      </w:r>
      <w:r w:rsidR="000414E8">
        <w:rPr>
          <w:rFonts w:cstheme="minorHAnsi"/>
          <w:bCs/>
        </w:rPr>
        <w:t>)</w:t>
      </w:r>
      <w:r w:rsidR="001F7A20" w:rsidRPr="00A25024">
        <w:rPr>
          <w:rFonts w:cstheme="minorHAnsi"/>
          <w:bCs/>
        </w:rPr>
        <w:br/>
      </w:r>
      <w:r w:rsidR="00CA06D8" w:rsidRPr="00A25024">
        <w:rPr>
          <w:rFonts w:cstheme="minorHAnsi"/>
          <w:bCs/>
        </w:rPr>
        <w:t xml:space="preserve">  </w:t>
      </w:r>
      <w:r w:rsidR="00D1754D" w:rsidRPr="00A25024">
        <w:rPr>
          <w:rFonts w:cstheme="minorHAnsi"/>
          <w:bCs/>
        </w:rPr>
        <w:br/>
      </w:r>
      <w:r w:rsidR="00761F14" w:rsidRPr="00023DD7">
        <w:rPr>
          <w:rFonts w:ascii="Calibri" w:eastAsia="Calibri" w:hAnsi="Calibri" w:cs="Times New Roman"/>
          <w:b/>
          <w:color w:val="0000FF"/>
        </w:rPr>
        <w:t xml:space="preserve">Item </w:t>
      </w:r>
      <w:r w:rsidR="00761F14">
        <w:rPr>
          <w:rFonts w:ascii="Calibri" w:eastAsia="Calibri" w:hAnsi="Calibri" w:cs="Times New Roman"/>
          <w:b/>
          <w:color w:val="0000FF"/>
        </w:rPr>
        <w:t>Reliability - Traditional Interr</w:t>
      </w:r>
      <w:r w:rsidR="00761F14" w:rsidRPr="00023DD7">
        <w:rPr>
          <w:rFonts w:ascii="Calibri" w:eastAsia="Calibri" w:hAnsi="Calibri" w:cs="Times New Roman"/>
          <w:b/>
          <w:color w:val="0000FF"/>
        </w:rPr>
        <w:t xml:space="preserve">ater Reliability </w:t>
      </w:r>
      <w:r w:rsidR="00761F14" w:rsidRPr="00416ADC">
        <w:rPr>
          <w:rFonts w:ascii="Calibri" w:eastAsia="Calibri" w:hAnsi="Calibri" w:cs="Times New Roman"/>
          <w:b/>
          <w:color w:val="0000FF"/>
        </w:rPr>
        <w:t>and</w:t>
      </w:r>
      <w:r w:rsidR="00761F14">
        <w:rPr>
          <w:rFonts w:ascii="Calibri" w:eastAsia="Calibri" w:hAnsi="Calibri" w:cs="Times New Roman"/>
          <w:color w:val="0000FF"/>
        </w:rPr>
        <w:t xml:space="preserve"> </w:t>
      </w:r>
      <w:r w:rsidR="00761F14" w:rsidRPr="00023DD7">
        <w:rPr>
          <w:rFonts w:ascii="Calibri" w:eastAsia="Calibri" w:hAnsi="Calibri" w:cs="Times New Roman"/>
          <w:b/>
          <w:color w:val="0000FF"/>
        </w:rPr>
        <w:t>Standar</w:t>
      </w:r>
      <w:r w:rsidR="00761F14">
        <w:rPr>
          <w:rFonts w:ascii="Calibri" w:eastAsia="Calibri" w:hAnsi="Calibri" w:cs="Times New Roman"/>
          <w:b/>
          <w:color w:val="0000FF"/>
        </w:rPr>
        <w:t xml:space="preserve">dized Patients Interrater Reliability: </w:t>
      </w:r>
      <w:r w:rsidR="00761F14">
        <w:rPr>
          <w:rFonts w:ascii="Calibri" w:eastAsia="Calibri" w:hAnsi="Calibri" w:cs="Times New Roman"/>
          <w:color w:val="0000FF"/>
        </w:rPr>
        <w:t>T</w:t>
      </w:r>
      <w:r w:rsidR="00761F14" w:rsidRPr="00000EE2">
        <w:rPr>
          <w:rFonts w:ascii="Calibri" w:eastAsia="Calibri" w:hAnsi="Calibri" w:cs="Times New Roman"/>
          <w:color w:val="0000FF"/>
        </w:rPr>
        <w:t>wo types of interrater reliability test</w:t>
      </w:r>
      <w:r w:rsidR="00761F14">
        <w:rPr>
          <w:rFonts w:ascii="Calibri" w:eastAsia="Calibri" w:hAnsi="Calibri" w:cs="Times New Roman"/>
          <w:color w:val="0000FF"/>
        </w:rPr>
        <w:t>ing</w:t>
      </w:r>
      <w:r w:rsidR="00761F14" w:rsidRPr="00000EE2">
        <w:rPr>
          <w:rFonts w:ascii="Calibri" w:eastAsia="Calibri" w:hAnsi="Calibri" w:cs="Times New Roman"/>
          <w:color w:val="0000FF"/>
        </w:rPr>
        <w:t xml:space="preserve"> were conducted</w:t>
      </w:r>
      <w:r w:rsidR="00761F14">
        <w:rPr>
          <w:rFonts w:ascii="Calibri" w:eastAsia="Calibri" w:hAnsi="Calibri" w:cs="Times New Roman"/>
          <w:color w:val="0000FF"/>
        </w:rPr>
        <w:t xml:space="preserve"> to examine item (i.e., data element) reliability. For the </w:t>
      </w:r>
      <w:r w:rsidR="00761F14" w:rsidRPr="00000EE2">
        <w:rPr>
          <w:rFonts w:ascii="Calibri" w:eastAsia="Calibri" w:hAnsi="Calibri" w:cs="Times New Roman"/>
          <w:color w:val="0000FF"/>
        </w:rPr>
        <w:t xml:space="preserve">traditional interrater </w:t>
      </w:r>
      <w:r w:rsidR="00761F14">
        <w:rPr>
          <w:rFonts w:ascii="Calibri" w:eastAsia="Calibri" w:hAnsi="Calibri" w:cs="Times New Roman"/>
          <w:color w:val="0000FF"/>
        </w:rPr>
        <w:t xml:space="preserve">reliability analyses, </w:t>
      </w:r>
      <w:r w:rsidR="00761F14" w:rsidRPr="00000EE2">
        <w:rPr>
          <w:rFonts w:ascii="Calibri" w:eastAsia="Calibri" w:hAnsi="Calibri" w:cs="Times New Roman"/>
          <w:color w:val="0000FF"/>
        </w:rPr>
        <w:t xml:space="preserve">patients were assessed by two different </w:t>
      </w:r>
      <w:r w:rsidR="00761F14">
        <w:rPr>
          <w:rFonts w:ascii="Calibri" w:eastAsia="Calibri" w:hAnsi="Calibri" w:cs="Times New Roman"/>
          <w:color w:val="0000FF"/>
        </w:rPr>
        <w:t>clinicians at the same provider</w:t>
      </w:r>
      <w:r w:rsidR="00761F14" w:rsidRPr="00000EE2">
        <w:rPr>
          <w:rFonts w:ascii="Calibri" w:eastAsia="Calibri" w:hAnsi="Calibri" w:cs="Times New Roman"/>
          <w:color w:val="0000FF"/>
        </w:rPr>
        <w:t xml:space="preserve"> and </w:t>
      </w:r>
      <w:r w:rsidR="00761F14">
        <w:rPr>
          <w:rFonts w:ascii="Calibri" w:eastAsia="Calibri" w:hAnsi="Calibri" w:cs="Times New Roman"/>
          <w:color w:val="0000FF"/>
        </w:rPr>
        <w:t>the agreement</w:t>
      </w:r>
      <w:r w:rsidR="00761F14" w:rsidRPr="00000EE2">
        <w:rPr>
          <w:rFonts w:ascii="Calibri" w:eastAsia="Calibri" w:hAnsi="Calibri" w:cs="Times New Roman"/>
          <w:color w:val="0000FF"/>
        </w:rPr>
        <w:t xml:space="preserve"> </w:t>
      </w:r>
      <w:r w:rsidR="00761F14">
        <w:rPr>
          <w:rFonts w:ascii="Calibri" w:eastAsia="Calibri" w:hAnsi="Calibri" w:cs="Times New Roman"/>
          <w:color w:val="0000FF"/>
        </w:rPr>
        <w:t xml:space="preserve">of clinicians’ scoring </w:t>
      </w:r>
      <w:r w:rsidR="00761F14" w:rsidRPr="00000EE2">
        <w:rPr>
          <w:rFonts w:ascii="Calibri" w:eastAsia="Calibri" w:hAnsi="Calibri" w:cs="Times New Roman"/>
          <w:color w:val="0000FF"/>
        </w:rPr>
        <w:t xml:space="preserve">was </w:t>
      </w:r>
      <w:r w:rsidR="00761F14">
        <w:rPr>
          <w:rFonts w:ascii="Calibri" w:eastAsia="Calibri" w:hAnsi="Calibri" w:cs="Times New Roman"/>
          <w:color w:val="0000FF"/>
        </w:rPr>
        <w:t>calculated.</w:t>
      </w:r>
      <w:r w:rsidR="00761F14" w:rsidRPr="00236436">
        <w:rPr>
          <w:rFonts w:ascii="Calibri" w:eastAsia="Calibri" w:hAnsi="Calibri" w:cs="Times New Roman"/>
          <w:color w:val="0000FF"/>
        </w:rPr>
        <w:t xml:space="preserve"> </w:t>
      </w:r>
      <w:r w:rsidR="00761F14" w:rsidRPr="00000EE2">
        <w:rPr>
          <w:rFonts w:ascii="Calibri" w:eastAsia="Calibri" w:hAnsi="Calibri" w:cs="Times New Roman"/>
          <w:color w:val="0000FF"/>
        </w:rPr>
        <w:t xml:space="preserve">Providers were instructed to have pairs of </w:t>
      </w:r>
      <w:r w:rsidR="00761F14">
        <w:rPr>
          <w:rFonts w:ascii="Calibri" w:eastAsia="Calibri" w:hAnsi="Calibri" w:cs="Times New Roman"/>
          <w:color w:val="0000FF"/>
        </w:rPr>
        <w:t>clinicians</w:t>
      </w:r>
      <w:r w:rsidR="00761F14" w:rsidRPr="00000EE2">
        <w:rPr>
          <w:rFonts w:ascii="Calibri" w:eastAsia="Calibri" w:hAnsi="Calibri" w:cs="Times New Roman"/>
          <w:color w:val="0000FF"/>
        </w:rPr>
        <w:t xml:space="preserve"> complete both patient assessments at the same time</w:t>
      </w:r>
      <w:r w:rsidR="00761F14">
        <w:rPr>
          <w:rFonts w:ascii="Calibri" w:eastAsia="Calibri" w:hAnsi="Calibri" w:cs="Times New Roman"/>
          <w:color w:val="0000FF"/>
        </w:rPr>
        <w:t xml:space="preserve">. The second type of interrater reliability testing examined agreement of clinicians’ scores across different providers (i.e. different IRFs) and different types of providers. The </w:t>
      </w:r>
      <w:r w:rsidR="00761F14" w:rsidRPr="00000EE2">
        <w:rPr>
          <w:rFonts w:ascii="Calibri" w:eastAsia="Calibri" w:hAnsi="Calibri" w:cs="Times New Roman"/>
          <w:color w:val="0000FF"/>
        </w:rPr>
        <w:t xml:space="preserve">videotaped </w:t>
      </w:r>
      <w:r w:rsidR="00761F14">
        <w:rPr>
          <w:rFonts w:ascii="Calibri" w:eastAsia="Calibri" w:hAnsi="Calibri" w:cs="Times New Roman"/>
          <w:color w:val="0000FF"/>
        </w:rPr>
        <w:t xml:space="preserve">“standardized” patient analyses </w:t>
      </w:r>
      <w:r w:rsidR="00761F14" w:rsidRPr="00000EE2">
        <w:rPr>
          <w:rFonts w:ascii="Calibri" w:eastAsia="Calibri" w:hAnsi="Calibri" w:cs="Times New Roman"/>
          <w:color w:val="0000FF"/>
        </w:rPr>
        <w:t>in</w:t>
      </w:r>
      <w:r w:rsidR="00761F14">
        <w:rPr>
          <w:rFonts w:ascii="Calibri" w:eastAsia="Calibri" w:hAnsi="Calibri" w:cs="Times New Roman"/>
          <w:color w:val="0000FF"/>
        </w:rPr>
        <w:t>volved</w:t>
      </w:r>
      <w:r w:rsidR="00761F14" w:rsidRPr="00000EE2">
        <w:rPr>
          <w:rFonts w:ascii="Calibri" w:eastAsia="Calibri" w:hAnsi="Calibri" w:cs="Times New Roman"/>
          <w:color w:val="0000FF"/>
        </w:rPr>
        <w:t xml:space="preserve"> </w:t>
      </w:r>
      <w:r w:rsidR="00761F14">
        <w:rPr>
          <w:rFonts w:ascii="Calibri" w:eastAsia="Calibri" w:hAnsi="Calibri" w:cs="Times New Roman"/>
          <w:color w:val="0000FF"/>
        </w:rPr>
        <w:t>clinicians</w:t>
      </w:r>
      <w:r w:rsidR="00761F14" w:rsidRPr="00000EE2">
        <w:rPr>
          <w:rFonts w:ascii="Calibri" w:eastAsia="Calibri" w:hAnsi="Calibri" w:cs="Times New Roman"/>
          <w:color w:val="0000FF"/>
        </w:rPr>
        <w:t xml:space="preserve"> in different settings rated</w:t>
      </w:r>
      <w:r w:rsidR="00761F14">
        <w:rPr>
          <w:rFonts w:ascii="Calibri" w:eastAsia="Calibri" w:hAnsi="Calibri" w:cs="Times New Roman"/>
          <w:color w:val="0000FF"/>
        </w:rPr>
        <w:t xml:space="preserve"> items based on watching the “standardized</w:t>
      </w:r>
      <w:r w:rsidR="00761F14" w:rsidRPr="00000EE2">
        <w:rPr>
          <w:rFonts w:ascii="Calibri" w:eastAsia="Calibri" w:hAnsi="Calibri" w:cs="Times New Roman"/>
          <w:color w:val="0000FF"/>
        </w:rPr>
        <w:t xml:space="preserve">” patients, </w:t>
      </w:r>
      <w:r w:rsidR="00761F14">
        <w:rPr>
          <w:rFonts w:ascii="Calibri" w:eastAsia="Calibri" w:hAnsi="Calibri" w:cs="Times New Roman"/>
          <w:color w:val="0000FF"/>
        </w:rPr>
        <w:t xml:space="preserve">and </w:t>
      </w:r>
      <w:r w:rsidR="00761F14" w:rsidRPr="00000EE2">
        <w:rPr>
          <w:rFonts w:ascii="Calibri" w:eastAsia="Calibri" w:hAnsi="Calibri" w:cs="Times New Roman"/>
          <w:color w:val="0000FF"/>
        </w:rPr>
        <w:t xml:space="preserve">agreement </w:t>
      </w:r>
      <w:r w:rsidR="00761F14">
        <w:rPr>
          <w:rFonts w:ascii="Calibri" w:eastAsia="Calibri" w:hAnsi="Calibri" w:cs="Times New Roman"/>
          <w:color w:val="0000FF"/>
        </w:rPr>
        <w:t xml:space="preserve">of clinicians’ scoring </w:t>
      </w:r>
      <w:r w:rsidR="00761F14" w:rsidRPr="00000EE2">
        <w:rPr>
          <w:rFonts w:ascii="Calibri" w:eastAsia="Calibri" w:hAnsi="Calibri" w:cs="Times New Roman"/>
          <w:color w:val="0000FF"/>
        </w:rPr>
        <w:t xml:space="preserve">was </w:t>
      </w:r>
      <w:r w:rsidR="00761F14">
        <w:rPr>
          <w:rFonts w:ascii="Calibri" w:eastAsia="Calibri" w:hAnsi="Calibri" w:cs="Times New Roman"/>
          <w:color w:val="0000FF"/>
        </w:rPr>
        <w:t>calculated</w:t>
      </w:r>
      <w:r w:rsidR="00761F14" w:rsidRPr="00000EE2">
        <w:rPr>
          <w:rFonts w:ascii="Calibri" w:eastAsia="Calibri" w:hAnsi="Calibri" w:cs="Times New Roman"/>
          <w:color w:val="0000FF"/>
        </w:rPr>
        <w:t xml:space="preserve">. </w:t>
      </w:r>
    </w:p>
    <w:p w14:paraId="1443F4DD" w14:textId="795F8C06" w:rsidR="00761F14" w:rsidRPr="00615275" w:rsidRDefault="00761F14" w:rsidP="00193D04">
      <w:pPr>
        <w:autoSpaceDE w:val="0"/>
        <w:autoSpaceDN w:val="0"/>
        <w:adjustRightInd w:val="0"/>
        <w:spacing w:after="0" w:line="240" w:lineRule="auto"/>
        <w:rPr>
          <w:rFonts w:ascii="Calibri" w:eastAsia="Calibri" w:hAnsi="Calibri" w:cs="Times New Roman"/>
          <w:color w:val="0000FF"/>
        </w:rPr>
      </w:pPr>
      <w:r w:rsidRPr="00A25024">
        <w:rPr>
          <w:rFonts w:cstheme="minorHAnsi"/>
          <w:bCs/>
          <w:u w:val="single"/>
        </w:rPr>
        <w:br/>
      </w:r>
      <w:r w:rsidRPr="004C7293">
        <w:rPr>
          <w:rFonts w:ascii="Calibri" w:eastAsia="Calibri" w:hAnsi="Calibri" w:cs="Times New Roman"/>
          <w:b/>
          <w:color w:val="0000FF"/>
        </w:rPr>
        <w:t>Scale</w:t>
      </w:r>
      <w:r>
        <w:rPr>
          <w:rFonts w:ascii="Calibri" w:eastAsia="Calibri" w:hAnsi="Calibri" w:cs="Times New Roman"/>
          <w:b/>
          <w:color w:val="0000FF"/>
        </w:rPr>
        <w:t xml:space="preserve"> R</w:t>
      </w:r>
      <w:r w:rsidRPr="004C7293">
        <w:rPr>
          <w:rFonts w:ascii="Calibri" w:eastAsia="Calibri" w:hAnsi="Calibri" w:cs="Times New Roman"/>
          <w:b/>
          <w:color w:val="0000FF"/>
        </w:rPr>
        <w:t>eliability</w:t>
      </w:r>
      <w:r>
        <w:rPr>
          <w:rFonts w:ascii="Calibri" w:eastAsia="Calibri" w:hAnsi="Calibri" w:cs="Times New Roman"/>
          <w:b/>
          <w:color w:val="0000FF"/>
        </w:rPr>
        <w:t xml:space="preserve"> - I</w:t>
      </w:r>
      <w:r w:rsidRPr="00603EDA">
        <w:rPr>
          <w:rFonts w:ascii="Calibri" w:eastAsia="Calibri" w:hAnsi="Calibri" w:cs="Times New Roman"/>
          <w:b/>
          <w:color w:val="0000FF"/>
        </w:rPr>
        <w:t xml:space="preserve">nternal </w:t>
      </w:r>
      <w:r>
        <w:rPr>
          <w:rFonts w:ascii="Calibri" w:eastAsia="Calibri" w:hAnsi="Calibri" w:cs="Times New Roman"/>
          <w:b/>
          <w:color w:val="0000FF"/>
        </w:rPr>
        <w:t>C</w:t>
      </w:r>
      <w:r w:rsidRPr="00603EDA">
        <w:rPr>
          <w:rFonts w:ascii="Calibri" w:eastAsia="Calibri" w:hAnsi="Calibri" w:cs="Times New Roman"/>
          <w:b/>
          <w:color w:val="0000FF"/>
        </w:rPr>
        <w:t>onsistency</w:t>
      </w:r>
      <w:r>
        <w:rPr>
          <w:rFonts w:ascii="Calibri" w:eastAsia="Calibri" w:hAnsi="Calibri" w:cs="Times New Roman"/>
          <w:b/>
          <w:color w:val="0000FF"/>
        </w:rPr>
        <w:t xml:space="preserve">: </w:t>
      </w:r>
      <w:r w:rsidR="000361B0" w:rsidRPr="000361B0">
        <w:rPr>
          <w:rFonts w:ascii="Calibri" w:eastAsia="Calibri" w:hAnsi="Calibri" w:cs="Times New Roman"/>
          <w:bCs/>
          <w:color w:val="0000FF"/>
        </w:rPr>
        <w:t>We used internal consistency to</w:t>
      </w:r>
      <w:r w:rsidR="000361B0">
        <w:rPr>
          <w:rFonts w:ascii="Calibri" w:eastAsia="Calibri" w:hAnsi="Calibri" w:cs="Times New Roman"/>
          <w:b/>
          <w:color w:val="0000FF"/>
        </w:rPr>
        <w:t xml:space="preserve"> </w:t>
      </w:r>
      <w:r w:rsidR="000361B0" w:rsidRPr="007A3420">
        <w:rPr>
          <w:rFonts w:ascii="Calibri" w:eastAsia="Calibri" w:hAnsi="Calibri" w:cs="Times New Roman"/>
          <w:color w:val="0000FF"/>
        </w:rPr>
        <w:t>p</w:t>
      </w:r>
      <w:r>
        <w:rPr>
          <w:rFonts w:ascii="Calibri" w:eastAsia="Calibri" w:hAnsi="Calibri" w:cs="Times New Roman"/>
          <w:color w:val="0000FF"/>
        </w:rPr>
        <w:t>rovide</w:t>
      </w:r>
      <w:r w:rsidRPr="00023DD7">
        <w:rPr>
          <w:rFonts w:ascii="Calibri" w:eastAsia="Times New Roman" w:hAnsi="Calibri" w:cs="Times New Roman"/>
          <w:color w:val="0000FF"/>
          <w:szCs w:val="20"/>
        </w:rPr>
        <w:t xml:space="preserve"> a general assessment of how well the items interrelate </w:t>
      </w:r>
      <w:r w:rsidRPr="009D386B">
        <w:rPr>
          <w:rFonts w:ascii="Calibri" w:eastAsia="Times New Roman" w:hAnsi="Calibri" w:cs="Times New Roman"/>
          <w:color w:val="0000FF"/>
          <w:szCs w:val="20"/>
        </w:rPr>
        <w:t>within a domain or subscale.</w:t>
      </w:r>
      <w:r>
        <w:rPr>
          <w:rFonts w:ascii="Calibri" w:eastAsia="Times New Roman" w:hAnsi="Calibri" w:cs="Times New Roman"/>
          <w:color w:val="0000FF"/>
          <w:szCs w:val="20"/>
        </w:rPr>
        <w:t xml:space="preserve"> </w:t>
      </w:r>
    </w:p>
    <w:p w14:paraId="0E158C18" w14:textId="77777777" w:rsidR="00761F14" w:rsidRDefault="00761F14" w:rsidP="00761F14">
      <w:pPr>
        <w:autoSpaceDE w:val="0"/>
        <w:autoSpaceDN w:val="0"/>
        <w:adjustRightInd w:val="0"/>
        <w:spacing w:after="0" w:line="240" w:lineRule="auto"/>
        <w:rPr>
          <w:rFonts w:cstheme="minorHAnsi"/>
          <w:b/>
          <w:bCs/>
        </w:rPr>
      </w:pPr>
    </w:p>
    <w:p w14:paraId="347D8447" w14:textId="77777777" w:rsidR="0064313B" w:rsidRDefault="00092566" w:rsidP="0064313B">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2. </w:t>
      </w:r>
      <w:proofErr w:type="gramStart"/>
      <w:r w:rsidR="008C54A9" w:rsidRPr="00A25024">
        <w:rPr>
          <w:rFonts w:cstheme="minorHAnsi"/>
          <w:b/>
          <w:bCs/>
        </w:rPr>
        <w:t>For</w:t>
      </w:r>
      <w:proofErr w:type="gramEnd"/>
      <w:r w:rsidR="008C54A9" w:rsidRPr="00A25024">
        <w:rPr>
          <w:rFonts w:cstheme="minorHAnsi"/>
          <w:b/>
          <w:bCs/>
        </w:rPr>
        <w:t xml:space="preserve">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55B7D4FF" w14:textId="77777777" w:rsidR="0064313B" w:rsidRDefault="0064313B" w:rsidP="0064313B">
      <w:pPr>
        <w:autoSpaceDE w:val="0"/>
        <w:autoSpaceDN w:val="0"/>
        <w:adjustRightInd w:val="0"/>
        <w:spacing w:after="0" w:line="240" w:lineRule="auto"/>
        <w:rPr>
          <w:rFonts w:cstheme="minorHAnsi"/>
          <w:bCs/>
        </w:rPr>
      </w:pPr>
    </w:p>
    <w:p w14:paraId="0ED42FE2" w14:textId="4B1ACDA6" w:rsidR="00761F14" w:rsidRDefault="00761F14" w:rsidP="00CC7AB5">
      <w:pPr>
        <w:autoSpaceDE w:val="0"/>
        <w:autoSpaceDN w:val="0"/>
        <w:adjustRightInd w:val="0"/>
        <w:spacing w:after="0" w:line="240" w:lineRule="auto"/>
        <w:rPr>
          <w:rFonts w:ascii="Calibri" w:eastAsia="Calibri" w:hAnsi="Calibri" w:cs="Times New Roman"/>
          <w:color w:val="0000FF"/>
        </w:rPr>
      </w:pPr>
      <w:r w:rsidRPr="00023DD7">
        <w:rPr>
          <w:rFonts w:ascii="Calibri" w:eastAsia="Calibri" w:hAnsi="Calibri" w:cs="Times New Roman"/>
          <w:b/>
          <w:color w:val="0000FF"/>
        </w:rPr>
        <w:t xml:space="preserve">Item </w:t>
      </w:r>
      <w:r>
        <w:rPr>
          <w:rFonts w:ascii="Calibri" w:eastAsia="Calibri" w:hAnsi="Calibri" w:cs="Times New Roman"/>
          <w:b/>
          <w:color w:val="0000FF"/>
        </w:rPr>
        <w:t xml:space="preserve">Reliability - </w:t>
      </w:r>
      <w:r w:rsidRPr="00023DD7">
        <w:rPr>
          <w:rFonts w:ascii="Calibri" w:eastAsia="Calibri" w:hAnsi="Calibri" w:cs="Times New Roman"/>
          <w:b/>
          <w:color w:val="0000FF"/>
        </w:rPr>
        <w:t>Traditional Inter</w:t>
      </w:r>
      <w:r>
        <w:rPr>
          <w:rFonts w:ascii="Calibri" w:eastAsia="Calibri" w:hAnsi="Calibri" w:cs="Times New Roman"/>
          <w:b/>
          <w:color w:val="0000FF"/>
        </w:rPr>
        <w:t xml:space="preserve">rater Reliability: </w:t>
      </w:r>
      <w:r w:rsidRPr="00DA7E4D">
        <w:rPr>
          <w:rFonts w:ascii="Calibri" w:eastAsia="Calibri" w:hAnsi="Calibri" w:cs="Times New Roman"/>
          <w:color w:val="0000FF"/>
        </w:rPr>
        <w:t>RTI used two analytic approaches for assessing the interrater reliability of the CARE</w:t>
      </w:r>
      <w:r>
        <w:rPr>
          <w:rFonts w:ascii="Calibri" w:eastAsia="Calibri" w:hAnsi="Calibri" w:cs="Times New Roman"/>
          <w:color w:val="0000FF"/>
        </w:rPr>
        <w:t xml:space="preserve"> function items</w:t>
      </w:r>
      <w:r w:rsidRPr="00DA7E4D">
        <w:rPr>
          <w:rFonts w:ascii="Calibri" w:eastAsia="Calibri" w:hAnsi="Calibri" w:cs="Times New Roman"/>
          <w:color w:val="0000FF"/>
        </w:rPr>
        <w:t xml:space="preserve">. For continuous items, RTI calculated Pearson correlation coefficients to show the extent of agreement between two </w:t>
      </w:r>
      <w:r>
        <w:rPr>
          <w:rFonts w:ascii="Calibri" w:eastAsia="Calibri" w:hAnsi="Calibri" w:cs="Times New Roman"/>
          <w:color w:val="0000FF"/>
        </w:rPr>
        <w:t>clinicians</w:t>
      </w:r>
      <w:r w:rsidRPr="00DA7E4D">
        <w:rPr>
          <w:rFonts w:ascii="Calibri" w:eastAsia="Calibri" w:hAnsi="Calibri" w:cs="Times New Roman"/>
          <w:color w:val="0000FF"/>
        </w:rPr>
        <w:t xml:space="preserve"> on the same item. For categorical items, RTI calculated kappa statistics which indicate the level of agreement between raters using ordinal data, taking into account the role of chance agreement. The ranges commonly used to judge reliability based on kappa are as follows: ≤ 0 = poor, 0.01–0.20 = slight, 0.21–0.40 = fair, 0.41–0.60 = moderate, 0.61–0.80 = substantial, and 0.81–1</w:t>
      </w:r>
      <w:r>
        <w:rPr>
          <w:rFonts w:ascii="Calibri" w:eastAsia="Calibri" w:hAnsi="Calibri" w:cs="Times New Roman"/>
          <w:color w:val="0000FF"/>
        </w:rPr>
        <w:t>.00</w:t>
      </w:r>
      <w:r w:rsidRPr="00DA7E4D">
        <w:rPr>
          <w:rFonts w:ascii="Calibri" w:eastAsia="Calibri" w:hAnsi="Calibri" w:cs="Times New Roman"/>
          <w:color w:val="0000FF"/>
        </w:rPr>
        <w:t xml:space="preserve"> = almost perfect.</w:t>
      </w:r>
    </w:p>
    <w:p w14:paraId="618BAFB9" w14:textId="77777777" w:rsidR="00035808" w:rsidRPr="00DA7E4D" w:rsidRDefault="00035808" w:rsidP="0064313B">
      <w:pPr>
        <w:autoSpaceDE w:val="0"/>
        <w:autoSpaceDN w:val="0"/>
        <w:adjustRightInd w:val="0"/>
        <w:spacing w:after="0" w:line="240" w:lineRule="auto"/>
        <w:rPr>
          <w:rFonts w:ascii="Calibri" w:eastAsia="Calibri" w:hAnsi="Calibri" w:cs="Times New Roman"/>
          <w:color w:val="0000FF"/>
        </w:rPr>
      </w:pPr>
    </w:p>
    <w:p w14:paraId="7D3D9C68" w14:textId="77777777" w:rsidR="00761F14" w:rsidRPr="00DA7E4D" w:rsidRDefault="00761F14" w:rsidP="00761F14">
      <w:pPr>
        <w:spacing w:line="240" w:lineRule="auto"/>
        <w:rPr>
          <w:rFonts w:ascii="Calibri" w:eastAsia="Calibri" w:hAnsi="Calibri" w:cs="Times New Roman"/>
          <w:color w:val="0000FF"/>
        </w:rPr>
      </w:pPr>
      <w:r w:rsidRPr="00DA7E4D">
        <w:rPr>
          <w:rFonts w:ascii="Calibri" w:eastAsia="Calibri" w:hAnsi="Calibri" w:cs="Times New Roman"/>
          <w:color w:val="0000FF"/>
        </w:rPr>
        <w:t xml:space="preserve">For categorical items with only two responses available, RTI only calculated </w:t>
      </w:r>
      <w:proofErr w:type="spellStart"/>
      <w:r w:rsidRPr="00DA7E4D">
        <w:rPr>
          <w:rFonts w:ascii="Calibri" w:eastAsia="Calibri" w:hAnsi="Calibri" w:cs="Times New Roman"/>
          <w:color w:val="0000FF"/>
        </w:rPr>
        <w:t>unweighted</w:t>
      </w:r>
      <w:proofErr w:type="spellEnd"/>
      <w:r w:rsidRPr="00DA7E4D">
        <w:rPr>
          <w:rFonts w:ascii="Calibri" w:eastAsia="Calibri" w:hAnsi="Calibri" w:cs="Times New Roman"/>
          <w:color w:val="0000FF"/>
        </w:rPr>
        <w:t xml:space="preserve"> </w:t>
      </w:r>
      <w:proofErr w:type="spellStart"/>
      <w:r w:rsidRPr="00DA7E4D">
        <w:rPr>
          <w:rFonts w:ascii="Calibri" w:eastAsia="Calibri" w:hAnsi="Calibri" w:cs="Times New Roman"/>
          <w:color w:val="0000FF"/>
        </w:rPr>
        <w:t>kappas</w:t>
      </w:r>
      <w:proofErr w:type="spellEnd"/>
      <w:r w:rsidRPr="00DA7E4D">
        <w:rPr>
          <w:rFonts w:ascii="Calibri" w:eastAsia="Calibri" w:hAnsi="Calibri" w:cs="Times New Roman"/>
          <w:color w:val="0000FF"/>
        </w:rPr>
        <w:t xml:space="preserve">. For items with more than two responses, RTI calculated both weighted and </w:t>
      </w:r>
      <w:proofErr w:type="spellStart"/>
      <w:r w:rsidRPr="00DA7E4D">
        <w:rPr>
          <w:rFonts w:ascii="Calibri" w:eastAsia="Calibri" w:hAnsi="Calibri" w:cs="Times New Roman"/>
          <w:color w:val="0000FF"/>
        </w:rPr>
        <w:t>unweighted</w:t>
      </w:r>
      <w:proofErr w:type="spellEnd"/>
      <w:r w:rsidRPr="00DA7E4D">
        <w:rPr>
          <w:rFonts w:ascii="Calibri" w:eastAsia="Calibri" w:hAnsi="Calibri" w:cs="Times New Roman"/>
          <w:color w:val="0000FF"/>
        </w:rPr>
        <w:t xml:space="preserve"> </w:t>
      </w:r>
      <w:proofErr w:type="spellStart"/>
      <w:r w:rsidRPr="00DA7E4D">
        <w:rPr>
          <w:rFonts w:ascii="Calibri" w:eastAsia="Calibri" w:hAnsi="Calibri" w:cs="Times New Roman"/>
          <w:color w:val="0000FF"/>
        </w:rPr>
        <w:t>kappas</w:t>
      </w:r>
      <w:proofErr w:type="spellEnd"/>
      <w:r w:rsidRPr="00DA7E4D">
        <w:rPr>
          <w:rFonts w:ascii="Calibri" w:eastAsia="Calibri" w:hAnsi="Calibri" w:cs="Times New Roman"/>
          <w:color w:val="0000FF"/>
        </w:rPr>
        <w:t xml:space="preserve">. Unweighted kappa assumes the same “distance” between every one-unit difference in response across an ordinal scale (e.g., for the CARE functional item scale range 1–6, an </w:t>
      </w:r>
      <w:proofErr w:type="spellStart"/>
      <w:r w:rsidRPr="00DA7E4D">
        <w:rPr>
          <w:rFonts w:ascii="Calibri" w:eastAsia="Calibri" w:hAnsi="Calibri" w:cs="Times New Roman"/>
          <w:color w:val="0000FF"/>
        </w:rPr>
        <w:t>unweighted</w:t>
      </w:r>
      <w:proofErr w:type="spellEnd"/>
      <w:r w:rsidRPr="00DA7E4D">
        <w:rPr>
          <w:rFonts w:ascii="Calibri" w:eastAsia="Calibri" w:hAnsi="Calibri" w:cs="Times New Roman"/>
          <w:color w:val="0000FF"/>
        </w:rPr>
        <w:t xml:space="preserve"> kappa assumes the difference in </w:t>
      </w:r>
      <w:r w:rsidRPr="00DA7E4D">
        <w:rPr>
          <w:rFonts w:ascii="Calibri" w:eastAsia="Calibri" w:hAnsi="Calibri" w:cs="Times New Roman"/>
          <w:color w:val="0000FF"/>
        </w:rPr>
        <w:lastRenderedPageBreak/>
        <w:t>functional ability between a score of 1</w:t>
      </w:r>
      <w:r>
        <w:rPr>
          <w:rFonts w:ascii="Calibri" w:eastAsia="Calibri" w:hAnsi="Calibri" w:cs="Times New Roman"/>
          <w:color w:val="0000FF"/>
        </w:rPr>
        <w:t xml:space="preserve"> - </w:t>
      </w:r>
      <w:r w:rsidRPr="00DA7E4D">
        <w:rPr>
          <w:rFonts w:ascii="Calibri" w:eastAsia="Calibri" w:hAnsi="Calibri" w:cs="Times New Roman"/>
          <w:color w:val="0000FF"/>
        </w:rPr>
        <w:t>dependent and 2</w:t>
      </w:r>
      <w:r>
        <w:rPr>
          <w:rFonts w:ascii="Calibri" w:eastAsia="Calibri" w:hAnsi="Calibri" w:cs="Times New Roman"/>
          <w:color w:val="0000FF"/>
        </w:rPr>
        <w:t xml:space="preserve"> - </w:t>
      </w:r>
      <w:r w:rsidRPr="00DA7E4D">
        <w:rPr>
          <w:rFonts w:ascii="Calibri" w:eastAsia="Calibri" w:hAnsi="Calibri" w:cs="Times New Roman"/>
          <w:color w:val="0000FF"/>
        </w:rPr>
        <w:t>substantial/maximal assist is the same as the difference in functional ability between 5</w:t>
      </w:r>
      <w:r>
        <w:rPr>
          <w:rFonts w:ascii="Calibri" w:eastAsia="Calibri" w:hAnsi="Calibri" w:cs="Times New Roman"/>
          <w:color w:val="0000FF"/>
        </w:rPr>
        <w:t xml:space="preserve"> - </w:t>
      </w:r>
      <w:r w:rsidRPr="00DA7E4D">
        <w:rPr>
          <w:rFonts w:ascii="Calibri" w:eastAsia="Calibri" w:hAnsi="Calibri" w:cs="Times New Roman"/>
          <w:color w:val="0000FF"/>
        </w:rPr>
        <w:t>setup or clean-up assistance and 6</w:t>
      </w:r>
      <w:r>
        <w:rPr>
          <w:rFonts w:ascii="Calibri" w:eastAsia="Calibri" w:hAnsi="Calibri" w:cs="Times New Roman"/>
          <w:color w:val="0000FF"/>
        </w:rPr>
        <w:t xml:space="preserve"> - </w:t>
      </w:r>
      <w:r w:rsidRPr="00DA7E4D">
        <w:rPr>
          <w:rFonts w:ascii="Calibri" w:eastAsia="Calibri" w:hAnsi="Calibri" w:cs="Times New Roman"/>
          <w:color w:val="0000FF"/>
        </w:rPr>
        <w:t>independent). RTI used Fleiss-Cohen weights, or quadratic weights, which approximate the intra-class correlation coefficient and are commonly used for calculating weighted kappas. This choice of weighting is consistent with prior analyses of assessment reliability where the method for developing weights was specified (</w:t>
      </w:r>
      <w:proofErr w:type="spellStart"/>
      <w:r w:rsidRPr="00DA7E4D">
        <w:rPr>
          <w:rFonts w:ascii="Calibri" w:eastAsia="Calibri" w:hAnsi="Calibri" w:cs="Times New Roman"/>
          <w:color w:val="0000FF"/>
        </w:rPr>
        <w:t>Hirdes</w:t>
      </w:r>
      <w:proofErr w:type="spellEnd"/>
      <w:r w:rsidRPr="00DA7E4D">
        <w:rPr>
          <w:rFonts w:ascii="Calibri" w:eastAsia="Calibri" w:hAnsi="Calibri" w:cs="Times New Roman"/>
          <w:color w:val="0000FF"/>
        </w:rPr>
        <w:t xml:space="preserve"> et al., 2002</w:t>
      </w:r>
      <w:r>
        <w:rPr>
          <w:rFonts w:ascii="Calibri" w:eastAsia="Calibri" w:hAnsi="Calibri" w:cs="Times New Roman"/>
          <w:color w:val="0000FF"/>
        </w:rPr>
        <w:t xml:space="preserve">; </w:t>
      </w:r>
      <w:proofErr w:type="spellStart"/>
      <w:r w:rsidRPr="00DA7E4D">
        <w:rPr>
          <w:rFonts w:ascii="Calibri" w:eastAsia="Calibri" w:hAnsi="Calibri" w:cs="Times New Roman"/>
          <w:color w:val="0000FF"/>
        </w:rPr>
        <w:t>Streiner</w:t>
      </w:r>
      <w:proofErr w:type="spellEnd"/>
      <w:r w:rsidRPr="00DA7E4D">
        <w:rPr>
          <w:rFonts w:ascii="Calibri" w:eastAsia="Calibri" w:hAnsi="Calibri" w:cs="Times New Roman"/>
          <w:color w:val="0000FF"/>
        </w:rPr>
        <w:t xml:space="preserve"> </w:t>
      </w:r>
      <w:r>
        <w:rPr>
          <w:rFonts w:ascii="Calibri" w:eastAsia="Calibri" w:hAnsi="Calibri" w:cs="Times New Roman"/>
          <w:color w:val="0000FF"/>
        </w:rPr>
        <w:t>&amp;</w:t>
      </w:r>
      <w:r w:rsidRPr="00DA7E4D">
        <w:rPr>
          <w:rFonts w:ascii="Calibri" w:eastAsia="Calibri" w:hAnsi="Calibri" w:cs="Times New Roman"/>
          <w:color w:val="0000FF"/>
        </w:rPr>
        <w:t xml:space="preserve"> Norman, 1995). Note that Fleiss-Cohen weights put lower emphasis on disagreements between responses that fall near each other on an item scale. It should also be noted that the value of kappa can be influenced by the prevalence of the outcome or characteristic being measured. If the outcome or characteristic is rare, the kappa will be low because kappa attributes the majority of agreement among raters to chance. Kappa is also influenced by bias, and if the effective sample size is small, variation may also play a role in the results. Hence, we report both weighted and </w:t>
      </w:r>
      <w:proofErr w:type="spellStart"/>
      <w:r w:rsidRPr="00DA7E4D">
        <w:rPr>
          <w:rFonts w:ascii="Calibri" w:eastAsia="Calibri" w:hAnsi="Calibri" w:cs="Times New Roman"/>
          <w:color w:val="0000FF"/>
        </w:rPr>
        <w:t>unweighted</w:t>
      </w:r>
      <w:proofErr w:type="spellEnd"/>
      <w:r w:rsidRPr="00DA7E4D">
        <w:rPr>
          <w:rFonts w:ascii="Calibri" w:eastAsia="Calibri" w:hAnsi="Calibri" w:cs="Times New Roman"/>
          <w:color w:val="0000FF"/>
        </w:rPr>
        <w:t xml:space="preserve"> </w:t>
      </w:r>
      <w:proofErr w:type="spellStart"/>
      <w:r w:rsidRPr="00DA7E4D">
        <w:rPr>
          <w:rFonts w:ascii="Calibri" w:eastAsia="Calibri" w:hAnsi="Calibri" w:cs="Times New Roman"/>
          <w:color w:val="0000FF"/>
        </w:rPr>
        <w:t>kappas</w:t>
      </w:r>
      <w:proofErr w:type="spellEnd"/>
      <w:r w:rsidRPr="00DA7E4D">
        <w:rPr>
          <w:rFonts w:ascii="Calibri" w:eastAsia="Calibri" w:hAnsi="Calibri" w:cs="Times New Roman"/>
          <w:color w:val="0000FF"/>
        </w:rPr>
        <w:t xml:space="preserve"> to give the range of agreement found under the two sets of assumptions.</w:t>
      </w:r>
    </w:p>
    <w:p w14:paraId="094BF81B" w14:textId="012D5FFB" w:rsidR="000D2583" w:rsidRPr="00326084" w:rsidRDefault="00761F14" w:rsidP="000D2583">
      <w:pPr>
        <w:spacing w:after="0" w:line="240" w:lineRule="auto"/>
        <w:rPr>
          <w:rFonts w:cstheme="minorHAnsi"/>
          <w:bCs/>
        </w:rPr>
      </w:pPr>
      <w:r w:rsidRPr="00DA7E4D">
        <w:rPr>
          <w:rFonts w:ascii="Calibri" w:eastAsia="Calibri" w:hAnsi="Calibri" w:cs="Times New Roman"/>
          <w:color w:val="0000FF"/>
        </w:rPr>
        <w:t>Additionally, RTI calculated a separate set of kappa statistics (</w:t>
      </w:r>
      <w:proofErr w:type="spellStart"/>
      <w:r w:rsidRPr="00DA7E4D">
        <w:rPr>
          <w:rFonts w:ascii="Calibri" w:eastAsia="Calibri" w:hAnsi="Calibri" w:cs="Times New Roman"/>
          <w:color w:val="0000FF"/>
        </w:rPr>
        <w:t>unweighted</w:t>
      </w:r>
      <w:proofErr w:type="spellEnd"/>
      <w:r w:rsidRPr="00DA7E4D">
        <w:rPr>
          <w:rFonts w:ascii="Calibri" w:eastAsia="Calibri" w:hAnsi="Calibri" w:cs="Times New Roman"/>
          <w:color w:val="0000FF"/>
        </w:rPr>
        <w:t xml:space="preserve"> and weighted where applicable) for items where additional responses outside of an ordinal scale were available (letter codes) and were set to missing. For example, for function items, </w:t>
      </w:r>
      <w:r>
        <w:rPr>
          <w:rFonts w:ascii="Calibri" w:eastAsia="Calibri" w:hAnsi="Calibri" w:cs="Times New Roman"/>
          <w:color w:val="0000FF"/>
        </w:rPr>
        <w:t>clinicians</w:t>
      </w:r>
      <w:r w:rsidRPr="00DA7E4D">
        <w:rPr>
          <w:rFonts w:ascii="Calibri" w:eastAsia="Calibri" w:hAnsi="Calibri" w:cs="Times New Roman"/>
          <w:color w:val="0000FF"/>
        </w:rPr>
        <w:t xml:space="preserve"> could choose between five and six different letter codes designating that an item was “not attempted.” RTI reported a set of kappas for these items where the “not attempted” responses were recoded to missing.</w:t>
      </w:r>
      <w:r w:rsidR="000D2583">
        <w:rPr>
          <w:rFonts w:ascii="Calibri" w:eastAsia="Calibri" w:hAnsi="Calibri" w:cs="Times New Roman"/>
          <w:color w:val="0000FF"/>
        </w:rPr>
        <w:t xml:space="preserve"> </w:t>
      </w:r>
    </w:p>
    <w:p w14:paraId="682CF311" w14:textId="77777777" w:rsidR="00761F14" w:rsidRPr="00023DD7" w:rsidRDefault="00761F14" w:rsidP="00761F14">
      <w:pPr>
        <w:spacing w:before="240" w:after="240" w:line="240" w:lineRule="auto"/>
        <w:rPr>
          <w:rFonts w:ascii="Calibri" w:eastAsia="Times New Roman" w:hAnsi="Calibri" w:cs="Times New Roman"/>
          <w:color w:val="0000FF"/>
        </w:rPr>
      </w:pPr>
      <w:r w:rsidRPr="00023DD7">
        <w:rPr>
          <w:rFonts w:ascii="Calibri" w:eastAsia="Calibri" w:hAnsi="Calibri" w:cs="Times New Roman"/>
          <w:b/>
          <w:color w:val="0000FF"/>
        </w:rPr>
        <w:t xml:space="preserve">Item </w:t>
      </w:r>
      <w:r>
        <w:rPr>
          <w:rFonts w:ascii="Calibri" w:eastAsia="Calibri" w:hAnsi="Calibri" w:cs="Times New Roman"/>
          <w:b/>
          <w:color w:val="0000FF"/>
        </w:rPr>
        <w:t xml:space="preserve">Reliability - </w:t>
      </w:r>
      <w:r w:rsidRPr="00023DD7">
        <w:rPr>
          <w:rFonts w:ascii="Calibri" w:eastAsia="Calibri" w:hAnsi="Calibri" w:cs="Times New Roman"/>
          <w:b/>
          <w:color w:val="0000FF"/>
        </w:rPr>
        <w:t>Videotaped Standar</w:t>
      </w:r>
      <w:r>
        <w:rPr>
          <w:rFonts w:ascii="Calibri" w:eastAsia="Calibri" w:hAnsi="Calibri" w:cs="Times New Roman"/>
          <w:b/>
          <w:color w:val="0000FF"/>
        </w:rPr>
        <w:t xml:space="preserve">dized Patients Interrater Reliability: </w:t>
      </w:r>
      <w:r w:rsidRPr="00023DD7">
        <w:rPr>
          <w:rFonts w:ascii="Calibri" w:eastAsia="Calibri" w:hAnsi="Calibri" w:cs="Times New Roman"/>
          <w:color w:val="0000FF"/>
        </w:rPr>
        <w:t>Two main analytic approaches were used for assessing the video reliability of the CARE items, adhering closely to the methods used by Fricke</w:t>
      </w:r>
      <w:r>
        <w:rPr>
          <w:rFonts w:ascii="Calibri" w:eastAsia="Calibri" w:hAnsi="Calibri" w:cs="Times New Roman"/>
          <w:color w:val="0000FF"/>
        </w:rPr>
        <w:t xml:space="preserve">, </w:t>
      </w:r>
      <w:proofErr w:type="spellStart"/>
      <w:r>
        <w:rPr>
          <w:rFonts w:ascii="Calibri" w:eastAsia="Calibri" w:hAnsi="Calibri" w:cs="Times New Roman"/>
          <w:color w:val="0000FF"/>
        </w:rPr>
        <w:t>Unsworth</w:t>
      </w:r>
      <w:proofErr w:type="spellEnd"/>
      <w:r>
        <w:rPr>
          <w:rFonts w:ascii="Calibri" w:eastAsia="Calibri" w:hAnsi="Calibri" w:cs="Times New Roman"/>
          <w:color w:val="0000FF"/>
        </w:rPr>
        <w:t>, and Worrell</w:t>
      </w:r>
      <w:r w:rsidRPr="00023DD7">
        <w:rPr>
          <w:rFonts w:ascii="Calibri" w:eastAsia="Calibri" w:hAnsi="Calibri" w:cs="Times New Roman"/>
          <w:color w:val="0000FF"/>
        </w:rPr>
        <w:t xml:space="preserve"> (1993) in their video reliability study of the FIM® Instrument. First, percent agreement with the mode response was calculated for each </w:t>
      </w:r>
      <w:r>
        <w:rPr>
          <w:rFonts w:ascii="Calibri" w:eastAsia="Calibri" w:hAnsi="Calibri" w:cs="Times New Roman"/>
          <w:color w:val="0000FF"/>
        </w:rPr>
        <w:t xml:space="preserve">of the </w:t>
      </w:r>
      <w:r w:rsidRPr="00023DD7">
        <w:rPr>
          <w:rFonts w:ascii="Calibri" w:eastAsia="Times New Roman" w:hAnsi="Calibri" w:cs="Times New Roman"/>
          <w:color w:val="0000FF"/>
        </w:rPr>
        <w:t xml:space="preserve">CARE </w:t>
      </w:r>
      <w:r>
        <w:rPr>
          <w:rFonts w:ascii="Calibri" w:eastAsia="Times New Roman" w:hAnsi="Calibri" w:cs="Times New Roman"/>
          <w:color w:val="0000FF"/>
        </w:rPr>
        <w:t xml:space="preserve">function </w:t>
      </w:r>
      <w:r w:rsidRPr="00023DD7">
        <w:rPr>
          <w:rFonts w:ascii="Calibri" w:eastAsia="Times New Roman" w:hAnsi="Calibri" w:cs="Times New Roman"/>
          <w:color w:val="0000FF"/>
        </w:rPr>
        <w:t>item</w:t>
      </w:r>
      <w:r>
        <w:rPr>
          <w:rFonts w:ascii="Calibri" w:eastAsia="Times New Roman" w:hAnsi="Calibri" w:cs="Times New Roman"/>
          <w:color w:val="0000FF"/>
        </w:rPr>
        <w:t>s</w:t>
      </w:r>
      <w:r w:rsidRPr="00023DD7">
        <w:rPr>
          <w:rFonts w:ascii="Calibri" w:eastAsia="Times New Roman" w:hAnsi="Calibri" w:cs="Times New Roman"/>
          <w:color w:val="0000FF"/>
        </w:rPr>
        <w:t xml:space="preserve"> included in at least one of the nine videos. Unlike the approach used by Fricke et al., RTI did not consider agreement at one response level above and below the mode, and instead used a stricter approach looking at direct modal agreement only. In the second approach, percent agreement with the internal clinical team’s consensus response was also calculated. This second measure not only gives an indication of item reliability, but also reflects training consistency for the providers.</w:t>
      </w:r>
    </w:p>
    <w:p w14:paraId="1F75CC43" w14:textId="227BB060" w:rsidR="00761F14" w:rsidRDefault="00761F14" w:rsidP="00193D04">
      <w:pPr>
        <w:autoSpaceDE w:val="0"/>
        <w:autoSpaceDN w:val="0"/>
        <w:adjustRightInd w:val="0"/>
        <w:spacing w:before="240" w:after="0" w:line="240" w:lineRule="auto"/>
        <w:rPr>
          <w:rFonts w:ascii="Calibri" w:eastAsia="Calibri" w:hAnsi="Calibri" w:cs="Times New Roman"/>
          <w:color w:val="0000FF"/>
        </w:rPr>
      </w:pPr>
      <w:r w:rsidRPr="003A756E">
        <w:rPr>
          <w:rFonts w:ascii="Calibri" w:eastAsia="Times New Roman" w:hAnsi="Calibri" w:cs="Times New Roman"/>
          <w:b/>
          <w:color w:val="0000FF"/>
        </w:rPr>
        <w:t xml:space="preserve">Scale </w:t>
      </w:r>
      <w:r w:rsidR="00193D04">
        <w:rPr>
          <w:rFonts w:ascii="Calibri" w:eastAsia="Times New Roman" w:hAnsi="Calibri" w:cs="Times New Roman"/>
          <w:b/>
          <w:color w:val="0000FF"/>
        </w:rPr>
        <w:t xml:space="preserve">Reliability </w:t>
      </w:r>
      <w:r>
        <w:rPr>
          <w:rFonts w:ascii="Calibri" w:eastAsia="Times New Roman" w:hAnsi="Calibri" w:cs="Times New Roman"/>
          <w:b/>
          <w:color w:val="0000FF"/>
        </w:rPr>
        <w:t>-</w:t>
      </w:r>
      <w:r w:rsidRPr="003A756E">
        <w:rPr>
          <w:rFonts w:ascii="Calibri" w:eastAsia="Times New Roman" w:hAnsi="Calibri" w:cs="Times New Roman"/>
          <w:b/>
          <w:color w:val="0000FF"/>
        </w:rPr>
        <w:t xml:space="preserve"> Internal Consistency</w:t>
      </w:r>
      <w:r>
        <w:rPr>
          <w:rFonts w:ascii="Calibri" w:eastAsia="Times New Roman" w:hAnsi="Calibri" w:cs="Times New Roman"/>
          <w:b/>
          <w:color w:val="0000FF"/>
        </w:rPr>
        <w:t xml:space="preserve">: </w:t>
      </w:r>
      <w:r w:rsidRPr="00546888">
        <w:rPr>
          <w:rFonts w:ascii="Calibri" w:eastAsia="Calibri" w:hAnsi="Calibri" w:cs="Times New Roman"/>
          <w:color w:val="0000FF"/>
        </w:rPr>
        <w:t xml:space="preserve">In addition to item-level reliability testing, we examined internal consistency, which provides a general assessment of how well the items interrelate within a domain or subscale. Internal consistency is assessed using the Cronbach’s alpha coefficient, which is the average correlation of all possible half-scale divisions. Cronbach’s alpha is a statistic frequently assessed when instrument or scale psychometrics are published. The Cronbach’s alpha reliability estimate ranges from zero to one, with an estimate of zero indicating that there is no consistency of measurement among the items, and one indicating perfect consistency. Many cutoff criteria exist to determine whether or not a scale shows good consistency or whether the items “hang together” well. </w:t>
      </w:r>
      <w:r>
        <w:rPr>
          <w:rFonts w:ascii="Calibri" w:eastAsia="Calibri" w:hAnsi="Calibri" w:cs="Times New Roman"/>
          <w:color w:val="0000FF"/>
        </w:rPr>
        <w:t>The</w:t>
      </w:r>
      <w:r w:rsidRPr="00546888">
        <w:rPr>
          <w:rFonts w:ascii="Calibri" w:eastAsia="Calibri" w:hAnsi="Calibri" w:cs="Times New Roman"/>
          <w:color w:val="0000FF"/>
        </w:rPr>
        <w:t xml:space="preserve"> consensus is that Cronbach’s alpha should be at least 0.70 for an adequate scale for group-level decisions, and alphas closer to 1 indicate a good scale (Aron and Aron, 1999)</w:t>
      </w:r>
      <w:r>
        <w:rPr>
          <w:rFonts w:ascii="Calibri" w:eastAsia="Calibri" w:hAnsi="Calibri" w:cs="Times New Roman"/>
          <w:color w:val="0000FF"/>
        </w:rPr>
        <w:t>.</w:t>
      </w:r>
      <w:r w:rsidRPr="00546888" w:rsidDel="005F1BA5">
        <w:rPr>
          <w:rFonts w:ascii="Calibri" w:eastAsia="Calibri" w:hAnsi="Calibri" w:cs="Times New Roman"/>
          <w:color w:val="0000FF"/>
        </w:rPr>
        <w:t xml:space="preserve"> </w:t>
      </w:r>
    </w:p>
    <w:p w14:paraId="0529EE33" w14:textId="77777777" w:rsidR="00761F14" w:rsidRPr="00023DD7" w:rsidRDefault="00761F14" w:rsidP="00761F14">
      <w:pPr>
        <w:autoSpaceDE w:val="0"/>
        <w:autoSpaceDN w:val="0"/>
        <w:adjustRightInd w:val="0"/>
        <w:spacing w:before="240" w:after="0" w:line="240" w:lineRule="auto"/>
        <w:rPr>
          <w:rFonts w:ascii="Calibri" w:eastAsia="Calibri" w:hAnsi="Calibri" w:cs="Times New Roman"/>
          <w:color w:val="0000FF"/>
          <w:szCs w:val="20"/>
        </w:rPr>
      </w:pPr>
      <w:r w:rsidRPr="00023DD7">
        <w:rPr>
          <w:rFonts w:ascii="Calibri" w:eastAsia="Calibri" w:hAnsi="Calibri" w:cs="Times New Roman"/>
          <w:b/>
          <w:color w:val="0000FF"/>
          <w:szCs w:val="20"/>
        </w:rPr>
        <w:t>Citations:</w:t>
      </w:r>
    </w:p>
    <w:p w14:paraId="34A3D56C" w14:textId="77777777" w:rsidR="00761F14" w:rsidRPr="001B4B1B" w:rsidRDefault="00761F14" w:rsidP="00761F14">
      <w:pPr>
        <w:spacing w:before="240" w:after="240"/>
        <w:rPr>
          <w:rFonts w:cstheme="minorHAnsi"/>
          <w:bCs/>
        </w:rPr>
      </w:pPr>
      <w:bookmarkStart w:id="11" w:name="_ENREF_28"/>
      <w:r w:rsidRPr="00074841">
        <w:rPr>
          <w:rFonts w:eastAsia="Calibri" w:cs="Times New Roman"/>
          <w:color w:val="0000FF"/>
        </w:rPr>
        <w:t xml:space="preserve">Aron, A., &amp; Aron, E. N. (1999). </w:t>
      </w:r>
      <w:r w:rsidRPr="00074841">
        <w:rPr>
          <w:rFonts w:eastAsia="Calibri" w:cs="Times New Roman"/>
          <w:i/>
          <w:color w:val="0000FF"/>
        </w:rPr>
        <w:t>Statistics for psychology</w:t>
      </w:r>
      <w:r w:rsidRPr="00074841">
        <w:rPr>
          <w:rFonts w:eastAsia="Calibri" w:cs="Times New Roman"/>
          <w:color w:val="0000FF"/>
        </w:rPr>
        <w:t xml:space="preserve"> (2nd </w:t>
      </w:r>
      <w:proofErr w:type="gramStart"/>
      <w:r w:rsidRPr="00074841">
        <w:rPr>
          <w:rFonts w:eastAsia="Calibri" w:cs="Times New Roman"/>
          <w:color w:val="0000FF"/>
        </w:rPr>
        <w:t>ed</w:t>
      </w:r>
      <w:proofErr w:type="gramEnd"/>
      <w:r w:rsidRPr="00074841">
        <w:rPr>
          <w:rFonts w:eastAsia="Calibri" w:cs="Times New Roman"/>
          <w:color w:val="0000FF"/>
        </w:rPr>
        <w:t>.). Upper Saddle River, NJ: Prentice Hall.</w:t>
      </w:r>
    </w:p>
    <w:p w14:paraId="0C3F613C" w14:textId="77777777" w:rsidR="00761F14" w:rsidRPr="00023DD7" w:rsidRDefault="00761F14" w:rsidP="00761F14">
      <w:pPr>
        <w:spacing w:before="240" w:after="0"/>
        <w:rPr>
          <w:rFonts w:ascii="Calibri" w:eastAsia="Calibri" w:hAnsi="Calibri" w:cs="Times New Roman"/>
          <w:color w:val="0000FF"/>
          <w:szCs w:val="20"/>
        </w:rPr>
      </w:pPr>
      <w:r w:rsidRPr="00023DD7">
        <w:rPr>
          <w:rFonts w:ascii="Calibri" w:eastAsia="Calibri" w:hAnsi="Calibri" w:cs="Times New Roman"/>
          <w:color w:val="0000FF"/>
          <w:szCs w:val="20"/>
        </w:rPr>
        <w:t>Fricke</w:t>
      </w:r>
      <w:r>
        <w:rPr>
          <w:rFonts w:ascii="Calibri" w:eastAsia="Calibri" w:hAnsi="Calibri" w:cs="Times New Roman"/>
          <w:color w:val="0000FF"/>
          <w:szCs w:val="20"/>
        </w:rPr>
        <w:t>,</w:t>
      </w:r>
      <w:r w:rsidRPr="00023DD7">
        <w:rPr>
          <w:rFonts w:ascii="Calibri" w:eastAsia="Calibri" w:hAnsi="Calibri" w:cs="Times New Roman"/>
          <w:color w:val="0000FF"/>
          <w:szCs w:val="20"/>
        </w:rPr>
        <w:t xml:space="preserve"> J</w:t>
      </w:r>
      <w:r>
        <w:rPr>
          <w:rFonts w:ascii="Calibri" w:eastAsia="Calibri" w:hAnsi="Calibri" w:cs="Times New Roman"/>
          <w:color w:val="0000FF"/>
          <w:szCs w:val="20"/>
        </w:rPr>
        <w:t>.</w:t>
      </w:r>
      <w:r w:rsidRPr="00023DD7">
        <w:rPr>
          <w:rFonts w:ascii="Calibri" w:eastAsia="Calibri" w:hAnsi="Calibri" w:cs="Times New Roman"/>
          <w:color w:val="0000FF"/>
          <w:szCs w:val="20"/>
        </w:rPr>
        <w:t xml:space="preserve">, </w:t>
      </w:r>
      <w:proofErr w:type="spellStart"/>
      <w:r w:rsidRPr="00023DD7">
        <w:rPr>
          <w:rFonts w:ascii="Calibri" w:eastAsia="Calibri" w:hAnsi="Calibri" w:cs="Times New Roman"/>
          <w:color w:val="0000FF"/>
          <w:szCs w:val="20"/>
        </w:rPr>
        <w:t>Unsworth</w:t>
      </w:r>
      <w:proofErr w:type="spellEnd"/>
      <w:r>
        <w:rPr>
          <w:rFonts w:ascii="Calibri" w:eastAsia="Calibri" w:hAnsi="Calibri" w:cs="Times New Roman"/>
          <w:color w:val="0000FF"/>
          <w:szCs w:val="20"/>
        </w:rPr>
        <w:t>,</w:t>
      </w:r>
      <w:r w:rsidRPr="00023DD7">
        <w:rPr>
          <w:rFonts w:ascii="Calibri" w:eastAsia="Calibri" w:hAnsi="Calibri" w:cs="Times New Roman"/>
          <w:color w:val="0000FF"/>
          <w:szCs w:val="20"/>
        </w:rPr>
        <w:t xml:space="preserve"> C</w:t>
      </w:r>
      <w:r>
        <w:rPr>
          <w:rFonts w:ascii="Calibri" w:eastAsia="Calibri" w:hAnsi="Calibri" w:cs="Times New Roman"/>
          <w:color w:val="0000FF"/>
          <w:szCs w:val="20"/>
        </w:rPr>
        <w:t>.</w:t>
      </w:r>
      <w:r w:rsidRPr="00023DD7">
        <w:rPr>
          <w:rFonts w:ascii="Calibri" w:eastAsia="Calibri" w:hAnsi="Calibri" w:cs="Times New Roman"/>
          <w:color w:val="0000FF"/>
          <w:szCs w:val="20"/>
        </w:rPr>
        <w:t xml:space="preserve">, </w:t>
      </w:r>
      <w:r>
        <w:rPr>
          <w:rFonts w:ascii="Calibri" w:eastAsia="Calibri" w:hAnsi="Calibri" w:cs="Times New Roman"/>
          <w:color w:val="0000FF"/>
          <w:szCs w:val="20"/>
        </w:rPr>
        <w:t xml:space="preserve">&amp; </w:t>
      </w:r>
      <w:r w:rsidRPr="00023DD7">
        <w:rPr>
          <w:rFonts w:ascii="Calibri" w:eastAsia="Calibri" w:hAnsi="Calibri" w:cs="Times New Roman"/>
          <w:color w:val="0000FF"/>
          <w:szCs w:val="20"/>
        </w:rPr>
        <w:t>Worrell</w:t>
      </w:r>
      <w:r>
        <w:rPr>
          <w:rFonts w:ascii="Calibri" w:eastAsia="Calibri" w:hAnsi="Calibri" w:cs="Times New Roman"/>
          <w:color w:val="0000FF"/>
          <w:szCs w:val="20"/>
        </w:rPr>
        <w:t>,</w:t>
      </w:r>
      <w:r w:rsidRPr="00023DD7">
        <w:rPr>
          <w:rFonts w:ascii="Calibri" w:eastAsia="Calibri" w:hAnsi="Calibri" w:cs="Times New Roman"/>
          <w:color w:val="0000FF"/>
          <w:szCs w:val="20"/>
        </w:rPr>
        <w:t xml:space="preserve"> D. </w:t>
      </w:r>
      <w:r>
        <w:rPr>
          <w:rFonts w:ascii="Calibri" w:eastAsia="Calibri" w:hAnsi="Calibri" w:cs="Times New Roman"/>
          <w:color w:val="0000FF"/>
          <w:szCs w:val="20"/>
        </w:rPr>
        <w:t xml:space="preserve">(1993). </w:t>
      </w:r>
      <w:r w:rsidRPr="00023DD7">
        <w:rPr>
          <w:rFonts w:ascii="Calibri" w:eastAsia="Calibri" w:hAnsi="Calibri" w:cs="Times New Roman"/>
          <w:color w:val="0000FF"/>
          <w:szCs w:val="20"/>
        </w:rPr>
        <w:t xml:space="preserve">Reliability of the Functional Independence Measure with </w:t>
      </w:r>
      <w:r>
        <w:rPr>
          <w:rFonts w:ascii="Calibri" w:eastAsia="Calibri" w:hAnsi="Calibri" w:cs="Times New Roman"/>
          <w:color w:val="0000FF"/>
          <w:szCs w:val="20"/>
        </w:rPr>
        <w:t>o</w:t>
      </w:r>
      <w:r w:rsidRPr="00023DD7">
        <w:rPr>
          <w:rFonts w:ascii="Calibri" w:eastAsia="Calibri" w:hAnsi="Calibri" w:cs="Times New Roman"/>
          <w:color w:val="0000FF"/>
          <w:szCs w:val="20"/>
        </w:rPr>
        <w:t xml:space="preserve">ccupational </w:t>
      </w:r>
      <w:r>
        <w:rPr>
          <w:rFonts w:ascii="Calibri" w:eastAsia="Calibri" w:hAnsi="Calibri" w:cs="Times New Roman"/>
          <w:color w:val="0000FF"/>
          <w:szCs w:val="20"/>
        </w:rPr>
        <w:t>t</w:t>
      </w:r>
      <w:r w:rsidRPr="00023DD7">
        <w:rPr>
          <w:rFonts w:ascii="Calibri" w:eastAsia="Calibri" w:hAnsi="Calibri" w:cs="Times New Roman"/>
          <w:color w:val="0000FF"/>
          <w:szCs w:val="20"/>
        </w:rPr>
        <w:t xml:space="preserve">herapists. </w:t>
      </w:r>
      <w:r w:rsidRPr="00023DD7">
        <w:rPr>
          <w:rFonts w:ascii="Calibri" w:eastAsia="Calibri" w:hAnsi="Calibri" w:cs="Times New Roman"/>
          <w:i/>
          <w:color w:val="0000FF"/>
          <w:szCs w:val="20"/>
        </w:rPr>
        <w:t>Australian Occupational Therapy Journal</w:t>
      </w:r>
      <w:r>
        <w:rPr>
          <w:rFonts w:ascii="Calibri" w:eastAsia="Calibri" w:hAnsi="Calibri" w:cs="Times New Roman"/>
          <w:i/>
          <w:color w:val="0000FF"/>
          <w:szCs w:val="20"/>
        </w:rPr>
        <w:t>,</w:t>
      </w:r>
      <w:r w:rsidRPr="00023DD7">
        <w:rPr>
          <w:rFonts w:ascii="Calibri" w:eastAsia="Calibri" w:hAnsi="Calibri" w:cs="Times New Roman"/>
          <w:color w:val="0000FF"/>
          <w:szCs w:val="20"/>
        </w:rPr>
        <w:t xml:space="preserve"> 40</w:t>
      </w:r>
      <w:r w:rsidRPr="00921AAC">
        <w:rPr>
          <w:rFonts w:ascii="Calibri" w:eastAsia="Calibri" w:hAnsi="Calibri" w:cs="Times New Roman"/>
          <w:i/>
          <w:color w:val="0000FF"/>
          <w:szCs w:val="20"/>
        </w:rPr>
        <w:t>,</w:t>
      </w:r>
      <w:r>
        <w:rPr>
          <w:rFonts w:ascii="Calibri" w:eastAsia="Calibri" w:hAnsi="Calibri" w:cs="Times New Roman"/>
          <w:color w:val="0000FF"/>
          <w:szCs w:val="20"/>
        </w:rPr>
        <w:t xml:space="preserve"> </w:t>
      </w:r>
      <w:r w:rsidRPr="00023DD7">
        <w:rPr>
          <w:rFonts w:ascii="Calibri" w:eastAsia="Calibri" w:hAnsi="Calibri" w:cs="Times New Roman"/>
          <w:color w:val="0000FF"/>
          <w:szCs w:val="20"/>
        </w:rPr>
        <w:t>7</w:t>
      </w:r>
      <w:r>
        <w:rPr>
          <w:rFonts w:ascii="Calibri" w:eastAsia="Calibri" w:hAnsi="Calibri" w:cs="Times New Roman"/>
          <w:color w:val="0000FF"/>
          <w:szCs w:val="20"/>
        </w:rPr>
        <w:t>–</w:t>
      </w:r>
      <w:r w:rsidRPr="00023DD7">
        <w:rPr>
          <w:rFonts w:ascii="Calibri" w:eastAsia="Calibri" w:hAnsi="Calibri" w:cs="Times New Roman"/>
          <w:color w:val="0000FF"/>
          <w:szCs w:val="20"/>
        </w:rPr>
        <w:t>15.</w:t>
      </w:r>
      <w:bookmarkEnd w:id="11"/>
    </w:p>
    <w:p w14:paraId="7681FBD5" w14:textId="77777777" w:rsidR="00761F14" w:rsidRPr="00023DD7" w:rsidRDefault="00761F14" w:rsidP="00761F14">
      <w:pPr>
        <w:spacing w:before="240" w:after="0"/>
        <w:rPr>
          <w:rFonts w:ascii="Calibri" w:eastAsia="Calibri" w:hAnsi="Calibri" w:cs="Times New Roman"/>
          <w:color w:val="0000FF"/>
          <w:szCs w:val="20"/>
        </w:rPr>
      </w:pPr>
      <w:proofErr w:type="spellStart"/>
      <w:r w:rsidRPr="00023DD7">
        <w:rPr>
          <w:rFonts w:ascii="Calibri" w:eastAsia="Calibri" w:hAnsi="Calibri" w:cs="Times New Roman"/>
          <w:color w:val="0000FF"/>
          <w:szCs w:val="20"/>
        </w:rPr>
        <w:lastRenderedPageBreak/>
        <w:t>Hirdes</w:t>
      </w:r>
      <w:proofErr w:type="spellEnd"/>
      <w:r>
        <w:rPr>
          <w:rFonts w:ascii="Calibri" w:eastAsia="Calibri" w:hAnsi="Calibri" w:cs="Times New Roman"/>
          <w:color w:val="0000FF"/>
          <w:szCs w:val="20"/>
        </w:rPr>
        <w:t>,</w:t>
      </w:r>
      <w:r w:rsidRPr="00023DD7">
        <w:rPr>
          <w:rFonts w:ascii="Calibri" w:eastAsia="Calibri" w:hAnsi="Calibri" w:cs="Times New Roman"/>
          <w:color w:val="0000FF"/>
          <w:szCs w:val="20"/>
        </w:rPr>
        <w:t xml:space="preserve"> J</w:t>
      </w:r>
      <w:r>
        <w:rPr>
          <w:rFonts w:ascii="Calibri" w:eastAsia="Calibri" w:hAnsi="Calibri" w:cs="Times New Roman"/>
          <w:color w:val="0000FF"/>
          <w:szCs w:val="20"/>
        </w:rPr>
        <w:t xml:space="preserve">. </w:t>
      </w:r>
      <w:r w:rsidRPr="00023DD7">
        <w:rPr>
          <w:rFonts w:ascii="Calibri" w:eastAsia="Calibri" w:hAnsi="Calibri" w:cs="Times New Roman"/>
          <w:color w:val="0000FF"/>
          <w:szCs w:val="20"/>
        </w:rPr>
        <w:t>P</w:t>
      </w:r>
      <w:r>
        <w:rPr>
          <w:rFonts w:ascii="Calibri" w:eastAsia="Calibri" w:hAnsi="Calibri" w:cs="Times New Roman"/>
          <w:color w:val="0000FF"/>
          <w:szCs w:val="20"/>
        </w:rPr>
        <w:t>.</w:t>
      </w:r>
      <w:r w:rsidRPr="00023DD7">
        <w:rPr>
          <w:rFonts w:ascii="Calibri" w:eastAsia="Calibri" w:hAnsi="Calibri" w:cs="Times New Roman"/>
          <w:color w:val="0000FF"/>
          <w:szCs w:val="20"/>
        </w:rPr>
        <w:t>, Smith</w:t>
      </w:r>
      <w:r>
        <w:rPr>
          <w:rFonts w:ascii="Calibri" w:eastAsia="Calibri" w:hAnsi="Calibri" w:cs="Times New Roman"/>
          <w:color w:val="0000FF"/>
          <w:szCs w:val="20"/>
        </w:rPr>
        <w:t>,</w:t>
      </w:r>
      <w:r w:rsidRPr="00023DD7">
        <w:rPr>
          <w:rFonts w:ascii="Calibri" w:eastAsia="Calibri" w:hAnsi="Calibri" w:cs="Times New Roman"/>
          <w:color w:val="0000FF"/>
          <w:szCs w:val="20"/>
        </w:rPr>
        <w:t xml:space="preserve"> T</w:t>
      </w:r>
      <w:r>
        <w:rPr>
          <w:rFonts w:ascii="Calibri" w:eastAsia="Calibri" w:hAnsi="Calibri" w:cs="Times New Roman"/>
          <w:color w:val="0000FF"/>
          <w:szCs w:val="20"/>
        </w:rPr>
        <w:t xml:space="preserve">. </w:t>
      </w:r>
      <w:r w:rsidRPr="00023DD7">
        <w:rPr>
          <w:rFonts w:ascii="Calibri" w:eastAsia="Calibri" w:hAnsi="Calibri" w:cs="Times New Roman"/>
          <w:color w:val="0000FF"/>
          <w:szCs w:val="20"/>
        </w:rPr>
        <w:t>F</w:t>
      </w:r>
      <w:r>
        <w:rPr>
          <w:rFonts w:ascii="Calibri" w:eastAsia="Calibri" w:hAnsi="Calibri" w:cs="Times New Roman"/>
          <w:color w:val="0000FF"/>
          <w:szCs w:val="20"/>
        </w:rPr>
        <w:t>.</w:t>
      </w:r>
      <w:r w:rsidRPr="00023DD7">
        <w:rPr>
          <w:rFonts w:ascii="Calibri" w:eastAsia="Calibri" w:hAnsi="Calibri" w:cs="Times New Roman"/>
          <w:color w:val="0000FF"/>
          <w:szCs w:val="20"/>
        </w:rPr>
        <w:t>, Rabinowitz</w:t>
      </w:r>
      <w:r>
        <w:rPr>
          <w:rFonts w:ascii="Calibri" w:eastAsia="Calibri" w:hAnsi="Calibri" w:cs="Times New Roman"/>
          <w:color w:val="0000FF"/>
          <w:szCs w:val="20"/>
        </w:rPr>
        <w:t>,</w:t>
      </w:r>
      <w:r w:rsidRPr="00023DD7">
        <w:rPr>
          <w:rFonts w:ascii="Calibri" w:eastAsia="Calibri" w:hAnsi="Calibri" w:cs="Times New Roman"/>
          <w:color w:val="0000FF"/>
          <w:szCs w:val="20"/>
        </w:rPr>
        <w:t xml:space="preserve"> T</w:t>
      </w:r>
      <w:r>
        <w:rPr>
          <w:rFonts w:ascii="Calibri" w:eastAsia="Calibri" w:hAnsi="Calibri" w:cs="Times New Roman"/>
          <w:color w:val="0000FF"/>
          <w:szCs w:val="20"/>
        </w:rPr>
        <w:t>.</w:t>
      </w:r>
      <w:r w:rsidRPr="00023DD7">
        <w:rPr>
          <w:rFonts w:ascii="Calibri" w:eastAsia="Calibri" w:hAnsi="Calibri" w:cs="Times New Roman"/>
          <w:color w:val="0000FF"/>
          <w:szCs w:val="20"/>
        </w:rPr>
        <w:t>,</w:t>
      </w:r>
      <w:r w:rsidRPr="00240A69">
        <w:rPr>
          <w:rFonts w:ascii="Calibri" w:eastAsia="Calibri" w:hAnsi="Calibri" w:cs="Times New Roman"/>
          <w:color w:val="0000FF"/>
        </w:rPr>
        <w:t xml:space="preserve"> </w:t>
      </w:r>
      <w:r>
        <w:rPr>
          <w:rFonts w:ascii="Calibri" w:eastAsia="Calibri" w:hAnsi="Calibri" w:cs="Times New Roman"/>
          <w:color w:val="0000FF"/>
        </w:rPr>
        <w:t>Yamauchi, K., P</w:t>
      </w:r>
      <w:r w:rsidRPr="00516C7C">
        <w:rPr>
          <w:rFonts w:ascii="Calibri" w:eastAsia="Calibri" w:hAnsi="Calibri" w:cs="Times New Roman"/>
          <w:color w:val="0000FF"/>
        </w:rPr>
        <w:t>é</w:t>
      </w:r>
      <w:r>
        <w:rPr>
          <w:rFonts w:ascii="Calibri" w:eastAsia="Calibri" w:hAnsi="Calibri" w:cs="Times New Roman"/>
          <w:color w:val="0000FF"/>
        </w:rPr>
        <w:t xml:space="preserve">rez, E., </w:t>
      </w:r>
      <w:proofErr w:type="spellStart"/>
      <w:r>
        <w:rPr>
          <w:rFonts w:ascii="Calibri" w:eastAsia="Calibri" w:hAnsi="Calibri" w:cs="Times New Roman"/>
          <w:color w:val="0000FF"/>
        </w:rPr>
        <w:t>Telegdi</w:t>
      </w:r>
      <w:proofErr w:type="spellEnd"/>
      <w:r>
        <w:rPr>
          <w:rFonts w:ascii="Calibri" w:eastAsia="Calibri" w:hAnsi="Calibri" w:cs="Times New Roman"/>
          <w:color w:val="0000FF"/>
        </w:rPr>
        <w:t>, N. C</w:t>
      </w:r>
      <w:proofErr w:type="gramStart"/>
      <w:r>
        <w:rPr>
          <w:rFonts w:ascii="Calibri" w:eastAsia="Calibri" w:hAnsi="Calibri" w:cs="Times New Roman"/>
          <w:color w:val="0000FF"/>
        </w:rPr>
        <w:t>., …</w:t>
      </w:r>
      <w:proofErr w:type="gramEnd"/>
      <w:r>
        <w:rPr>
          <w:rFonts w:ascii="Calibri" w:eastAsia="Calibri" w:hAnsi="Calibri" w:cs="Times New Roman"/>
          <w:color w:val="0000FF"/>
        </w:rPr>
        <w:t xml:space="preserve"> Fries, B. E. </w:t>
      </w:r>
      <w:r>
        <w:rPr>
          <w:rFonts w:ascii="Calibri" w:eastAsia="Calibri" w:hAnsi="Calibri" w:cs="Times New Roman"/>
          <w:color w:val="0000FF"/>
          <w:szCs w:val="20"/>
        </w:rPr>
        <w:t xml:space="preserve">(2002). </w:t>
      </w:r>
      <w:r w:rsidRPr="00023DD7">
        <w:rPr>
          <w:rFonts w:ascii="Calibri" w:eastAsia="Calibri" w:hAnsi="Calibri" w:cs="Times New Roman"/>
          <w:color w:val="0000FF"/>
          <w:szCs w:val="20"/>
        </w:rPr>
        <w:t>The Resident Assessment Instrument</w:t>
      </w:r>
      <w:r>
        <w:rPr>
          <w:rFonts w:ascii="Calibri" w:eastAsia="Calibri" w:hAnsi="Calibri" w:cs="Times New Roman"/>
          <w:color w:val="0000FF"/>
          <w:szCs w:val="20"/>
        </w:rPr>
        <w:t>–</w:t>
      </w:r>
      <w:r w:rsidRPr="00023DD7">
        <w:rPr>
          <w:rFonts w:ascii="Calibri" w:eastAsia="Calibri" w:hAnsi="Calibri" w:cs="Times New Roman"/>
          <w:color w:val="0000FF"/>
          <w:szCs w:val="20"/>
        </w:rPr>
        <w:t>Mental Health (</w:t>
      </w:r>
      <w:r w:rsidRPr="00BB5E2A">
        <w:rPr>
          <w:rFonts w:ascii="Calibri" w:eastAsia="Calibri" w:hAnsi="Calibri" w:cs="Times New Roman"/>
          <w:color w:val="0000FF"/>
          <w:szCs w:val="20"/>
        </w:rPr>
        <w:t>RAI-MH</w:t>
      </w:r>
      <w:r w:rsidRPr="00023DD7">
        <w:rPr>
          <w:rFonts w:ascii="Calibri" w:eastAsia="Calibri" w:hAnsi="Calibri" w:cs="Times New Roman"/>
          <w:color w:val="0000FF"/>
          <w:szCs w:val="20"/>
        </w:rPr>
        <w:t xml:space="preserve">): </w:t>
      </w:r>
      <w:r>
        <w:rPr>
          <w:rFonts w:ascii="Calibri" w:eastAsia="Calibri" w:hAnsi="Calibri" w:cs="Times New Roman"/>
          <w:color w:val="0000FF"/>
          <w:szCs w:val="20"/>
        </w:rPr>
        <w:t>I</w:t>
      </w:r>
      <w:r w:rsidRPr="00023DD7">
        <w:rPr>
          <w:rFonts w:ascii="Calibri" w:eastAsia="Calibri" w:hAnsi="Calibri" w:cs="Times New Roman"/>
          <w:color w:val="0000FF"/>
          <w:szCs w:val="20"/>
        </w:rPr>
        <w:t xml:space="preserve">nter-rater reliability and convergent validity. </w:t>
      </w:r>
      <w:r w:rsidRPr="00023DD7">
        <w:rPr>
          <w:rFonts w:ascii="Calibri" w:eastAsia="Calibri" w:hAnsi="Calibri" w:cs="Times New Roman"/>
          <w:i/>
          <w:color w:val="0000FF"/>
          <w:szCs w:val="20"/>
        </w:rPr>
        <w:t>J</w:t>
      </w:r>
      <w:r>
        <w:rPr>
          <w:rFonts w:ascii="Calibri" w:eastAsia="Calibri" w:hAnsi="Calibri" w:cs="Times New Roman"/>
          <w:i/>
          <w:color w:val="0000FF"/>
          <w:szCs w:val="20"/>
        </w:rPr>
        <w:t>ournal of</w:t>
      </w:r>
      <w:r w:rsidRPr="00023DD7">
        <w:rPr>
          <w:rFonts w:ascii="Calibri" w:eastAsia="Calibri" w:hAnsi="Calibri" w:cs="Times New Roman"/>
          <w:i/>
          <w:color w:val="0000FF"/>
          <w:szCs w:val="20"/>
        </w:rPr>
        <w:t xml:space="preserve"> Behav</w:t>
      </w:r>
      <w:r>
        <w:rPr>
          <w:rFonts w:ascii="Calibri" w:eastAsia="Calibri" w:hAnsi="Calibri" w:cs="Times New Roman"/>
          <w:i/>
          <w:color w:val="0000FF"/>
          <w:szCs w:val="20"/>
        </w:rPr>
        <w:t>ioral</w:t>
      </w:r>
      <w:r w:rsidRPr="00023DD7">
        <w:rPr>
          <w:rFonts w:ascii="Calibri" w:eastAsia="Calibri" w:hAnsi="Calibri" w:cs="Times New Roman"/>
          <w:i/>
          <w:color w:val="0000FF"/>
          <w:szCs w:val="20"/>
        </w:rPr>
        <w:t xml:space="preserve"> Health Serv</w:t>
      </w:r>
      <w:r>
        <w:rPr>
          <w:rFonts w:ascii="Calibri" w:eastAsia="Calibri" w:hAnsi="Calibri" w:cs="Times New Roman"/>
          <w:i/>
          <w:color w:val="0000FF"/>
          <w:szCs w:val="20"/>
        </w:rPr>
        <w:t>ices and</w:t>
      </w:r>
      <w:r w:rsidRPr="00023DD7">
        <w:rPr>
          <w:rFonts w:ascii="Calibri" w:eastAsia="Calibri" w:hAnsi="Calibri" w:cs="Times New Roman"/>
          <w:i/>
          <w:color w:val="0000FF"/>
          <w:szCs w:val="20"/>
        </w:rPr>
        <w:t xml:space="preserve"> Res</w:t>
      </w:r>
      <w:r>
        <w:rPr>
          <w:rFonts w:ascii="Calibri" w:eastAsia="Calibri" w:hAnsi="Calibri" w:cs="Times New Roman"/>
          <w:i/>
          <w:color w:val="0000FF"/>
          <w:szCs w:val="20"/>
        </w:rPr>
        <w:t>earch,</w:t>
      </w:r>
      <w:r w:rsidRPr="00023DD7">
        <w:rPr>
          <w:rFonts w:ascii="Calibri" w:eastAsia="Calibri" w:hAnsi="Calibri" w:cs="Times New Roman"/>
          <w:i/>
          <w:color w:val="0000FF"/>
          <w:szCs w:val="20"/>
        </w:rPr>
        <w:t xml:space="preserve"> </w:t>
      </w:r>
      <w:r w:rsidRPr="00921AAC">
        <w:rPr>
          <w:rFonts w:ascii="Calibri" w:eastAsia="Calibri" w:hAnsi="Calibri" w:cs="Times New Roman"/>
          <w:i/>
          <w:color w:val="0000FF"/>
          <w:szCs w:val="20"/>
        </w:rPr>
        <w:t xml:space="preserve">29, </w:t>
      </w:r>
      <w:r w:rsidRPr="00023DD7">
        <w:rPr>
          <w:rFonts w:ascii="Calibri" w:eastAsia="Calibri" w:hAnsi="Calibri" w:cs="Times New Roman"/>
          <w:color w:val="0000FF"/>
          <w:szCs w:val="20"/>
        </w:rPr>
        <w:t>419-432</w:t>
      </w:r>
      <w:r>
        <w:rPr>
          <w:rFonts w:ascii="Calibri" w:eastAsia="Calibri" w:hAnsi="Calibri" w:cs="Times New Roman"/>
          <w:color w:val="0000FF"/>
          <w:szCs w:val="20"/>
        </w:rPr>
        <w:t>.</w:t>
      </w:r>
    </w:p>
    <w:p w14:paraId="73A70DB1" w14:textId="77777777" w:rsidR="00761F14" w:rsidRPr="00023DD7" w:rsidRDefault="00761F14" w:rsidP="00761F14">
      <w:pPr>
        <w:spacing w:before="240" w:after="0"/>
        <w:rPr>
          <w:rFonts w:ascii="Calibri" w:eastAsia="Calibri" w:hAnsi="Calibri" w:cs="Times New Roman"/>
          <w:color w:val="0000FF"/>
          <w:szCs w:val="20"/>
        </w:rPr>
      </w:pPr>
      <w:proofErr w:type="spellStart"/>
      <w:r w:rsidRPr="00023DD7">
        <w:rPr>
          <w:rFonts w:ascii="Calibri" w:eastAsia="Calibri" w:hAnsi="Calibri" w:cs="Times New Roman"/>
          <w:color w:val="0000FF"/>
          <w:szCs w:val="20"/>
        </w:rPr>
        <w:t>Streiner</w:t>
      </w:r>
      <w:proofErr w:type="spellEnd"/>
      <w:r>
        <w:rPr>
          <w:rFonts w:ascii="Calibri" w:eastAsia="Calibri" w:hAnsi="Calibri" w:cs="Times New Roman"/>
          <w:color w:val="0000FF"/>
          <w:szCs w:val="20"/>
        </w:rPr>
        <w:t>,</w:t>
      </w:r>
      <w:r w:rsidRPr="00023DD7">
        <w:rPr>
          <w:rFonts w:ascii="Calibri" w:eastAsia="Calibri" w:hAnsi="Calibri" w:cs="Times New Roman"/>
          <w:color w:val="0000FF"/>
          <w:szCs w:val="20"/>
        </w:rPr>
        <w:t xml:space="preserve"> </w:t>
      </w:r>
      <w:r w:rsidRPr="00BB5E2A">
        <w:rPr>
          <w:rFonts w:ascii="Calibri" w:eastAsia="Calibri" w:hAnsi="Calibri" w:cs="Times New Roman"/>
          <w:color w:val="0000FF"/>
          <w:szCs w:val="20"/>
        </w:rPr>
        <w:t>DL</w:t>
      </w:r>
      <w:r w:rsidRPr="00023DD7">
        <w:rPr>
          <w:rFonts w:ascii="Calibri" w:eastAsia="Calibri" w:hAnsi="Calibri" w:cs="Times New Roman"/>
          <w:color w:val="0000FF"/>
          <w:szCs w:val="20"/>
        </w:rPr>
        <w:t>, Norman</w:t>
      </w:r>
      <w:r>
        <w:rPr>
          <w:rFonts w:ascii="Calibri" w:eastAsia="Calibri" w:hAnsi="Calibri" w:cs="Times New Roman"/>
          <w:color w:val="0000FF"/>
          <w:szCs w:val="20"/>
        </w:rPr>
        <w:t>,</w:t>
      </w:r>
      <w:r w:rsidRPr="00023DD7">
        <w:rPr>
          <w:rFonts w:ascii="Calibri" w:eastAsia="Calibri" w:hAnsi="Calibri" w:cs="Times New Roman"/>
          <w:color w:val="0000FF"/>
          <w:szCs w:val="20"/>
        </w:rPr>
        <w:t xml:space="preserve"> </w:t>
      </w:r>
      <w:r w:rsidRPr="00BB5E2A">
        <w:rPr>
          <w:rFonts w:ascii="Calibri" w:eastAsia="Calibri" w:hAnsi="Calibri" w:cs="Times New Roman"/>
          <w:color w:val="0000FF"/>
          <w:szCs w:val="20"/>
        </w:rPr>
        <w:t>GR</w:t>
      </w:r>
      <w:r w:rsidRPr="00023DD7">
        <w:rPr>
          <w:rFonts w:ascii="Calibri" w:eastAsia="Calibri" w:hAnsi="Calibri" w:cs="Times New Roman"/>
          <w:color w:val="0000FF"/>
          <w:szCs w:val="20"/>
        </w:rPr>
        <w:t xml:space="preserve">. </w:t>
      </w:r>
      <w:r>
        <w:rPr>
          <w:rFonts w:ascii="Calibri" w:eastAsia="Calibri" w:hAnsi="Calibri" w:cs="Times New Roman"/>
          <w:color w:val="0000FF"/>
          <w:szCs w:val="20"/>
        </w:rPr>
        <w:t xml:space="preserve">(1995). </w:t>
      </w:r>
      <w:r w:rsidRPr="00921AAC">
        <w:rPr>
          <w:rFonts w:ascii="Calibri" w:eastAsia="Calibri" w:hAnsi="Calibri" w:cs="Times New Roman"/>
          <w:i/>
          <w:color w:val="0000FF"/>
          <w:szCs w:val="20"/>
        </w:rPr>
        <w:t xml:space="preserve">Health measurement scales: A practical guide to their development and use. </w:t>
      </w:r>
      <w:r>
        <w:rPr>
          <w:rFonts w:ascii="Calibri" w:eastAsia="Calibri" w:hAnsi="Calibri" w:cs="Times New Roman"/>
          <w:color w:val="0000FF"/>
          <w:szCs w:val="20"/>
        </w:rPr>
        <w:t xml:space="preserve">Oxford, UK: </w:t>
      </w:r>
      <w:r w:rsidRPr="00921AAC">
        <w:rPr>
          <w:rFonts w:ascii="Calibri" w:eastAsia="Calibri" w:hAnsi="Calibri" w:cs="Times New Roman"/>
          <w:color w:val="0000FF"/>
          <w:szCs w:val="20"/>
        </w:rPr>
        <w:t>Oxford University Press</w:t>
      </w:r>
      <w:r w:rsidRPr="00023DD7">
        <w:rPr>
          <w:rFonts w:ascii="Calibri" w:eastAsia="Calibri" w:hAnsi="Calibri" w:cs="Times New Roman"/>
          <w:color w:val="0000FF"/>
          <w:szCs w:val="20"/>
        </w:rPr>
        <w:t>.</w:t>
      </w:r>
    </w:p>
    <w:p w14:paraId="38F17617" w14:textId="77777777" w:rsidR="00E41C6E" w:rsidRDefault="00E41C6E" w:rsidP="001E1B8C">
      <w:pPr>
        <w:autoSpaceDE w:val="0"/>
        <w:autoSpaceDN w:val="0"/>
        <w:adjustRightInd w:val="0"/>
        <w:spacing w:after="0" w:line="240" w:lineRule="auto"/>
        <w:rPr>
          <w:rFonts w:cstheme="minorHAnsi"/>
          <w:bCs/>
        </w:rPr>
      </w:pPr>
    </w:p>
    <w:p w14:paraId="224C1AC3" w14:textId="40948A51" w:rsidR="00E41C6E" w:rsidRDefault="00092566" w:rsidP="00E41C6E">
      <w:pPr>
        <w:autoSpaceDE w:val="0"/>
        <w:autoSpaceDN w:val="0"/>
        <w:adjustRightInd w:val="0"/>
        <w:spacing w:after="0" w:line="240" w:lineRule="auto"/>
        <w:rPr>
          <w:rFonts w:cstheme="minorHAnsi"/>
          <w:bCs/>
          <w:i/>
          <w:i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of testing</w:t>
      </w:r>
      <w:r w:rsidR="008C54A9" w:rsidRPr="00A25024">
        <w:rPr>
          <w:rFonts w:cstheme="minorHAnsi"/>
          <w:b/>
          <w:bCs/>
        </w:rPr>
        <w:t xml:space="preserve"> 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r w:rsidR="00E41C6E">
        <w:rPr>
          <w:rFonts w:cstheme="minorHAnsi"/>
          <w:bCs/>
          <w:i/>
          <w:iCs/>
        </w:rPr>
        <w:t>Data Element Reliability</w:t>
      </w:r>
    </w:p>
    <w:p w14:paraId="1E65F2F1" w14:textId="77777777" w:rsidR="0097244A" w:rsidRDefault="0097244A" w:rsidP="00E41C6E">
      <w:pPr>
        <w:autoSpaceDE w:val="0"/>
        <w:autoSpaceDN w:val="0"/>
        <w:adjustRightInd w:val="0"/>
        <w:spacing w:after="0" w:line="240" w:lineRule="auto"/>
        <w:rPr>
          <w:rFonts w:cstheme="minorHAnsi"/>
          <w:bCs/>
          <w:i/>
          <w:iCs/>
        </w:rPr>
      </w:pPr>
    </w:p>
    <w:p w14:paraId="7CCF0968" w14:textId="58A07AA0" w:rsidR="009D386B" w:rsidRDefault="00761F14" w:rsidP="00CC7AB5">
      <w:pPr>
        <w:spacing w:after="0" w:line="240" w:lineRule="auto"/>
        <w:rPr>
          <w:rFonts w:ascii="Calibri" w:eastAsia="Calibri" w:hAnsi="Calibri" w:cs="Times New Roman"/>
          <w:color w:val="0000FF"/>
        </w:rPr>
      </w:pPr>
      <w:r w:rsidRPr="001B4B1B">
        <w:rPr>
          <w:rFonts w:ascii="Calibri" w:eastAsia="Calibri" w:hAnsi="Calibri" w:cs="Times New Roman"/>
          <w:b/>
          <w:color w:val="0000FF"/>
        </w:rPr>
        <w:t xml:space="preserve">Item </w:t>
      </w:r>
      <w:r w:rsidR="00702940">
        <w:rPr>
          <w:rFonts w:ascii="Calibri" w:eastAsia="Calibri" w:hAnsi="Calibri" w:cs="Times New Roman"/>
          <w:b/>
          <w:color w:val="0000FF"/>
        </w:rPr>
        <w:t>Reliability</w:t>
      </w:r>
      <w:r>
        <w:rPr>
          <w:rFonts w:ascii="Calibri" w:eastAsia="Calibri" w:hAnsi="Calibri" w:cs="Times New Roman"/>
          <w:b/>
          <w:color w:val="0000FF"/>
        </w:rPr>
        <w:t xml:space="preserve"> - </w:t>
      </w:r>
      <w:r w:rsidRPr="001B4B1B">
        <w:rPr>
          <w:rFonts w:ascii="Calibri" w:eastAsia="Calibri" w:hAnsi="Calibri" w:cs="Times New Roman"/>
          <w:b/>
          <w:color w:val="0000FF"/>
        </w:rPr>
        <w:t xml:space="preserve">Traditional Interrater Reliability: </w:t>
      </w:r>
      <w:r w:rsidRPr="001B4B1B">
        <w:rPr>
          <w:rFonts w:ascii="Calibri" w:eastAsia="Calibri" w:hAnsi="Calibri" w:cs="Times New Roman"/>
          <w:color w:val="0000FF"/>
        </w:rPr>
        <w:t xml:space="preserve">For the traditional reliability study, kappa statistics indicated substantial agreement among raters. The weighted kappa values for the self-care items range between 0.798 for eating to 0.869 for upper-body dressing. Unweighted kappas ranged from 0.598 for oral hygiene to 0.634 for upper-body dressing. Provider-specific analyses of self-care items show similar agreement to the overall estimates. The lower-body dressing item had the highest overall weighted kappa (0.855), while the eating item had the lowest (0.798). Unweighted overall kappas ranged from 0.636 (toileting) to 0.598 (oral hygiene). </w:t>
      </w:r>
      <w:r w:rsidR="000D2583">
        <w:rPr>
          <w:rFonts w:ascii="Calibri" w:eastAsia="Calibri" w:hAnsi="Calibri" w:cs="Times New Roman"/>
          <w:color w:val="0000FF"/>
        </w:rPr>
        <w:t>The report “</w:t>
      </w:r>
      <w:r w:rsidR="000D2583" w:rsidRPr="00C62CC0">
        <w:rPr>
          <w:iCs/>
          <w:color w:val="3333FF"/>
        </w:rPr>
        <w:t>The Development and Testing of the Continuity Assessment Record and Evaluation (CARE) Item Set: Final Report on Reliability Testing Volume 2 of 3</w:t>
      </w:r>
      <w:r w:rsidR="000D2583">
        <w:rPr>
          <w:iCs/>
          <w:color w:val="3333FF"/>
        </w:rPr>
        <w:t>”</w:t>
      </w:r>
      <w:r w:rsidR="000D2583" w:rsidRPr="00C62CC0">
        <w:rPr>
          <w:color w:val="3333FF"/>
        </w:rPr>
        <w:t xml:space="preserve"> </w:t>
      </w:r>
      <w:r w:rsidR="000D2583">
        <w:rPr>
          <w:color w:val="3333FF"/>
        </w:rPr>
        <w:t>p</w:t>
      </w:r>
      <w:r w:rsidR="000D2583">
        <w:rPr>
          <w:rFonts w:ascii="Calibri" w:eastAsia="Calibri" w:hAnsi="Calibri" w:cs="Times New Roman"/>
          <w:color w:val="0000FF"/>
        </w:rPr>
        <w:t xml:space="preserve">rovides detailed results for the traditional interrater reliability analyses. </w:t>
      </w:r>
    </w:p>
    <w:p w14:paraId="41B2099F" w14:textId="77777777" w:rsidR="009D386B" w:rsidRDefault="009D386B" w:rsidP="009D386B">
      <w:pPr>
        <w:spacing w:after="0" w:line="240" w:lineRule="auto"/>
        <w:rPr>
          <w:rFonts w:ascii="Calibri" w:eastAsia="Calibri" w:hAnsi="Calibri" w:cs="Times New Roman"/>
          <w:color w:val="0000FF"/>
        </w:rPr>
      </w:pPr>
    </w:p>
    <w:p w14:paraId="7067EA5E" w14:textId="549C2D4B" w:rsidR="000D2583" w:rsidRPr="000D2583" w:rsidRDefault="00761F14" w:rsidP="00CC7AB5">
      <w:pPr>
        <w:spacing w:after="0" w:line="240" w:lineRule="auto"/>
        <w:rPr>
          <w:rFonts w:cstheme="minorHAnsi"/>
          <w:bCs/>
        </w:rPr>
      </w:pPr>
      <w:r w:rsidRPr="000D2583">
        <w:rPr>
          <w:rFonts w:eastAsia="Calibri"/>
          <w:b/>
          <w:color w:val="0000FF"/>
        </w:rPr>
        <w:t xml:space="preserve">Item </w:t>
      </w:r>
      <w:r w:rsidR="00702940" w:rsidRPr="000D2583">
        <w:rPr>
          <w:rFonts w:eastAsia="Calibri"/>
          <w:b/>
          <w:color w:val="0000FF"/>
        </w:rPr>
        <w:t>Reliability</w:t>
      </w:r>
      <w:r w:rsidRPr="000D2583">
        <w:rPr>
          <w:rFonts w:eastAsia="Calibri"/>
          <w:b/>
          <w:color w:val="0000FF"/>
        </w:rPr>
        <w:t xml:space="preserve"> - Videotaped Standardized Patients Reliability: </w:t>
      </w:r>
      <w:r w:rsidRPr="000D2583">
        <w:rPr>
          <w:rFonts w:eastAsia="Calibri"/>
          <w:color w:val="0000FF"/>
        </w:rPr>
        <w:t xml:space="preserve">The video reliability study indicated substantial agreement with the mode and clinical team among all items, typically upwards of 70%. The notable exception to this trend exists among the clinicians in the “Other” category (mostly licensed professional nurses [LPNs]); they consistently had the lowest levels of agreement among all core self-care items, ranging from 50 to 72%. For the toileting and dressing items, the agreement with the clinical team was lower than with the mode. This occurred because the clinical team response differed from the mode for these three items in either one or two videos. Nonetheless, because the clinical team response and mode were identical on most of the videos, agreement was still quite high for these items. In general, study clinicians had responses on average that agreed with the expert clinical team or were slightly lower. </w:t>
      </w:r>
      <w:r w:rsidR="000D2583" w:rsidRPr="000D2583">
        <w:rPr>
          <w:rFonts w:eastAsia="Calibri"/>
          <w:color w:val="0000FF"/>
        </w:rPr>
        <w:t>The report “</w:t>
      </w:r>
      <w:r w:rsidR="000D2583" w:rsidRPr="000D2583">
        <w:rPr>
          <w:iCs/>
          <w:color w:val="3333FF"/>
        </w:rPr>
        <w:t>Continuity Assessment Record and Evaluation (CARE) Item Set: Video Reliability Testing”</w:t>
      </w:r>
      <w:r w:rsidR="000D2583" w:rsidRPr="000D2583">
        <w:rPr>
          <w:color w:val="3333FF"/>
        </w:rPr>
        <w:t xml:space="preserve"> p</w:t>
      </w:r>
      <w:r w:rsidR="000D2583" w:rsidRPr="000D2583">
        <w:rPr>
          <w:rFonts w:eastAsia="Calibri"/>
          <w:color w:val="0000FF"/>
        </w:rPr>
        <w:t xml:space="preserve">rovides detailed results for the video reliability analyses. </w:t>
      </w:r>
    </w:p>
    <w:p w14:paraId="2705A400" w14:textId="7E0B4E20" w:rsidR="00A361B1" w:rsidRPr="002355C9" w:rsidRDefault="00A361B1" w:rsidP="00A361B1">
      <w:pPr>
        <w:spacing w:before="200" w:line="240" w:lineRule="auto"/>
        <w:rPr>
          <w:rFonts w:eastAsia="Times New Roman" w:cs="Times New Roman"/>
          <w:color w:val="0000FF"/>
          <w:szCs w:val="20"/>
        </w:rPr>
      </w:pPr>
      <w:r w:rsidRPr="009D386B">
        <w:rPr>
          <w:rFonts w:eastAsia="Calibri" w:cs="Times New Roman"/>
          <w:b/>
          <w:color w:val="0000FF"/>
        </w:rPr>
        <w:t xml:space="preserve">Scale Reliability </w:t>
      </w:r>
      <w:r w:rsidRPr="009D386B">
        <w:rPr>
          <w:rFonts w:ascii="Calibri" w:eastAsia="Calibri" w:hAnsi="Calibri" w:cs="Times New Roman"/>
          <w:b/>
          <w:color w:val="0000FF"/>
        </w:rPr>
        <w:t>-</w:t>
      </w:r>
      <w:r w:rsidRPr="009D386B">
        <w:rPr>
          <w:rFonts w:eastAsia="Calibri" w:cs="Times New Roman"/>
          <w:b/>
          <w:color w:val="0000FF"/>
        </w:rPr>
        <w:t xml:space="preserve"> Internal Consistency: </w:t>
      </w:r>
      <w:r w:rsidRPr="009D386B">
        <w:rPr>
          <w:rFonts w:ascii="Calibri" w:eastAsia="Calibri" w:hAnsi="Calibri" w:cs="Times New Roman"/>
          <w:color w:val="0000FF"/>
        </w:rPr>
        <w:t xml:space="preserve">Assessments of the self-care subscale at both admission and discharge tend to show good reliability statistics (Cronbach’s alpha of at least 0.80). </w:t>
      </w:r>
      <w:r w:rsidRPr="009D386B">
        <w:rPr>
          <w:rFonts w:eastAsia="Times New Roman" w:cs="Times New Roman"/>
          <w:b/>
          <w:bCs/>
          <w:color w:val="0000FF"/>
          <w:szCs w:val="20"/>
        </w:rPr>
        <w:t>Table 1</w:t>
      </w:r>
      <w:r w:rsidRPr="009D386B">
        <w:rPr>
          <w:rFonts w:eastAsia="Times New Roman" w:cs="Times New Roman"/>
          <w:color w:val="0000FF"/>
          <w:szCs w:val="20"/>
        </w:rPr>
        <w:t xml:space="preserve"> provides the findings from the Cronbach’s alpha internal consistency </w:t>
      </w:r>
      <w:r w:rsidRPr="009D386B">
        <w:rPr>
          <w:rFonts w:ascii="Calibri" w:eastAsia="Calibri" w:hAnsi="Calibri" w:cs="Times New Roman"/>
          <w:color w:val="0000FF"/>
        </w:rPr>
        <w:t>estimates by provider type and shows that the functional status items maintain a very high internal consistency. In addition, no one provider type appears to have reliability estimates higher or lower than the rest, indicating similarity of CARE usage with respect to internal consistency.</w:t>
      </w:r>
    </w:p>
    <w:p w14:paraId="1CE0A182" w14:textId="77777777" w:rsidR="00A2496B" w:rsidRDefault="00A2496B">
      <w:pPr>
        <w:rPr>
          <w:rFonts w:eastAsia="Calibri" w:cs="Arial"/>
          <w:b/>
          <w:bCs/>
          <w:color w:val="0000FF"/>
        </w:rPr>
      </w:pPr>
      <w:r>
        <w:rPr>
          <w:rFonts w:eastAsia="Calibri" w:cs="Arial"/>
          <w:b/>
          <w:bCs/>
          <w:color w:val="0000FF"/>
        </w:rPr>
        <w:br w:type="page"/>
      </w:r>
    </w:p>
    <w:p w14:paraId="609D6F10" w14:textId="150C8896" w:rsidR="00761F14" w:rsidRPr="00EF6E95" w:rsidRDefault="00761F14" w:rsidP="00761F14">
      <w:pPr>
        <w:autoSpaceDE w:val="0"/>
        <w:autoSpaceDN w:val="0"/>
        <w:adjustRightInd w:val="0"/>
        <w:spacing w:before="200" w:line="240" w:lineRule="auto"/>
        <w:rPr>
          <w:rFonts w:eastAsia="Times New Roman" w:cs="Times New Roman"/>
          <w:b/>
          <w:bCs/>
          <w:color w:val="0000FF"/>
          <w:szCs w:val="20"/>
        </w:rPr>
      </w:pPr>
      <w:proofErr w:type="gramStart"/>
      <w:r w:rsidRPr="00EF6E95">
        <w:rPr>
          <w:rFonts w:eastAsia="Calibri" w:cs="Arial"/>
          <w:b/>
          <w:bCs/>
          <w:color w:val="0000FF"/>
        </w:rPr>
        <w:lastRenderedPageBreak/>
        <w:t>Table 1.</w:t>
      </w:r>
      <w:proofErr w:type="gramEnd"/>
      <w:r w:rsidRPr="00EF6E95">
        <w:rPr>
          <w:rFonts w:eastAsia="Calibri" w:cs="Arial"/>
          <w:b/>
          <w:bCs/>
          <w:color w:val="0000FF"/>
        </w:rPr>
        <w:t xml:space="preserve"> CARE Functional Status Internal Consistency Reliability Summary by Provider Type</w:t>
      </w:r>
    </w:p>
    <w:tbl>
      <w:tblPr>
        <w:tblW w:w="8870" w:type="dxa"/>
        <w:jc w:val="center"/>
        <w:tblBorders>
          <w:top w:val="single" w:sz="12" w:space="0" w:color="auto"/>
          <w:bottom w:val="single" w:sz="12" w:space="0" w:color="auto"/>
        </w:tblBorders>
        <w:tblLayout w:type="fixed"/>
        <w:tblCellMar>
          <w:left w:w="115" w:type="dxa"/>
          <w:right w:w="115" w:type="dxa"/>
        </w:tblCellMar>
        <w:tblLook w:val="00A0" w:firstRow="1" w:lastRow="0" w:firstColumn="1" w:lastColumn="0" w:noHBand="0" w:noVBand="0"/>
      </w:tblPr>
      <w:tblGrid>
        <w:gridCol w:w="1435"/>
        <w:gridCol w:w="1487"/>
        <w:gridCol w:w="1487"/>
        <w:gridCol w:w="1487"/>
        <w:gridCol w:w="1599"/>
        <w:gridCol w:w="1375"/>
      </w:tblGrid>
      <w:tr w:rsidR="00761F14" w:rsidRPr="002355C9" w14:paraId="09D80568" w14:textId="77777777" w:rsidTr="0035208A">
        <w:trPr>
          <w:cantSplit/>
          <w:trHeight w:val="20"/>
          <w:tblHeader/>
          <w:jc w:val="center"/>
        </w:trPr>
        <w:tc>
          <w:tcPr>
            <w:tcW w:w="1435" w:type="dxa"/>
            <w:tcBorders>
              <w:top w:val="single" w:sz="4" w:space="0" w:color="auto"/>
              <w:left w:val="nil"/>
              <w:bottom w:val="single" w:sz="4" w:space="0" w:color="auto"/>
              <w:right w:val="nil"/>
            </w:tcBorders>
            <w:vAlign w:val="center"/>
            <w:hideMark/>
          </w:tcPr>
          <w:p w14:paraId="12BAAF34" w14:textId="77777777" w:rsidR="00761F14" w:rsidRPr="007444FE" w:rsidRDefault="00761F14" w:rsidP="008D65B0">
            <w:pPr>
              <w:keepNext/>
              <w:spacing w:before="40" w:after="40" w:line="240" w:lineRule="auto"/>
              <w:jc w:val="center"/>
              <w:rPr>
                <w:rFonts w:eastAsia="Times New Roman" w:cs="Times New Roman"/>
                <w:b/>
                <w:snapToGrid w:val="0"/>
                <w:color w:val="0000FF"/>
              </w:rPr>
            </w:pPr>
            <w:r w:rsidRPr="007444FE">
              <w:rPr>
                <w:rFonts w:eastAsia="Calibri" w:cs="Times New Roman"/>
                <w:b/>
                <w:color w:val="0000FF"/>
              </w:rPr>
              <w:t>CARE analytic set</w:t>
            </w:r>
          </w:p>
        </w:tc>
        <w:tc>
          <w:tcPr>
            <w:tcW w:w="1487" w:type="dxa"/>
            <w:tcBorders>
              <w:top w:val="single" w:sz="4" w:space="0" w:color="auto"/>
              <w:left w:val="nil"/>
              <w:bottom w:val="single" w:sz="4" w:space="0" w:color="auto"/>
              <w:right w:val="nil"/>
            </w:tcBorders>
            <w:vAlign w:val="center"/>
            <w:hideMark/>
          </w:tcPr>
          <w:p w14:paraId="1EE01112" w14:textId="77777777" w:rsidR="00761F14" w:rsidRPr="007444FE" w:rsidRDefault="00761F14" w:rsidP="008D65B0">
            <w:pPr>
              <w:keepNext/>
              <w:spacing w:before="40" w:after="40" w:line="240" w:lineRule="auto"/>
              <w:jc w:val="center"/>
              <w:rPr>
                <w:rFonts w:eastAsia="Calibri" w:cs="Times New Roman"/>
                <w:b/>
                <w:color w:val="0000FF"/>
              </w:rPr>
            </w:pPr>
            <w:r w:rsidRPr="007444FE">
              <w:rPr>
                <w:rFonts w:eastAsia="Calibri" w:cs="Times New Roman"/>
                <w:b/>
                <w:color w:val="0000FF"/>
              </w:rPr>
              <w:t>Overall</w:t>
            </w:r>
            <w:r w:rsidRPr="007444FE">
              <w:rPr>
                <w:rFonts w:eastAsia="Calibri" w:cs="Times New Roman"/>
                <w:b/>
                <w:color w:val="0000FF"/>
              </w:rPr>
              <w:br/>
              <w:t>alpha</w:t>
            </w:r>
          </w:p>
        </w:tc>
        <w:tc>
          <w:tcPr>
            <w:tcW w:w="1487" w:type="dxa"/>
            <w:tcBorders>
              <w:top w:val="single" w:sz="4" w:space="0" w:color="auto"/>
              <w:left w:val="nil"/>
              <w:bottom w:val="single" w:sz="4" w:space="0" w:color="auto"/>
              <w:right w:val="nil"/>
            </w:tcBorders>
            <w:vAlign w:val="center"/>
            <w:hideMark/>
          </w:tcPr>
          <w:p w14:paraId="14FB9557" w14:textId="77777777" w:rsidR="00761F14" w:rsidRPr="007444FE" w:rsidRDefault="00761F14" w:rsidP="008D65B0">
            <w:pPr>
              <w:keepNext/>
              <w:spacing w:before="40" w:after="40" w:line="240" w:lineRule="auto"/>
              <w:jc w:val="center"/>
              <w:rPr>
                <w:rFonts w:eastAsia="Calibri" w:cs="Times New Roman"/>
                <w:b/>
                <w:color w:val="0000FF"/>
              </w:rPr>
            </w:pPr>
            <w:r w:rsidRPr="007444FE">
              <w:rPr>
                <w:rFonts w:eastAsia="Calibri" w:cs="Times New Roman"/>
                <w:b/>
                <w:color w:val="0000FF"/>
              </w:rPr>
              <w:t xml:space="preserve">Home Health Agency </w:t>
            </w:r>
            <w:r w:rsidRPr="007444FE">
              <w:rPr>
                <w:rFonts w:eastAsia="Calibri" w:cs="Times New Roman"/>
                <w:b/>
                <w:color w:val="0000FF"/>
              </w:rPr>
              <w:br/>
              <w:t>alpha</w:t>
            </w:r>
          </w:p>
        </w:tc>
        <w:tc>
          <w:tcPr>
            <w:tcW w:w="1487" w:type="dxa"/>
            <w:tcBorders>
              <w:top w:val="single" w:sz="4" w:space="0" w:color="auto"/>
              <w:left w:val="nil"/>
              <w:bottom w:val="single" w:sz="4" w:space="0" w:color="auto"/>
              <w:right w:val="nil"/>
            </w:tcBorders>
            <w:vAlign w:val="center"/>
            <w:hideMark/>
          </w:tcPr>
          <w:p w14:paraId="129CEE1E" w14:textId="77777777" w:rsidR="00761F14" w:rsidRPr="007444FE" w:rsidRDefault="00761F14" w:rsidP="008D65B0">
            <w:pPr>
              <w:keepNext/>
              <w:spacing w:before="40" w:after="40" w:line="240" w:lineRule="auto"/>
              <w:jc w:val="center"/>
              <w:rPr>
                <w:rFonts w:eastAsia="Calibri" w:cs="Times New Roman"/>
                <w:b/>
                <w:color w:val="0000FF"/>
              </w:rPr>
            </w:pPr>
            <w:r w:rsidRPr="007444FE">
              <w:rPr>
                <w:rFonts w:eastAsia="Calibri" w:cs="Times New Roman"/>
                <w:b/>
                <w:color w:val="0000FF"/>
              </w:rPr>
              <w:t xml:space="preserve">Skilled Nursing Facility </w:t>
            </w:r>
            <w:r w:rsidRPr="007444FE">
              <w:rPr>
                <w:rFonts w:eastAsia="Calibri" w:cs="Times New Roman"/>
                <w:b/>
                <w:color w:val="0000FF"/>
              </w:rPr>
              <w:br/>
              <w:t>alpha</w:t>
            </w:r>
          </w:p>
        </w:tc>
        <w:tc>
          <w:tcPr>
            <w:tcW w:w="1599" w:type="dxa"/>
            <w:tcBorders>
              <w:top w:val="single" w:sz="4" w:space="0" w:color="auto"/>
              <w:left w:val="nil"/>
              <w:bottom w:val="single" w:sz="4" w:space="0" w:color="auto"/>
              <w:right w:val="nil"/>
            </w:tcBorders>
            <w:vAlign w:val="center"/>
            <w:hideMark/>
          </w:tcPr>
          <w:p w14:paraId="2967C1A0" w14:textId="77777777" w:rsidR="00761F14" w:rsidRPr="007444FE" w:rsidRDefault="00761F14" w:rsidP="008D65B0">
            <w:pPr>
              <w:keepNext/>
              <w:spacing w:before="40" w:after="40" w:line="240" w:lineRule="auto"/>
              <w:jc w:val="center"/>
              <w:rPr>
                <w:rFonts w:eastAsia="Calibri" w:cs="Times New Roman"/>
                <w:b/>
                <w:color w:val="0000FF"/>
              </w:rPr>
            </w:pPr>
            <w:r w:rsidRPr="007444FE">
              <w:rPr>
                <w:rFonts w:eastAsia="Calibri" w:cs="Times New Roman"/>
                <w:b/>
                <w:color w:val="0000FF"/>
              </w:rPr>
              <w:t xml:space="preserve">Inpatient Rehabilitation Facility </w:t>
            </w:r>
            <w:r w:rsidRPr="007444FE">
              <w:rPr>
                <w:rFonts w:eastAsia="Calibri" w:cs="Times New Roman"/>
                <w:b/>
                <w:color w:val="0000FF"/>
              </w:rPr>
              <w:br/>
              <w:t>alpha</w:t>
            </w:r>
          </w:p>
        </w:tc>
        <w:tc>
          <w:tcPr>
            <w:tcW w:w="1375" w:type="dxa"/>
            <w:tcBorders>
              <w:top w:val="single" w:sz="4" w:space="0" w:color="auto"/>
              <w:left w:val="nil"/>
              <w:bottom w:val="single" w:sz="4" w:space="0" w:color="auto"/>
              <w:right w:val="nil"/>
            </w:tcBorders>
            <w:vAlign w:val="center"/>
            <w:hideMark/>
          </w:tcPr>
          <w:p w14:paraId="0C7BF0F8" w14:textId="77777777" w:rsidR="00761F14" w:rsidRPr="007444FE" w:rsidRDefault="00761F14" w:rsidP="008D65B0">
            <w:pPr>
              <w:keepNext/>
              <w:spacing w:before="40" w:after="40" w:line="240" w:lineRule="auto"/>
              <w:jc w:val="center"/>
              <w:rPr>
                <w:rFonts w:eastAsia="Calibri" w:cs="Times New Roman"/>
                <w:b/>
                <w:color w:val="0000FF"/>
              </w:rPr>
            </w:pPr>
            <w:r w:rsidRPr="007444FE">
              <w:rPr>
                <w:rFonts w:eastAsia="Calibri" w:cs="Times New Roman"/>
                <w:b/>
                <w:color w:val="0000FF"/>
              </w:rPr>
              <w:t xml:space="preserve">Long-Term Care Hospital </w:t>
            </w:r>
            <w:r w:rsidRPr="007444FE">
              <w:rPr>
                <w:rFonts w:eastAsia="Calibri" w:cs="Times New Roman"/>
                <w:b/>
                <w:color w:val="0000FF"/>
              </w:rPr>
              <w:br/>
              <w:t>alpha</w:t>
            </w:r>
          </w:p>
        </w:tc>
      </w:tr>
      <w:tr w:rsidR="00761F14" w:rsidRPr="002355C9" w14:paraId="0A2F97A3" w14:textId="77777777" w:rsidTr="005C7D57">
        <w:trPr>
          <w:cantSplit/>
          <w:trHeight w:val="70"/>
          <w:jc w:val="center"/>
        </w:trPr>
        <w:tc>
          <w:tcPr>
            <w:tcW w:w="1435" w:type="dxa"/>
            <w:tcBorders>
              <w:top w:val="single" w:sz="4" w:space="0" w:color="auto"/>
              <w:left w:val="nil"/>
              <w:bottom w:val="single" w:sz="4" w:space="0" w:color="auto"/>
              <w:right w:val="nil"/>
            </w:tcBorders>
            <w:tcMar>
              <w:top w:w="0" w:type="dxa"/>
              <w:left w:w="0" w:type="dxa"/>
              <w:bottom w:w="0" w:type="dxa"/>
              <w:right w:w="115" w:type="dxa"/>
            </w:tcMar>
            <w:hideMark/>
          </w:tcPr>
          <w:p w14:paraId="3F5419CF" w14:textId="77777777" w:rsidR="00761F14" w:rsidRPr="002355C9" w:rsidRDefault="00761F14" w:rsidP="008D65B0">
            <w:pPr>
              <w:keepNext/>
              <w:spacing w:before="40" w:after="40" w:line="240" w:lineRule="auto"/>
              <w:jc w:val="center"/>
              <w:rPr>
                <w:rFonts w:eastAsia="Calibri" w:cs="Times New Roman"/>
                <w:color w:val="0000FF"/>
              </w:rPr>
            </w:pPr>
            <w:r w:rsidRPr="002355C9">
              <w:rPr>
                <w:rFonts w:eastAsia="Calibri" w:cs="Times New Roman"/>
                <w:color w:val="0000FF"/>
              </w:rPr>
              <w:t>Self-Care</w:t>
            </w:r>
          </w:p>
        </w:tc>
        <w:tc>
          <w:tcPr>
            <w:tcW w:w="1487" w:type="dxa"/>
            <w:tcBorders>
              <w:top w:val="single" w:sz="4" w:space="0" w:color="auto"/>
              <w:left w:val="nil"/>
              <w:bottom w:val="single" w:sz="4" w:space="0" w:color="auto"/>
              <w:right w:val="nil"/>
            </w:tcBorders>
            <w:vAlign w:val="bottom"/>
            <w:hideMark/>
          </w:tcPr>
          <w:p w14:paraId="186EE86D" w14:textId="77777777" w:rsidR="00761F14" w:rsidRPr="002355C9" w:rsidRDefault="00761F14" w:rsidP="008D65B0">
            <w:pPr>
              <w:keepNext/>
              <w:spacing w:before="40" w:after="40" w:line="240" w:lineRule="auto"/>
              <w:jc w:val="center"/>
              <w:rPr>
                <w:rFonts w:eastAsia="Calibri" w:cs="Times New Roman"/>
                <w:color w:val="0000FF"/>
              </w:rPr>
            </w:pPr>
            <w:r w:rsidRPr="002355C9">
              <w:rPr>
                <w:rFonts w:eastAsia="Calibri" w:cs="Times New Roman"/>
                <w:color w:val="0000FF"/>
              </w:rPr>
              <w:t>0.96</w:t>
            </w:r>
          </w:p>
        </w:tc>
        <w:tc>
          <w:tcPr>
            <w:tcW w:w="1487" w:type="dxa"/>
            <w:tcBorders>
              <w:top w:val="single" w:sz="4" w:space="0" w:color="auto"/>
              <w:left w:val="nil"/>
              <w:bottom w:val="single" w:sz="4" w:space="0" w:color="auto"/>
              <w:right w:val="nil"/>
            </w:tcBorders>
            <w:vAlign w:val="bottom"/>
            <w:hideMark/>
          </w:tcPr>
          <w:p w14:paraId="71D76959" w14:textId="77777777" w:rsidR="00761F14" w:rsidRPr="002355C9" w:rsidRDefault="00761F14" w:rsidP="008D65B0">
            <w:pPr>
              <w:keepNext/>
              <w:spacing w:before="40" w:after="40" w:line="240" w:lineRule="auto"/>
              <w:jc w:val="center"/>
              <w:rPr>
                <w:rFonts w:eastAsia="Calibri" w:cs="Times New Roman"/>
                <w:color w:val="0000FF"/>
              </w:rPr>
            </w:pPr>
            <w:r w:rsidRPr="002355C9">
              <w:rPr>
                <w:rFonts w:eastAsia="Calibri" w:cs="Times New Roman"/>
                <w:color w:val="0000FF"/>
              </w:rPr>
              <w:t>0.94</w:t>
            </w:r>
          </w:p>
        </w:tc>
        <w:tc>
          <w:tcPr>
            <w:tcW w:w="1487" w:type="dxa"/>
            <w:tcBorders>
              <w:top w:val="single" w:sz="4" w:space="0" w:color="auto"/>
              <w:left w:val="nil"/>
              <w:bottom w:val="single" w:sz="4" w:space="0" w:color="auto"/>
              <w:right w:val="nil"/>
            </w:tcBorders>
            <w:vAlign w:val="bottom"/>
            <w:hideMark/>
          </w:tcPr>
          <w:p w14:paraId="6FF16DAC" w14:textId="77777777" w:rsidR="00761F14" w:rsidRPr="002355C9" w:rsidRDefault="00761F14" w:rsidP="008D65B0">
            <w:pPr>
              <w:keepNext/>
              <w:spacing w:before="40" w:after="40" w:line="240" w:lineRule="auto"/>
              <w:jc w:val="center"/>
              <w:rPr>
                <w:rFonts w:eastAsia="Calibri" w:cs="Times New Roman"/>
                <w:color w:val="0000FF"/>
              </w:rPr>
            </w:pPr>
            <w:r w:rsidRPr="002355C9">
              <w:rPr>
                <w:rFonts w:eastAsia="Calibri" w:cs="Times New Roman"/>
                <w:color w:val="0000FF"/>
              </w:rPr>
              <w:t>0.95</w:t>
            </w:r>
          </w:p>
        </w:tc>
        <w:tc>
          <w:tcPr>
            <w:tcW w:w="1599" w:type="dxa"/>
            <w:tcBorders>
              <w:top w:val="single" w:sz="4" w:space="0" w:color="auto"/>
              <w:left w:val="nil"/>
              <w:bottom w:val="single" w:sz="4" w:space="0" w:color="auto"/>
              <w:right w:val="nil"/>
            </w:tcBorders>
            <w:vAlign w:val="bottom"/>
            <w:hideMark/>
          </w:tcPr>
          <w:p w14:paraId="1C09405F" w14:textId="77777777" w:rsidR="00761F14" w:rsidRPr="002355C9" w:rsidRDefault="00761F14" w:rsidP="008D65B0">
            <w:pPr>
              <w:keepNext/>
              <w:spacing w:before="40" w:after="40" w:line="240" w:lineRule="auto"/>
              <w:jc w:val="center"/>
              <w:rPr>
                <w:rFonts w:eastAsia="Calibri" w:cs="Times New Roman"/>
                <w:color w:val="0000FF"/>
              </w:rPr>
            </w:pPr>
            <w:r w:rsidRPr="002355C9">
              <w:rPr>
                <w:rFonts w:eastAsia="Calibri" w:cs="Times New Roman"/>
                <w:color w:val="0000FF"/>
              </w:rPr>
              <w:t>0.95</w:t>
            </w:r>
          </w:p>
        </w:tc>
        <w:tc>
          <w:tcPr>
            <w:tcW w:w="1375" w:type="dxa"/>
            <w:tcBorders>
              <w:top w:val="single" w:sz="4" w:space="0" w:color="auto"/>
              <w:left w:val="nil"/>
              <w:bottom w:val="single" w:sz="4" w:space="0" w:color="auto"/>
              <w:right w:val="nil"/>
            </w:tcBorders>
            <w:vAlign w:val="bottom"/>
            <w:hideMark/>
          </w:tcPr>
          <w:p w14:paraId="29F72ABF" w14:textId="77777777" w:rsidR="00761F14" w:rsidRPr="002355C9" w:rsidRDefault="00761F14" w:rsidP="008D65B0">
            <w:pPr>
              <w:keepNext/>
              <w:spacing w:before="40" w:after="40" w:line="240" w:lineRule="auto"/>
              <w:jc w:val="center"/>
              <w:rPr>
                <w:rFonts w:eastAsia="Calibri" w:cs="Times New Roman"/>
                <w:color w:val="0000FF"/>
              </w:rPr>
            </w:pPr>
            <w:r w:rsidRPr="002355C9">
              <w:rPr>
                <w:rFonts w:eastAsia="Calibri" w:cs="Times New Roman"/>
                <w:color w:val="0000FF"/>
              </w:rPr>
              <w:t>0.96</w:t>
            </w:r>
          </w:p>
        </w:tc>
      </w:tr>
    </w:tbl>
    <w:p w14:paraId="04D411F0" w14:textId="77777777" w:rsidR="00761F14" w:rsidRPr="002355C9" w:rsidRDefault="00761F14" w:rsidP="00761F14">
      <w:pPr>
        <w:spacing w:after="240" w:line="240" w:lineRule="auto"/>
        <w:ind w:left="432"/>
        <w:rPr>
          <w:rFonts w:eastAsia="Calibri" w:cs="Times New Roman"/>
          <w:color w:val="0000FF"/>
        </w:rPr>
      </w:pPr>
      <w:r w:rsidRPr="002355C9">
        <w:rPr>
          <w:rFonts w:eastAsia="Calibri" w:cs="Times New Roman"/>
          <w:color w:val="0000FF"/>
        </w:rPr>
        <w:t xml:space="preserve">Note. CARE = </w:t>
      </w:r>
      <w:r w:rsidRPr="002355C9">
        <w:rPr>
          <w:bCs/>
          <w:color w:val="0000FF"/>
        </w:rPr>
        <w:t>Continuity Assessment Record and Evaluation.</w:t>
      </w:r>
    </w:p>
    <w:p w14:paraId="02C75E2E" w14:textId="77777777" w:rsidR="000D2583" w:rsidRPr="000D2583" w:rsidRDefault="000D2583" w:rsidP="000D2583">
      <w:pPr>
        <w:pStyle w:val="EndNoteBibliography"/>
        <w:keepLines/>
        <w:rPr>
          <w:rFonts w:asciiTheme="minorHAnsi" w:hAnsiTheme="minorHAnsi"/>
          <w:b/>
          <w:bCs/>
          <w:color w:val="3333FF"/>
          <w:sz w:val="22"/>
          <w:szCs w:val="22"/>
        </w:rPr>
      </w:pPr>
      <w:r w:rsidRPr="000D2583">
        <w:rPr>
          <w:rFonts w:asciiTheme="minorHAnsi" w:hAnsiTheme="minorHAnsi"/>
          <w:b/>
          <w:bCs/>
          <w:color w:val="3333FF"/>
          <w:sz w:val="22"/>
          <w:szCs w:val="22"/>
        </w:rPr>
        <w:t>Citations:</w:t>
      </w:r>
    </w:p>
    <w:p w14:paraId="5C26B84C" w14:textId="77777777" w:rsidR="000D2583" w:rsidRDefault="000D2583" w:rsidP="000D2583">
      <w:pPr>
        <w:pStyle w:val="EndNoteBibliography"/>
        <w:keepLines/>
        <w:rPr>
          <w:rFonts w:asciiTheme="minorHAnsi" w:hAnsiTheme="minorHAnsi"/>
          <w:color w:val="3333FF"/>
          <w:sz w:val="22"/>
          <w:szCs w:val="22"/>
        </w:rPr>
      </w:pPr>
    </w:p>
    <w:p w14:paraId="2F5319EA" w14:textId="3574C7EE" w:rsidR="000D2583" w:rsidRPr="00C62CC0" w:rsidRDefault="000D2583" w:rsidP="000D2583">
      <w:pPr>
        <w:pStyle w:val="EndNoteBibliography"/>
        <w:keepLines/>
        <w:rPr>
          <w:rFonts w:asciiTheme="minorHAnsi" w:hAnsiTheme="minorHAnsi"/>
          <w:color w:val="3333FF"/>
          <w:sz w:val="22"/>
          <w:szCs w:val="22"/>
        </w:rPr>
      </w:pPr>
      <w:r w:rsidRPr="00C62CC0">
        <w:rPr>
          <w:rFonts w:asciiTheme="minorHAnsi" w:hAnsiTheme="minorHAnsi"/>
          <w:color w:val="3333FF"/>
          <w:sz w:val="22"/>
          <w:szCs w:val="22"/>
        </w:rPr>
        <w:t>Gage</w:t>
      </w:r>
      <w:r>
        <w:rPr>
          <w:rFonts w:asciiTheme="minorHAnsi" w:hAnsiTheme="minorHAnsi"/>
          <w:color w:val="3333FF"/>
          <w:sz w:val="22"/>
          <w:szCs w:val="22"/>
        </w:rPr>
        <w:t>,</w:t>
      </w:r>
      <w:r w:rsidRPr="00C62CC0">
        <w:rPr>
          <w:rFonts w:asciiTheme="minorHAnsi" w:hAnsiTheme="minorHAnsi"/>
          <w:color w:val="3333FF"/>
          <w:sz w:val="22"/>
          <w:szCs w:val="22"/>
        </w:rPr>
        <w:t xml:space="preserve"> B</w:t>
      </w:r>
      <w:r>
        <w:rPr>
          <w:rFonts w:asciiTheme="minorHAnsi" w:hAnsiTheme="minorHAnsi"/>
          <w:color w:val="3333FF"/>
          <w:sz w:val="22"/>
          <w:szCs w:val="22"/>
        </w:rPr>
        <w:t>.</w:t>
      </w:r>
      <w:r w:rsidRPr="00C62CC0">
        <w:rPr>
          <w:rFonts w:asciiTheme="minorHAnsi" w:hAnsiTheme="minorHAnsi"/>
          <w:color w:val="3333FF"/>
          <w:sz w:val="22"/>
          <w:szCs w:val="22"/>
        </w:rPr>
        <w:t>, Smith</w:t>
      </w:r>
      <w:r>
        <w:rPr>
          <w:rFonts w:asciiTheme="minorHAnsi" w:hAnsiTheme="minorHAnsi"/>
          <w:color w:val="3333FF"/>
          <w:sz w:val="22"/>
          <w:szCs w:val="22"/>
        </w:rPr>
        <w:t>,</w:t>
      </w:r>
      <w:r w:rsidRPr="00C62CC0">
        <w:rPr>
          <w:rFonts w:asciiTheme="minorHAnsi" w:hAnsiTheme="minorHAnsi"/>
          <w:color w:val="3333FF"/>
          <w:sz w:val="22"/>
          <w:szCs w:val="22"/>
        </w:rPr>
        <w:t xml:space="preserve"> L</w:t>
      </w:r>
      <w:r>
        <w:rPr>
          <w:rFonts w:asciiTheme="minorHAnsi" w:hAnsiTheme="minorHAnsi"/>
          <w:color w:val="3333FF"/>
          <w:sz w:val="22"/>
          <w:szCs w:val="22"/>
        </w:rPr>
        <w:t>.</w:t>
      </w:r>
      <w:r w:rsidRPr="00C62CC0">
        <w:rPr>
          <w:rFonts w:asciiTheme="minorHAnsi" w:hAnsiTheme="minorHAnsi"/>
          <w:color w:val="3333FF"/>
          <w:sz w:val="22"/>
          <w:szCs w:val="22"/>
        </w:rPr>
        <w:t>, Ross</w:t>
      </w:r>
      <w:r>
        <w:rPr>
          <w:rFonts w:asciiTheme="minorHAnsi" w:hAnsiTheme="minorHAnsi"/>
          <w:color w:val="3333FF"/>
          <w:sz w:val="22"/>
          <w:szCs w:val="22"/>
        </w:rPr>
        <w:t>,</w:t>
      </w:r>
      <w:r w:rsidRPr="00C62CC0">
        <w:rPr>
          <w:rFonts w:asciiTheme="minorHAnsi" w:hAnsiTheme="minorHAnsi"/>
          <w:color w:val="3333FF"/>
          <w:sz w:val="22"/>
          <w:szCs w:val="22"/>
        </w:rPr>
        <w:t xml:space="preserve"> J</w:t>
      </w:r>
      <w:r>
        <w:rPr>
          <w:rFonts w:asciiTheme="minorHAnsi" w:hAnsiTheme="minorHAnsi"/>
          <w:color w:val="3333FF"/>
          <w:sz w:val="22"/>
          <w:szCs w:val="22"/>
        </w:rPr>
        <w:t>.</w:t>
      </w:r>
      <w:r w:rsidRPr="00C62CC0">
        <w:rPr>
          <w:rFonts w:asciiTheme="minorHAnsi" w:hAnsiTheme="minorHAnsi"/>
          <w:color w:val="3333FF"/>
          <w:sz w:val="22"/>
          <w:szCs w:val="22"/>
        </w:rPr>
        <w:t xml:space="preserve">, et al. </w:t>
      </w:r>
      <w:r>
        <w:rPr>
          <w:rFonts w:asciiTheme="minorHAnsi" w:hAnsiTheme="minorHAnsi"/>
          <w:color w:val="3333FF"/>
          <w:sz w:val="22"/>
          <w:szCs w:val="22"/>
        </w:rPr>
        <w:t xml:space="preserve">(2012). </w:t>
      </w:r>
      <w:r w:rsidRPr="00C62CC0">
        <w:rPr>
          <w:rFonts w:asciiTheme="minorHAnsi" w:hAnsiTheme="minorHAnsi"/>
          <w:iCs/>
          <w:color w:val="3333FF"/>
          <w:sz w:val="22"/>
          <w:szCs w:val="22"/>
        </w:rPr>
        <w:t>The Development and Testing of the Continuity Assessment Record and Evaluation (CARE) Item Set: Final Report on Reliability Testing Volume 2 of 3.</w:t>
      </w:r>
      <w:r w:rsidRPr="00C62CC0">
        <w:rPr>
          <w:rFonts w:asciiTheme="minorHAnsi" w:hAnsiTheme="minorHAnsi"/>
          <w:color w:val="3333FF"/>
          <w:sz w:val="22"/>
          <w:szCs w:val="22"/>
        </w:rPr>
        <w:t xml:space="preserve"> RTI International.</w:t>
      </w:r>
      <w:r>
        <w:rPr>
          <w:rFonts w:asciiTheme="minorHAnsi" w:hAnsiTheme="minorHAnsi"/>
          <w:color w:val="3333FF"/>
          <w:sz w:val="22"/>
          <w:szCs w:val="22"/>
        </w:rPr>
        <w:t xml:space="preserve"> </w:t>
      </w:r>
      <w:r>
        <w:rPr>
          <w:rFonts w:asciiTheme="minorHAnsi" w:hAnsiTheme="minorHAnsi"/>
          <w:iCs/>
          <w:color w:val="3333FF"/>
          <w:sz w:val="22"/>
          <w:szCs w:val="22"/>
        </w:rPr>
        <w:t xml:space="preserve">(Available at: </w:t>
      </w:r>
      <w:hyperlink r:id="rId11" w:history="1">
        <w:r w:rsidRPr="00B95522">
          <w:rPr>
            <w:rStyle w:val="Hyperlink"/>
            <w:rFonts w:asciiTheme="minorHAnsi" w:hAnsiTheme="minorHAnsi"/>
            <w:iCs/>
            <w:sz w:val="22"/>
            <w:szCs w:val="22"/>
          </w:rPr>
          <w:t>http://www.cms.gov/Medicare/Quality-Initiatives-Patient-Assessment-Instruments/Post-Acute-Care-Quality-Initiatives/CARE-Item-Set-and-B-CARE.html</w:t>
        </w:r>
      </w:hyperlink>
      <w:r>
        <w:rPr>
          <w:rFonts w:asciiTheme="minorHAnsi" w:hAnsiTheme="minorHAnsi"/>
          <w:iCs/>
          <w:color w:val="3333FF"/>
          <w:sz w:val="22"/>
          <w:szCs w:val="22"/>
        </w:rPr>
        <w:t>)</w:t>
      </w:r>
    </w:p>
    <w:p w14:paraId="2215E42A" w14:textId="77777777" w:rsidR="000D2583" w:rsidRDefault="000D2583" w:rsidP="000D2583">
      <w:pPr>
        <w:pStyle w:val="EndNoteBibliography"/>
        <w:keepLines/>
        <w:rPr>
          <w:rFonts w:asciiTheme="minorHAnsi" w:hAnsiTheme="minorHAnsi"/>
          <w:color w:val="3333FF"/>
          <w:sz w:val="22"/>
          <w:szCs w:val="22"/>
        </w:rPr>
      </w:pPr>
    </w:p>
    <w:p w14:paraId="3CDED94A" w14:textId="77777777" w:rsidR="000D2583" w:rsidRPr="009C50A7" w:rsidRDefault="000D2583" w:rsidP="000D2583">
      <w:pPr>
        <w:pStyle w:val="EndNoteBibliography"/>
        <w:keepLines/>
        <w:rPr>
          <w:rFonts w:asciiTheme="minorHAnsi" w:hAnsiTheme="minorHAnsi"/>
          <w:iCs/>
          <w:color w:val="3333FF"/>
          <w:sz w:val="22"/>
          <w:szCs w:val="22"/>
        </w:rPr>
      </w:pPr>
      <w:r w:rsidRPr="00A2496B">
        <w:rPr>
          <w:rFonts w:asciiTheme="minorHAnsi" w:hAnsiTheme="minorHAnsi"/>
          <w:color w:val="3333FF"/>
          <w:sz w:val="22"/>
          <w:szCs w:val="22"/>
          <w:lang w:val="de-DE"/>
        </w:rPr>
        <w:t xml:space="preserve">Smith, L., Deutsch, A., Barch, D., et al. </w:t>
      </w:r>
      <w:r>
        <w:rPr>
          <w:rFonts w:asciiTheme="minorHAnsi" w:hAnsiTheme="minorHAnsi"/>
          <w:color w:val="3333FF"/>
          <w:sz w:val="22"/>
          <w:szCs w:val="22"/>
        </w:rPr>
        <w:t xml:space="preserve">(2012). </w:t>
      </w:r>
      <w:r w:rsidRPr="00C62CC0">
        <w:rPr>
          <w:rFonts w:asciiTheme="minorHAnsi" w:hAnsiTheme="minorHAnsi"/>
          <w:iCs/>
          <w:color w:val="3333FF"/>
          <w:sz w:val="22"/>
          <w:szCs w:val="22"/>
        </w:rPr>
        <w:t xml:space="preserve">Continuity Assessment Record and Evaluation (CARE) Item Set: </w:t>
      </w:r>
      <w:r>
        <w:rPr>
          <w:rFonts w:asciiTheme="minorHAnsi" w:hAnsiTheme="minorHAnsi"/>
          <w:iCs/>
          <w:color w:val="3333FF"/>
          <w:sz w:val="22"/>
          <w:szCs w:val="22"/>
        </w:rPr>
        <w:t xml:space="preserve">Video </w:t>
      </w:r>
      <w:r w:rsidRPr="00C62CC0">
        <w:rPr>
          <w:rFonts w:asciiTheme="minorHAnsi" w:hAnsiTheme="minorHAnsi"/>
          <w:iCs/>
          <w:color w:val="3333FF"/>
          <w:sz w:val="22"/>
          <w:szCs w:val="22"/>
        </w:rPr>
        <w:t>Reliability Testing</w:t>
      </w:r>
      <w:r>
        <w:rPr>
          <w:rFonts w:asciiTheme="minorHAnsi" w:hAnsiTheme="minorHAnsi"/>
          <w:iCs/>
          <w:color w:val="3333FF"/>
          <w:sz w:val="22"/>
          <w:szCs w:val="22"/>
        </w:rPr>
        <w:t xml:space="preserve">. RTI International. (Available at: </w:t>
      </w:r>
      <w:hyperlink r:id="rId12" w:history="1">
        <w:r w:rsidRPr="00B95522">
          <w:rPr>
            <w:rStyle w:val="Hyperlink"/>
            <w:rFonts w:asciiTheme="minorHAnsi" w:hAnsiTheme="minorHAnsi"/>
            <w:iCs/>
            <w:sz w:val="22"/>
            <w:szCs w:val="22"/>
          </w:rPr>
          <w:t>http://www.cms.gov/Medicare/Quality-Initiatives-Patient-Assessment-Instruments/Post-Acute-Care-Quality-Initiatives/CARE-Item-Set-and-B-CARE.html</w:t>
        </w:r>
      </w:hyperlink>
      <w:r>
        <w:rPr>
          <w:rFonts w:asciiTheme="minorHAnsi" w:hAnsiTheme="minorHAnsi"/>
          <w:iCs/>
          <w:color w:val="3333FF"/>
          <w:sz w:val="22"/>
          <w:szCs w:val="22"/>
        </w:rPr>
        <w:t>)</w:t>
      </w:r>
    </w:p>
    <w:p w14:paraId="286B16B6" w14:textId="77777777" w:rsidR="000D2583" w:rsidRDefault="000D2583" w:rsidP="00761F14">
      <w:pPr>
        <w:autoSpaceDE w:val="0"/>
        <w:autoSpaceDN w:val="0"/>
        <w:adjustRightInd w:val="0"/>
        <w:spacing w:after="0" w:line="240" w:lineRule="auto"/>
        <w:rPr>
          <w:rFonts w:cstheme="minorHAnsi"/>
          <w:b/>
          <w:bCs/>
        </w:rPr>
      </w:pPr>
    </w:p>
    <w:p w14:paraId="17E3DD6D" w14:textId="77777777" w:rsidR="00761F14" w:rsidRDefault="00092566" w:rsidP="00761F14">
      <w:pPr>
        <w:autoSpaceDE w:val="0"/>
        <w:autoSpaceDN w:val="0"/>
        <w:adjustRightInd w:val="0"/>
        <w:spacing w:after="0" w:line="240" w:lineRule="auto"/>
        <w:rPr>
          <w:rFonts w:cstheme="minorHAnsi"/>
          <w:bCs/>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p>
    <w:p w14:paraId="06887305" w14:textId="77777777" w:rsidR="007444FE" w:rsidRDefault="007444FE" w:rsidP="00761F14">
      <w:pPr>
        <w:autoSpaceDE w:val="0"/>
        <w:autoSpaceDN w:val="0"/>
        <w:adjustRightInd w:val="0"/>
        <w:spacing w:after="0" w:line="240" w:lineRule="auto"/>
        <w:rPr>
          <w:rFonts w:eastAsia="Calibri" w:cs="Times New Roman"/>
          <w:color w:val="0000FF"/>
        </w:rPr>
      </w:pPr>
    </w:p>
    <w:p w14:paraId="02C9EF09" w14:textId="4F8DEA6D" w:rsidR="00761F14" w:rsidRDefault="00761F14" w:rsidP="00CC7AB5">
      <w:pPr>
        <w:autoSpaceDE w:val="0"/>
        <w:autoSpaceDN w:val="0"/>
        <w:adjustRightInd w:val="0"/>
        <w:spacing w:after="0" w:line="240" w:lineRule="auto"/>
        <w:rPr>
          <w:rFonts w:eastAsia="Calibri" w:cs="Times New Roman"/>
          <w:color w:val="0000FF"/>
        </w:rPr>
      </w:pPr>
      <w:r w:rsidRPr="00074841">
        <w:rPr>
          <w:rFonts w:eastAsia="Calibri" w:cs="Times New Roman"/>
          <w:color w:val="0000FF"/>
        </w:rPr>
        <w:t xml:space="preserve">We used several methods to examine reliability of the items and the scale (the items as a group). Overall, we found good </w:t>
      </w:r>
      <w:r w:rsidR="00CC7AB5">
        <w:rPr>
          <w:rFonts w:eastAsia="Calibri" w:cs="Times New Roman"/>
          <w:color w:val="0000FF"/>
        </w:rPr>
        <w:t>reliability</w:t>
      </w:r>
      <w:r w:rsidRPr="00074841">
        <w:rPr>
          <w:rFonts w:eastAsia="Calibri" w:cs="Times New Roman"/>
          <w:color w:val="0000FF"/>
        </w:rPr>
        <w:t xml:space="preserve"> at the item and scale levels.</w:t>
      </w:r>
    </w:p>
    <w:p w14:paraId="3D6EF770" w14:textId="77777777" w:rsidR="0056116F" w:rsidRPr="001B4B1B" w:rsidRDefault="0056116F" w:rsidP="00761F14">
      <w:pPr>
        <w:autoSpaceDE w:val="0"/>
        <w:autoSpaceDN w:val="0"/>
        <w:adjustRightInd w:val="0"/>
        <w:spacing w:after="0" w:line="240" w:lineRule="auto"/>
        <w:rPr>
          <w:rFonts w:cstheme="minorHAnsi"/>
          <w:bCs/>
        </w:rPr>
      </w:pPr>
    </w:p>
    <w:p w14:paraId="73AB302B" w14:textId="77777777" w:rsidR="009D386B"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14:paraId="53BF4D9C" w14:textId="0963DD08"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sdtPr>
        <w:sdtContent>
          <w:r w:rsidR="00E41C6E">
            <w:rPr>
              <w:rFonts w:cstheme="minorHAnsi"/>
              <w:bCs/>
              <w:color w:val="0000FF"/>
            </w:rPr>
            <w:t>X</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506CE05D" w14:textId="77777777" w:rsidR="00023DD7" w:rsidRDefault="00A2496B" w:rsidP="00023DD7">
      <w:pPr>
        <w:autoSpaceDE w:val="0"/>
        <w:autoSpaceDN w:val="0"/>
        <w:adjustRightInd w:val="0"/>
        <w:spacing w:after="0" w:line="240" w:lineRule="auto"/>
        <w:rPr>
          <w:rFonts w:cstheme="minorHAnsi"/>
          <w:b/>
          <w:bCs/>
        </w:rPr>
      </w:pPr>
      <w:sdt>
        <w:sdtPr>
          <w:rPr>
            <w:rFonts w:cstheme="minorHAnsi"/>
            <w:bCs/>
            <w:color w:val="0000FF"/>
          </w:rPr>
          <w:id w:val="-1767844731"/>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49538A5B" w14:textId="262B28C4" w:rsidR="004D671E" w:rsidRPr="00023DD7" w:rsidRDefault="00A2496B" w:rsidP="00761F14">
      <w:pPr>
        <w:autoSpaceDE w:val="0"/>
        <w:autoSpaceDN w:val="0"/>
        <w:adjustRightInd w:val="0"/>
        <w:spacing w:after="0" w:line="240" w:lineRule="auto"/>
        <w:rPr>
          <w:rFonts w:cstheme="minorHAnsi"/>
          <w:b/>
          <w:bCs/>
        </w:rPr>
      </w:pPr>
      <w:sdt>
        <w:sdtPr>
          <w:rPr>
            <w:rFonts w:cstheme="minorHAnsi"/>
            <w:bCs/>
            <w:color w:val="0000FF"/>
          </w:rPr>
          <w:id w:val="-114983144"/>
        </w:sdtPr>
        <w:sdtContent>
          <w:r w:rsidR="009D386B">
            <w:rPr>
              <w:rFonts w:cstheme="minorHAnsi"/>
              <w:bCs/>
              <w:color w:val="0000FF"/>
            </w:rPr>
            <w:t>X</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showingPlcHdr/>
        </w:sdtPr>
        <w:sdtContent>
          <w:r w:rsidR="001D6BCA">
            <w:rPr>
              <w:rFonts w:cstheme="minorHAnsi"/>
              <w:bCs/>
              <w:color w:val="0000FF"/>
            </w:rPr>
            <w:t xml:space="preserve">     </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14:paraId="2E86F5ED" w14:textId="55451B0F" w:rsidR="004D671E" w:rsidRDefault="00092566" w:rsidP="00023DD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2. For each level </w:t>
      </w:r>
      <w:r w:rsidR="008F7E67">
        <w:rPr>
          <w:rFonts w:cstheme="minorHAnsi"/>
          <w:b/>
          <w:bCs/>
        </w:rPr>
        <w:t>of testing</w:t>
      </w:r>
      <w:r w:rsidR="007757CE" w:rsidRPr="00A25024">
        <w:rPr>
          <w:rFonts w:cstheme="minorHAnsi"/>
          <w:b/>
          <w:bCs/>
        </w:rPr>
        <w:t xml:space="preserve"> 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14:paraId="0117211D" w14:textId="7F26059E" w:rsidR="00B11E91" w:rsidRDefault="00B11E91" w:rsidP="00B11E91">
      <w:pPr>
        <w:keepNext/>
        <w:spacing w:before="240" w:after="240" w:line="240" w:lineRule="auto"/>
        <w:outlineLvl w:val="4"/>
        <w:rPr>
          <w:rFonts w:ascii="Calibri" w:eastAsia="Calibri" w:hAnsi="Calibri" w:cs="Times New Roman"/>
          <w:b/>
          <w:color w:val="0000FF"/>
        </w:rPr>
      </w:pPr>
      <w:r>
        <w:rPr>
          <w:rFonts w:ascii="Calibri" w:eastAsia="Calibri" w:hAnsi="Calibri" w:cs="Times New Roman"/>
          <w:b/>
          <w:color w:val="0000FF"/>
        </w:rPr>
        <w:t xml:space="preserve">Content </w:t>
      </w:r>
      <w:r w:rsidR="0064313B">
        <w:rPr>
          <w:rFonts w:ascii="Calibri" w:eastAsia="Calibri" w:hAnsi="Calibri" w:cs="Times New Roman"/>
          <w:b/>
          <w:color w:val="0000FF"/>
        </w:rPr>
        <w:t xml:space="preserve">Validity </w:t>
      </w:r>
      <w:r w:rsidR="0064313B" w:rsidRPr="009A0D41">
        <w:rPr>
          <w:rFonts w:ascii="Calibri" w:eastAsia="Calibri" w:hAnsi="Calibri" w:cs="Times New Roman"/>
          <w:b/>
          <w:color w:val="0000FF"/>
        </w:rPr>
        <w:t>-</w:t>
      </w:r>
      <w:r>
        <w:rPr>
          <w:rFonts w:ascii="Calibri" w:eastAsia="Calibri" w:hAnsi="Calibri" w:cs="Times New Roman"/>
          <w:b/>
          <w:color w:val="0000FF"/>
        </w:rPr>
        <w:t xml:space="preserve"> Similarity of items across other </w:t>
      </w:r>
      <w:r w:rsidRPr="003A756E">
        <w:rPr>
          <w:rFonts w:ascii="Calibri" w:eastAsia="Calibri" w:hAnsi="Calibri" w:cs="Times New Roman"/>
          <w:b/>
          <w:color w:val="0000FF"/>
        </w:rPr>
        <w:t>self-care</w:t>
      </w:r>
      <w:r>
        <w:rPr>
          <w:rFonts w:ascii="Calibri" w:eastAsia="Calibri" w:hAnsi="Calibri" w:cs="Times New Roman"/>
          <w:b/>
          <w:color w:val="0000FF"/>
        </w:rPr>
        <w:t xml:space="preserve"> assessment: </w:t>
      </w:r>
      <w:r w:rsidRPr="00022A4B">
        <w:rPr>
          <w:rFonts w:ascii="Calibri" w:eastAsia="Calibri" w:hAnsi="Calibri" w:cs="Times New Roman"/>
          <w:color w:val="0000FF"/>
        </w:rPr>
        <w:t xml:space="preserve">We compared </w:t>
      </w:r>
      <w:r>
        <w:rPr>
          <w:rFonts w:ascii="Calibri" w:eastAsia="Calibri" w:hAnsi="Calibri" w:cs="Times New Roman"/>
          <w:color w:val="0000FF"/>
        </w:rPr>
        <w:t xml:space="preserve">the items included on </w:t>
      </w:r>
      <w:r w:rsidRPr="00022A4B">
        <w:rPr>
          <w:rFonts w:ascii="Calibri" w:eastAsia="Calibri" w:hAnsi="Calibri" w:cs="Times New Roman"/>
          <w:color w:val="0000FF"/>
        </w:rPr>
        <w:t>other functional assessment</w:t>
      </w:r>
      <w:r>
        <w:rPr>
          <w:rFonts w:ascii="Calibri" w:eastAsia="Calibri" w:hAnsi="Calibri" w:cs="Times New Roman"/>
          <w:color w:val="0000FF"/>
        </w:rPr>
        <w:t xml:space="preserve"> instrument</w:t>
      </w:r>
      <w:r w:rsidRPr="00022A4B">
        <w:rPr>
          <w:rFonts w:ascii="Calibri" w:eastAsia="Calibri" w:hAnsi="Calibri" w:cs="Times New Roman"/>
          <w:color w:val="0000FF"/>
        </w:rPr>
        <w:t xml:space="preserve">s </w:t>
      </w:r>
      <w:r>
        <w:rPr>
          <w:rFonts w:ascii="Calibri" w:eastAsia="Calibri" w:hAnsi="Calibri" w:cs="Times New Roman"/>
          <w:color w:val="0000FF"/>
        </w:rPr>
        <w:t xml:space="preserve">with the </w:t>
      </w:r>
      <w:r w:rsidRPr="00022A4B">
        <w:rPr>
          <w:rFonts w:ascii="Calibri" w:eastAsia="Calibri" w:hAnsi="Calibri" w:cs="Times New Roman"/>
          <w:color w:val="0000FF"/>
        </w:rPr>
        <w:t>CARE</w:t>
      </w:r>
      <w:r>
        <w:rPr>
          <w:rFonts w:ascii="Calibri" w:eastAsia="Calibri" w:hAnsi="Calibri" w:cs="Times New Roman"/>
          <w:color w:val="0000FF"/>
        </w:rPr>
        <w:t xml:space="preserve"> function items included</w:t>
      </w:r>
      <w:r w:rsidRPr="00022A4B">
        <w:rPr>
          <w:rFonts w:ascii="Calibri" w:eastAsia="Calibri" w:hAnsi="Calibri" w:cs="Times New Roman"/>
          <w:color w:val="0000FF"/>
        </w:rPr>
        <w:t xml:space="preserve"> </w:t>
      </w:r>
      <w:r>
        <w:rPr>
          <w:rFonts w:ascii="Calibri" w:eastAsia="Calibri" w:hAnsi="Calibri" w:cs="Times New Roman"/>
          <w:color w:val="0000FF"/>
        </w:rPr>
        <w:t>in this self-care quality measure.</w:t>
      </w:r>
    </w:p>
    <w:p w14:paraId="6F5E0F14" w14:textId="42587F9E" w:rsidR="00B11E91" w:rsidRPr="00915A38" w:rsidRDefault="00410C2F" w:rsidP="0060007D">
      <w:pPr>
        <w:autoSpaceDE w:val="0"/>
        <w:autoSpaceDN w:val="0"/>
        <w:adjustRightInd w:val="0"/>
        <w:spacing w:after="0" w:line="240" w:lineRule="auto"/>
        <w:rPr>
          <w:rFonts w:ascii="Calibri" w:eastAsia="Calibri" w:hAnsi="Calibri"/>
          <w:color w:val="0000FF"/>
        </w:rPr>
      </w:pPr>
      <w:r w:rsidRPr="009D386B">
        <w:rPr>
          <w:b/>
          <w:color w:val="0000FF"/>
        </w:rPr>
        <w:t xml:space="preserve">Scale Reliability and </w:t>
      </w:r>
      <w:r w:rsidR="00B11E91" w:rsidRPr="009D386B">
        <w:rPr>
          <w:rFonts w:ascii="Calibri" w:eastAsia="Calibri" w:hAnsi="Calibri" w:cs="Times New Roman"/>
          <w:b/>
          <w:color w:val="0000FF"/>
        </w:rPr>
        <w:t xml:space="preserve">Construct </w:t>
      </w:r>
      <w:r w:rsidR="009D386B" w:rsidRPr="009D386B">
        <w:rPr>
          <w:rFonts w:ascii="Calibri" w:eastAsia="Calibri" w:hAnsi="Calibri" w:cs="Times New Roman"/>
          <w:b/>
          <w:color w:val="0000FF"/>
        </w:rPr>
        <w:t>Validity Testing</w:t>
      </w:r>
      <w:r w:rsidR="0060007D" w:rsidRPr="009D386B">
        <w:rPr>
          <w:rFonts w:ascii="Calibri" w:eastAsia="Calibri" w:hAnsi="Calibri" w:cs="Times New Roman"/>
          <w:b/>
          <w:color w:val="0000FF"/>
        </w:rPr>
        <w:t xml:space="preserve"> </w:t>
      </w:r>
      <w:r w:rsidRPr="009D386B">
        <w:rPr>
          <w:rFonts w:ascii="Calibri" w:eastAsia="Calibri" w:hAnsi="Calibri" w:cs="Times New Roman"/>
          <w:b/>
          <w:color w:val="0000FF"/>
        </w:rPr>
        <w:t>- Item Difficulty Ordering</w:t>
      </w:r>
      <w:r w:rsidR="0064313B" w:rsidRPr="009D386B">
        <w:rPr>
          <w:rFonts w:ascii="Calibri" w:eastAsia="Calibri" w:hAnsi="Calibri" w:cs="Times New Roman"/>
          <w:b/>
          <w:color w:val="0000FF"/>
        </w:rPr>
        <w:t xml:space="preserve"> (</w:t>
      </w:r>
      <w:r w:rsidR="0064313B" w:rsidRPr="009D386B">
        <w:rPr>
          <w:b/>
          <w:color w:val="0000FF"/>
        </w:rPr>
        <w:t>Rasch Analysis)</w:t>
      </w:r>
      <w:r w:rsidRPr="009D386B">
        <w:rPr>
          <w:rFonts w:ascii="Calibri" w:eastAsia="Calibri" w:hAnsi="Calibri" w:cs="Times New Roman"/>
          <w:b/>
          <w:color w:val="0000FF"/>
        </w:rPr>
        <w:t xml:space="preserve">: </w:t>
      </w:r>
      <w:r w:rsidR="00B11E91" w:rsidRPr="009D386B">
        <w:rPr>
          <w:bCs/>
          <w:color w:val="0000FF"/>
        </w:rPr>
        <w:t xml:space="preserve">A statistical procedure called Rasch analysis was used to examine the self-care items. </w:t>
      </w:r>
      <w:r w:rsidR="00B11E91" w:rsidRPr="009D386B">
        <w:rPr>
          <w:rFonts w:ascii="Calibri" w:eastAsia="Calibri" w:hAnsi="Calibri"/>
          <w:bCs/>
          <w:color w:val="0000FF"/>
        </w:rPr>
        <w:t>Rasch analysis estimates the placement of item scores along a “ruler” o</w:t>
      </w:r>
      <w:r w:rsidR="009717A7" w:rsidRPr="009D386B">
        <w:rPr>
          <w:rFonts w:ascii="Calibri" w:eastAsia="Calibri" w:hAnsi="Calibri"/>
          <w:bCs/>
          <w:color w:val="0000FF"/>
        </w:rPr>
        <w:t xml:space="preserve">rdered from easy to difficult. </w:t>
      </w:r>
      <w:r w:rsidR="00B11E91" w:rsidRPr="009D386B">
        <w:rPr>
          <w:rFonts w:ascii="Calibri" w:eastAsia="Calibri" w:hAnsi="Calibri"/>
          <w:color w:val="0000FF"/>
        </w:rPr>
        <w:t xml:space="preserve">The ordering of items from easy (bottom) to difficult (top) provides the analysis-established item difficulty hierarchy. This hierarchy can </w:t>
      </w:r>
      <w:r w:rsidR="00B11E91" w:rsidRPr="009D386B">
        <w:rPr>
          <w:rFonts w:ascii="Calibri" w:eastAsia="Calibri" w:hAnsi="Calibri"/>
          <w:color w:val="0000FF"/>
        </w:rPr>
        <w:lastRenderedPageBreak/>
        <w:t>be evaluated against item design specifications (i.e., the intended construction of the items to be easy or difficult) or against an expert clinical opinion</w:t>
      </w:r>
      <w:r w:rsidR="009D3A70" w:rsidRPr="009D386B">
        <w:rPr>
          <w:rFonts w:ascii="Calibri" w:eastAsia="Calibri" w:hAnsi="Calibri"/>
          <w:color w:val="0000FF"/>
        </w:rPr>
        <w:t xml:space="preserve"> as an indication of construct validity</w:t>
      </w:r>
      <w:r w:rsidR="00B11E91" w:rsidRPr="009D386B">
        <w:rPr>
          <w:rFonts w:ascii="Calibri" w:eastAsia="Calibri" w:hAnsi="Calibri"/>
          <w:color w:val="0000FF"/>
        </w:rPr>
        <w:t>. If items fall into unexpected locations on the hierarchy, then the content of the items should be evaluated further and potentially modified.</w:t>
      </w:r>
      <w:r w:rsidR="00B11E91" w:rsidRPr="00915A38">
        <w:rPr>
          <w:rFonts w:ascii="Calibri" w:eastAsia="Calibri" w:hAnsi="Calibri"/>
          <w:color w:val="0000FF"/>
        </w:rPr>
        <w:t xml:space="preserve"> </w:t>
      </w:r>
    </w:p>
    <w:p w14:paraId="1863ED4C" w14:textId="5E4A8F11" w:rsidR="00B11E91" w:rsidRPr="009D386B" w:rsidRDefault="00B11E91" w:rsidP="00E269E5">
      <w:pPr>
        <w:pStyle w:val="BodyText"/>
        <w:spacing w:after="0"/>
        <w:rPr>
          <w:color w:val="0000FF"/>
          <w:sz w:val="22"/>
        </w:rPr>
      </w:pPr>
      <w:r w:rsidRPr="009D386B">
        <w:rPr>
          <w:b/>
          <w:color w:val="0000FF"/>
          <w:sz w:val="22"/>
        </w:rPr>
        <w:t xml:space="preserve">Item and Scale Reliability and Validity - </w:t>
      </w:r>
      <w:r w:rsidRPr="009D386B">
        <w:rPr>
          <w:rFonts w:eastAsia="Times New Roman"/>
          <w:b/>
          <w:color w:val="0000FF"/>
          <w:sz w:val="22"/>
        </w:rPr>
        <w:t>Fit Assessment</w:t>
      </w:r>
      <w:r w:rsidR="005A279E" w:rsidRPr="009D386B">
        <w:rPr>
          <w:rFonts w:eastAsia="Times New Roman"/>
          <w:b/>
          <w:color w:val="0000FF"/>
          <w:sz w:val="22"/>
        </w:rPr>
        <w:t xml:space="preserve"> and </w:t>
      </w:r>
      <w:r w:rsidR="005A279E" w:rsidRPr="009D386B">
        <w:rPr>
          <w:b/>
          <w:color w:val="0000FF"/>
          <w:sz w:val="22"/>
        </w:rPr>
        <w:t>Response Option Assessment</w:t>
      </w:r>
      <w:r w:rsidR="0064313B" w:rsidRPr="009D386B">
        <w:rPr>
          <w:b/>
          <w:color w:val="0000FF"/>
          <w:sz w:val="22"/>
        </w:rPr>
        <w:t xml:space="preserve"> (Rasch Analysis)</w:t>
      </w:r>
      <w:r w:rsidRPr="009D386B">
        <w:rPr>
          <w:rFonts w:eastAsia="Times New Roman"/>
          <w:b/>
          <w:color w:val="0000FF"/>
          <w:sz w:val="22"/>
        </w:rPr>
        <w:t xml:space="preserve">: </w:t>
      </w:r>
      <w:r w:rsidR="005060F7" w:rsidRPr="009D386B">
        <w:rPr>
          <w:color w:val="0000FF"/>
          <w:sz w:val="22"/>
        </w:rPr>
        <w:t>As part of the analysis, Rasch methodology places persons and item</w:t>
      </w:r>
      <w:r w:rsidR="00FD1101" w:rsidRPr="009D386B">
        <w:rPr>
          <w:color w:val="0000FF"/>
          <w:sz w:val="22"/>
        </w:rPr>
        <w:t xml:space="preserve"> </w:t>
      </w:r>
      <w:r w:rsidR="005060F7" w:rsidRPr="009D386B">
        <w:rPr>
          <w:color w:val="0000FF"/>
          <w:sz w:val="22"/>
        </w:rPr>
        <w:t>s</w:t>
      </w:r>
      <w:r w:rsidR="00FD1101" w:rsidRPr="009D386B">
        <w:rPr>
          <w:color w:val="0000FF"/>
          <w:sz w:val="22"/>
        </w:rPr>
        <w:t>cores</w:t>
      </w:r>
      <w:r w:rsidR="005060F7" w:rsidRPr="009D386B">
        <w:rPr>
          <w:color w:val="0000FF"/>
          <w:sz w:val="22"/>
        </w:rPr>
        <w:t xml:space="preserve"> on a “ruler” it creates in order to understand how easy or challenging an item is relative to other items. In addition, Rasch analysis assesses how well the items measure the patients </w:t>
      </w:r>
      <w:r w:rsidR="00670FCB" w:rsidRPr="009D386B">
        <w:rPr>
          <w:color w:val="0000FF"/>
          <w:sz w:val="22"/>
        </w:rPr>
        <w:t>in the sample</w:t>
      </w:r>
      <w:r w:rsidR="005060F7" w:rsidRPr="009D386B">
        <w:rPr>
          <w:color w:val="0000FF"/>
          <w:sz w:val="22"/>
        </w:rPr>
        <w:t xml:space="preserve">. </w:t>
      </w:r>
      <w:r w:rsidRPr="009D386B">
        <w:rPr>
          <w:color w:val="0000FF"/>
          <w:sz w:val="22"/>
        </w:rPr>
        <w:t xml:space="preserve">Rasch analysis </w:t>
      </w:r>
      <w:r w:rsidR="005060F7" w:rsidRPr="009D386B">
        <w:rPr>
          <w:color w:val="0000FF"/>
          <w:sz w:val="22"/>
        </w:rPr>
        <w:t xml:space="preserve">also </w:t>
      </w:r>
      <w:r w:rsidRPr="009D386B">
        <w:rPr>
          <w:color w:val="0000FF"/>
          <w:sz w:val="22"/>
        </w:rPr>
        <w:t xml:space="preserve">uses item-level response </w:t>
      </w:r>
      <w:r w:rsidR="00670FCB" w:rsidRPr="009D386B">
        <w:rPr>
          <w:color w:val="0000FF"/>
          <w:sz w:val="22"/>
        </w:rPr>
        <w:t xml:space="preserve">data </w:t>
      </w:r>
      <w:r w:rsidRPr="009D386B">
        <w:rPr>
          <w:color w:val="0000FF"/>
          <w:sz w:val="22"/>
        </w:rPr>
        <w:t>(i.e., score</w:t>
      </w:r>
      <w:r w:rsidR="00670FCB" w:rsidRPr="009D386B">
        <w:rPr>
          <w:color w:val="0000FF"/>
          <w:sz w:val="22"/>
        </w:rPr>
        <w:t>s</w:t>
      </w:r>
      <w:r w:rsidRPr="009D386B">
        <w:rPr>
          <w:color w:val="0000FF"/>
          <w:sz w:val="22"/>
        </w:rPr>
        <w:t xml:space="preserve">) to determine how well a set of items work together to measure a concept. </w:t>
      </w:r>
      <w:r w:rsidR="005060F7" w:rsidRPr="009D386B">
        <w:rPr>
          <w:bCs/>
          <w:color w:val="0000FF"/>
          <w:sz w:val="22"/>
        </w:rPr>
        <w:t xml:space="preserve">Evaluations of these item-level response categories can indicate whether or not the rating scale is </w:t>
      </w:r>
      <w:r w:rsidR="00670FCB" w:rsidRPr="009D386B">
        <w:rPr>
          <w:bCs/>
          <w:color w:val="0000FF"/>
          <w:sz w:val="22"/>
        </w:rPr>
        <w:t>working</w:t>
      </w:r>
      <w:r w:rsidR="009D386B">
        <w:rPr>
          <w:bCs/>
          <w:color w:val="0000FF"/>
          <w:sz w:val="22"/>
        </w:rPr>
        <w:t xml:space="preserve"> as expected. </w:t>
      </w:r>
      <w:r w:rsidR="005060F7" w:rsidRPr="009D386B">
        <w:rPr>
          <w:bCs/>
          <w:color w:val="0000FF"/>
          <w:sz w:val="22"/>
        </w:rPr>
        <w:t xml:space="preserve">That is, </w:t>
      </w:r>
      <w:r w:rsidR="00670FCB" w:rsidRPr="009D386B">
        <w:rPr>
          <w:bCs/>
          <w:color w:val="0000FF"/>
          <w:sz w:val="22"/>
        </w:rPr>
        <w:t>p</w:t>
      </w:r>
      <w:r w:rsidR="005060F7" w:rsidRPr="009D386B">
        <w:rPr>
          <w:bCs/>
          <w:color w:val="0000FF"/>
          <w:sz w:val="22"/>
        </w:rPr>
        <w:t xml:space="preserve">atients with higher </w:t>
      </w:r>
      <w:r w:rsidR="00670FCB" w:rsidRPr="009D386B">
        <w:rPr>
          <w:bCs/>
          <w:color w:val="0000FF"/>
          <w:sz w:val="22"/>
        </w:rPr>
        <w:t>overall self-care abilities</w:t>
      </w:r>
      <w:r w:rsidR="005060F7" w:rsidRPr="009D386B">
        <w:rPr>
          <w:bCs/>
          <w:color w:val="0000FF"/>
          <w:sz w:val="22"/>
        </w:rPr>
        <w:t xml:space="preserve"> show increasing levels of independence on the self-care item</w:t>
      </w:r>
      <w:r w:rsidR="00E269E5" w:rsidRPr="009D386B">
        <w:rPr>
          <w:bCs/>
          <w:color w:val="0000FF"/>
          <w:sz w:val="22"/>
        </w:rPr>
        <w:t xml:space="preserve"> </w:t>
      </w:r>
      <w:r w:rsidR="005060F7" w:rsidRPr="009D386B">
        <w:rPr>
          <w:bCs/>
          <w:color w:val="0000FF"/>
          <w:sz w:val="22"/>
        </w:rPr>
        <w:t>s</w:t>
      </w:r>
      <w:r w:rsidR="00E269E5" w:rsidRPr="009D386B">
        <w:rPr>
          <w:bCs/>
          <w:color w:val="0000FF"/>
          <w:sz w:val="22"/>
        </w:rPr>
        <w:t>cores</w:t>
      </w:r>
      <w:r w:rsidR="00670FCB" w:rsidRPr="009D386B">
        <w:rPr>
          <w:bCs/>
          <w:color w:val="0000FF"/>
          <w:sz w:val="22"/>
        </w:rPr>
        <w:t>.</w:t>
      </w:r>
      <w:r w:rsidR="005060F7" w:rsidRPr="009D386B">
        <w:rPr>
          <w:bCs/>
          <w:sz w:val="22"/>
        </w:rPr>
        <w:t xml:space="preserve"> </w:t>
      </w:r>
      <w:r w:rsidRPr="009D386B">
        <w:rPr>
          <w:color w:val="0000FF"/>
          <w:sz w:val="22"/>
        </w:rPr>
        <w:t xml:space="preserve">The Rasch model can assess items, even when some data is missing </w:t>
      </w:r>
      <w:r w:rsidR="00E269E5" w:rsidRPr="009D386B">
        <w:rPr>
          <w:color w:val="0000FF"/>
          <w:sz w:val="22"/>
        </w:rPr>
        <w:t>for</w:t>
      </w:r>
      <w:r w:rsidRPr="009D386B">
        <w:rPr>
          <w:color w:val="0000FF"/>
          <w:sz w:val="22"/>
        </w:rPr>
        <w:t xml:space="preserve"> some patients. Likewise, patients can be assessed even on a reduced set of function items</w:t>
      </w:r>
      <w:r w:rsidR="00FB50F5" w:rsidRPr="009D386B">
        <w:rPr>
          <w:color w:val="0000FF"/>
          <w:sz w:val="22"/>
        </w:rPr>
        <w:t>, after a common item set has been established</w:t>
      </w:r>
      <w:r w:rsidRPr="009D386B">
        <w:rPr>
          <w:color w:val="0000FF"/>
          <w:sz w:val="22"/>
        </w:rPr>
        <w:t xml:space="preserve">. Therefore, items can be appropriately targeted to a given patient population while maintaining the ability to compare functional ability across </w:t>
      </w:r>
      <w:r w:rsidR="00484983" w:rsidRPr="009D386B">
        <w:rPr>
          <w:color w:val="0000FF"/>
          <w:sz w:val="22"/>
        </w:rPr>
        <w:t>populations</w:t>
      </w:r>
      <w:r w:rsidRPr="009D386B">
        <w:rPr>
          <w:color w:val="0000FF"/>
          <w:sz w:val="22"/>
        </w:rPr>
        <w:t xml:space="preserve">. That is, a “short form” can be used in clinical settings, but also linked to the larger set of items. </w:t>
      </w:r>
    </w:p>
    <w:p w14:paraId="4C934D4F" w14:textId="77777777" w:rsidR="00B11E91" w:rsidRPr="00AF0948" w:rsidRDefault="00B11E91" w:rsidP="00B11E91">
      <w:pPr>
        <w:pStyle w:val="BodyText"/>
        <w:spacing w:before="0" w:after="0"/>
        <w:rPr>
          <w:bCs/>
          <w:color w:val="0000FF"/>
          <w:sz w:val="22"/>
          <w:highlight w:val="yellow"/>
        </w:rPr>
      </w:pPr>
    </w:p>
    <w:p w14:paraId="4A099B3A" w14:textId="3EDBEF95" w:rsidR="00B11E91" w:rsidRPr="00484983" w:rsidRDefault="00B11E91" w:rsidP="005060F7">
      <w:pPr>
        <w:pStyle w:val="BodyText"/>
        <w:spacing w:before="0" w:after="0"/>
        <w:rPr>
          <w:bCs/>
          <w:color w:val="0000FF"/>
          <w:sz w:val="22"/>
        </w:rPr>
      </w:pPr>
      <w:r w:rsidRPr="009D386B">
        <w:rPr>
          <w:bCs/>
          <w:color w:val="0000FF"/>
          <w:sz w:val="22"/>
        </w:rPr>
        <w:t>Rasch analysis of the CARE self-care items was conducted to establish the best set of items to measure self-care functioning.</w:t>
      </w:r>
      <w:r w:rsidRPr="009D386B">
        <w:rPr>
          <w:color w:val="0000FF"/>
          <w:sz w:val="22"/>
        </w:rPr>
        <w:t xml:space="preserve"> In the measurement of functional ability, the items used in an observational assessment must maintain a degree of integrity to ensure that the concept of interest, in this case self-care, is being appropriately measured. To that end, item-level analysis can provide information on item set suitability (or how well they work together to measure a patient’s self-care ability). </w:t>
      </w:r>
      <w:r w:rsidR="005060F7" w:rsidRPr="009D386B">
        <w:rPr>
          <w:color w:val="0000FF"/>
          <w:sz w:val="22"/>
        </w:rPr>
        <w:t xml:space="preserve">Items that are potentially unsuitable (or show misfit) are noted in the </w:t>
      </w:r>
      <w:r w:rsidR="005060F7" w:rsidRPr="009D386B">
        <w:rPr>
          <w:bCs/>
          <w:color w:val="0000FF"/>
          <w:sz w:val="22"/>
        </w:rPr>
        <w:t>Rasch analysis by fit statistics that show when unexpected responses are being produced by individual items within a set of items.</w:t>
      </w:r>
    </w:p>
    <w:p w14:paraId="6505017A" w14:textId="77777777" w:rsidR="005060F7" w:rsidRDefault="005060F7" w:rsidP="009D3A70">
      <w:pPr>
        <w:pStyle w:val="BodyText"/>
        <w:spacing w:before="0" w:after="0"/>
        <w:rPr>
          <w:color w:val="0000FF"/>
          <w:sz w:val="22"/>
        </w:rPr>
      </w:pPr>
    </w:p>
    <w:p w14:paraId="2F7D715E" w14:textId="3EF4B487" w:rsidR="002355C9" w:rsidRDefault="00092566" w:rsidP="0003686E">
      <w:pPr>
        <w:keepNext/>
        <w:spacing w:after="0" w:line="240" w:lineRule="auto"/>
        <w:outlineLvl w:val="4"/>
        <w:rPr>
          <w:rFonts w:cstheme="minorHAnsi"/>
          <w:bCs/>
        </w:rPr>
      </w:pPr>
      <w:r>
        <w:rPr>
          <w:rFonts w:cstheme="minorHAnsi"/>
          <w:b/>
          <w:bCs/>
        </w:rPr>
        <w:t>2b2.</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43A6A440" w14:textId="77777777" w:rsidR="00B11E91" w:rsidRDefault="00833325" w:rsidP="00B11E91">
      <w:pPr>
        <w:keepNext/>
        <w:spacing w:after="0" w:line="240" w:lineRule="auto"/>
        <w:outlineLvl w:val="4"/>
        <w:rPr>
          <w:rFonts w:ascii="Calibri" w:eastAsia="Calibri" w:hAnsi="Calibri" w:cs="Times New Roman"/>
          <w:b/>
          <w:color w:val="0000FF"/>
        </w:rPr>
      </w:pPr>
      <w:r w:rsidRPr="00A25024">
        <w:rPr>
          <w:rFonts w:cstheme="minorHAnsi"/>
          <w:bCs/>
        </w:rPr>
        <w:br/>
      </w:r>
      <w:r w:rsidR="00B11E91" w:rsidRPr="00573658">
        <w:rPr>
          <w:rFonts w:ascii="Calibri" w:eastAsia="Calibri" w:hAnsi="Calibri" w:cs="Times New Roman"/>
          <w:b/>
          <w:color w:val="0000FF"/>
        </w:rPr>
        <w:t>Content Validity: Similarity of items across other self-care assessment: Table 2</w:t>
      </w:r>
      <w:r w:rsidR="00B11E91" w:rsidRPr="00573658">
        <w:rPr>
          <w:rFonts w:ascii="Calibri" w:eastAsia="Calibri" w:hAnsi="Calibri" w:cs="Times New Roman"/>
          <w:color w:val="0000FF"/>
        </w:rPr>
        <w:t xml:space="preserve"> lists the self-care items commonly found on functional assessment instruments. All self-care activity areas included on other assessments are included on the CARE tool.</w:t>
      </w:r>
      <w:r w:rsidR="00B11E91">
        <w:rPr>
          <w:rFonts w:ascii="Calibri" w:eastAsia="Calibri" w:hAnsi="Calibri" w:cs="Times New Roman"/>
          <w:color w:val="0000FF"/>
        </w:rPr>
        <w:t xml:space="preserve"> </w:t>
      </w:r>
    </w:p>
    <w:p w14:paraId="6AF8107A" w14:textId="77777777" w:rsidR="00B11E91" w:rsidRDefault="00B11E91" w:rsidP="00B11E91">
      <w:pPr>
        <w:pStyle w:val="ListParagraph"/>
        <w:spacing w:after="0"/>
        <w:ind w:left="0"/>
        <w:rPr>
          <w:iCs/>
          <w:color w:val="0000FF"/>
        </w:rPr>
      </w:pPr>
    </w:p>
    <w:p w14:paraId="10DEF843" w14:textId="77777777" w:rsidR="00E44F62" w:rsidRDefault="00E44F62">
      <w:pPr>
        <w:rPr>
          <w:b/>
          <w:bCs/>
          <w:iCs/>
          <w:color w:val="0000FF"/>
        </w:rPr>
      </w:pPr>
      <w:r>
        <w:rPr>
          <w:b/>
          <w:bCs/>
          <w:iCs/>
          <w:color w:val="0000FF"/>
        </w:rPr>
        <w:br w:type="page"/>
      </w:r>
    </w:p>
    <w:p w14:paraId="499D015F" w14:textId="29893C67" w:rsidR="00B11E91" w:rsidRPr="00EF6E95" w:rsidRDefault="00B11E91" w:rsidP="00B11E91">
      <w:pPr>
        <w:pStyle w:val="ListParagraph"/>
        <w:spacing w:after="0"/>
        <w:ind w:left="0"/>
        <w:rPr>
          <w:b/>
          <w:bCs/>
          <w:iCs/>
          <w:color w:val="0000FF"/>
        </w:rPr>
      </w:pPr>
      <w:proofErr w:type="gramStart"/>
      <w:r w:rsidRPr="00EF6E95">
        <w:rPr>
          <w:b/>
          <w:bCs/>
          <w:iCs/>
          <w:color w:val="0000FF"/>
        </w:rPr>
        <w:lastRenderedPageBreak/>
        <w:t>Table.</w:t>
      </w:r>
      <w:proofErr w:type="gramEnd"/>
      <w:r w:rsidRPr="00EF6E95">
        <w:rPr>
          <w:b/>
          <w:bCs/>
          <w:iCs/>
          <w:color w:val="0000FF"/>
        </w:rPr>
        <w:t xml:space="preserve"> 2. Comparison of Selected Self-Care Items from the CARE Tool and Other Functional Assessment Instruments.</w:t>
      </w:r>
    </w:p>
    <w:tbl>
      <w:tblPr>
        <w:tblW w:w="9081" w:type="dxa"/>
        <w:tblInd w:w="103" w:type="dxa"/>
        <w:tblLook w:val="04A0" w:firstRow="1" w:lastRow="0" w:firstColumn="1" w:lastColumn="0" w:noHBand="0" w:noVBand="1"/>
      </w:tblPr>
      <w:tblGrid>
        <w:gridCol w:w="2075"/>
        <w:gridCol w:w="1530"/>
        <w:gridCol w:w="990"/>
        <w:gridCol w:w="1233"/>
        <w:gridCol w:w="829"/>
        <w:gridCol w:w="1111"/>
        <w:gridCol w:w="1313"/>
      </w:tblGrid>
      <w:tr w:rsidR="00850EFF" w:rsidRPr="001B4B1B" w14:paraId="2EBD521D" w14:textId="77777777" w:rsidTr="00850EFF">
        <w:trPr>
          <w:trHeight w:val="345"/>
        </w:trPr>
        <w:tc>
          <w:tcPr>
            <w:tcW w:w="2075" w:type="dxa"/>
            <w:tcBorders>
              <w:top w:val="single" w:sz="4" w:space="0" w:color="auto"/>
              <w:bottom w:val="single" w:sz="4" w:space="0" w:color="auto"/>
            </w:tcBorders>
            <w:shd w:val="clear" w:color="auto" w:fill="auto"/>
            <w:vAlign w:val="center"/>
            <w:hideMark/>
          </w:tcPr>
          <w:p w14:paraId="274A6651" w14:textId="77777777" w:rsidR="00850EFF" w:rsidRPr="001B4B1B" w:rsidRDefault="00850EFF" w:rsidP="00AD4168">
            <w:pPr>
              <w:spacing w:after="0" w:line="240" w:lineRule="auto"/>
              <w:jc w:val="center"/>
              <w:rPr>
                <w:rFonts w:eastAsia="Times New Roman" w:cs="Times New Roman"/>
                <w:b/>
                <w:bCs/>
                <w:color w:val="0000FF"/>
              </w:rPr>
            </w:pPr>
            <w:r>
              <w:rPr>
                <w:rFonts w:eastAsia="Times New Roman" w:cs="Times New Roman"/>
                <w:b/>
                <w:bCs/>
                <w:color w:val="0000FF"/>
              </w:rPr>
              <w:t>Item</w:t>
            </w:r>
            <w:r w:rsidRPr="001B4B1B">
              <w:rPr>
                <w:rFonts w:eastAsia="Times New Roman" w:cs="Times New Roman"/>
                <w:b/>
                <w:bCs/>
                <w:color w:val="0000FF"/>
              </w:rPr>
              <w:t> </w:t>
            </w:r>
          </w:p>
        </w:tc>
        <w:tc>
          <w:tcPr>
            <w:tcW w:w="1530" w:type="dxa"/>
            <w:tcBorders>
              <w:top w:val="single" w:sz="4" w:space="0" w:color="auto"/>
              <w:bottom w:val="single" w:sz="4" w:space="0" w:color="auto"/>
            </w:tcBorders>
            <w:shd w:val="clear" w:color="auto" w:fill="auto"/>
            <w:noWrap/>
            <w:vAlign w:val="center"/>
            <w:hideMark/>
          </w:tcPr>
          <w:p w14:paraId="6C43EBDE" w14:textId="77777777" w:rsidR="00850EFF" w:rsidRPr="001B4B1B" w:rsidRDefault="00850EFF" w:rsidP="00AD4168">
            <w:pPr>
              <w:spacing w:after="0" w:line="240" w:lineRule="auto"/>
              <w:jc w:val="center"/>
              <w:rPr>
                <w:rFonts w:eastAsia="Times New Roman" w:cs="Times New Roman"/>
                <w:b/>
                <w:bCs/>
                <w:color w:val="0000FF"/>
              </w:rPr>
            </w:pPr>
            <w:r w:rsidRPr="001B4B1B">
              <w:rPr>
                <w:rFonts w:eastAsia="Times New Roman" w:cs="Times New Roman"/>
                <w:b/>
                <w:bCs/>
                <w:color w:val="0000FF"/>
              </w:rPr>
              <w:t>Continuity Assessment Record and Evaluation (CARE)</w:t>
            </w:r>
          </w:p>
        </w:tc>
        <w:tc>
          <w:tcPr>
            <w:tcW w:w="990" w:type="dxa"/>
            <w:tcBorders>
              <w:top w:val="single" w:sz="4" w:space="0" w:color="auto"/>
              <w:bottom w:val="single" w:sz="4" w:space="0" w:color="auto"/>
            </w:tcBorders>
            <w:shd w:val="clear" w:color="auto" w:fill="auto"/>
            <w:noWrap/>
            <w:vAlign w:val="center"/>
            <w:hideMark/>
          </w:tcPr>
          <w:p w14:paraId="520F4927" w14:textId="77777777" w:rsidR="00850EFF" w:rsidRPr="001B4B1B" w:rsidRDefault="00850EFF" w:rsidP="00AD4168">
            <w:pPr>
              <w:spacing w:after="0" w:line="240" w:lineRule="auto"/>
              <w:jc w:val="center"/>
              <w:rPr>
                <w:rFonts w:eastAsia="Times New Roman" w:cs="Times New Roman"/>
                <w:b/>
                <w:bCs/>
                <w:color w:val="0000FF"/>
              </w:rPr>
            </w:pPr>
            <w:proofErr w:type="spellStart"/>
            <w:r w:rsidRPr="001B4B1B">
              <w:rPr>
                <w:rFonts w:eastAsia="Times New Roman" w:cs="Times New Roman"/>
                <w:b/>
                <w:bCs/>
                <w:color w:val="0000FF"/>
              </w:rPr>
              <w:t>Barthel</w:t>
            </w:r>
            <w:proofErr w:type="spellEnd"/>
            <w:r>
              <w:rPr>
                <w:rFonts w:eastAsia="Times New Roman" w:cs="Times New Roman"/>
                <w:b/>
                <w:bCs/>
                <w:color w:val="0000FF"/>
              </w:rPr>
              <w:t xml:space="preserve"> Index</w:t>
            </w:r>
          </w:p>
        </w:tc>
        <w:tc>
          <w:tcPr>
            <w:tcW w:w="1233" w:type="dxa"/>
            <w:tcBorders>
              <w:top w:val="single" w:sz="4" w:space="0" w:color="auto"/>
              <w:bottom w:val="single" w:sz="4" w:space="0" w:color="auto"/>
            </w:tcBorders>
            <w:shd w:val="clear" w:color="auto" w:fill="auto"/>
            <w:noWrap/>
            <w:vAlign w:val="center"/>
            <w:hideMark/>
          </w:tcPr>
          <w:p w14:paraId="2F762ED7" w14:textId="77777777" w:rsidR="00850EFF" w:rsidRPr="001B4B1B" w:rsidRDefault="00850EFF" w:rsidP="00AD4168">
            <w:pPr>
              <w:spacing w:after="0" w:line="240" w:lineRule="auto"/>
              <w:jc w:val="center"/>
              <w:rPr>
                <w:rFonts w:eastAsia="Times New Roman" w:cs="Times New Roman"/>
                <w:b/>
                <w:bCs/>
                <w:color w:val="0000FF"/>
              </w:rPr>
            </w:pPr>
            <w:r w:rsidRPr="001B4B1B">
              <w:rPr>
                <w:rFonts w:eastAsia="Times New Roman" w:cs="Times New Roman"/>
                <w:b/>
                <w:bCs/>
                <w:color w:val="0000FF"/>
              </w:rPr>
              <w:t>FIM</w:t>
            </w:r>
            <w:r w:rsidRPr="002B6481">
              <w:rPr>
                <w:rFonts w:eastAsia="Times New Roman" w:cs="Times New Roman"/>
                <w:b/>
                <w:bCs/>
                <w:color w:val="0000FF"/>
                <w:sz w:val="36"/>
                <w:szCs w:val="36"/>
              </w:rPr>
              <w:t xml:space="preserve">® </w:t>
            </w:r>
            <w:r w:rsidRPr="001B4B1B">
              <w:rPr>
                <w:rFonts w:eastAsia="Times New Roman" w:cs="Times New Roman"/>
                <w:b/>
                <w:bCs/>
                <w:color w:val="0000FF"/>
              </w:rPr>
              <w:t>instrument</w:t>
            </w:r>
          </w:p>
        </w:tc>
        <w:tc>
          <w:tcPr>
            <w:tcW w:w="829" w:type="dxa"/>
            <w:tcBorders>
              <w:top w:val="single" w:sz="4" w:space="0" w:color="auto"/>
              <w:bottom w:val="single" w:sz="4" w:space="0" w:color="auto"/>
            </w:tcBorders>
            <w:shd w:val="clear" w:color="auto" w:fill="auto"/>
            <w:noWrap/>
            <w:vAlign w:val="center"/>
            <w:hideMark/>
          </w:tcPr>
          <w:p w14:paraId="63EFC77E" w14:textId="77777777" w:rsidR="00850EFF" w:rsidRPr="001B4B1B" w:rsidRDefault="00850EFF" w:rsidP="00AD4168">
            <w:pPr>
              <w:spacing w:after="0" w:line="240" w:lineRule="auto"/>
              <w:jc w:val="center"/>
              <w:rPr>
                <w:rFonts w:eastAsia="Times New Roman" w:cs="Times New Roman"/>
                <w:b/>
                <w:bCs/>
                <w:color w:val="0000FF"/>
              </w:rPr>
            </w:pPr>
            <w:r w:rsidRPr="001B4B1B">
              <w:rPr>
                <w:rFonts w:eastAsia="Times New Roman" w:cs="Times New Roman"/>
                <w:b/>
                <w:bCs/>
                <w:color w:val="0000FF"/>
              </w:rPr>
              <w:t>Katz</w:t>
            </w:r>
            <w:r>
              <w:rPr>
                <w:rFonts w:eastAsia="Times New Roman" w:cs="Times New Roman"/>
                <w:b/>
                <w:bCs/>
                <w:color w:val="0000FF"/>
              </w:rPr>
              <w:t xml:space="preserve"> ADL Scale</w:t>
            </w:r>
          </w:p>
        </w:tc>
        <w:tc>
          <w:tcPr>
            <w:tcW w:w="1111" w:type="dxa"/>
            <w:tcBorders>
              <w:top w:val="single" w:sz="4" w:space="0" w:color="auto"/>
              <w:bottom w:val="single" w:sz="4" w:space="0" w:color="auto"/>
            </w:tcBorders>
            <w:shd w:val="clear" w:color="auto" w:fill="auto"/>
            <w:noWrap/>
            <w:vAlign w:val="center"/>
            <w:hideMark/>
          </w:tcPr>
          <w:p w14:paraId="00C5215E" w14:textId="77777777" w:rsidR="00850EFF" w:rsidRPr="001B4B1B" w:rsidRDefault="00850EFF" w:rsidP="00AD4168">
            <w:pPr>
              <w:spacing w:after="0" w:line="240" w:lineRule="auto"/>
              <w:jc w:val="center"/>
              <w:rPr>
                <w:rFonts w:eastAsia="Times New Roman" w:cs="Times New Roman"/>
                <w:b/>
                <w:bCs/>
                <w:color w:val="0000FF"/>
              </w:rPr>
            </w:pPr>
            <w:r w:rsidRPr="001B4B1B">
              <w:rPr>
                <w:rFonts w:eastAsia="Times New Roman" w:cs="Times New Roman"/>
                <w:b/>
                <w:bCs/>
                <w:color w:val="0000FF"/>
              </w:rPr>
              <w:t>Minimum Data Set (MDS)</w:t>
            </w:r>
          </w:p>
        </w:tc>
        <w:tc>
          <w:tcPr>
            <w:tcW w:w="1313" w:type="dxa"/>
            <w:tcBorders>
              <w:top w:val="single" w:sz="4" w:space="0" w:color="auto"/>
              <w:bottom w:val="single" w:sz="4" w:space="0" w:color="auto"/>
            </w:tcBorders>
            <w:shd w:val="clear" w:color="auto" w:fill="auto"/>
            <w:noWrap/>
            <w:vAlign w:val="center"/>
            <w:hideMark/>
          </w:tcPr>
          <w:p w14:paraId="259DB88A" w14:textId="77777777" w:rsidR="00850EFF" w:rsidRPr="001B4B1B" w:rsidRDefault="00850EFF" w:rsidP="00AD4168">
            <w:pPr>
              <w:spacing w:after="0" w:line="240" w:lineRule="auto"/>
              <w:jc w:val="center"/>
              <w:rPr>
                <w:rFonts w:eastAsia="Times New Roman" w:cs="Times New Roman"/>
                <w:b/>
                <w:bCs/>
                <w:color w:val="0000FF"/>
              </w:rPr>
            </w:pPr>
            <w:r w:rsidRPr="001B4B1B">
              <w:rPr>
                <w:rFonts w:eastAsia="Times New Roman" w:cs="Times New Roman"/>
                <w:b/>
                <w:bCs/>
                <w:color w:val="0000FF"/>
              </w:rPr>
              <w:t>Outcome and Assessment Information Set-C (OASIS-C)</w:t>
            </w:r>
          </w:p>
        </w:tc>
      </w:tr>
      <w:tr w:rsidR="00850EFF" w:rsidRPr="001B4B1B" w14:paraId="32327AF6" w14:textId="77777777" w:rsidTr="00850EFF">
        <w:trPr>
          <w:trHeight w:val="300"/>
        </w:trPr>
        <w:tc>
          <w:tcPr>
            <w:tcW w:w="2075" w:type="dxa"/>
            <w:tcBorders>
              <w:top w:val="single" w:sz="4" w:space="0" w:color="auto"/>
            </w:tcBorders>
            <w:shd w:val="clear" w:color="auto" w:fill="auto"/>
            <w:vAlign w:val="bottom"/>
            <w:hideMark/>
          </w:tcPr>
          <w:p w14:paraId="3003E88F" w14:textId="77777777" w:rsidR="00850EFF" w:rsidRPr="001B4B1B" w:rsidRDefault="00850EFF" w:rsidP="00AD4168">
            <w:pPr>
              <w:spacing w:after="0" w:line="240" w:lineRule="auto"/>
              <w:rPr>
                <w:rFonts w:eastAsia="Times New Roman" w:cs="Times New Roman"/>
                <w:color w:val="0000FF"/>
              </w:rPr>
            </w:pPr>
            <w:r w:rsidRPr="001B4B1B">
              <w:rPr>
                <w:rFonts w:eastAsia="Times New Roman" w:cs="Times New Roman"/>
                <w:color w:val="0000FF"/>
              </w:rPr>
              <w:t>Eating</w:t>
            </w:r>
          </w:p>
        </w:tc>
        <w:tc>
          <w:tcPr>
            <w:tcW w:w="1530" w:type="dxa"/>
            <w:tcBorders>
              <w:top w:val="single" w:sz="4" w:space="0" w:color="auto"/>
            </w:tcBorders>
            <w:shd w:val="clear" w:color="auto" w:fill="auto"/>
            <w:noWrap/>
            <w:vAlign w:val="center"/>
            <w:hideMark/>
          </w:tcPr>
          <w:p w14:paraId="20FD72C1" w14:textId="77777777" w:rsidR="00850EFF" w:rsidRPr="001B4B1B" w:rsidRDefault="00850EFF" w:rsidP="00AD4168">
            <w:pPr>
              <w:spacing w:after="0" w:line="240" w:lineRule="auto"/>
              <w:jc w:val="center"/>
              <w:rPr>
                <w:rFonts w:eastAsia="Times New Roman" w:cs="Times New Roman"/>
                <w:color w:val="0000FF"/>
              </w:rPr>
            </w:pPr>
            <w:r w:rsidRPr="001B4B1B">
              <w:rPr>
                <w:rFonts w:eastAsia="Times New Roman" w:cs="Times New Roman"/>
                <w:color w:val="0000FF"/>
              </w:rPr>
              <w:t>x</w:t>
            </w:r>
          </w:p>
        </w:tc>
        <w:tc>
          <w:tcPr>
            <w:tcW w:w="990" w:type="dxa"/>
            <w:tcBorders>
              <w:top w:val="single" w:sz="4" w:space="0" w:color="auto"/>
            </w:tcBorders>
            <w:shd w:val="clear" w:color="auto" w:fill="auto"/>
            <w:noWrap/>
            <w:vAlign w:val="center"/>
            <w:hideMark/>
          </w:tcPr>
          <w:p w14:paraId="3E334BD8" w14:textId="77777777" w:rsidR="00850EFF" w:rsidRPr="001B4B1B" w:rsidRDefault="00850EFF" w:rsidP="00AD4168">
            <w:pPr>
              <w:spacing w:after="0" w:line="240" w:lineRule="auto"/>
              <w:jc w:val="center"/>
              <w:rPr>
                <w:rFonts w:eastAsia="Times New Roman" w:cs="Times New Roman"/>
                <w:color w:val="0000FF"/>
              </w:rPr>
            </w:pPr>
            <w:r>
              <w:rPr>
                <w:rFonts w:eastAsia="Times New Roman" w:cs="Times New Roman"/>
                <w:color w:val="0000FF"/>
              </w:rPr>
              <w:t>x</w:t>
            </w:r>
          </w:p>
        </w:tc>
        <w:tc>
          <w:tcPr>
            <w:tcW w:w="1233" w:type="dxa"/>
            <w:tcBorders>
              <w:top w:val="single" w:sz="4" w:space="0" w:color="auto"/>
            </w:tcBorders>
            <w:shd w:val="clear" w:color="auto" w:fill="auto"/>
            <w:noWrap/>
            <w:vAlign w:val="center"/>
            <w:hideMark/>
          </w:tcPr>
          <w:p w14:paraId="50F17403" w14:textId="77777777" w:rsidR="00850EFF" w:rsidRPr="001B4B1B" w:rsidRDefault="00850EFF" w:rsidP="00AD4168">
            <w:pPr>
              <w:spacing w:after="0" w:line="240" w:lineRule="auto"/>
              <w:jc w:val="center"/>
              <w:rPr>
                <w:rFonts w:eastAsia="Times New Roman" w:cs="Times New Roman"/>
                <w:color w:val="0000FF"/>
              </w:rPr>
            </w:pPr>
            <w:r w:rsidRPr="001B4B1B">
              <w:rPr>
                <w:rFonts w:eastAsia="Times New Roman" w:cs="Times New Roman"/>
                <w:color w:val="0000FF"/>
              </w:rPr>
              <w:t>x</w:t>
            </w:r>
          </w:p>
        </w:tc>
        <w:tc>
          <w:tcPr>
            <w:tcW w:w="829" w:type="dxa"/>
            <w:tcBorders>
              <w:top w:val="single" w:sz="4" w:space="0" w:color="auto"/>
            </w:tcBorders>
            <w:shd w:val="clear" w:color="auto" w:fill="auto"/>
            <w:noWrap/>
            <w:vAlign w:val="center"/>
            <w:hideMark/>
          </w:tcPr>
          <w:p w14:paraId="59FC690F" w14:textId="77777777" w:rsidR="00850EFF" w:rsidRPr="001B4B1B" w:rsidRDefault="00850EFF" w:rsidP="00AD4168">
            <w:pPr>
              <w:spacing w:after="0" w:line="240" w:lineRule="auto"/>
              <w:jc w:val="center"/>
              <w:rPr>
                <w:rFonts w:eastAsia="Times New Roman" w:cs="Times New Roman"/>
                <w:color w:val="0000FF"/>
              </w:rPr>
            </w:pPr>
            <w:r w:rsidRPr="001B4B1B">
              <w:rPr>
                <w:rFonts w:eastAsia="Times New Roman" w:cs="Times New Roman"/>
                <w:color w:val="0000FF"/>
              </w:rPr>
              <w:t>x</w:t>
            </w:r>
          </w:p>
        </w:tc>
        <w:tc>
          <w:tcPr>
            <w:tcW w:w="1111" w:type="dxa"/>
            <w:tcBorders>
              <w:top w:val="single" w:sz="4" w:space="0" w:color="auto"/>
            </w:tcBorders>
            <w:shd w:val="clear" w:color="auto" w:fill="auto"/>
            <w:noWrap/>
            <w:vAlign w:val="center"/>
            <w:hideMark/>
          </w:tcPr>
          <w:p w14:paraId="435759B6" w14:textId="77777777" w:rsidR="00850EFF" w:rsidRPr="001B4B1B" w:rsidRDefault="00850EFF" w:rsidP="00AD4168">
            <w:pPr>
              <w:spacing w:after="0" w:line="240" w:lineRule="auto"/>
              <w:jc w:val="center"/>
              <w:rPr>
                <w:rFonts w:eastAsia="Times New Roman" w:cs="Times New Roman"/>
                <w:color w:val="0000FF"/>
              </w:rPr>
            </w:pPr>
            <w:r w:rsidRPr="001B4B1B">
              <w:rPr>
                <w:rFonts w:eastAsia="Times New Roman" w:cs="Times New Roman"/>
                <w:color w:val="0000FF"/>
              </w:rPr>
              <w:t>x</w:t>
            </w:r>
          </w:p>
        </w:tc>
        <w:tc>
          <w:tcPr>
            <w:tcW w:w="1313" w:type="dxa"/>
            <w:tcBorders>
              <w:top w:val="single" w:sz="4" w:space="0" w:color="auto"/>
            </w:tcBorders>
            <w:shd w:val="clear" w:color="auto" w:fill="auto"/>
            <w:noWrap/>
            <w:vAlign w:val="center"/>
            <w:hideMark/>
          </w:tcPr>
          <w:p w14:paraId="09197F3A" w14:textId="77777777" w:rsidR="00850EFF" w:rsidRPr="001B4B1B" w:rsidRDefault="00850EFF" w:rsidP="00AD4168">
            <w:pPr>
              <w:spacing w:after="0" w:line="240" w:lineRule="auto"/>
              <w:jc w:val="center"/>
              <w:rPr>
                <w:rFonts w:eastAsia="Times New Roman" w:cs="Times New Roman"/>
                <w:color w:val="0000FF"/>
              </w:rPr>
            </w:pPr>
            <w:r w:rsidRPr="001B4B1B">
              <w:rPr>
                <w:rFonts w:eastAsia="Times New Roman" w:cs="Times New Roman"/>
                <w:color w:val="0000FF"/>
              </w:rPr>
              <w:t>x</w:t>
            </w:r>
          </w:p>
        </w:tc>
      </w:tr>
      <w:tr w:rsidR="00850EFF" w:rsidRPr="001B4B1B" w14:paraId="510B743E" w14:textId="77777777" w:rsidTr="00850EFF">
        <w:trPr>
          <w:trHeight w:val="600"/>
        </w:trPr>
        <w:tc>
          <w:tcPr>
            <w:tcW w:w="2075" w:type="dxa"/>
            <w:shd w:val="clear" w:color="auto" w:fill="F2F2F2" w:themeFill="background1" w:themeFillShade="F2"/>
            <w:vAlign w:val="bottom"/>
            <w:hideMark/>
          </w:tcPr>
          <w:p w14:paraId="55A3ED42" w14:textId="01277C49" w:rsidR="00850EFF" w:rsidRPr="001B4B1B" w:rsidRDefault="00850EFF" w:rsidP="008816CF">
            <w:pPr>
              <w:spacing w:after="0" w:line="240" w:lineRule="auto"/>
              <w:rPr>
                <w:rFonts w:eastAsia="Times New Roman" w:cs="Times New Roman"/>
                <w:color w:val="0000FF"/>
              </w:rPr>
            </w:pPr>
            <w:r w:rsidRPr="001B4B1B">
              <w:rPr>
                <w:rFonts w:eastAsia="Times New Roman" w:cs="Times New Roman"/>
                <w:color w:val="0000FF"/>
              </w:rPr>
              <w:t xml:space="preserve">Grooming/Personal </w:t>
            </w:r>
            <w:r>
              <w:rPr>
                <w:rFonts w:eastAsia="Times New Roman" w:cs="Times New Roman"/>
                <w:color w:val="0000FF"/>
              </w:rPr>
              <w:t>or Oral h</w:t>
            </w:r>
            <w:r w:rsidRPr="001B4B1B">
              <w:rPr>
                <w:rFonts w:eastAsia="Times New Roman" w:cs="Times New Roman"/>
                <w:color w:val="0000FF"/>
              </w:rPr>
              <w:t xml:space="preserve">ygiene </w:t>
            </w:r>
          </w:p>
        </w:tc>
        <w:tc>
          <w:tcPr>
            <w:tcW w:w="1530" w:type="dxa"/>
            <w:shd w:val="clear" w:color="auto" w:fill="F2F2F2" w:themeFill="background1" w:themeFillShade="F2"/>
            <w:noWrap/>
            <w:vAlign w:val="center"/>
            <w:hideMark/>
          </w:tcPr>
          <w:p w14:paraId="0CD1D82B" w14:textId="77777777" w:rsidR="00850EFF" w:rsidRPr="001B4B1B" w:rsidRDefault="00850EFF" w:rsidP="00AD4168">
            <w:pPr>
              <w:spacing w:after="0" w:line="240" w:lineRule="auto"/>
              <w:jc w:val="center"/>
              <w:rPr>
                <w:rFonts w:eastAsia="Times New Roman" w:cs="Times New Roman"/>
                <w:color w:val="0000FF"/>
              </w:rPr>
            </w:pPr>
            <w:r>
              <w:rPr>
                <w:rFonts w:eastAsia="Times New Roman" w:cs="Times New Roman"/>
                <w:color w:val="0000FF"/>
              </w:rPr>
              <w:t>x</w:t>
            </w:r>
          </w:p>
        </w:tc>
        <w:tc>
          <w:tcPr>
            <w:tcW w:w="990" w:type="dxa"/>
            <w:shd w:val="clear" w:color="auto" w:fill="F2F2F2" w:themeFill="background1" w:themeFillShade="F2"/>
            <w:noWrap/>
            <w:vAlign w:val="center"/>
            <w:hideMark/>
          </w:tcPr>
          <w:p w14:paraId="6E10F600" w14:textId="77777777" w:rsidR="00850EFF" w:rsidRPr="001B4B1B" w:rsidRDefault="00850EFF" w:rsidP="00AD4168">
            <w:pPr>
              <w:spacing w:after="0" w:line="240" w:lineRule="auto"/>
              <w:jc w:val="center"/>
              <w:rPr>
                <w:rFonts w:eastAsia="Times New Roman" w:cs="Times New Roman"/>
                <w:color w:val="0000FF"/>
              </w:rPr>
            </w:pPr>
            <w:r w:rsidRPr="001B4B1B">
              <w:rPr>
                <w:rFonts w:eastAsia="Times New Roman" w:cs="Times New Roman"/>
                <w:color w:val="0000FF"/>
              </w:rPr>
              <w:t>x</w:t>
            </w:r>
          </w:p>
        </w:tc>
        <w:tc>
          <w:tcPr>
            <w:tcW w:w="1233" w:type="dxa"/>
            <w:shd w:val="clear" w:color="auto" w:fill="F2F2F2" w:themeFill="background1" w:themeFillShade="F2"/>
            <w:noWrap/>
            <w:vAlign w:val="center"/>
            <w:hideMark/>
          </w:tcPr>
          <w:p w14:paraId="1BBA5956" w14:textId="77777777" w:rsidR="00850EFF" w:rsidRPr="001B4B1B" w:rsidRDefault="00850EFF" w:rsidP="00AD4168">
            <w:pPr>
              <w:spacing w:after="0" w:line="240" w:lineRule="auto"/>
              <w:jc w:val="center"/>
              <w:rPr>
                <w:rFonts w:eastAsia="Times New Roman" w:cs="Times New Roman"/>
                <w:color w:val="0000FF"/>
              </w:rPr>
            </w:pPr>
            <w:r w:rsidRPr="001B4B1B">
              <w:rPr>
                <w:rFonts w:eastAsia="Times New Roman" w:cs="Times New Roman"/>
                <w:color w:val="0000FF"/>
              </w:rPr>
              <w:t>x</w:t>
            </w:r>
          </w:p>
        </w:tc>
        <w:tc>
          <w:tcPr>
            <w:tcW w:w="829" w:type="dxa"/>
            <w:shd w:val="clear" w:color="auto" w:fill="F2F2F2" w:themeFill="background1" w:themeFillShade="F2"/>
            <w:noWrap/>
            <w:vAlign w:val="center"/>
            <w:hideMark/>
          </w:tcPr>
          <w:p w14:paraId="5701EAF8" w14:textId="77777777" w:rsidR="00850EFF" w:rsidRPr="001B4B1B" w:rsidRDefault="00850EFF" w:rsidP="00AD4168">
            <w:pPr>
              <w:spacing w:after="0" w:line="240" w:lineRule="auto"/>
              <w:jc w:val="center"/>
              <w:rPr>
                <w:rFonts w:eastAsia="Times New Roman" w:cs="Times New Roman"/>
                <w:color w:val="0000FF"/>
              </w:rPr>
            </w:pPr>
          </w:p>
        </w:tc>
        <w:tc>
          <w:tcPr>
            <w:tcW w:w="1111" w:type="dxa"/>
            <w:shd w:val="clear" w:color="auto" w:fill="F2F2F2" w:themeFill="background1" w:themeFillShade="F2"/>
            <w:noWrap/>
            <w:vAlign w:val="center"/>
            <w:hideMark/>
          </w:tcPr>
          <w:p w14:paraId="7FA004CE" w14:textId="77777777" w:rsidR="00850EFF" w:rsidRPr="001B4B1B" w:rsidRDefault="00850EFF" w:rsidP="00AD4168">
            <w:pPr>
              <w:spacing w:after="0" w:line="240" w:lineRule="auto"/>
              <w:jc w:val="center"/>
              <w:rPr>
                <w:rFonts w:eastAsia="Times New Roman" w:cs="Times New Roman"/>
                <w:color w:val="0000FF"/>
              </w:rPr>
            </w:pPr>
            <w:r w:rsidRPr="001B4B1B">
              <w:rPr>
                <w:rFonts w:eastAsia="Times New Roman" w:cs="Times New Roman"/>
                <w:color w:val="0000FF"/>
              </w:rPr>
              <w:t>x</w:t>
            </w:r>
          </w:p>
        </w:tc>
        <w:tc>
          <w:tcPr>
            <w:tcW w:w="1313" w:type="dxa"/>
            <w:shd w:val="clear" w:color="auto" w:fill="F2F2F2" w:themeFill="background1" w:themeFillShade="F2"/>
            <w:noWrap/>
            <w:vAlign w:val="center"/>
            <w:hideMark/>
          </w:tcPr>
          <w:p w14:paraId="38E55570" w14:textId="77777777" w:rsidR="00850EFF" w:rsidRPr="001B4B1B" w:rsidRDefault="00850EFF" w:rsidP="00AD4168">
            <w:pPr>
              <w:spacing w:after="0" w:line="240" w:lineRule="auto"/>
              <w:jc w:val="center"/>
              <w:rPr>
                <w:rFonts w:eastAsia="Times New Roman" w:cs="Times New Roman"/>
                <w:color w:val="0000FF"/>
              </w:rPr>
            </w:pPr>
            <w:r w:rsidRPr="001B4B1B">
              <w:rPr>
                <w:rFonts w:eastAsia="Times New Roman" w:cs="Times New Roman"/>
                <w:color w:val="0000FF"/>
              </w:rPr>
              <w:t>x</w:t>
            </w:r>
          </w:p>
        </w:tc>
      </w:tr>
      <w:tr w:rsidR="00850EFF" w:rsidRPr="001B4B1B" w14:paraId="46D10DE2" w14:textId="77777777" w:rsidTr="00850EFF">
        <w:trPr>
          <w:trHeight w:val="300"/>
        </w:trPr>
        <w:tc>
          <w:tcPr>
            <w:tcW w:w="2075" w:type="dxa"/>
            <w:shd w:val="clear" w:color="auto" w:fill="auto"/>
            <w:vAlign w:val="bottom"/>
            <w:hideMark/>
          </w:tcPr>
          <w:p w14:paraId="3F773E19" w14:textId="6E143FD4" w:rsidR="00850EFF" w:rsidRPr="001B4B1B" w:rsidRDefault="00850EFF" w:rsidP="008816CF">
            <w:pPr>
              <w:spacing w:after="0" w:line="240" w:lineRule="auto"/>
              <w:rPr>
                <w:rFonts w:eastAsia="Times New Roman" w:cs="Times New Roman"/>
                <w:color w:val="0000FF"/>
              </w:rPr>
            </w:pPr>
            <w:r>
              <w:rPr>
                <w:rFonts w:eastAsia="Times New Roman" w:cs="Times New Roman"/>
                <w:color w:val="0000FF"/>
              </w:rPr>
              <w:t xml:space="preserve">Toileting hygiene </w:t>
            </w:r>
          </w:p>
        </w:tc>
        <w:tc>
          <w:tcPr>
            <w:tcW w:w="1530" w:type="dxa"/>
            <w:shd w:val="clear" w:color="auto" w:fill="auto"/>
            <w:noWrap/>
            <w:vAlign w:val="center"/>
            <w:hideMark/>
          </w:tcPr>
          <w:p w14:paraId="5C961B2C" w14:textId="77777777" w:rsidR="00850EFF" w:rsidRPr="001B4B1B" w:rsidRDefault="00850EFF" w:rsidP="00AD4168">
            <w:pPr>
              <w:spacing w:after="0" w:line="240" w:lineRule="auto"/>
              <w:jc w:val="center"/>
              <w:rPr>
                <w:rFonts w:eastAsia="Times New Roman" w:cs="Times New Roman"/>
                <w:color w:val="0000FF"/>
              </w:rPr>
            </w:pPr>
            <w:r>
              <w:rPr>
                <w:rFonts w:eastAsia="Times New Roman" w:cs="Times New Roman"/>
                <w:color w:val="0000FF"/>
              </w:rPr>
              <w:t>x</w:t>
            </w:r>
          </w:p>
        </w:tc>
        <w:tc>
          <w:tcPr>
            <w:tcW w:w="990" w:type="dxa"/>
            <w:shd w:val="clear" w:color="auto" w:fill="auto"/>
            <w:noWrap/>
            <w:vAlign w:val="center"/>
            <w:hideMark/>
          </w:tcPr>
          <w:p w14:paraId="00DA61A4" w14:textId="77777777" w:rsidR="00850EFF" w:rsidRPr="001B4B1B" w:rsidRDefault="00850EFF" w:rsidP="00AD4168">
            <w:pPr>
              <w:spacing w:after="0" w:line="240" w:lineRule="auto"/>
              <w:jc w:val="center"/>
              <w:rPr>
                <w:rFonts w:eastAsia="Times New Roman" w:cs="Times New Roman"/>
                <w:color w:val="0000FF"/>
              </w:rPr>
            </w:pPr>
            <w:r w:rsidRPr="001B4B1B">
              <w:rPr>
                <w:rFonts w:eastAsia="Times New Roman" w:cs="Times New Roman"/>
                <w:color w:val="0000FF"/>
              </w:rPr>
              <w:t>x</w:t>
            </w:r>
          </w:p>
        </w:tc>
        <w:tc>
          <w:tcPr>
            <w:tcW w:w="1233" w:type="dxa"/>
            <w:shd w:val="clear" w:color="auto" w:fill="auto"/>
            <w:noWrap/>
            <w:vAlign w:val="center"/>
            <w:hideMark/>
          </w:tcPr>
          <w:p w14:paraId="54E08C12" w14:textId="77777777" w:rsidR="00850EFF" w:rsidRPr="001B4B1B" w:rsidRDefault="00850EFF" w:rsidP="00AD4168">
            <w:pPr>
              <w:spacing w:after="0" w:line="240" w:lineRule="auto"/>
              <w:jc w:val="center"/>
              <w:rPr>
                <w:rFonts w:eastAsia="Times New Roman" w:cs="Times New Roman"/>
                <w:color w:val="0000FF"/>
              </w:rPr>
            </w:pPr>
            <w:r w:rsidRPr="001B4B1B">
              <w:rPr>
                <w:rFonts w:eastAsia="Times New Roman" w:cs="Times New Roman"/>
                <w:color w:val="0000FF"/>
              </w:rPr>
              <w:t>x</w:t>
            </w:r>
          </w:p>
        </w:tc>
        <w:tc>
          <w:tcPr>
            <w:tcW w:w="829" w:type="dxa"/>
            <w:shd w:val="clear" w:color="auto" w:fill="auto"/>
            <w:noWrap/>
            <w:vAlign w:val="center"/>
            <w:hideMark/>
          </w:tcPr>
          <w:p w14:paraId="456A70EC" w14:textId="77777777" w:rsidR="00850EFF" w:rsidRPr="001B4B1B" w:rsidRDefault="00850EFF" w:rsidP="00AD4168">
            <w:pPr>
              <w:spacing w:after="0" w:line="240" w:lineRule="auto"/>
              <w:jc w:val="center"/>
              <w:rPr>
                <w:rFonts w:eastAsia="Times New Roman" w:cs="Times New Roman"/>
                <w:color w:val="0000FF"/>
              </w:rPr>
            </w:pPr>
            <w:r w:rsidRPr="001B4B1B">
              <w:rPr>
                <w:rFonts w:eastAsia="Times New Roman" w:cs="Times New Roman"/>
                <w:color w:val="0000FF"/>
              </w:rPr>
              <w:t>x</w:t>
            </w:r>
          </w:p>
        </w:tc>
        <w:tc>
          <w:tcPr>
            <w:tcW w:w="1111" w:type="dxa"/>
            <w:shd w:val="clear" w:color="auto" w:fill="auto"/>
            <w:noWrap/>
            <w:vAlign w:val="center"/>
            <w:hideMark/>
          </w:tcPr>
          <w:p w14:paraId="1F7ADFA2" w14:textId="77777777" w:rsidR="00850EFF" w:rsidRPr="001B4B1B" w:rsidRDefault="00850EFF" w:rsidP="00AD4168">
            <w:pPr>
              <w:spacing w:after="0" w:line="240" w:lineRule="auto"/>
              <w:jc w:val="center"/>
              <w:rPr>
                <w:rFonts w:eastAsia="Times New Roman" w:cs="Times New Roman"/>
                <w:color w:val="0000FF"/>
              </w:rPr>
            </w:pPr>
            <w:r w:rsidRPr="001B4B1B">
              <w:rPr>
                <w:rFonts w:eastAsia="Times New Roman" w:cs="Times New Roman"/>
                <w:color w:val="0000FF"/>
              </w:rPr>
              <w:t>x</w:t>
            </w:r>
          </w:p>
        </w:tc>
        <w:tc>
          <w:tcPr>
            <w:tcW w:w="1313" w:type="dxa"/>
            <w:shd w:val="clear" w:color="auto" w:fill="auto"/>
            <w:noWrap/>
            <w:vAlign w:val="center"/>
            <w:hideMark/>
          </w:tcPr>
          <w:p w14:paraId="47E211C8" w14:textId="77777777" w:rsidR="00850EFF" w:rsidRPr="001B4B1B" w:rsidRDefault="00850EFF" w:rsidP="00AD4168">
            <w:pPr>
              <w:spacing w:after="0" w:line="240" w:lineRule="auto"/>
              <w:jc w:val="center"/>
              <w:rPr>
                <w:rFonts w:eastAsia="Times New Roman" w:cs="Times New Roman"/>
                <w:color w:val="0000FF"/>
              </w:rPr>
            </w:pPr>
            <w:r>
              <w:rPr>
                <w:rFonts w:eastAsia="Times New Roman" w:cs="Times New Roman"/>
                <w:color w:val="0000FF"/>
              </w:rPr>
              <w:t>x</w:t>
            </w:r>
          </w:p>
        </w:tc>
      </w:tr>
      <w:tr w:rsidR="00850EFF" w:rsidRPr="001B4B1B" w14:paraId="13F10738" w14:textId="77777777" w:rsidTr="00850EFF">
        <w:trPr>
          <w:trHeight w:val="300"/>
        </w:trPr>
        <w:tc>
          <w:tcPr>
            <w:tcW w:w="2075" w:type="dxa"/>
            <w:shd w:val="clear" w:color="auto" w:fill="F2F2F2" w:themeFill="background1" w:themeFillShade="F2"/>
            <w:vAlign w:val="bottom"/>
            <w:hideMark/>
          </w:tcPr>
          <w:p w14:paraId="5D0E63FA" w14:textId="77777777" w:rsidR="00850EFF" w:rsidRPr="001B4B1B" w:rsidRDefault="00850EFF" w:rsidP="00AD4168">
            <w:pPr>
              <w:spacing w:after="0" w:line="240" w:lineRule="auto"/>
              <w:rPr>
                <w:rFonts w:eastAsia="Times New Roman" w:cs="Times New Roman"/>
                <w:color w:val="0000FF"/>
              </w:rPr>
            </w:pPr>
            <w:r w:rsidRPr="001B4B1B">
              <w:rPr>
                <w:rFonts w:eastAsia="Times New Roman" w:cs="Times New Roman"/>
                <w:color w:val="0000FF"/>
              </w:rPr>
              <w:t>Bathing</w:t>
            </w:r>
            <w:r>
              <w:rPr>
                <w:rFonts w:eastAsia="Times New Roman" w:cs="Times New Roman"/>
                <w:color w:val="0000FF"/>
              </w:rPr>
              <w:t>/Showering</w:t>
            </w:r>
          </w:p>
        </w:tc>
        <w:tc>
          <w:tcPr>
            <w:tcW w:w="1530" w:type="dxa"/>
            <w:shd w:val="clear" w:color="auto" w:fill="F2F2F2" w:themeFill="background1" w:themeFillShade="F2"/>
            <w:noWrap/>
            <w:vAlign w:val="center"/>
            <w:hideMark/>
          </w:tcPr>
          <w:p w14:paraId="0C1E5599" w14:textId="77777777" w:rsidR="00850EFF" w:rsidRPr="001B4B1B" w:rsidRDefault="00850EFF" w:rsidP="00AD4168">
            <w:pPr>
              <w:spacing w:after="0" w:line="240" w:lineRule="auto"/>
              <w:jc w:val="center"/>
              <w:rPr>
                <w:rFonts w:eastAsia="Times New Roman" w:cs="Times New Roman"/>
                <w:color w:val="0000FF"/>
              </w:rPr>
            </w:pPr>
            <w:r>
              <w:rPr>
                <w:rFonts w:eastAsia="Times New Roman" w:cs="Times New Roman"/>
                <w:color w:val="0000FF"/>
              </w:rPr>
              <w:t>x</w:t>
            </w:r>
          </w:p>
        </w:tc>
        <w:tc>
          <w:tcPr>
            <w:tcW w:w="990" w:type="dxa"/>
            <w:shd w:val="clear" w:color="auto" w:fill="F2F2F2" w:themeFill="background1" w:themeFillShade="F2"/>
            <w:noWrap/>
            <w:vAlign w:val="center"/>
            <w:hideMark/>
          </w:tcPr>
          <w:p w14:paraId="17C2853B" w14:textId="77777777" w:rsidR="00850EFF" w:rsidRPr="001B4B1B" w:rsidRDefault="00850EFF" w:rsidP="00AD4168">
            <w:pPr>
              <w:spacing w:after="0" w:line="240" w:lineRule="auto"/>
              <w:jc w:val="center"/>
              <w:rPr>
                <w:rFonts w:eastAsia="Times New Roman" w:cs="Times New Roman"/>
                <w:color w:val="0000FF"/>
              </w:rPr>
            </w:pPr>
            <w:r w:rsidRPr="001B4B1B">
              <w:rPr>
                <w:rFonts w:eastAsia="Times New Roman" w:cs="Times New Roman"/>
                <w:color w:val="0000FF"/>
              </w:rPr>
              <w:t>x</w:t>
            </w:r>
          </w:p>
        </w:tc>
        <w:tc>
          <w:tcPr>
            <w:tcW w:w="1233" w:type="dxa"/>
            <w:shd w:val="clear" w:color="auto" w:fill="F2F2F2" w:themeFill="background1" w:themeFillShade="F2"/>
            <w:noWrap/>
            <w:vAlign w:val="center"/>
            <w:hideMark/>
          </w:tcPr>
          <w:p w14:paraId="1C7DEF9F" w14:textId="77777777" w:rsidR="00850EFF" w:rsidRPr="001B4B1B" w:rsidRDefault="00850EFF" w:rsidP="00AD4168">
            <w:pPr>
              <w:spacing w:after="0" w:line="240" w:lineRule="auto"/>
              <w:jc w:val="center"/>
              <w:rPr>
                <w:rFonts w:eastAsia="Times New Roman" w:cs="Times New Roman"/>
                <w:color w:val="0000FF"/>
              </w:rPr>
            </w:pPr>
            <w:r w:rsidRPr="001B4B1B">
              <w:rPr>
                <w:rFonts w:eastAsia="Times New Roman" w:cs="Times New Roman"/>
                <w:color w:val="0000FF"/>
              </w:rPr>
              <w:t>x</w:t>
            </w:r>
          </w:p>
        </w:tc>
        <w:tc>
          <w:tcPr>
            <w:tcW w:w="829" w:type="dxa"/>
            <w:shd w:val="clear" w:color="auto" w:fill="F2F2F2" w:themeFill="background1" w:themeFillShade="F2"/>
            <w:noWrap/>
            <w:vAlign w:val="center"/>
            <w:hideMark/>
          </w:tcPr>
          <w:p w14:paraId="265E604F" w14:textId="77777777" w:rsidR="00850EFF" w:rsidRPr="001B4B1B" w:rsidRDefault="00850EFF" w:rsidP="00AD4168">
            <w:pPr>
              <w:spacing w:after="0" w:line="240" w:lineRule="auto"/>
              <w:jc w:val="center"/>
              <w:rPr>
                <w:rFonts w:eastAsia="Times New Roman" w:cs="Times New Roman"/>
                <w:color w:val="0000FF"/>
              </w:rPr>
            </w:pPr>
            <w:r w:rsidRPr="001B4B1B">
              <w:rPr>
                <w:rFonts w:eastAsia="Times New Roman" w:cs="Times New Roman"/>
                <w:color w:val="0000FF"/>
              </w:rPr>
              <w:t>x</w:t>
            </w:r>
          </w:p>
        </w:tc>
        <w:tc>
          <w:tcPr>
            <w:tcW w:w="1111" w:type="dxa"/>
            <w:shd w:val="clear" w:color="auto" w:fill="F2F2F2" w:themeFill="background1" w:themeFillShade="F2"/>
            <w:noWrap/>
            <w:vAlign w:val="center"/>
            <w:hideMark/>
          </w:tcPr>
          <w:p w14:paraId="0DA17D5C" w14:textId="77777777" w:rsidR="00850EFF" w:rsidRPr="001B4B1B" w:rsidRDefault="00850EFF" w:rsidP="00AD4168">
            <w:pPr>
              <w:spacing w:after="0" w:line="240" w:lineRule="auto"/>
              <w:jc w:val="center"/>
              <w:rPr>
                <w:rFonts w:eastAsia="Times New Roman" w:cs="Times New Roman"/>
                <w:color w:val="0000FF"/>
              </w:rPr>
            </w:pPr>
            <w:r w:rsidRPr="001B4B1B">
              <w:rPr>
                <w:rFonts w:eastAsia="Times New Roman" w:cs="Times New Roman"/>
                <w:color w:val="0000FF"/>
              </w:rPr>
              <w:t>x</w:t>
            </w:r>
          </w:p>
        </w:tc>
        <w:tc>
          <w:tcPr>
            <w:tcW w:w="1313" w:type="dxa"/>
            <w:shd w:val="clear" w:color="auto" w:fill="F2F2F2" w:themeFill="background1" w:themeFillShade="F2"/>
            <w:noWrap/>
            <w:vAlign w:val="center"/>
            <w:hideMark/>
          </w:tcPr>
          <w:p w14:paraId="0752F0EA" w14:textId="77777777" w:rsidR="00850EFF" w:rsidRPr="001B4B1B" w:rsidRDefault="00850EFF" w:rsidP="00AD4168">
            <w:pPr>
              <w:spacing w:after="0" w:line="240" w:lineRule="auto"/>
              <w:jc w:val="center"/>
              <w:rPr>
                <w:rFonts w:eastAsia="Times New Roman" w:cs="Times New Roman"/>
                <w:color w:val="0000FF"/>
              </w:rPr>
            </w:pPr>
            <w:r w:rsidRPr="001B4B1B">
              <w:rPr>
                <w:rFonts w:eastAsia="Times New Roman" w:cs="Times New Roman"/>
                <w:color w:val="0000FF"/>
              </w:rPr>
              <w:t>x</w:t>
            </w:r>
          </w:p>
        </w:tc>
      </w:tr>
      <w:tr w:rsidR="00850EFF" w:rsidRPr="001B4B1B" w14:paraId="7AE90412" w14:textId="77777777" w:rsidTr="00850EFF">
        <w:trPr>
          <w:trHeight w:val="300"/>
        </w:trPr>
        <w:tc>
          <w:tcPr>
            <w:tcW w:w="2075" w:type="dxa"/>
            <w:shd w:val="clear" w:color="auto" w:fill="auto"/>
            <w:vAlign w:val="bottom"/>
            <w:hideMark/>
          </w:tcPr>
          <w:p w14:paraId="20AEAA64" w14:textId="77777777" w:rsidR="00850EFF" w:rsidRPr="001B4B1B" w:rsidRDefault="00850EFF" w:rsidP="00AD4168">
            <w:pPr>
              <w:spacing w:after="0" w:line="240" w:lineRule="auto"/>
              <w:rPr>
                <w:rFonts w:eastAsia="Times New Roman" w:cs="Times New Roman"/>
                <w:color w:val="0000FF"/>
              </w:rPr>
            </w:pPr>
            <w:r w:rsidRPr="001B4B1B">
              <w:rPr>
                <w:rFonts w:eastAsia="Times New Roman" w:cs="Times New Roman"/>
                <w:color w:val="0000FF"/>
              </w:rPr>
              <w:t>Dressing</w:t>
            </w:r>
          </w:p>
        </w:tc>
        <w:tc>
          <w:tcPr>
            <w:tcW w:w="1530" w:type="dxa"/>
            <w:shd w:val="clear" w:color="auto" w:fill="auto"/>
            <w:noWrap/>
            <w:vAlign w:val="center"/>
          </w:tcPr>
          <w:p w14:paraId="67CB76E6" w14:textId="77777777" w:rsidR="00850EFF" w:rsidRPr="001B4B1B" w:rsidRDefault="00850EFF" w:rsidP="00AD4168">
            <w:pPr>
              <w:spacing w:after="0" w:line="240" w:lineRule="auto"/>
              <w:jc w:val="center"/>
              <w:rPr>
                <w:rFonts w:eastAsia="Times New Roman" w:cs="Times New Roman"/>
                <w:color w:val="0000FF"/>
              </w:rPr>
            </w:pPr>
          </w:p>
        </w:tc>
        <w:tc>
          <w:tcPr>
            <w:tcW w:w="990" w:type="dxa"/>
            <w:shd w:val="clear" w:color="auto" w:fill="auto"/>
            <w:noWrap/>
            <w:vAlign w:val="center"/>
            <w:hideMark/>
          </w:tcPr>
          <w:p w14:paraId="40FC1E2E" w14:textId="77777777" w:rsidR="00850EFF" w:rsidRPr="001B4B1B" w:rsidRDefault="00850EFF" w:rsidP="00AD4168">
            <w:pPr>
              <w:spacing w:after="0" w:line="240" w:lineRule="auto"/>
              <w:jc w:val="center"/>
              <w:rPr>
                <w:rFonts w:eastAsia="Times New Roman" w:cs="Times New Roman"/>
                <w:color w:val="0000FF"/>
              </w:rPr>
            </w:pPr>
            <w:r w:rsidRPr="001B4B1B">
              <w:rPr>
                <w:rFonts w:eastAsia="Times New Roman" w:cs="Times New Roman"/>
                <w:color w:val="0000FF"/>
              </w:rPr>
              <w:t>x</w:t>
            </w:r>
          </w:p>
        </w:tc>
        <w:tc>
          <w:tcPr>
            <w:tcW w:w="1233" w:type="dxa"/>
            <w:shd w:val="clear" w:color="auto" w:fill="auto"/>
            <w:noWrap/>
            <w:vAlign w:val="center"/>
            <w:hideMark/>
          </w:tcPr>
          <w:p w14:paraId="231EB26A" w14:textId="77777777" w:rsidR="00850EFF" w:rsidRPr="001B4B1B" w:rsidRDefault="00850EFF" w:rsidP="00AD4168">
            <w:pPr>
              <w:spacing w:after="0" w:line="240" w:lineRule="auto"/>
              <w:jc w:val="center"/>
              <w:rPr>
                <w:rFonts w:eastAsia="Times New Roman" w:cs="Times New Roman"/>
                <w:color w:val="0000FF"/>
              </w:rPr>
            </w:pPr>
          </w:p>
        </w:tc>
        <w:tc>
          <w:tcPr>
            <w:tcW w:w="829" w:type="dxa"/>
            <w:shd w:val="clear" w:color="auto" w:fill="auto"/>
            <w:noWrap/>
            <w:vAlign w:val="center"/>
            <w:hideMark/>
          </w:tcPr>
          <w:p w14:paraId="6BAF4EF8" w14:textId="77777777" w:rsidR="00850EFF" w:rsidRPr="001B4B1B" w:rsidRDefault="00850EFF" w:rsidP="00AD4168">
            <w:pPr>
              <w:spacing w:after="0" w:line="240" w:lineRule="auto"/>
              <w:jc w:val="center"/>
              <w:rPr>
                <w:rFonts w:eastAsia="Times New Roman" w:cs="Times New Roman"/>
                <w:color w:val="0000FF"/>
              </w:rPr>
            </w:pPr>
            <w:r w:rsidRPr="001B4B1B">
              <w:rPr>
                <w:rFonts w:eastAsia="Times New Roman" w:cs="Times New Roman"/>
                <w:color w:val="0000FF"/>
              </w:rPr>
              <w:t>x</w:t>
            </w:r>
          </w:p>
        </w:tc>
        <w:tc>
          <w:tcPr>
            <w:tcW w:w="1111" w:type="dxa"/>
            <w:shd w:val="clear" w:color="auto" w:fill="auto"/>
            <w:noWrap/>
            <w:vAlign w:val="center"/>
            <w:hideMark/>
          </w:tcPr>
          <w:p w14:paraId="3F755E5B" w14:textId="77777777" w:rsidR="00850EFF" w:rsidRPr="001B4B1B" w:rsidRDefault="00850EFF" w:rsidP="00AD4168">
            <w:pPr>
              <w:spacing w:after="0" w:line="240" w:lineRule="auto"/>
              <w:jc w:val="center"/>
              <w:rPr>
                <w:rFonts w:eastAsia="Times New Roman" w:cs="Times New Roman"/>
                <w:color w:val="0000FF"/>
              </w:rPr>
            </w:pPr>
            <w:r w:rsidRPr="001B4B1B">
              <w:rPr>
                <w:rFonts w:eastAsia="Times New Roman" w:cs="Times New Roman"/>
                <w:color w:val="0000FF"/>
              </w:rPr>
              <w:t>x</w:t>
            </w:r>
          </w:p>
        </w:tc>
        <w:tc>
          <w:tcPr>
            <w:tcW w:w="1313" w:type="dxa"/>
            <w:shd w:val="clear" w:color="auto" w:fill="auto"/>
            <w:noWrap/>
            <w:vAlign w:val="center"/>
            <w:hideMark/>
          </w:tcPr>
          <w:p w14:paraId="14B18FDE" w14:textId="77777777" w:rsidR="00850EFF" w:rsidRPr="001B4B1B" w:rsidRDefault="00850EFF" w:rsidP="00AD4168">
            <w:pPr>
              <w:spacing w:after="0" w:line="240" w:lineRule="auto"/>
              <w:jc w:val="center"/>
              <w:rPr>
                <w:rFonts w:eastAsia="Times New Roman" w:cs="Times New Roman"/>
                <w:color w:val="0000FF"/>
              </w:rPr>
            </w:pPr>
          </w:p>
        </w:tc>
      </w:tr>
      <w:tr w:rsidR="00850EFF" w:rsidRPr="001B4B1B" w14:paraId="7FCCCA9B" w14:textId="77777777" w:rsidTr="00850EFF">
        <w:trPr>
          <w:trHeight w:val="300"/>
        </w:trPr>
        <w:tc>
          <w:tcPr>
            <w:tcW w:w="2075" w:type="dxa"/>
            <w:shd w:val="clear" w:color="auto" w:fill="F2F2F2" w:themeFill="background1" w:themeFillShade="F2"/>
            <w:vAlign w:val="bottom"/>
            <w:hideMark/>
          </w:tcPr>
          <w:p w14:paraId="584E313B" w14:textId="68AFD4DA" w:rsidR="00850EFF" w:rsidRPr="001B4B1B" w:rsidRDefault="00850EFF" w:rsidP="008816CF">
            <w:pPr>
              <w:spacing w:after="0" w:line="240" w:lineRule="auto"/>
              <w:rPr>
                <w:rFonts w:eastAsia="Times New Roman" w:cs="Times New Roman"/>
                <w:color w:val="0000FF"/>
              </w:rPr>
            </w:pPr>
            <w:r w:rsidRPr="001B4B1B">
              <w:rPr>
                <w:rFonts w:eastAsia="Times New Roman" w:cs="Times New Roman"/>
                <w:color w:val="0000FF"/>
              </w:rPr>
              <w:t>Dress</w:t>
            </w:r>
            <w:r>
              <w:rPr>
                <w:rFonts w:eastAsia="Times New Roman" w:cs="Times New Roman"/>
                <w:color w:val="0000FF"/>
              </w:rPr>
              <w:t>ing</w:t>
            </w:r>
            <w:r w:rsidRPr="001B4B1B">
              <w:rPr>
                <w:rFonts w:eastAsia="Times New Roman" w:cs="Times New Roman"/>
                <w:color w:val="0000FF"/>
              </w:rPr>
              <w:t xml:space="preserve"> lower </w:t>
            </w:r>
            <w:r>
              <w:rPr>
                <w:rFonts w:eastAsia="Times New Roman" w:cs="Times New Roman"/>
                <w:color w:val="0000FF"/>
              </w:rPr>
              <w:t>b</w:t>
            </w:r>
            <w:r w:rsidRPr="001B4B1B">
              <w:rPr>
                <w:rFonts w:eastAsia="Times New Roman" w:cs="Times New Roman"/>
                <w:color w:val="0000FF"/>
              </w:rPr>
              <w:t>ody</w:t>
            </w:r>
          </w:p>
        </w:tc>
        <w:tc>
          <w:tcPr>
            <w:tcW w:w="1530" w:type="dxa"/>
            <w:shd w:val="clear" w:color="auto" w:fill="F2F2F2" w:themeFill="background1" w:themeFillShade="F2"/>
            <w:noWrap/>
            <w:vAlign w:val="center"/>
            <w:hideMark/>
          </w:tcPr>
          <w:p w14:paraId="4AC386AA" w14:textId="77777777" w:rsidR="00850EFF" w:rsidRPr="001B4B1B" w:rsidRDefault="00850EFF" w:rsidP="00AD4168">
            <w:pPr>
              <w:spacing w:after="0" w:line="240" w:lineRule="auto"/>
              <w:jc w:val="center"/>
              <w:rPr>
                <w:rFonts w:eastAsia="Times New Roman" w:cs="Times New Roman"/>
                <w:color w:val="0000FF"/>
              </w:rPr>
            </w:pPr>
            <w:r w:rsidRPr="001B4B1B">
              <w:rPr>
                <w:rFonts w:eastAsia="Times New Roman" w:cs="Times New Roman"/>
                <w:color w:val="0000FF"/>
              </w:rPr>
              <w:t>x</w:t>
            </w:r>
          </w:p>
        </w:tc>
        <w:tc>
          <w:tcPr>
            <w:tcW w:w="990" w:type="dxa"/>
            <w:shd w:val="clear" w:color="auto" w:fill="F2F2F2" w:themeFill="background1" w:themeFillShade="F2"/>
            <w:noWrap/>
            <w:vAlign w:val="center"/>
            <w:hideMark/>
          </w:tcPr>
          <w:p w14:paraId="3094B397" w14:textId="77777777" w:rsidR="00850EFF" w:rsidRPr="001B4B1B" w:rsidRDefault="00850EFF" w:rsidP="00AD4168">
            <w:pPr>
              <w:spacing w:after="0" w:line="240" w:lineRule="auto"/>
              <w:jc w:val="center"/>
              <w:rPr>
                <w:rFonts w:eastAsia="Times New Roman" w:cs="Times New Roman"/>
                <w:color w:val="0000FF"/>
              </w:rPr>
            </w:pPr>
          </w:p>
        </w:tc>
        <w:tc>
          <w:tcPr>
            <w:tcW w:w="1233" w:type="dxa"/>
            <w:shd w:val="clear" w:color="auto" w:fill="F2F2F2" w:themeFill="background1" w:themeFillShade="F2"/>
            <w:noWrap/>
            <w:vAlign w:val="center"/>
            <w:hideMark/>
          </w:tcPr>
          <w:p w14:paraId="53BA79AD" w14:textId="77777777" w:rsidR="00850EFF" w:rsidRPr="001B4B1B" w:rsidRDefault="00850EFF" w:rsidP="00AD4168">
            <w:pPr>
              <w:spacing w:after="0" w:line="240" w:lineRule="auto"/>
              <w:jc w:val="center"/>
              <w:rPr>
                <w:rFonts w:eastAsia="Times New Roman" w:cs="Times New Roman"/>
                <w:color w:val="0000FF"/>
              </w:rPr>
            </w:pPr>
            <w:r w:rsidRPr="001B4B1B">
              <w:rPr>
                <w:rFonts w:eastAsia="Times New Roman" w:cs="Times New Roman"/>
                <w:color w:val="0000FF"/>
              </w:rPr>
              <w:t>x</w:t>
            </w:r>
          </w:p>
        </w:tc>
        <w:tc>
          <w:tcPr>
            <w:tcW w:w="829" w:type="dxa"/>
            <w:shd w:val="clear" w:color="auto" w:fill="F2F2F2" w:themeFill="background1" w:themeFillShade="F2"/>
            <w:noWrap/>
            <w:vAlign w:val="center"/>
            <w:hideMark/>
          </w:tcPr>
          <w:p w14:paraId="33DAC92D" w14:textId="77777777" w:rsidR="00850EFF" w:rsidRPr="001B4B1B" w:rsidRDefault="00850EFF" w:rsidP="00AD4168">
            <w:pPr>
              <w:spacing w:after="0" w:line="240" w:lineRule="auto"/>
              <w:jc w:val="center"/>
              <w:rPr>
                <w:rFonts w:eastAsia="Times New Roman" w:cs="Times New Roman"/>
                <w:color w:val="0000FF"/>
              </w:rPr>
            </w:pPr>
          </w:p>
        </w:tc>
        <w:tc>
          <w:tcPr>
            <w:tcW w:w="1111" w:type="dxa"/>
            <w:shd w:val="clear" w:color="auto" w:fill="F2F2F2" w:themeFill="background1" w:themeFillShade="F2"/>
            <w:noWrap/>
            <w:vAlign w:val="center"/>
            <w:hideMark/>
          </w:tcPr>
          <w:p w14:paraId="6B648954" w14:textId="77777777" w:rsidR="00850EFF" w:rsidRPr="001B4B1B" w:rsidRDefault="00850EFF" w:rsidP="00AD4168">
            <w:pPr>
              <w:spacing w:after="0" w:line="240" w:lineRule="auto"/>
              <w:jc w:val="center"/>
              <w:rPr>
                <w:rFonts w:eastAsia="Times New Roman" w:cs="Times New Roman"/>
                <w:color w:val="0000FF"/>
              </w:rPr>
            </w:pPr>
          </w:p>
        </w:tc>
        <w:tc>
          <w:tcPr>
            <w:tcW w:w="1313" w:type="dxa"/>
            <w:shd w:val="clear" w:color="auto" w:fill="F2F2F2" w:themeFill="background1" w:themeFillShade="F2"/>
            <w:noWrap/>
            <w:vAlign w:val="center"/>
            <w:hideMark/>
          </w:tcPr>
          <w:p w14:paraId="0AF54E62" w14:textId="77777777" w:rsidR="00850EFF" w:rsidRPr="001B4B1B" w:rsidRDefault="00850EFF" w:rsidP="00AD4168">
            <w:pPr>
              <w:spacing w:after="0" w:line="240" w:lineRule="auto"/>
              <w:jc w:val="center"/>
              <w:rPr>
                <w:rFonts w:eastAsia="Times New Roman" w:cs="Times New Roman"/>
                <w:color w:val="0000FF"/>
              </w:rPr>
            </w:pPr>
            <w:r w:rsidRPr="001B4B1B">
              <w:rPr>
                <w:rFonts w:eastAsia="Times New Roman" w:cs="Times New Roman"/>
                <w:color w:val="0000FF"/>
              </w:rPr>
              <w:t>x</w:t>
            </w:r>
          </w:p>
        </w:tc>
      </w:tr>
      <w:tr w:rsidR="00850EFF" w:rsidRPr="001B4B1B" w14:paraId="20D7C73C" w14:textId="77777777" w:rsidTr="00850EFF">
        <w:trPr>
          <w:trHeight w:val="300"/>
        </w:trPr>
        <w:tc>
          <w:tcPr>
            <w:tcW w:w="2075" w:type="dxa"/>
            <w:shd w:val="clear" w:color="auto" w:fill="auto"/>
            <w:vAlign w:val="bottom"/>
            <w:hideMark/>
          </w:tcPr>
          <w:p w14:paraId="6E85A7AC" w14:textId="77777777" w:rsidR="00850EFF" w:rsidRPr="001B4B1B" w:rsidRDefault="00850EFF" w:rsidP="00AD4168">
            <w:pPr>
              <w:spacing w:after="0" w:line="240" w:lineRule="auto"/>
              <w:rPr>
                <w:rFonts w:eastAsia="Times New Roman" w:cs="Times New Roman"/>
                <w:color w:val="0000FF"/>
              </w:rPr>
            </w:pPr>
            <w:r w:rsidRPr="001B4B1B">
              <w:rPr>
                <w:rFonts w:eastAsia="Times New Roman" w:cs="Times New Roman"/>
                <w:color w:val="0000FF"/>
              </w:rPr>
              <w:t>Dress</w:t>
            </w:r>
            <w:r>
              <w:rPr>
                <w:rFonts w:eastAsia="Times New Roman" w:cs="Times New Roman"/>
                <w:color w:val="0000FF"/>
              </w:rPr>
              <w:t>ing</w:t>
            </w:r>
            <w:r w:rsidRPr="001B4B1B">
              <w:rPr>
                <w:rFonts w:eastAsia="Times New Roman" w:cs="Times New Roman"/>
                <w:color w:val="0000FF"/>
              </w:rPr>
              <w:t xml:space="preserve"> upper body</w:t>
            </w:r>
          </w:p>
        </w:tc>
        <w:tc>
          <w:tcPr>
            <w:tcW w:w="1530" w:type="dxa"/>
            <w:shd w:val="clear" w:color="auto" w:fill="auto"/>
            <w:noWrap/>
            <w:vAlign w:val="center"/>
            <w:hideMark/>
          </w:tcPr>
          <w:p w14:paraId="187E6BFF" w14:textId="77777777" w:rsidR="00850EFF" w:rsidRPr="001B4B1B" w:rsidRDefault="00850EFF" w:rsidP="00AD4168">
            <w:pPr>
              <w:spacing w:after="0" w:line="240" w:lineRule="auto"/>
              <w:jc w:val="center"/>
              <w:rPr>
                <w:rFonts w:eastAsia="Times New Roman" w:cs="Times New Roman"/>
                <w:color w:val="0000FF"/>
              </w:rPr>
            </w:pPr>
            <w:r w:rsidRPr="001B4B1B">
              <w:rPr>
                <w:rFonts w:eastAsia="Times New Roman" w:cs="Times New Roman"/>
                <w:color w:val="0000FF"/>
              </w:rPr>
              <w:t>x</w:t>
            </w:r>
          </w:p>
        </w:tc>
        <w:tc>
          <w:tcPr>
            <w:tcW w:w="990" w:type="dxa"/>
            <w:shd w:val="clear" w:color="auto" w:fill="auto"/>
            <w:noWrap/>
            <w:vAlign w:val="center"/>
            <w:hideMark/>
          </w:tcPr>
          <w:p w14:paraId="7076303D" w14:textId="77777777" w:rsidR="00850EFF" w:rsidRPr="001B4B1B" w:rsidRDefault="00850EFF" w:rsidP="00AD4168">
            <w:pPr>
              <w:spacing w:after="0" w:line="240" w:lineRule="auto"/>
              <w:jc w:val="center"/>
              <w:rPr>
                <w:rFonts w:eastAsia="Times New Roman" w:cs="Times New Roman"/>
                <w:color w:val="0000FF"/>
              </w:rPr>
            </w:pPr>
          </w:p>
        </w:tc>
        <w:tc>
          <w:tcPr>
            <w:tcW w:w="1233" w:type="dxa"/>
            <w:shd w:val="clear" w:color="auto" w:fill="auto"/>
            <w:noWrap/>
            <w:vAlign w:val="center"/>
            <w:hideMark/>
          </w:tcPr>
          <w:p w14:paraId="01258E86" w14:textId="77777777" w:rsidR="00850EFF" w:rsidRPr="001B4B1B" w:rsidRDefault="00850EFF" w:rsidP="00AD4168">
            <w:pPr>
              <w:spacing w:after="0" w:line="240" w:lineRule="auto"/>
              <w:jc w:val="center"/>
              <w:rPr>
                <w:rFonts w:eastAsia="Times New Roman" w:cs="Times New Roman"/>
                <w:color w:val="0000FF"/>
              </w:rPr>
            </w:pPr>
            <w:r w:rsidRPr="001B4B1B">
              <w:rPr>
                <w:rFonts w:eastAsia="Times New Roman" w:cs="Times New Roman"/>
                <w:color w:val="0000FF"/>
              </w:rPr>
              <w:t>x</w:t>
            </w:r>
          </w:p>
        </w:tc>
        <w:tc>
          <w:tcPr>
            <w:tcW w:w="829" w:type="dxa"/>
            <w:shd w:val="clear" w:color="auto" w:fill="auto"/>
            <w:noWrap/>
            <w:vAlign w:val="center"/>
            <w:hideMark/>
          </w:tcPr>
          <w:p w14:paraId="18D94F9F" w14:textId="77777777" w:rsidR="00850EFF" w:rsidRPr="001B4B1B" w:rsidRDefault="00850EFF" w:rsidP="00AD4168">
            <w:pPr>
              <w:spacing w:after="0" w:line="240" w:lineRule="auto"/>
              <w:jc w:val="center"/>
              <w:rPr>
                <w:rFonts w:eastAsia="Times New Roman" w:cs="Times New Roman"/>
                <w:color w:val="0000FF"/>
              </w:rPr>
            </w:pPr>
          </w:p>
        </w:tc>
        <w:tc>
          <w:tcPr>
            <w:tcW w:w="1111" w:type="dxa"/>
            <w:shd w:val="clear" w:color="auto" w:fill="auto"/>
            <w:noWrap/>
            <w:vAlign w:val="center"/>
            <w:hideMark/>
          </w:tcPr>
          <w:p w14:paraId="63D04F4B" w14:textId="77777777" w:rsidR="00850EFF" w:rsidRPr="001B4B1B" w:rsidRDefault="00850EFF" w:rsidP="00AD4168">
            <w:pPr>
              <w:spacing w:after="0" w:line="240" w:lineRule="auto"/>
              <w:jc w:val="center"/>
              <w:rPr>
                <w:rFonts w:eastAsia="Times New Roman" w:cs="Times New Roman"/>
                <w:color w:val="0000FF"/>
              </w:rPr>
            </w:pPr>
          </w:p>
        </w:tc>
        <w:tc>
          <w:tcPr>
            <w:tcW w:w="1313" w:type="dxa"/>
            <w:shd w:val="clear" w:color="auto" w:fill="auto"/>
            <w:noWrap/>
            <w:vAlign w:val="center"/>
            <w:hideMark/>
          </w:tcPr>
          <w:p w14:paraId="497ECEFE" w14:textId="77777777" w:rsidR="00850EFF" w:rsidRPr="001B4B1B" w:rsidRDefault="00850EFF" w:rsidP="00AD4168">
            <w:pPr>
              <w:spacing w:after="0" w:line="240" w:lineRule="auto"/>
              <w:jc w:val="center"/>
              <w:rPr>
                <w:rFonts w:eastAsia="Times New Roman" w:cs="Times New Roman"/>
                <w:color w:val="0000FF"/>
              </w:rPr>
            </w:pPr>
            <w:r w:rsidRPr="001B4B1B">
              <w:rPr>
                <w:rFonts w:eastAsia="Times New Roman" w:cs="Times New Roman"/>
                <w:color w:val="0000FF"/>
              </w:rPr>
              <w:t>x</w:t>
            </w:r>
          </w:p>
        </w:tc>
      </w:tr>
      <w:tr w:rsidR="00850EFF" w:rsidRPr="001B4B1B" w14:paraId="6F648C33" w14:textId="77777777" w:rsidTr="00850EFF">
        <w:trPr>
          <w:trHeight w:val="300"/>
        </w:trPr>
        <w:tc>
          <w:tcPr>
            <w:tcW w:w="2075" w:type="dxa"/>
            <w:tcBorders>
              <w:bottom w:val="single" w:sz="4" w:space="0" w:color="auto"/>
            </w:tcBorders>
            <w:shd w:val="clear" w:color="auto" w:fill="F2F2F2" w:themeFill="background1" w:themeFillShade="F2"/>
            <w:vAlign w:val="bottom"/>
          </w:tcPr>
          <w:p w14:paraId="1102FDED" w14:textId="77777777" w:rsidR="00850EFF" w:rsidRPr="001B4B1B" w:rsidRDefault="00850EFF" w:rsidP="00AD4168">
            <w:pPr>
              <w:spacing w:after="0" w:line="240" w:lineRule="auto"/>
              <w:rPr>
                <w:rFonts w:eastAsia="Times New Roman" w:cs="Times New Roman"/>
                <w:color w:val="0000FF"/>
              </w:rPr>
            </w:pPr>
            <w:r>
              <w:rPr>
                <w:rFonts w:eastAsia="Times New Roman" w:cs="Times New Roman"/>
                <w:color w:val="0000FF"/>
              </w:rPr>
              <w:t>Dressing: Footwear</w:t>
            </w:r>
          </w:p>
        </w:tc>
        <w:tc>
          <w:tcPr>
            <w:tcW w:w="1530" w:type="dxa"/>
            <w:tcBorders>
              <w:bottom w:val="single" w:sz="4" w:space="0" w:color="auto"/>
            </w:tcBorders>
            <w:shd w:val="clear" w:color="auto" w:fill="F2F2F2" w:themeFill="background1" w:themeFillShade="F2"/>
            <w:noWrap/>
            <w:vAlign w:val="center"/>
          </w:tcPr>
          <w:p w14:paraId="3AD41842" w14:textId="77777777" w:rsidR="00850EFF" w:rsidRPr="001B4B1B" w:rsidRDefault="00850EFF" w:rsidP="00AD4168">
            <w:pPr>
              <w:spacing w:after="0" w:line="240" w:lineRule="auto"/>
              <w:jc w:val="center"/>
              <w:rPr>
                <w:rFonts w:eastAsia="Times New Roman" w:cs="Times New Roman"/>
                <w:color w:val="0000FF"/>
              </w:rPr>
            </w:pPr>
            <w:r>
              <w:rPr>
                <w:rFonts w:eastAsia="Times New Roman" w:cs="Times New Roman"/>
                <w:color w:val="0000FF"/>
              </w:rPr>
              <w:t>x</w:t>
            </w:r>
          </w:p>
        </w:tc>
        <w:tc>
          <w:tcPr>
            <w:tcW w:w="990" w:type="dxa"/>
            <w:tcBorders>
              <w:bottom w:val="single" w:sz="4" w:space="0" w:color="auto"/>
            </w:tcBorders>
            <w:shd w:val="clear" w:color="auto" w:fill="F2F2F2" w:themeFill="background1" w:themeFillShade="F2"/>
            <w:noWrap/>
            <w:vAlign w:val="center"/>
          </w:tcPr>
          <w:p w14:paraId="7E93BD6D" w14:textId="77777777" w:rsidR="00850EFF" w:rsidRPr="001B4B1B" w:rsidRDefault="00850EFF" w:rsidP="00AD4168">
            <w:pPr>
              <w:spacing w:after="0" w:line="240" w:lineRule="auto"/>
              <w:jc w:val="center"/>
              <w:rPr>
                <w:rFonts w:eastAsia="Times New Roman" w:cs="Times New Roman"/>
                <w:color w:val="0000FF"/>
              </w:rPr>
            </w:pPr>
          </w:p>
        </w:tc>
        <w:tc>
          <w:tcPr>
            <w:tcW w:w="1233" w:type="dxa"/>
            <w:tcBorders>
              <w:bottom w:val="single" w:sz="4" w:space="0" w:color="auto"/>
            </w:tcBorders>
            <w:shd w:val="clear" w:color="auto" w:fill="F2F2F2" w:themeFill="background1" w:themeFillShade="F2"/>
            <w:noWrap/>
            <w:vAlign w:val="center"/>
          </w:tcPr>
          <w:p w14:paraId="04D6EFF8" w14:textId="77777777" w:rsidR="00850EFF" w:rsidRPr="001B4B1B" w:rsidRDefault="00850EFF" w:rsidP="00AD4168">
            <w:pPr>
              <w:spacing w:after="0" w:line="240" w:lineRule="auto"/>
              <w:jc w:val="center"/>
              <w:rPr>
                <w:rFonts w:eastAsia="Times New Roman" w:cs="Times New Roman"/>
                <w:color w:val="0000FF"/>
              </w:rPr>
            </w:pPr>
          </w:p>
        </w:tc>
        <w:tc>
          <w:tcPr>
            <w:tcW w:w="829" w:type="dxa"/>
            <w:tcBorders>
              <w:bottom w:val="single" w:sz="4" w:space="0" w:color="auto"/>
            </w:tcBorders>
            <w:shd w:val="clear" w:color="auto" w:fill="F2F2F2" w:themeFill="background1" w:themeFillShade="F2"/>
            <w:noWrap/>
            <w:vAlign w:val="center"/>
          </w:tcPr>
          <w:p w14:paraId="44C0A9D3" w14:textId="77777777" w:rsidR="00850EFF" w:rsidRPr="001B4B1B" w:rsidRDefault="00850EFF" w:rsidP="00AD4168">
            <w:pPr>
              <w:spacing w:after="0" w:line="240" w:lineRule="auto"/>
              <w:jc w:val="center"/>
              <w:rPr>
                <w:rFonts w:eastAsia="Times New Roman" w:cs="Times New Roman"/>
                <w:color w:val="0000FF"/>
              </w:rPr>
            </w:pPr>
          </w:p>
        </w:tc>
        <w:tc>
          <w:tcPr>
            <w:tcW w:w="1111" w:type="dxa"/>
            <w:tcBorders>
              <w:bottom w:val="single" w:sz="4" w:space="0" w:color="auto"/>
            </w:tcBorders>
            <w:shd w:val="clear" w:color="auto" w:fill="F2F2F2" w:themeFill="background1" w:themeFillShade="F2"/>
            <w:noWrap/>
            <w:vAlign w:val="center"/>
          </w:tcPr>
          <w:p w14:paraId="2E3FEE5A" w14:textId="77777777" w:rsidR="00850EFF" w:rsidRPr="001B4B1B" w:rsidRDefault="00850EFF" w:rsidP="00AD4168">
            <w:pPr>
              <w:spacing w:after="0" w:line="240" w:lineRule="auto"/>
              <w:jc w:val="center"/>
              <w:rPr>
                <w:rFonts w:eastAsia="Times New Roman" w:cs="Times New Roman"/>
                <w:color w:val="0000FF"/>
              </w:rPr>
            </w:pPr>
          </w:p>
        </w:tc>
        <w:tc>
          <w:tcPr>
            <w:tcW w:w="1313" w:type="dxa"/>
            <w:tcBorders>
              <w:bottom w:val="single" w:sz="4" w:space="0" w:color="auto"/>
            </w:tcBorders>
            <w:shd w:val="clear" w:color="auto" w:fill="F2F2F2" w:themeFill="background1" w:themeFillShade="F2"/>
            <w:noWrap/>
            <w:vAlign w:val="center"/>
          </w:tcPr>
          <w:p w14:paraId="65A7BF58" w14:textId="77777777" w:rsidR="00850EFF" w:rsidRPr="001B4B1B" w:rsidRDefault="00850EFF" w:rsidP="00AD4168">
            <w:pPr>
              <w:spacing w:after="0" w:line="240" w:lineRule="auto"/>
              <w:jc w:val="center"/>
              <w:rPr>
                <w:rFonts w:eastAsia="Times New Roman" w:cs="Times New Roman"/>
                <w:color w:val="0000FF"/>
              </w:rPr>
            </w:pPr>
          </w:p>
        </w:tc>
      </w:tr>
    </w:tbl>
    <w:p w14:paraId="7F637CAE" w14:textId="77777777" w:rsidR="00B11E91" w:rsidRDefault="00B11E91" w:rsidP="00B11E91">
      <w:pPr>
        <w:pStyle w:val="ListParagraph"/>
        <w:spacing w:after="0"/>
        <w:ind w:left="0"/>
        <w:rPr>
          <w:i/>
          <w:iCs/>
          <w:color w:val="0000FF"/>
        </w:rPr>
      </w:pPr>
    </w:p>
    <w:p w14:paraId="26B31EAA" w14:textId="77777777" w:rsidR="00B11E91" w:rsidRPr="001B4B1B" w:rsidRDefault="00B11E91" w:rsidP="00B11E91">
      <w:pPr>
        <w:autoSpaceDE w:val="0"/>
        <w:autoSpaceDN w:val="0"/>
        <w:adjustRightInd w:val="0"/>
        <w:spacing w:after="0" w:line="240" w:lineRule="auto"/>
        <w:rPr>
          <w:rFonts w:ascii="Calibri" w:eastAsia="Calibri" w:hAnsi="Calibri" w:cs="Times New Roman"/>
          <w:b/>
          <w:color w:val="0000FF"/>
        </w:rPr>
      </w:pPr>
      <w:r w:rsidRPr="001B4B1B">
        <w:rPr>
          <w:rFonts w:ascii="Calibri" w:eastAsia="Calibri" w:hAnsi="Calibri" w:cs="Times New Roman"/>
          <w:b/>
          <w:color w:val="0000FF"/>
        </w:rPr>
        <w:t>Construct Validity: Item Difficulty Ordering (Rasch Analysis)</w:t>
      </w:r>
    </w:p>
    <w:p w14:paraId="40AC388C" w14:textId="77777777" w:rsidR="00B11E91" w:rsidRPr="001B4B1B" w:rsidRDefault="00B11E91" w:rsidP="00B11E91">
      <w:pPr>
        <w:pStyle w:val="BodyText1"/>
        <w:spacing w:after="0"/>
        <w:ind w:firstLine="0"/>
        <w:rPr>
          <w:rFonts w:ascii="Calibri" w:eastAsia="Calibri" w:hAnsi="Calibri"/>
          <w:b/>
          <w:color w:val="0000FF"/>
          <w:sz w:val="22"/>
        </w:rPr>
      </w:pPr>
    </w:p>
    <w:p w14:paraId="2A023611" w14:textId="16E99747" w:rsidR="00B11E91" w:rsidRPr="001B4B1B" w:rsidRDefault="00B11E91" w:rsidP="00CC7AB5">
      <w:pPr>
        <w:pStyle w:val="BodyText1"/>
        <w:spacing w:after="0"/>
        <w:ind w:firstLine="0"/>
        <w:rPr>
          <w:rFonts w:ascii="Calibri" w:eastAsia="Calibri" w:hAnsi="Calibri"/>
          <w:color w:val="0000FF"/>
          <w:sz w:val="22"/>
        </w:rPr>
      </w:pPr>
      <w:r w:rsidRPr="001B4B1B">
        <w:rPr>
          <w:rFonts w:ascii="Calibri" w:eastAsia="Calibri" w:hAnsi="Calibri"/>
          <w:color w:val="0000FF"/>
          <w:sz w:val="22"/>
        </w:rPr>
        <w:t xml:space="preserve">The overall expected </w:t>
      </w:r>
      <w:r w:rsidR="00F4127B">
        <w:rPr>
          <w:rFonts w:ascii="Calibri" w:eastAsia="Calibri" w:hAnsi="Calibri"/>
          <w:color w:val="0000FF"/>
          <w:sz w:val="22"/>
        </w:rPr>
        <w:t>score</w:t>
      </w:r>
      <w:r w:rsidRPr="001B4B1B">
        <w:rPr>
          <w:rFonts w:ascii="Calibri" w:eastAsia="Calibri" w:hAnsi="Calibri"/>
          <w:color w:val="0000FF"/>
          <w:sz w:val="22"/>
        </w:rPr>
        <w:t xml:space="preserve"> placement </w:t>
      </w:r>
      <w:r w:rsidR="00CC7AB5">
        <w:rPr>
          <w:rFonts w:ascii="Calibri" w:eastAsia="Calibri" w:hAnsi="Calibri"/>
          <w:color w:val="0000FF"/>
          <w:sz w:val="22"/>
        </w:rPr>
        <w:t>of</w:t>
      </w:r>
      <w:r w:rsidR="00CC7AB5" w:rsidRPr="001B4B1B">
        <w:rPr>
          <w:rFonts w:ascii="Calibri" w:eastAsia="Calibri" w:hAnsi="Calibri"/>
          <w:color w:val="0000FF"/>
          <w:sz w:val="22"/>
        </w:rPr>
        <w:t xml:space="preserve"> each self-care item </w:t>
      </w:r>
      <w:r w:rsidRPr="001B4B1B">
        <w:rPr>
          <w:rFonts w:ascii="Calibri" w:eastAsia="Calibri" w:hAnsi="Calibri"/>
          <w:color w:val="0000FF"/>
          <w:sz w:val="22"/>
        </w:rPr>
        <w:t>on the con</w:t>
      </w:r>
      <w:r>
        <w:rPr>
          <w:rFonts w:ascii="Calibri" w:eastAsia="Calibri" w:hAnsi="Calibri"/>
          <w:color w:val="0000FF"/>
          <w:sz w:val="22"/>
        </w:rPr>
        <w:t>cept</w:t>
      </w:r>
      <w:r w:rsidRPr="001B4B1B">
        <w:rPr>
          <w:rFonts w:ascii="Calibri" w:eastAsia="Calibri" w:hAnsi="Calibri"/>
          <w:color w:val="0000FF"/>
          <w:sz w:val="22"/>
        </w:rPr>
        <w:t xml:space="preserve"> “ruler” </w:t>
      </w:r>
      <w:r>
        <w:rPr>
          <w:rFonts w:ascii="Calibri" w:eastAsia="Calibri" w:hAnsi="Calibri"/>
          <w:color w:val="0000FF"/>
          <w:sz w:val="22"/>
        </w:rPr>
        <w:t xml:space="preserve">made sense clinically, and is consistent with other functional assessment scales. The order of the items by difficulty level, with the hardest activity listed first, </w:t>
      </w:r>
      <w:r w:rsidRPr="001B4B1B">
        <w:rPr>
          <w:rFonts w:ascii="Calibri" w:eastAsia="Calibri" w:hAnsi="Calibri"/>
          <w:color w:val="0000FF"/>
          <w:sz w:val="22"/>
        </w:rPr>
        <w:t xml:space="preserve">is as follows: </w:t>
      </w:r>
    </w:p>
    <w:p w14:paraId="31E0F089" w14:textId="77777777" w:rsidR="00B11E91" w:rsidRPr="001B4B1B" w:rsidRDefault="00B11E91" w:rsidP="00B11E91">
      <w:pPr>
        <w:pStyle w:val="BodyText1"/>
        <w:spacing w:after="0"/>
        <w:rPr>
          <w:rFonts w:ascii="Calibri" w:eastAsia="Calibri" w:hAnsi="Calibri"/>
          <w:color w:val="0000FF"/>
          <w:sz w:val="22"/>
        </w:rPr>
      </w:pPr>
      <w:r w:rsidRPr="001B4B1B">
        <w:rPr>
          <w:rFonts w:ascii="Calibri" w:eastAsia="Calibri" w:hAnsi="Calibri"/>
          <w:color w:val="0000FF"/>
          <w:sz w:val="22"/>
        </w:rPr>
        <w:t>Footwear</w:t>
      </w:r>
    </w:p>
    <w:p w14:paraId="1D7880C1" w14:textId="77777777" w:rsidR="00B11E91" w:rsidRDefault="00B11E91" w:rsidP="00B11E91">
      <w:pPr>
        <w:pStyle w:val="BodyText1"/>
        <w:spacing w:after="0"/>
        <w:rPr>
          <w:rFonts w:ascii="Calibri" w:eastAsia="Calibri" w:hAnsi="Calibri"/>
          <w:color w:val="0000FF"/>
          <w:sz w:val="22"/>
        </w:rPr>
      </w:pPr>
      <w:r w:rsidRPr="001B4B1B">
        <w:rPr>
          <w:rFonts w:ascii="Calibri" w:eastAsia="Calibri" w:hAnsi="Calibri"/>
          <w:color w:val="0000FF"/>
          <w:sz w:val="22"/>
        </w:rPr>
        <w:t xml:space="preserve">Lower </w:t>
      </w:r>
      <w:r>
        <w:rPr>
          <w:rFonts w:ascii="Calibri" w:eastAsia="Calibri" w:hAnsi="Calibri"/>
          <w:color w:val="0000FF"/>
          <w:sz w:val="22"/>
        </w:rPr>
        <w:t>b</w:t>
      </w:r>
      <w:r w:rsidRPr="001B4B1B">
        <w:rPr>
          <w:rFonts w:ascii="Calibri" w:eastAsia="Calibri" w:hAnsi="Calibri"/>
          <w:color w:val="0000FF"/>
          <w:sz w:val="22"/>
        </w:rPr>
        <w:t xml:space="preserve">ody </w:t>
      </w:r>
      <w:r>
        <w:rPr>
          <w:rFonts w:ascii="Calibri" w:eastAsia="Calibri" w:hAnsi="Calibri"/>
          <w:color w:val="0000FF"/>
          <w:sz w:val="22"/>
        </w:rPr>
        <w:t>d</w:t>
      </w:r>
      <w:r w:rsidRPr="001B4B1B">
        <w:rPr>
          <w:rFonts w:ascii="Calibri" w:eastAsia="Calibri" w:hAnsi="Calibri"/>
          <w:color w:val="0000FF"/>
          <w:sz w:val="22"/>
        </w:rPr>
        <w:t>ressing</w:t>
      </w:r>
    </w:p>
    <w:p w14:paraId="51BA2251" w14:textId="6CC35E9B" w:rsidR="0064313B" w:rsidRPr="001B4B1B" w:rsidRDefault="0064313B" w:rsidP="0064313B">
      <w:pPr>
        <w:pStyle w:val="BodyText1"/>
        <w:spacing w:after="0"/>
        <w:rPr>
          <w:rFonts w:ascii="Calibri" w:eastAsia="Calibri" w:hAnsi="Calibri"/>
          <w:color w:val="0000FF"/>
          <w:sz w:val="22"/>
        </w:rPr>
      </w:pPr>
      <w:r w:rsidRPr="001B4B1B">
        <w:rPr>
          <w:rFonts w:ascii="Calibri" w:eastAsia="Calibri" w:hAnsi="Calibri"/>
          <w:color w:val="0000FF"/>
          <w:sz w:val="22"/>
        </w:rPr>
        <w:t>Toilet</w:t>
      </w:r>
      <w:r>
        <w:rPr>
          <w:rFonts w:ascii="Calibri" w:eastAsia="Calibri" w:hAnsi="Calibri"/>
          <w:color w:val="0000FF"/>
          <w:sz w:val="22"/>
        </w:rPr>
        <w:t>ing</w:t>
      </w:r>
      <w:r w:rsidRPr="001B4B1B">
        <w:rPr>
          <w:rFonts w:ascii="Calibri" w:eastAsia="Calibri" w:hAnsi="Calibri"/>
          <w:color w:val="0000FF"/>
          <w:sz w:val="22"/>
        </w:rPr>
        <w:t xml:space="preserve"> </w:t>
      </w:r>
      <w:r>
        <w:rPr>
          <w:rFonts w:ascii="Calibri" w:eastAsia="Calibri" w:hAnsi="Calibri"/>
          <w:color w:val="0000FF"/>
          <w:sz w:val="22"/>
        </w:rPr>
        <w:t>h</w:t>
      </w:r>
      <w:r w:rsidRPr="001B4B1B">
        <w:rPr>
          <w:rFonts w:ascii="Calibri" w:eastAsia="Calibri" w:hAnsi="Calibri"/>
          <w:color w:val="0000FF"/>
          <w:sz w:val="22"/>
        </w:rPr>
        <w:t>ygiene</w:t>
      </w:r>
    </w:p>
    <w:p w14:paraId="32F01C71" w14:textId="77777777" w:rsidR="00B11E91" w:rsidRPr="001B4B1B" w:rsidRDefault="00B11E91" w:rsidP="00B11E91">
      <w:pPr>
        <w:pStyle w:val="BodyText1"/>
        <w:spacing w:after="0"/>
        <w:rPr>
          <w:rFonts w:ascii="Calibri" w:eastAsia="Calibri" w:hAnsi="Calibri"/>
          <w:color w:val="0000FF"/>
          <w:sz w:val="22"/>
        </w:rPr>
      </w:pPr>
      <w:r w:rsidRPr="001B4B1B">
        <w:rPr>
          <w:rFonts w:ascii="Calibri" w:eastAsia="Calibri" w:hAnsi="Calibri"/>
          <w:color w:val="0000FF"/>
          <w:sz w:val="22"/>
        </w:rPr>
        <w:t xml:space="preserve">Shower/bathe </w:t>
      </w:r>
      <w:r>
        <w:rPr>
          <w:rFonts w:ascii="Calibri" w:eastAsia="Calibri" w:hAnsi="Calibri"/>
          <w:color w:val="0000FF"/>
          <w:sz w:val="22"/>
        </w:rPr>
        <w:t>s</w:t>
      </w:r>
      <w:r w:rsidRPr="001B4B1B">
        <w:rPr>
          <w:rFonts w:ascii="Calibri" w:eastAsia="Calibri" w:hAnsi="Calibri"/>
          <w:color w:val="0000FF"/>
          <w:sz w:val="22"/>
        </w:rPr>
        <w:t>elf</w:t>
      </w:r>
    </w:p>
    <w:p w14:paraId="08CB7607" w14:textId="1951CE8D" w:rsidR="00B11E91" w:rsidRPr="001B4B1B" w:rsidRDefault="00B11E91" w:rsidP="00B11E91">
      <w:pPr>
        <w:pStyle w:val="BodyText1"/>
        <w:spacing w:after="0"/>
        <w:rPr>
          <w:rFonts w:ascii="Calibri" w:eastAsia="Calibri" w:hAnsi="Calibri"/>
          <w:color w:val="0000FF"/>
          <w:sz w:val="22"/>
        </w:rPr>
      </w:pPr>
      <w:r w:rsidRPr="001B4B1B">
        <w:rPr>
          <w:rFonts w:ascii="Calibri" w:eastAsia="Calibri" w:hAnsi="Calibri"/>
          <w:color w:val="0000FF"/>
          <w:sz w:val="22"/>
        </w:rPr>
        <w:t xml:space="preserve">Upper </w:t>
      </w:r>
      <w:r w:rsidR="0064313B">
        <w:rPr>
          <w:rFonts w:ascii="Calibri" w:eastAsia="Calibri" w:hAnsi="Calibri"/>
          <w:color w:val="0000FF"/>
          <w:sz w:val="22"/>
        </w:rPr>
        <w:t xml:space="preserve">body </w:t>
      </w:r>
      <w:r>
        <w:rPr>
          <w:rFonts w:ascii="Calibri" w:eastAsia="Calibri" w:hAnsi="Calibri"/>
          <w:color w:val="0000FF"/>
          <w:sz w:val="22"/>
        </w:rPr>
        <w:t>d</w:t>
      </w:r>
      <w:r w:rsidRPr="001B4B1B">
        <w:rPr>
          <w:rFonts w:ascii="Calibri" w:eastAsia="Calibri" w:hAnsi="Calibri"/>
          <w:color w:val="0000FF"/>
          <w:sz w:val="22"/>
        </w:rPr>
        <w:t>ressing</w:t>
      </w:r>
    </w:p>
    <w:p w14:paraId="2310847B" w14:textId="77777777" w:rsidR="00B11E91" w:rsidRPr="001B4B1B" w:rsidRDefault="00B11E91" w:rsidP="00B11E91">
      <w:pPr>
        <w:pStyle w:val="BodyText1"/>
        <w:spacing w:after="0"/>
        <w:rPr>
          <w:rFonts w:ascii="Calibri" w:eastAsia="Calibri" w:hAnsi="Calibri"/>
          <w:color w:val="0000FF"/>
          <w:sz w:val="22"/>
        </w:rPr>
      </w:pPr>
      <w:r w:rsidRPr="001B4B1B">
        <w:rPr>
          <w:rFonts w:ascii="Calibri" w:eastAsia="Calibri" w:hAnsi="Calibri"/>
          <w:color w:val="0000FF"/>
          <w:sz w:val="22"/>
        </w:rPr>
        <w:t xml:space="preserve">Oral </w:t>
      </w:r>
      <w:r>
        <w:rPr>
          <w:rFonts w:ascii="Calibri" w:eastAsia="Calibri" w:hAnsi="Calibri"/>
          <w:color w:val="0000FF"/>
          <w:sz w:val="22"/>
        </w:rPr>
        <w:t>h</w:t>
      </w:r>
      <w:r w:rsidRPr="001B4B1B">
        <w:rPr>
          <w:rFonts w:ascii="Calibri" w:eastAsia="Calibri" w:hAnsi="Calibri"/>
          <w:color w:val="0000FF"/>
          <w:sz w:val="22"/>
        </w:rPr>
        <w:t>ygiene</w:t>
      </w:r>
    </w:p>
    <w:p w14:paraId="4BB71DBA" w14:textId="77777777" w:rsidR="00B11E91" w:rsidRPr="001B4B1B" w:rsidRDefault="00B11E91" w:rsidP="00B11E91">
      <w:pPr>
        <w:pStyle w:val="BodyText1"/>
        <w:spacing w:after="0"/>
        <w:rPr>
          <w:rFonts w:ascii="Calibri" w:eastAsia="Calibri" w:hAnsi="Calibri"/>
          <w:color w:val="0000FF"/>
          <w:sz w:val="22"/>
        </w:rPr>
      </w:pPr>
      <w:r w:rsidRPr="001B4B1B">
        <w:rPr>
          <w:rFonts w:ascii="Calibri" w:eastAsia="Calibri" w:hAnsi="Calibri"/>
          <w:color w:val="0000FF"/>
          <w:sz w:val="22"/>
        </w:rPr>
        <w:t>Eating</w:t>
      </w:r>
    </w:p>
    <w:p w14:paraId="1A479265" w14:textId="77777777" w:rsidR="00702940" w:rsidRDefault="00702940" w:rsidP="008D0B7F">
      <w:pPr>
        <w:spacing w:after="0" w:line="240" w:lineRule="auto"/>
        <w:outlineLvl w:val="4"/>
        <w:rPr>
          <w:b/>
          <w:bCs/>
          <w:color w:val="0000FF"/>
        </w:rPr>
      </w:pPr>
    </w:p>
    <w:p w14:paraId="44AA703E" w14:textId="66F756EE" w:rsidR="008D0B7F" w:rsidRDefault="008D0B7F" w:rsidP="00CC7AB5">
      <w:pPr>
        <w:spacing w:after="0" w:line="240" w:lineRule="auto"/>
        <w:outlineLvl w:val="4"/>
        <w:rPr>
          <w:color w:val="0000FF"/>
        </w:rPr>
      </w:pPr>
      <w:r w:rsidRPr="00336F27">
        <w:rPr>
          <w:b/>
          <w:bCs/>
          <w:color w:val="0000FF"/>
        </w:rPr>
        <w:t xml:space="preserve">Figure 1 </w:t>
      </w:r>
      <w:r w:rsidRPr="00A9115A">
        <w:rPr>
          <w:color w:val="0000FF"/>
        </w:rPr>
        <w:t>reports the</w:t>
      </w:r>
      <w:r w:rsidRPr="00C17C9B">
        <w:rPr>
          <w:color w:val="0000FF"/>
        </w:rPr>
        <w:t xml:space="preserve"> item hierarchy</w:t>
      </w:r>
      <w:r>
        <w:rPr>
          <w:color w:val="0000FF"/>
        </w:rPr>
        <w:t>, the patient distribution</w:t>
      </w:r>
      <w:r w:rsidRPr="00C17C9B">
        <w:rPr>
          <w:color w:val="0000FF"/>
        </w:rPr>
        <w:t xml:space="preserve"> and </w:t>
      </w:r>
      <w:r>
        <w:rPr>
          <w:color w:val="0000FF"/>
        </w:rPr>
        <w:t xml:space="preserve">the </w:t>
      </w:r>
      <w:r w:rsidRPr="00C17C9B">
        <w:rPr>
          <w:color w:val="0000FF"/>
        </w:rPr>
        <w:t xml:space="preserve">rating scale </w:t>
      </w:r>
      <w:r>
        <w:rPr>
          <w:color w:val="0000FF"/>
        </w:rPr>
        <w:t>scores</w:t>
      </w:r>
      <w:r w:rsidRPr="00C17C9B">
        <w:rPr>
          <w:color w:val="0000FF"/>
        </w:rPr>
        <w:t xml:space="preserve"> in one graphic.</w:t>
      </w:r>
      <w:r w:rsidRPr="00336F27">
        <w:rPr>
          <w:color w:val="0000FF"/>
        </w:rPr>
        <w:t xml:space="preserve">  </w:t>
      </w:r>
      <w:r>
        <w:rPr>
          <w:color w:val="0000FF"/>
        </w:rPr>
        <w:t>It</w:t>
      </w:r>
      <w:r w:rsidRPr="00336F27">
        <w:rPr>
          <w:color w:val="0000FF"/>
        </w:rPr>
        <w:t xml:space="preserve"> shows the overall expected </w:t>
      </w:r>
      <w:r>
        <w:rPr>
          <w:color w:val="0000FF"/>
        </w:rPr>
        <w:t>score</w:t>
      </w:r>
      <w:r w:rsidRPr="00336F27">
        <w:rPr>
          <w:color w:val="0000FF"/>
        </w:rPr>
        <w:t xml:space="preserve"> placement on the </w:t>
      </w:r>
      <w:r>
        <w:rPr>
          <w:color w:val="0000FF"/>
        </w:rPr>
        <w:t xml:space="preserve">self-care “ruler” for each item. </w:t>
      </w:r>
      <w:r w:rsidRPr="00336F27">
        <w:rPr>
          <w:color w:val="0000FF"/>
        </w:rPr>
        <w:t>This ruler</w:t>
      </w:r>
      <w:r>
        <w:rPr>
          <w:color w:val="0000FF"/>
        </w:rPr>
        <w:t>, which has a range of 1 to 100,</w:t>
      </w:r>
      <w:r w:rsidRPr="00336F27">
        <w:rPr>
          <w:color w:val="0000FF"/>
        </w:rPr>
        <w:t xml:space="preserve"> is shown at the very top </w:t>
      </w:r>
      <w:r>
        <w:rPr>
          <w:color w:val="0000FF"/>
        </w:rPr>
        <w:t xml:space="preserve">and the bottom of the graphic. </w:t>
      </w:r>
      <w:r w:rsidRPr="00336F27">
        <w:rPr>
          <w:color w:val="0000FF"/>
        </w:rPr>
        <w:t>The item hierarchy or difficulty order</w:t>
      </w:r>
      <w:r>
        <w:rPr>
          <w:color w:val="0000FF"/>
        </w:rPr>
        <w:t>,</w:t>
      </w:r>
      <w:r w:rsidRPr="00336F27">
        <w:rPr>
          <w:color w:val="0000FF"/>
        </w:rPr>
        <w:t xml:space="preserve"> from easy (bottom) to difficult (top), is shown on the right side of the graphic.  For each item presented on the right, the overall expected placement of the </w:t>
      </w:r>
      <w:r>
        <w:rPr>
          <w:color w:val="0000FF"/>
        </w:rPr>
        <w:t>score</w:t>
      </w:r>
      <w:r w:rsidRPr="00336F27">
        <w:rPr>
          <w:color w:val="0000FF"/>
        </w:rPr>
        <w:t xml:space="preserve"> options (from “1” for “dependent” to “6” for “independen</w:t>
      </w:r>
      <w:r>
        <w:rPr>
          <w:color w:val="0000FF"/>
        </w:rPr>
        <w:t xml:space="preserve">t”) are shown along the ruler. </w:t>
      </w:r>
      <w:r w:rsidRPr="00336F27">
        <w:rPr>
          <w:color w:val="0000FF"/>
        </w:rPr>
        <w:t xml:space="preserve">Each item is presented on a row and the </w:t>
      </w:r>
      <w:r>
        <w:rPr>
          <w:color w:val="0000FF"/>
        </w:rPr>
        <w:t>score</w:t>
      </w:r>
      <w:r w:rsidRPr="00336F27">
        <w:rPr>
          <w:color w:val="0000FF"/>
        </w:rPr>
        <w:t xml:space="preserve">s begin with the most dependent (represented by the “1”) on the far-left graphic boundary and the most independent (represented by “6”) </w:t>
      </w:r>
      <w:r>
        <w:rPr>
          <w:color w:val="0000FF"/>
        </w:rPr>
        <w:t xml:space="preserve">on far-right graphic boundary. </w:t>
      </w:r>
      <w:r w:rsidRPr="00336F27">
        <w:rPr>
          <w:color w:val="0000FF"/>
        </w:rPr>
        <w:t xml:space="preserve">Finally, the threshold between two </w:t>
      </w:r>
      <w:r>
        <w:rPr>
          <w:color w:val="0000FF"/>
        </w:rPr>
        <w:t>score</w:t>
      </w:r>
      <w:r w:rsidRPr="00336F27">
        <w:rPr>
          <w:color w:val="0000FF"/>
        </w:rPr>
        <w:t xml:space="preserve"> options is represented by a colon (:), and is where a patient has a</w:t>
      </w:r>
      <w:r>
        <w:rPr>
          <w:color w:val="0000FF"/>
        </w:rPr>
        <w:t xml:space="preserve">n equal </w:t>
      </w:r>
      <w:r w:rsidRPr="00336F27">
        <w:rPr>
          <w:color w:val="0000FF"/>
        </w:rPr>
        <w:t xml:space="preserve">chance of responding in either the higher or lower category. </w:t>
      </w:r>
      <w:r>
        <w:rPr>
          <w:color w:val="0000FF"/>
        </w:rPr>
        <w:t xml:space="preserve">Use of the </w:t>
      </w:r>
      <w:r w:rsidRPr="00336F27">
        <w:rPr>
          <w:color w:val="0000FF"/>
        </w:rPr>
        <w:t xml:space="preserve">“ruler” </w:t>
      </w:r>
      <w:r>
        <w:rPr>
          <w:color w:val="0000FF"/>
        </w:rPr>
        <w:t xml:space="preserve">allows </w:t>
      </w:r>
      <w:r w:rsidRPr="00336F27">
        <w:rPr>
          <w:color w:val="0000FF"/>
        </w:rPr>
        <w:t xml:space="preserve">the </w:t>
      </w:r>
      <w:r>
        <w:rPr>
          <w:color w:val="0000FF"/>
        </w:rPr>
        <w:t>scores</w:t>
      </w:r>
      <w:r w:rsidRPr="00336F27">
        <w:rPr>
          <w:color w:val="0000FF"/>
        </w:rPr>
        <w:t xml:space="preserve"> for each </w:t>
      </w:r>
      <w:r>
        <w:rPr>
          <w:color w:val="0000FF"/>
        </w:rPr>
        <w:t xml:space="preserve">self-care </w:t>
      </w:r>
      <w:r w:rsidRPr="00336F27">
        <w:rPr>
          <w:color w:val="0000FF"/>
        </w:rPr>
        <w:t xml:space="preserve">item in relation to the other </w:t>
      </w:r>
      <w:r>
        <w:rPr>
          <w:color w:val="0000FF"/>
        </w:rPr>
        <w:t xml:space="preserve">self-care </w:t>
      </w:r>
      <w:r w:rsidRPr="00336F27">
        <w:rPr>
          <w:color w:val="0000FF"/>
        </w:rPr>
        <w:t>items.</w:t>
      </w:r>
      <w:r>
        <w:rPr>
          <w:color w:val="0000FF"/>
        </w:rPr>
        <w:t xml:space="preserve"> </w:t>
      </w:r>
      <w:r w:rsidRPr="009A0D41">
        <w:rPr>
          <w:color w:val="0000FF"/>
        </w:rPr>
        <w:t xml:space="preserve">The letters at the bottom of </w:t>
      </w:r>
      <w:r w:rsidRPr="009A0D41">
        <w:rPr>
          <w:b/>
          <w:bCs/>
          <w:color w:val="0000FF"/>
        </w:rPr>
        <w:t>Figure 1</w:t>
      </w:r>
      <w:r w:rsidRPr="009A0D41">
        <w:rPr>
          <w:color w:val="0000FF"/>
        </w:rPr>
        <w:t xml:space="preserve"> describe the distribution of people along the ruler, where “M” is the average of the sample and “S” and “T”  are one and two times the standard deviation around that average, respectively. The percentile values represent the distribution of patients along the “ruler.”</w:t>
      </w:r>
    </w:p>
    <w:p w14:paraId="05D1F964" w14:textId="77777777" w:rsidR="00105029" w:rsidRDefault="00105029" w:rsidP="008D0B7F">
      <w:pPr>
        <w:rPr>
          <w:b/>
          <w:bCs/>
          <w:color w:val="0000FF"/>
        </w:rPr>
      </w:pPr>
    </w:p>
    <w:p w14:paraId="67B70695" w14:textId="77777777" w:rsidR="008D0B7F" w:rsidRPr="008816CF" w:rsidRDefault="008D0B7F" w:rsidP="008D0B7F">
      <w:pPr>
        <w:rPr>
          <w:b/>
          <w:color w:val="0000FF"/>
        </w:rPr>
      </w:pPr>
      <w:r w:rsidRPr="008816CF">
        <w:rPr>
          <w:b/>
          <w:bCs/>
          <w:color w:val="0000FF"/>
        </w:rPr>
        <w:lastRenderedPageBreak/>
        <w:t>Figure 1</w:t>
      </w:r>
      <w:r w:rsidRPr="008816CF">
        <w:rPr>
          <w:b/>
          <w:color w:val="0000FF"/>
        </w:rPr>
        <w:t xml:space="preserve">. IRF Self-Care Items: Item Rating Scale Responses and Item Hierarchy </w:t>
      </w:r>
    </w:p>
    <w:p w14:paraId="73846F4C" w14:textId="77777777" w:rsidR="008D0B7F" w:rsidRPr="001B02B9" w:rsidRDefault="008D0B7F" w:rsidP="008D0B7F">
      <w:pPr>
        <w:spacing w:after="0" w:line="240" w:lineRule="auto"/>
        <w:rPr>
          <w:rFonts w:ascii="Courier New" w:hAnsi="Courier New" w:cs="Courier New"/>
          <w:color w:val="0000FF"/>
          <w:sz w:val="16"/>
          <w:szCs w:val="16"/>
        </w:rPr>
      </w:pPr>
      <w:r w:rsidRPr="001B02B9">
        <w:rPr>
          <w:rFonts w:ascii="Courier New" w:hAnsi="Courier New" w:cs="Courier New"/>
          <w:color w:val="0000FF"/>
          <w:sz w:val="16"/>
          <w:szCs w:val="16"/>
        </w:rPr>
        <w:t>0    10    20    30    40    50    60    70    80    90   100</w:t>
      </w:r>
    </w:p>
    <w:p w14:paraId="3AAEA966" w14:textId="77777777" w:rsidR="008D0B7F" w:rsidRPr="001B02B9" w:rsidRDefault="008D0B7F" w:rsidP="008D0B7F">
      <w:pPr>
        <w:spacing w:after="0" w:line="240" w:lineRule="auto"/>
        <w:rPr>
          <w:rFonts w:ascii="Courier New" w:hAnsi="Courier New" w:cs="Courier New"/>
          <w:color w:val="0000FF"/>
          <w:sz w:val="16"/>
          <w:szCs w:val="16"/>
        </w:rPr>
      </w:pPr>
      <w:r w:rsidRPr="001B02B9">
        <w:rPr>
          <w:rFonts w:ascii="Courier New" w:hAnsi="Courier New" w:cs="Courier New"/>
          <w:color w:val="0000FF"/>
          <w:sz w:val="16"/>
          <w:szCs w:val="16"/>
        </w:rPr>
        <w:t>|-----+-----+-----+-----+-----+-----+-----+-----+-----+-----|    ITEM</w:t>
      </w:r>
    </w:p>
    <w:p w14:paraId="59A59262" w14:textId="77777777" w:rsidR="008D0B7F" w:rsidRPr="001B02B9" w:rsidRDefault="008D0B7F" w:rsidP="008D0B7F">
      <w:pPr>
        <w:spacing w:after="0" w:line="240" w:lineRule="auto"/>
        <w:rPr>
          <w:rFonts w:ascii="Courier New" w:hAnsi="Courier New" w:cs="Courier New"/>
          <w:color w:val="0000FF"/>
          <w:sz w:val="16"/>
          <w:szCs w:val="16"/>
        </w:rPr>
      </w:pPr>
      <w:r w:rsidRPr="001B02B9">
        <w:rPr>
          <w:rFonts w:ascii="Courier New" w:hAnsi="Courier New" w:cs="Courier New"/>
          <w:color w:val="0000FF"/>
          <w:sz w:val="16"/>
          <w:szCs w:val="16"/>
        </w:rPr>
        <w:t xml:space="preserve">1                   </w:t>
      </w:r>
      <w:proofErr w:type="gramStart"/>
      <w:r w:rsidRPr="001B02B9">
        <w:rPr>
          <w:rFonts w:ascii="Courier New" w:hAnsi="Courier New" w:cs="Courier New"/>
          <w:color w:val="0000FF"/>
          <w:sz w:val="16"/>
          <w:szCs w:val="16"/>
        </w:rPr>
        <w:t>1  :</w:t>
      </w:r>
      <w:proofErr w:type="gramEnd"/>
      <w:r w:rsidRPr="001B02B9">
        <w:rPr>
          <w:rFonts w:ascii="Courier New" w:hAnsi="Courier New" w:cs="Courier New"/>
          <w:color w:val="0000FF"/>
          <w:sz w:val="16"/>
          <w:szCs w:val="16"/>
        </w:rPr>
        <w:t xml:space="preserve">   2  : 3  :  4   :   5     :   6   6    Put on/Take off Footwear</w:t>
      </w:r>
    </w:p>
    <w:p w14:paraId="3FED9BC2" w14:textId="77777777" w:rsidR="008D0B7F" w:rsidRPr="001B02B9" w:rsidRDefault="008D0B7F" w:rsidP="008D0B7F">
      <w:pPr>
        <w:spacing w:after="0" w:line="240" w:lineRule="auto"/>
        <w:rPr>
          <w:rFonts w:ascii="Courier New" w:hAnsi="Courier New" w:cs="Courier New"/>
          <w:color w:val="0000FF"/>
          <w:sz w:val="16"/>
          <w:szCs w:val="16"/>
        </w:rPr>
      </w:pPr>
      <w:r w:rsidRPr="001B02B9">
        <w:rPr>
          <w:rFonts w:ascii="Courier New" w:hAnsi="Courier New" w:cs="Courier New"/>
          <w:color w:val="0000FF"/>
          <w:sz w:val="16"/>
          <w:szCs w:val="16"/>
        </w:rPr>
        <w:t xml:space="preserve">1                  </w:t>
      </w:r>
      <w:proofErr w:type="gramStart"/>
      <w:r w:rsidRPr="001B02B9">
        <w:rPr>
          <w:rFonts w:ascii="Courier New" w:hAnsi="Courier New" w:cs="Courier New"/>
          <w:color w:val="0000FF"/>
          <w:sz w:val="16"/>
          <w:szCs w:val="16"/>
        </w:rPr>
        <w:t>1  :</w:t>
      </w:r>
      <w:proofErr w:type="gramEnd"/>
      <w:r w:rsidRPr="001B02B9">
        <w:rPr>
          <w:rFonts w:ascii="Courier New" w:hAnsi="Courier New" w:cs="Courier New"/>
          <w:color w:val="0000FF"/>
          <w:sz w:val="16"/>
          <w:szCs w:val="16"/>
        </w:rPr>
        <w:t xml:space="preserve">   2 :  3  :  4  :    5     :   6    6    Lower Body Dressing</w:t>
      </w:r>
    </w:p>
    <w:p w14:paraId="197D395F" w14:textId="1E1150B4" w:rsidR="008D0B7F" w:rsidRPr="001B02B9" w:rsidRDefault="008D0B7F" w:rsidP="008D0B7F">
      <w:pPr>
        <w:spacing w:after="0" w:line="240" w:lineRule="auto"/>
        <w:rPr>
          <w:rFonts w:ascii="Courier New" w:hAnsi="Courier New" w:cs="Courier New"/>
          <w:color w:val="0000FF"/>
          <w:sz w:val="16"/>
          <w:szCs w:val="16"/>
        </w:rPr>
      </w:pPr>
      <w:r w:rsidRPr="001B02B9">
        <w:rPr>
          <w:rFonts w:ascii="Courier New" w:hAnsi="Courier New" w:cs="Courier New"/>
          <w:color w:val="0000FF"/>
          <w:sz w:val="16"/>
          <w:szCs w:val="16"/>
        </w:rPr>
        <w:t xml:space="preserve">1               </w:t>
      </w:r>
      <w:proofErr w:type="gramStart"/>
      <w:r w:rsidRPr="001B02B9">
        <w:rPr>
          <w:rFonts w:ascii="Courier New" w:hAnsi="Courier New" w:cs="Courier New"/>
          <w:color w:val="0000FF"/>
          <w:sz w:val="16"/>
          <w:szCs w:val="16"/>
        </w:rPr>
        <w:t>1  :</w:t>
      </w:r>
      <w:proofErr w:type="gramEnd"/>
      <w:r w:rsidRPr="001B02B9">
        <w:rPr>
          <w:rFonts w:ascii="Courier New" w:hAnsi="Courier New" w:cs="Courier New"/>
          <w:color w:val="0000FF"/>
          <w:sz w:val="16"/>
          <w:szCs w:val="16"/>
        </w:rPr>
        <w:t xml:space="preserve">   2  : 3  :  4   :    5    :   6       6    Toilet</w:t>
      </w:r>
      <w:r w:rsidR="0064313B">
        <w:rPr>
          <w:rFonts w:ascii="Courier New" w:hAnsi="Courier New" w:cs="Courier New"/>
          <w:color w:val="0000FF"/>
          <w:sz w:val="16"/>
          <w:szCs w:val="16"/>
        </w:rPr>
        <w:t>ing</w:t>
      </w:r>
      <w:r w:rsidRPr="001B02B9">
        <w:rPr>
          <w:rFonts w:ascii="Courier New" w:hAnsi="Courier New" w:cs="Courier New"/>
          <w:color w:val="0000FF"/>
          <w:sz w:val="16"/>
          <w:szCs w:val="16"/>
        </w:rPr>
        <w:t xml:space="preserve"> Hygiene</w:t>
      </w:r>
    </w:p>
    <w:p w14:paraId="740EA775" w14:textId="77777777" w:rsidR="008D0B7F" w:rsidRPr="001B02B9" w:rsidRDefault="008D0B7F" w:rsidP="008D0B7F">
      <w:pPr>
        <w:spacing w:after="0" w:line="240" w:lineRule="auto"/>
        <w:rPr>
          <w:rFonts w:ascii="Courier New" w:hAnsi="Courier New" w:cs="Courier New"/>
          <w:color w:val="0000FF"/>
          <w:sz w:val="16"/>
          <w:szCs w:val="16"/>
        </w:rPr>
      </w:pPr>
      <w:r w:rsidRPr="001B02B9">
        <w:rPr>
          <w:rFonts w:ascii="Courier New" w:hAnsi="Courier New" w:cs="Courier New"/>
          <w:color w:val="0000FF"/>
          <w:sz w:val="16"/>
          <w:szCs w:val="16"/>
        </w:rPr>
        <w:t xml:space="preserve">1               </w:t>
      </w:r>
      <w:proofErr w:type="gramStart"/>
      <w:r w:rsidRPr="001B02B9">
        <w:rPr>
          <w:rFonts w:ascii="Courier New" w:hAnsi="Courier New" w:cs="Courier New"/>
          <w:color w:val="0000FF"/>
          <w:sz w:val="16"/>
          <w:szCs w:val="16"/>
        </w:rPr>
        <w:t>1  :</w:t>
      </w:r>
      <w:proofErr w:type="gramEnd"/>
      <w:r w:rsidRPr="001B02B9">
        <w:rPr>
          <w:rFonts w:ascii="Courier New" w:hAnsi="Courier New" w:cs="Courier New"/>
          <w:color w:val="0000FF"/>
          <w:sz w:val="16"/>
          <w:szCs w:val="16"/>
        </w:rPr>
        <w:t xml:space="preserve">   2 :  3  :  4  :    5     :   6       6    Shower/Bathe Self</w:t>
      </w:r>
    </w:p>
    <w:p w14:paraId="713B2B50" w14:textId="77777777" w:rsidR="008D0B7F" w:rsidRPr="001B02B9" w:rsidRDefault="008D0B7F" w:rsidP="008D0B7F">
      <w:pPr>
        <w:spacing w:after="0" w:line="240" w:lineRule="auto"/>
        <w:rPr>
          <w:rFonts w:ascii="Courier New" w:hAnsi="Courier New" w:cs="Courier New"/>
          <w:color w:val="0000FF"/>
          <w:sz w:val="16"/>
          <w:szCs w:val="16"/>
        </w:rPr>
      </w:pPr>
      <w:r w:rsidRPr="001B02B9">
        <w:rPr>
          <w:rFonts w:ascii="Courier New" w:hAnsi="Courier New" w:cs="Courier New"/>
          <w:color w:val="0000FF"/>
          <w:sz w:val="16"/>
          <w:szCs w:val="16"/>
        </w:rPr>
        <w:t>|                                                           |</w:t>
      </w:r>
    </w:p>
    <w:p w14:paraId="05F986FD" w14:textId="77777777" w:rsidR="008D0B7F" w:rsidRPr="001B02B9" w:rsidRDefault="008D0B7F" w:rsidP="008D0B7F">
      <w:pPr>
        <w:spacing w:after="0" w:line="240" w:lineRule="auto"/>
        <w:rPr>
          <w:rFonts w:ascii="Courier New" w:hAnsi="Courier New" w:cs="Courier New"/>
          <w:color w:val="0000FF"/>
          <w:sz w:val="16"/>
          <w:szCs w:val="16"/>
        </w:rPr>
      </w:pPr>
      <w:r w:rsidRPr="001B02B9">
        <w:rPr>
          <w:rFonts w:ascii="Courier New" w:hAnsi="Courier New" w:cs="Courier New"/>
          <w:color w:val="0000FF"/>
          <w:sz w:val="16"/>
          <w:szCs w:val="16"/>
        </w:rPr>
        <w:t xml:space="preserve">1          </w:t>
      </w:r>
      <w:proofErr w:type="gramStart"/>
      <w:r w:rsidRPr="001B02B9">
        <w:rPr>
          <w:rFonts w:ascii="Courier New" w:hAnsi="Courier New" w:cs="Courier New"/>
          <w:color w:val="0000FF"/>
          <w:sz w:val="16"/>
          <w:szCs w:val="16"/>
        </w:rPr>
        <w:t>1  :</w:t>
      </w:r>
      <w:proofErr w:type="gramEnd"/>
      <w:r w:rsidRPr="001B02B9">
        <w:rPr>
          <w:rFonts w:ascii="Courier New" w:hAnsi="Courier New" w:cs="Courier New"/>
          <w:color w:val="0000FF"/>
          <w:sz w:val="16"/>
          <w:szCs w:val="16"/>
        </w:rPr>
        <w:t xml:space="preserve">   2  : 3  :  4   :   5     :   6            6    Upper Body Dressing</w:t>
      </w:r>
    </w:p>
    <w:p w14:paraId="50BC532E" w14:textId="77777777" w:rsidR="008D0B7F" w:rsidRPr="001B02B9" w:rsidRDefault="008D0B7F" w:rsidP="008D0B7F">
      <w:pPr>
        <w:spacing w:after="0" w:line="240" w:lineRule="auto"/>
        <w:rPr>
          <w:rFonts w:ascii="Courier New" w:hAnsi="Courier New" w:cs="Courier New"/>
          <w:color w:val="0000FF"/>
          <w:sz w:val="16"/>
          <w:szCs w:val="16"/>
        </w:rPr>
      </w:pPr>
      <w:r w:rsidRPr="001B02B9">
        <w:rPr>
          <w:rFonts w:ascii="Courier New" w:hAnsi="Courier New" w:cs="Courier New"/>
          <w:color w:val="0000FF"/>
          <w:sz w:val="16"/>
          <w:szCs w:val="16"/>
        </w:rPr>
        <w:t>|                                                           |</w:t>
      </w:r>
    </w:p>
    <w:p w14:paraId="63CFD92F" w14:textId="77777777" w:rsidR="008D0B7F" w:rsidRPr="001B02B9" w:rsidRDefault="008D0B7F" w:rsidP="008D0B7F">
      <w:pPr>
        <w:spacing w:after="0" w:line="240" w:lineRule="auto"/>
        <w:rPr>
          <w:rFonts w:ascii="Courier New" w:hAnsi="Courier New" w:cs="Courier New"/>
          <w:color w:val="0000FF"/>
          <w:sz w:val="16"/>
          <w:szCs w:val="16"/>
        </w:rPr>
      </w:pPr>
      <w:r w:rsidRPr="001B02B9">
        <w:rPr>
          <w:rFonts w:ascii="Courier New" w:hAnsi="Courier New" w:cs="Courier New"/>
          <w:color w:val="0000FF"/>
          <w:sz w:val="16"/>
          <w:szCs w:val="16"/>
        </w:rPr>
        <w:t xml:space="preserve">1     </w:t>
      </w:r>
      <w:proofErr w:type="gramStart"/>
      <w:r w:rsidRPr="001B02B9">
        <w:rPr>
          <w:rFonts w:ascii="Courier New" w:hAnsi="Courier New" w:cs="Courier New"/>
          <w:color w:val="0000FF"/>
          <w:sz w:val="16"/>
          <w:szCs w:val="16"/>
        </w:rPr>
        <w:t>1  :</w:t>
      </w:r>
      <w:proofErr w:type="gramEnd"/>
      <w:r w:rsidRPr="001B02B9">
        <w:rPr>
          <w:rFonts w:ascii="Courier New" w:hAnsi="Courier New" w:cs="Courier New"/>
          <w:color w:val="0000FF"/>
          <w:sz w:val="16"/>
          <w:szCs w:val="16"/>
        </w:rPr>
        <w:t xml:space="preserve">   2 :  3  :  4  :    5     :   6                 6    Oral Hygiene</w:t>
      </w:r>
    </w:p>
    <w:p w14:paraId="37CBD93C" w14:textId="77777777" w:rsidR="008D0B7F" w:rsidRPr="001B02B9" w:rsidRDefault="008D0B7F" w:rsidP="008D0B7F">
      <w:pPr>
        <w:spacing w:after="0" w:line="240" w:lineRule="auto"/>
        <w:rPr>
          <w:rFonts w:ascii="Courier New" w:hAnsi="Courier New" w:cs="Courier New"/>
          <w:color w:val="0000FF"/>
          <w:sz w:val="16"/>
          <w:szCs w:val="16"/>
        </w:rPr>
      </w:pPr>
      <w:r w:rsidRPr="001B02B9">
        <w:rPr>
          <w:rFonts w:ascii="Courier New" w:hAnsi="Courier New" w:cs="Courier New"/>
          <w:color w:val="0000FF"/>
          <w:sz w:val="16"/>
          <w:szCs w:val="16"/>
        </w:rPr>
        <w:t>|                                                           |</w:t>
      </w:r>
    </w:p>
    <w:p w14:paraId="2259A1A0" w14:textId="77777777" w:rsidR="008D0B7F" w:rsidRPr="001B02B9" w:rsidRDefault="008D0B7F" w:rsidP="008D0B7F">
      <w:pPr>
        <w:spacing w:after="0" w:line="240" w:lineRule="auto"/>
        <w:rPr>
          <w:rFonts w:ascii="Courier New" w:hAnsi="Courier New" w:cs="Courier New"/>
          <w:color w:val="0000FF"/>
          <w:sz w:val="16"/>
          <w:szCs w:val="16"/>
        </w:rPr>
      </w:pPr>
      <w:proofErr w:type="gramStart"/>
      <w:r w:rsidRPr="001B02B9">
        <w:rPr>
          <w:rFonts w:ascii="Courier New" w:hAnsi="Courier New" w:cs="Courier New"/>
          <w:color w:val="0000FF"/>
          <w:sz w:val="16"/>
          <w:szCs w:val="16"/>
        </w:rPr>
        <w:t>11  :</w:t>
      </w:r>
      <w:proofErr w:type="gramEnd"/>
      <w:r w:rsidRPr="001B02B9">
        <w:rPr>
          <w:rFonts w:ascii="Courier New" w:hAnsi="Courier New" w:cs="Courier New"/>
          <w:color w:val="0000FF"/>
          <w:sz w:val="16"/>
          <w:szCs w:val="16"/>
        </w:rPr>
        <w:t xml:space="preserve">   2  : 3  :  4   :   5     :   6                      6    Eating</w:t>
      </w:r>
    </w:p>
    <w:p w14:paraId="639A2DE5" w14:textId="77777777" w:rsidR="008D0B7F" w:rsidRPr="001B02B9" w:rsidRDefault="008D0B7F" w:rsidP="008D0B7F">
      <w:pPr>
        <w:spacing w:after="0" w:line="240" w:lineRule="auto"/>
        <w:rPr>
          <w:rFonts w:ascii="Courier New" w:hAnsi="Courier New" w:cs="Courier New"/>
          <w:color w:val="0000FF"/>
          <w:sz w:val="16"/>
          <w:szCs w:val="16"/>
        </w:rPr>
      </w:pPr>
      <w:r w:rsidRPr="001B02B9">
        <w:rPr>
          <w:rFonts w:ascii="Courier New" w:hAnsi="Courier New" w:cs="Courier New"/>
          <w:color w:val="0000FF"/>
          <w:sz w:val="16"/>
          <w:szCs w:val="16"/>
        </w:rPr>
        <w:t>|-----+-----+-----+-----+-----+-----+-----+-----+-----+-----|    ITEM</w:t>
      </w:r>
    </w:p>
    <w:p w14:paraId="2CDFA1EE" w14:textId="77777777" w:rsidR="008D0B7F" w:rsidRPr="001B02B9" w:rsidRDefault="008D0B7F" w:rsidP="008D0B7F">
      <w:pPr>
        <w:spacing w:after="0" w:line="240" w:lineRule="auto"/>
        <w:rPr>
          <w:rFonts w:ascii="Courier New" w:hAnsi="Courier New" w:cs="Courier New"/>
          <w:color w:val="0000FF"/>
          <w:sz w:val="16"/>
          <w:szCs w:val="16"/>
        </w:rPr>
      </w:pPr>
      <w:r w:rsidRPr="001B02B9">
        <w:rPr>
          <w:rFonts w:ascii="Courier New" w:hAnsi="Courier New" w:cs="Courier New"/>
          <w:color w:val="0000FF"/>
          <w:sz w:val="16"/>
          <w:szCs w:val="16"/>
        </w:rPr>
        <w:t>0    10    20    30    40    50    60    70    80    90   100</w:t>
      </w:r>
    </w:p>
    <w:p w14:paraId="1A53E4FB" w14:textId="77777777" w:rsidR="008D0B7F" w:rsidRPr="001B02B9" w:rsidRDefault="008D0B7F" w:rsidP="008D0B7F">
      <w:pPr>
        <w:spacing w:after="0" w:line="240" w:lineRule="auto"/>
        <w:rPr>
          <w:rFonts w:ascii="Courier New" w:hAnsi="Courier New" w:cs="Courier New"/>
          <w:color w:val="0000FF"/>
          <w:sz w:val="16"/>
          <w:szCs w:val="16"/>
        </w:rPr>
      </w:pPr>
      <w:r w:rsidRPr="001B02B9">
        <w:rPr>
          <w:rFonts w:ascii="Courier New" w:hAnsi="Courier New" w:cs="Courier New"/>
          <w:color w:val="0000FF"/>
          <w:sz w:val="16"/>
          <w:szCs w:val="16"/>
        </w:rPr>
        <w:t xml:space="preserve">           T       S       M       S       T</w:t>
      </w:r>
    </w:p>
    <w:p w14:paraId="1F842988" w14:textId="77777777" w:rsidR="008D0B7F" w:rsidRPr="001B02B9" w:rsidRDefault="008D0B7F" w:rsidP="008D0B7F">
      <w:pPr>
        <w:spacing w:after="0" w:line="240" w:lineRule="auto"/>
        <w:rPr>
          <w:rFonts w:ascii="Courier New" w:hAnsi="Courier New" w:cs="Courier New"/>
          <w:color w:val="0000FF"/>
          <w:sz w:val="16"/>
          <w:szCs w:val="16"/>
        </w:rPr>
      </w:pPr>
      <w:r w:rsidRPr="001B02B9">
        <w:rPr>
          <w:rFonts w:ascii="Courier New" w:hAnsi="Courier New" w:cs="Courier New"/>
          <w:color w:val="0000FF"/>
          <w:sz w:val="16"/>
          <w:szCs w:val="16"/>
        </w:rPr>
        <w:t xml:space="preserve">0                </w:t>
      </w:r>
      <w:proofErr w:type="gramStart"/>
      <w:r w:rsidRPr="001B02B9">
        <w:rPr>
          <w:rFonts w:ascii="Courier New" w:hAnsi="Courier New" w:cs="Courier New"/>
          <w:color w:val="0000FF"/>
          <w:sz w:val="16"/>
          <w:szCs w:val="16"/>
        </w:rPr>
        <w:t>10  20</w:t>
      </w:r>
      <w:proofErr w:type="gramEnd"/>
      <w:r w:rsidRPr="001B02B9">
        <w:rPr>
          <w:rFonts w:ascii="Courier New" w:hAnsi="Courier New" w:cs="Courier New"/>
          <w:color w:val="0000FF"/>
          <w:sz w:val="16"/>
          <w:szCs w:val="16"/>
        </w:rPr>
        <w:t xml:space="preserve"> 30 50 70 80 90     99                  PERCENTILE</w:t>
      </w:r>
    </w:p>
    <w:p w14:paraId="2C3A10A9" w14:textId="77777777" w:rsidR="008D0B7F" w:rsidRDefault="008D0B7F" w:rsidP="008D0B7F">
      <w:pPr>
        <w:pStyle w:val="BodyText1"/>
        <w:spacing w:after="0"/>
        <w:ind w:firstLine="0"/>
        <w:rPr>
          <w:rFonts w:ascii="Calibri" w:eastAsia="Calibri" w:hAnsi="Calibri"/>
          <w:color w:val="0000FF"/>
          <w:sz w:val="22"/>
        </w:rPr>
      </w:pPr>
    </w:p>
    <w:p w14:paraId="7147CA32" w14:textId="56FC6523" w:rsidR="002D7E4B" w:rsidRDefault="00B11E91" w:rsidP="00CC7AB5">
      <w:pPr>
        <w:spacing w:before="240" w:after="240" w:line="240" w:lineRule="auto"/>
        <w:rPr>
          <w:color w:val="0000FF"/>
        </w:rPr>
      </w:pPr>
      <w:r w:rsidRPr="00C46167">
        <w:rPr>
          <w:rFonts w:ascii="Calibri" w:eastAsia="Calibri" w:hAnsi="Calibri" w:cs="Times New Roman"/>
          <w:b/>
          <w:color w:val="0000FF"/>
        </w:rPr>
        <w:t xml:space="preserve">Scale </w:t>
      </w:r>
      <w:r w:rsidR="00CC7AB5">
        <w:rPr>
          <w:rFonts w:ascii="Calibri" w:eastAsia="Calibri" w:hAnsi="Calibri" w:cs="Times New Roman"/>
          <w:b/>
          <w:color w:val="0000FF"/>
        </w:rPr>
        <w:t>Validity</w:t>
      </w:r>
      <w:r w:rsidRPr="00C46167">
        <w:rPr>
          <w:rFonts w:ascii="Calibri" w:eastAsia="Calibri" w:hAnsi="Calibri" w:cs="Times New Roman"/>
          <w:b/>
          <w:color w:val="0000FF"/>
        </w:rPr>
        <w:t xml:space="preserve"> - Fit Assessment (Rasch Analysis): </w:t>
      </w:r>
      <w:r w:rsidRPr="00C46167">
        <w:rPr>
          <w:rFonts w:ascii="Calibri" w:eastAsia="Calibri" w:hAnsi="Calibri"/>
          <w:color w:val="0000FF"/>
        </w:rPr>
        <w:t xml:space="preserve">The Rasch model </w:t>
      </w:r>
      <w:r w:rsidR="00C46167" w:rsidRPr="00C46167">
        <w:rPr>
          <w:rFonts w:ascii="Calibri" w:eastAsia="Calibri" w:hAnsi="Calibri"/>
          <w:color w:val="0000FF"/>
        </w:rPr>
        <w:t>expects consistency in response patterns</w:t>
      </w:r>
      <w:r w:rsidRPr="00C46167">
        <w:rPr>
          <w:rFonts w:ascii="Calibri" w:eastAsia="Calibri" w:hAnsi="Calibri"/>
          <w:color w:val="0000FF"/>
        </w:rPr>
        <w:t>.</w:t>
      </w:r>
      <w:r w:rsidRPr="00A9080F">
        <w:rPr>
          <w:rFonts w:ascii="Calibri" w:eastAsia="Calibri" w:hAnsi="Calibri"/>
          <w:color w:val="0000FF"/>
        </w:rPr>
        <w:t xml:space="preserve"> </w:t>
      </w:r>
      <w:r w:rsidRPr="001B4B1B">
        <w:rPr>
          <w:rFonts w:ascii="Calibri" w:eastAsia="Calibri" w:hAnsi="Calibri"/>
          <w:bCs/>
          <w:color w:val="0000FF"/>
        </w:rPr>
        <w:t xml:space="preserve">Rasch analysis produces fit statistics that show when unexpected responses are being produced by </w:t>
      </w:r>
      <w:r>
        <w:rPr>
          <w:rFonts w:ascii="Calibri" w:eastAsia="Calibri" w:hAnsi="Calibri"/>
          <w:bCs/>
          <w:color w:val="0000FF"/>
        </w:rPr>
        <w:t xml:space="preserve">individual </w:t>
      </w:r>
      <w:r w:rsidRPr="001B4B1B">
        <w:rPr>
          <w:rFonts w:ascii="Calibri" w:eastAsia="Calibri" w:hAnsi="Calibri"/>
          <w:bCs/>
          <w:color w:val="0000FF"/>
        </w:rPr>
        <w:t xml:space="preserve">items within </w:t>
      </w:r>
      <w:r>
        <w:rPr>
          <w:rFonts w:ascii="Calibri" w:eastAsia="Calibri" w:hAnsi="Calibri"/>
          <w:bCs/>
          <w:color w:val="0000FF"/>
        </w:rPr>
        <w:t>a set of items</w:t>
      </w:r>
      <w:r w:rsidRPr="001B4B1B">
        <w:rPr>
          <w:rFonts w:ascii="Calibri" w:eastAsia="Calibri" w:hAnsi="Calibri"/>
          <w:bCs/>
          <w:color w:val="0000FF"/>
        </w:rPr>
        <w:t>.</w:t>
      </w:r>
      <w:r>
        <w:rPr>
          <w:rFonts w:ascii="Calibri" w:eastAsia="Calibri" w:hAnsi="Calibri"/>
          <w:bCs/>
          <w:color w:val="0000FF"/>
        </w:rPr>
        <w:t xml:space="preserve"> </w:t>
      </w:r>
      <w:r w:rsidRPr="001B4B1B">
        <w:rPr>
          <w:rFonts w:ascii="Calibri" w:eastAsia="Calibri" w:hAnsi="Calibri"/>
          <w:bCs/>
          <w:color w:val="0000FF"/>
        </w:rPr>
        <w:t>Most of the items selected for the IRF self-care item set show the response pattern expected.</w:t>
      </w:r>
      <w:r w:rsidRPr="001B4B1B">
        <w:t xml:space="preserve"> </w:t>
      </w:r>
      <w:r w:rsidRPr="001B4B1B">
        <w:rPr>
          <w:rFonts w:ascii="Calibri" w:eastAsia="Calibri" w:hAnsi="Calibri"/>
          <w:color w:val="0000FF"/>
        </w:rPr>
        <w:t xml:space="preserve">The Rasch model expects the </w:t>
      </w:r>
      <w:r>
        <w:rPr>
          <w:rFonts w:ascii="Calibri" w:eastAsia="Calibri" w:hAnsi="Calibri"/>
          <w:color w:val="0000FF"/>
        </w:rPr>
        <w:t xml:space="preserve">challenging items </w:t>
      </w:r>
      <w:r w:rsidRPr="001B4B1B">
        <w:rPr>
          <w:rFonts w:ascii="Calibri" w:eastAsia="Calibri" w:hAnsi="Calibri"/>
          <w:color w:val="0000FF"/>
        </w:rPr>
        <w:t>to</w:t>
      </w:r>
      <w:r>
        <w:rPr>
          <w:rFonts w:ascii="Calibri" w:eastAsia="Calibri" w:hAnsi="Calibri"/>
          <w:color w:val="0000FF"/>
        </w:rPr>
        <w:t xml:space="preserve"> be</w:t>
      </w:r>
      <w:r w:rsidRPr="001B4B1B">
        <w:rPr>
          <w:rFonts w:ascii="Calibri" w:eastAsia="Calibri" w:hAnsi="Calibri"/>
          <w:color w:val="0000FF"/>
        </w:rPr>
        <w:t xml:space="preserve"> </w:t>
      </w:r>
      <w:r>
        <w:rPr>
          <w:rFonts w:ascii="Calibri" w:eastAsia="Calibri" w:hAnsi="Calibri"/>
          <w:color w:val="0000FF"/>
        </w:rPr>
        <w:t>difficult to complete</w:t>
      </w:r>
      <w:r w:rsidRPr="001B4B1B">
        <w:rPr>
          <w:rFonts w:ascii="Calibri" w:eastAsia="Calibri" w:hAnsi="Calibri"/>
          <w:color w:val="0000FF"/>
        </w:rPr>
        <w:t xml:space="preserve"> for all patients.</w:t>
      </w:r>
      <w:r>
        <w:rPr>
          <w:rFonts w:ascii="Calibri" w:eastAsia="Calibri" w:hAnsi="Calibri"/>
          <w:color w:val="0000FF"/>
        </w:rPr>
        <w:t xml:space="preserve"> </w:t>
      </w:r>
      <w:r w:rsidRPr="001B4B1B">
        <w:rPr>
          <w:rFonts w:ascii="Calibri" w:eastAsia="Calibri" w:hAnsi="Calibri"/>
          <w:color w:val="0000FF"/>
        </w:rPr>
        <w:t xml:space="preserve">In a similar way, patients with </w:t>
      </w:r>
      <w:r>
        <w:rPr>
          <w:rFonts w:ascii="Calibri" w:eastAsia="Calibri" w:hAnsi="Calibri"/>
          <w:color w:val="0000FF"/>
        </w:rPr>
        <w:t>more self-care</w:t>
      </w:r>
      <w:r w:rsidRPr="001B4B1B">
        <w:rPr>
          <w:rFonts w:ascii="Calibri" w:eastAsia="Calibri" w:hAnsi="Calibri"/>
          <w:color w:val="0000FF"/>
        </w:rPr>
        <w:t xml:space="preserve"> skills are expected to </w:t>
      </w:r>
      <w:r>
        <w:rPr>
          <w:rFonts w:ascii="Calibri" w:eastAsia="Calibri" w:hAnsi="Calibri"/>
          <w:color w:val="0000FF"/>
        </w:rPr>
        <w:t>have higher scores</w:t>
      </w:r>
      <w:r w:rsidRPr="001B4B1B">
        <w:rPr>
          <w:rFonts w:ascii="Calibri" w:eastAsia="Calibri" w:hAnsi="Calibri"/>
          <w:color w:val="0000FF"/>
        </w:rPr>
        <w:t xml:space="preserve"> on all items. Items that don’t seem to function this way could show misfit, or unexpected </w:t>
      </w:r>
      <w:r w:rsidRPr="00A9080F">
        <w:rPr>
          <w:rFonts w:ascii="Calibri" w:eastAsia="Calibri" w:hAnsi="Calibri"/>
          <w:color w:val="0000FF"/>
        </w:rPr>
        <w:t xml:space="preserve">responses. When we see many unexpected responses produced by an item, we need to think more about how the item is constructed and why it might be producing such unexpected responses. </w:t>
      </w:r>
      <w:r w:rsidRPr="00A9080F">
        <w:rPr>
          <w:color w:val="0000FF"/>
        </w:rPr>
        <w:t xml:space="preserve">There are two categories of fit, one designed more for outliers (outfit) and one designed for response unexpectedness of persons near </w:t>
      </w:r>
      <w:r w:rsidR="008F21AE">
        <w:rPr>
          <w:color w:val="0000FF"/>
        </w:rPr>
        <w:t>the item’s difficulty (</w:t>
      </w:r>
      <w:proofErr w:type="spellStart"/>
      <w:r w:rsidR="008F21AE">
        <w:rPr>
          <w:color w:val="0000FF"/>
        </w:rPr>
        <w:t>infit</w:t>
      </w:r>
      <w:proofErr w:type="spellEnd"/>
      <w:r w:rsidR="008F21AE">
        <w:rPr>
          <w:color w:val="0000FF"/>
        </w:rPr>
        <w:t xml:space="preserve">). </w:t>
      </w:r>
      <w:proofErr w:type="spellStart"/>
      <w:r w:rsidRPr="00A9080F">
        <w:rPr>
          <w:color w:val="0000FF"/>
        </w:rPr>
        <w:t>Infit</w:t>
      </w:r>
      <w:proofErr w:type="spellEnd"/>
      <w:r w:rsidRPr="00A9080F">
        <w:rPr>
          <w:color w:val="0000FF"/>
        </w:rPr>
        <w:t xml:space="preserve"> and outfit mean square values above 1.4 are considered to be unacceptably unexpected or “noisy” (Wright and Linacre, 1994) when looking at multiple-point response scales. Misfit seen near the item difficulty, or large values of </w:t>
      </w:r>
      <w:proofErr w:type="spellStart"/>
      <w:r w:rsidRPr="00A9080F">
        <w:rPr>
          <w:color w:val="0000FF"/>
        </w:rPr>
        <w:t>infit</w:t>
      </w:r>
      <w:proofErr w:type="spellEnd"/>
      <w:r w:rsidRPr="00A9080F">
        <w:rPr>
          <w:color w:val="0000FF"/>
        </w:rPr>
        <w:t>, are concerning because they indicate noise (unexpected responses) where the item should be the most productive for measurement. Items that do not elicit the expected responses are referred to as “</w:t>
      </w:r>
      <w:proofErr w:type="spellStart"/>
      <w:r w:rsidRPr="00A9080F">
        <w:rPr>
          <w:color w:val="0000FF"/>
        </w:rPr>
        <w:t>misfitting</w:t>
      </w:r>
      <w:proofErr w:type="spellEnd"/>
      <w:r>
        <w:rPr>
          <w:color w:val="0000FF"/>
        </w:rPr>
        <w:t>.</w:t>
      </w:r>
      <w:r w:rsidRPr="00A9080F">
        <w:rPr>
          <w:color w:val="0000FF"/>
        </w:rPr>
        <w:t xml:space="preserve">” </w:t>
      </w:r>
    </w:p>
    <w:p w14:paraId="4D093B35" w14:textId="74DA6CBF" w:rsidR="00B11E91" w:rsidRDefault="00B11E91" w:rsidP="00CD4237">
      <w:pPr>
        <w:spacing w:before="240" w:after="240" w:line="240" w:lineRule="auto"/>
        <w:rPr>
          <w:rFonts w:ascii="Calibri" w:eastAsia="Calibri" w:hAnsi="Calibri"/>
          <w:color w:val="0000FF"/>
        </w:rPr>
      </w:pPr>
      <w:r w:rsidRPr="00A9080F">
        <w:rPr>
          <w:rFonts w:ascii="Calibri" w:eastAsia="Calibri" w:hAnsi="Calibri"/>
          <w:color w:val="0000FF"/>
        </w:rPr>
        <w:t xml:space="preserve">Findings </w:t>
      </w:r>
      <w:r w:rsidR="009D386B">
        <w:rPr>
          <w:rFonts w:ascii="Calibri" w:eastAsia="Calibri" w:hAnsi="Calibri"/>
          <w:color w:val="0000FF"/>
        </w:rPr>
        <w:t>and</w:t>
      </w:r>
      <w:r w:rsidRPr="00A9080F">
        <w:rPr>
          <w:rFonts w:ascii="Calibri" w:eastAsia="Calibri" w:hAnsi="Calibri"/>
          <w:color w:val="0000FF"/>
        </w:rPr>
        <w:t xml:space="preserve"> Interpretation: Overall, the self-care item set is eliciting responses as expected. </w:t>
      </w:r>
      <w:r w:rsidRPr="00A9080F">
        <w:rPr>
          <w:rFonts w:ascii="Calibri" w:eastAsia="Calibri" w:hAnsi="Calibri"/>
          <w:b/>
          <w:bCs/>
          <w:color w:val="0000FF"/>
        </w:rPr>
        <w:t xml:space="preserve">Table </w:t>
      </w:r>
      <w:r w:rsidR="00EF6E95">
        <w:rPr>
          <w:rFonts w:ascii="Calibri" w:eastAsia="Calibri" w:hAnsi="Calibri"/>
          <w:b/>
          <w:bCs/>
          <w:color w:val="0000FF"/>
        </w:rPr>
        <w:t>3</w:t>
      </w:r>
      <w:r>
        <w:rPr>
          <w:rFonts w:ascii="Calibri" w:eastAsia="Calibri" w:hAnsi="Calibri"/>
          <w:b/>
          <w:bCs/>
          <w:color w:val="0000FF"/>
        </w:rPr>
        <w:t xml:space="preserve"> </w:t>
      </w:r>
      <w:r w:rsidRPr="003E46CA">
        <w:rPr>
          <w:rFonts w:ascii="Calibri" w:eastAsia="Calibri" w:hAnsi="Calibri"/>
          <w:color w:val="0000FF"/>
        </w:rPr>
        <w:t>reports</w:t>
      </w:r>
      <w:r w:rsidRPr="003E46CA">
        <w:rPr>
          <w:color w:val="0000FF"/>
        </w:rPr>
        <w:t xml:space="preserve"> </w:t>
      </w:r>
      <w:r w:rsidRPr="00A9080F">
        <w:rPr>
          <w:color w:val="0000FF"/>
        </w:rPr>
        <w:t xml:space="preserve">fit </w:t>
      </w:r>
      <w:r>
        <w:rPr>
          <w:color w:val="0000FF"/>
        </w:rPr>
        <w:t xml:space="preserve">statistics </w:t>
      </w:r>
      <w:r w:rsidRPr="00A9080F">
        <w:rPr>
          <w:color w:val="0000FF"/>
        </w:rPr>
        <w:t>for the self-care item</w:t>
      </w:r>
      <w:r>
        <w:rPr>
          <w:color w:val="0000FF"/>
        </w:rPr>
        <w:t>s</w:t>
      </w:r>
      <w:r w:rsidRPr="00A9080F">
        <w:rPr>
          <w:color w:val="0000FF"/>
        </w:rPr>
        <w:t xml:space="preserve"> and show that there </w:t>
      </w:r>
      <w:r>
        <w:rPr>
          <w:color w:val="0000FF"/>
        </w:rPr>
        <w:t xml:space="preserve">is only one </w:t>
      </w:r>
      <w:r w:rsidRPr="00A9080F">
        <w:rPr>
          <w:color w:val="0000FF"/>
        </w:rPr>
        <w:t>item</w:t>
      </w:r>
      <w:r>
        <w:rPr>
          <w:color w:val="0000FF"/>
        </w:rPr>
        <w:t xml:space="preserve">, </w:t>
      </w:r>
      <w:proofErr w:type="gramStart"/>
      <w:r>
        <w:rPr>
          <w:color w:val="0000FF"/>
        </w:rPr>
        <w:t>Eating</w:t>
      </w:r>
      <w:proofErr w:type="gramEnd"/>
      <w:r>
        <w:rPr>
          <w:color w:val="0000FF"/>
        </w:rPr>
        <w:t xml:space="preserve">, </w:t>
      </w:r>
      <w:r w:rsidRPr="00A9080F">
        <w:rPr>
          <w:color w:val="0000FF"/>
        </w:rPr>
        <w:t xml:space="preserve">with misfit statistics outside the acceptable range.  </w:t>
      </w:r>
      <w:r>
        <w:rPr>
          <w:color w:val="0000FF"/>
        </w:rPr>
        <w:t xml:space="preserve">The </w:t>
      </w:r>
      <w:r w:rsidR="002D7E4B">
        <w:rPr>
          <w:color w:val="0000FF"/>
        </w:rPr>
        <w:t>Eating item</w:t>
      </w:r>
      <w:r>
        <w:rPr>
          <w:color w:val="0000FF"/>
        </w:rPr>
        <w:t xml:space="preserve"> has been found to misfit in other function scales and may be related to patients </w:t>
      </w:r>
      <w:r w:rsidR="00CD4237">
        <w:rPr>
          <w:color w:val="0000FF"/>
        </w:rPr>
        <w:t xml:space="preserve">that </w:t>
      </w:r>
      <w:r>
        <w:rPr>
          <w:color w:val="0000FF"/>
        </w:rPr>
        <w:t>have a swallowing impairment.</w:t>
      </w:r>
    </w:p>
    <w:p w14:paraId="3979E402" w14:textId="77777777" w:rsidR="00E44F62" w:rsidRDefault="00E44F62">
      <w:pPr>
        <w:rPr>
          <w:b/>
          <w:bCs/>
          <w:color w:val="0000FF"/>
        </w:rPr>
      </w:pPr>
      <w:r>
        <w:rPr>
          <w:b/>
          <w:bCs/>
          <w:color w:val="0000FF"/>
        </w:rPr>
        <w:br w:type="page"/>
      </w:r>
    </w:p>
    <w:p w14:paraId="76314508" w14:textId="54E6E8B2" w:rsidR="00B11E91" w:rsidRDefault="00B11E91" w:rsidP="00F4127B">
      <w:pPr>
        <w:spacing w:after="0" w:line="240" w:lineRule="auto"/>
        <w:rPr>
          <w:rFonts w:ascii="Calibri" w:eastAsia="Calibri" w:hAnsi="Calibri" w:cs="Times New Roman"/>
          <w:b/>
          <w:bCs/>
          <w:color w:val="0000FF"/>
        </w:rPr>
      </w:pPr>
      <w:proofErr w:type="gramStart"/>
      <w:r w:rsidRPr="00EF6E95">
        <w:rPr>
          <w:b/>
          <w:bCs/>
          <w:color w:val="0000FF"/>
        </w:rPr>
        <w:lastRenderedPageBreak/>
        <w:t xml:space="preserve">Table </w:t>
      </w:r>
      <w:r w:rsidR="00EF6E95" w:rsidRPr="00EF6E95">
        <w:rPr>
          <w:b/>
          <w:bCs/>
          <w:color w:val="0000FF"/>
        </w:rPr>
        <w:t>3</w:t>
      </w:r>
      <w:r w:rsidRPr="00EF6E95">
        <w:rPr>
          <w:b/>
          <w:bCs/>
          <w:color w:val="0000FF"/>
        </w:rPr>
        <w:t>.</w:t>
      </w:r>
      <w:proofErr w:type="gramEnd"/>
      <w:r w:rsidRPr="00EF6E95">
        <w:rPr>
          <w:b/>
          <w:bCs/>
          <w:color w:val="0000FF"/>
        </w:rPr>
        <w:t xml:space="preserve"> Fit </w:t>
      </w:r>
      <w:r w:rsidR="00F4127B">
        <w:rPr>
          <w:b/>
          <w:bCs/>
          <w:color w:val="0000FF"/>
        </w:rPr>
        <w:t>Statistics for the S</w:t>
      </w:r>
      <w:r w:rsidRPr="00EF6E95">
        <w:rPr>
          <w:b/>
          <w:bCs/>
          <w:color w:val="0000FF"/>
        </w:rPr>
        <w:t xml:space="preserve">elf-Care items (n = </w:t>
      </w:r>
      <w:r w:rsidRPr="00EF6E95">
        <w:rPr>
          <w:rFonts w:ascii="Calibri" w:eastAsia="Calibri" w:hAnsi="Calibri" w:cs="Times New Roman"/>
          <w:b/>
          <w:bCs/>
          <w:color w:val="0000FF"/>
        </w:rPr>
        <w:t>5,129)</w:t>
      </w:r>
    </w:p>
    <w:p w14:paraId="1EC4A4D1" w14:textId="77777777" w:rsidR="00400C0E" w:rsidRPr="00EF6E95" w:rsidRDefault="00400C0E" w:rsidP="00EF6E95">
      <w:pPr>
        <w:spacing w:after="0" w:line="240" w:lineRule="auto"/>
        <w:rPr>
          <w:b/>
          <w:bCs/>
          <w:color w:val="0000FF"/>
        </w:rPr>
      </w:pPr>
    </w:p>
    <w:tbl>
      <w:tblPr>
        <w:tblW w:w="9014" w:type="dxa"/>
        <w:tblInd w:w="93" w:type="dxa"/>
        <w:tblLook w:val="04A0" w:firstRow="1" w:lastRow="0" w:firstColumn="1" w:lastColumn="0" w:noHBand="0" w:noVBand="1"/>
      </w:tblPr>
      <w:tblGrid>
        <w:gridCol w:w="2213"/>
        <w:gridCol w:w="1124"/>
        <w:gridCol w:w="1126"/>
        <w:gridCol w:w="1125"/>
        <w:gridCol w:w="1128"/>
        <w:gridCol w:w="1286"/>
        <w:gridCol w:w="1012"/>
      </w:tblGrid>
      <w:tr w:rsidR="00B11E91" w:rsidRPr="00DF791F" w14:paraId="4EA3EC34" w14:textId="77777777" w:rsidTr="00F263FF">
        <w:trPr>
          <w:trHeight w:val="232"/>
        </w:trPr>
        <w:tc>
          <w:tcPr>
            <w:tcW w:w="2213" w:type="dxa"/>
            <w:tcBorders>
              <w:top w:val="single" w:sz="4" w:space="0" w:color="auto"/>
              <w:left w:val="nil"/>
              <w:bottom w:val="single" w:sz="4" w:space="0" w:color="auto"/>
              <w:right w:val="nil"/>
            </w:tcBorders>
            <w:shd w:val="clear" w:color="auto" w:fill="auto"/>
            <w:vAlign w:val="bottom"/>
          </w:tcPr>
          <w:p w14:paraId="439F382A" w14:textId="77777777" w:rsidR="00B11E91" w:rsidRPr="00A9080F" w:rsidRDefault="00B11E91" w:rsidP="00AD4168">
            <w:pPr>
              <w:spacing w:after="0" w:line="240" w:lineRule="auto"/>
              <w:jc w:val="center"/>
              <w:rPr>
                <w:rFonts w:eastAsia="Times New Roman" w:cs="Times New Roman"/>
                <w:color w:val="0000FF"/>
              </w:rPr>
            </w:pPr>
          </w:p>
        </w:tc>
        <w:tc>
          <w:tcPr>
            <w:tcW w:w="2250" w:type="dxa"/>
            <w:gridSpan w:val="2"/>
            <w:tcBorders>
              <w:top w:val="single" w:sz="4" w:space="0" w:color="auto"/>
              <w:left w:val="nil"/>
              <w:bottom w:val="single" w:sz="4" w:space="0" w:color="auto"/>
            </w:tcBorders>
            <w:vAlign w:val="center"/>
          </w:tcPr>
          <w:p w14:paraId="4E3A85A3" w14:textId="77777777" w:rsidR="00B11E91" w:rsidRPr="00A9080F" w:rsidRDefault="00B11E91" w:rsidP="00AD4168">
            <w:pPr>
              <w:spacing w:after="0" w:line="240" w:lineRule="auto"/>
              <w:jc w:val="center"/>
              <w:rPr>
                <w:rFonts w:eastAsia="Times New Roman" w:cs="Times New Roman"/>
                <w:b/>
                <w:bCs/>
                <w:color w:val="0000FF"/>
              </w:rPr>
            </w:pPr>
            <w:r w:rsidRPr="00A9080F">
              <w:rPr>
                <w:rFonts w:eastAsia="Times New Roman" w:cs="Times New Roman"/>
                <w:b/>
                <w:bCs/>
                <w:color w:val="0000FF"/>
              </w:rPr>
              <w:t>Admission and Discharge</w:t>
            </w:r>
          </w:p>
        </w:tc>
        <w:tc>
          <w:tcPr>
            <w:tcW w:w="2253" w:type="dxa"/>
            <w:gridSpan w:val="2"/>
            <w:tcBorders>
              <w:top w:val="single" w:sz="4" w:space="0" w:color="auto"/>
              <w:bottom w:val="single" w:sz="4" w:space="0" w:color="auto"/>
            </w:tcBorders>
            <w:vAlign w:val="center"/>
          </w:tcPr>
          <w:p w14:paraId="3625AB03" w14:textId="77777777" w:rsidR="00B11E91" w:rsidRPr="00A9080F" w:rsidRDefault="00B11E91" w:rsidP="00AD4168">
            <w:pPr>
              <w:spacing w:after="0" w:line="240" w:lineRule="auto"/>
              <w:jc w:val="center"/>
              <w:rPr>
                <w:rFonts w:eastAsia="Times New Roman" w:cs="Times New Roman"/>
                <w:b/>
                <w:bCs/>
                <w:color w:val="0000FF"/>
              </w:rPr>
            </w:pPr>
            <w:r w:rsidRPr="00A9080F">
              <w:rPr>
                <w:rFonts w:eastAsia="Times New Roman" w:cs="Times New Roman"/>
                <w:b/>
                <w:bCs/>
                <w:color w:val="0000FF"/>
              </w:rPr>
              <w:t>Admission</w:t>
            </w:r>
          </w:p>
        </w:tc>
        <w:tc>
          <w:tcPr>
            <w:tcW w:w="2298" w:type="dxa"/>
            <w:gridSpan w:val="2"/>
            <w:tcBorders>
              <w:top w:val="single" w:sz="4" w:space="0" w:color="auto"/>
              <w:bottom w:val="single" w:sz="4" w:space="0" w:color="auto"/>
            </w:tcBorders>
            <w:vAlign w:val="center"/>
          </w:tcPr>
          <w:p w14:paraId="5E1E6209" w14:textId="77777777" w:rsidR="00B11E91" w:rsidRPr="00A9080F" w:rsidRDefault="00B11E91" w:rsidP="00AD4168">
            <w:pPr>
              <w:spacing w:after="0" w:line="240" w:lineRule="auto"/>
              <w:jc w:val="center"/>
              <w:rPr>
                <w:rFonts w:eastAsia="Times New Roman" w:cs="Times New Roman"/>
                <w:b/>
                <w:bCs/>
                <w:color w:val="0000FF"/>
              </w:rPr>
            </w:pPr>
            <w:r w:rsidRPr="00A9080F">
              <w:rPr>
                <w:rFonts w:eastAsia="Times New Roman" w:cs="Times New Roman"/>
                <w:b/>
                <w:bCs/>
                <w:color w:val="0000FF"/>
              </w:rPr>
              <w:t>Discharge</w:t>
            </w:r>
          </w:p>
        </w:tc>
      </w:tr>
      <w:tr w:rsidR="00B11E91" w:rsidRPr="00DF791F" w14:paraId="1D849155" w14:textId="77777777" w:rsidTr="00AD4168">
        <w:trPr>
          <w:trHeight w:val="541"/>
        </w:trPr>
        <w:tc>
          <w:tcPr>
            <w:tcW w:w="2213" w:type="dxa"/>
            <w:tcBorders>
              <w:top w:val="nil"/>
              <w:left w:val="nil"/>
              <w:bottom w:val="single" w:sz="4" w:space="0" w:color="auto"/>
              <w:right w:val="nil"/>
            </w:tcBorders>
            <w:shd w:val="clear" w:color="auto" w:fill="auto"/>
            <w:vAlign w:val="center"/>
            <w:hideMark/>
          </w:tcPr>
          <w:p w14:paraId="01A9672D" w14:textId="77777777" w:rsidR="00B11E91" w:rsidRPr="00A9080F" w:rsidRDefault="00B11E91" w:rsidP="00AD4168">
            <w:pPr>
              <w:spacing w:after="0" w:line="240" w:lineRule="auto"/>
              <w:jc w:val="center"/>
              <w:rPr>
                <w:rFonts w:eastAsia="Times New Roman" w:cs="Times New Roman"/>
                <w:color w:val="0000FF"/>
              </w:rPr>
            </w:pPr>
            <w:r w:rsidRPr="00A9080F">
              <w:rPr>
                <w:rFonts w:eastAsia="Times New Roman" w:cs="Times New Roman"/>
                <w:color w:val="0000FF"/>
              </w:rPr>
              <w:t>Item</w:t>
            </w:r>
          </w:p>
        </w:tc>
        <w:tc>
          <w:tcPr>
            <w:tcW w:w="1124" w:type="dxa"/>
            <w:tcBorders>
              <w:top w:val="single" w:sz="4" w:space="0" w:color="auto"/>
              <w:left w:val="nil"/>
              <w:bottom w:val="single" w:sz="4" w:space="0" w:color="auto"/>
            </w:tcBorders>
            <w:vAlign w:val="center"/>
          </w:tcPr>
          <w:p w14:paraId="5AE7EC7B" w14:textId="77777777" w:rsidR="00B11E91" w:rsidRPr="00A9080F" w:rsidRDefault="00B11E91" w:rsidP="00AD4168">
            <w:pPr>
              <w:spacing w:after="0" w:line="240" w:lineRule="auto"/>
              <w:jc w:val="center"/>
              <w:rPr>
                <w:rFonts w:eastAsia="Times New Roman" w:cs="Times New Roman"/>
                <w:color w:val="0000FF"/>
              </w:rPr>
            </w:pPr>
            <w:proofErr w:type="spellStart"/>
            <w:r w:rsidRPr="00A9080F">
              <w:rPr>
                <w:rFonts w:eastAsia="Times New Roman" w:cs="Times New Roman"/>
                <w:color w:val="0000FF"/>
              </w:rPr>
              <w:t>Infit</w:t>
            </w:r>
            <w:proofErr w:type="spellEnd"/>
            <w:r w:rsidRPr="00A9080F">
              <w:rPr>
                <w:rFonts w:eastAsia="Times New Roman" w:cs="Times New Roman"/>
                <w:color w:val="0000FF"/>
              </w:rPr>
              <w:t xml:space="preserve"> </w:t>
            </w:r>
            <w:r>
              <w:rPr>
                <w:rFonts w:eastAsia="Times New Roman" w:cs="Times New Roman"/>
                <w:color w:val="0000FF"/>
              </w:rPr>
              <w:t>mean square</w:t>
            </w:r>
          </w:p>
        </w:tc>
        <w:tc>
          <w:tcPr>
            <w:tcW w:w="1126" w:type="dxa"/>
            <w:tcBorders>
              <w:top w:val="single" w:sz="4" w:space="0" w:color="auto"/>
              <w:left w:val="nil"/>
              <w:bottom w:val="single" w:sz="4" w:space="0" w:color="auto"/>
            </w:tcBorders>
            <w:vAlign w:val="center"/>
          </w:tcPr>
          <w:p w14:paraId="0E68214D" w14:textId="77777777" w:rsidR="00B11E91" w:rsidRPr="00A9080F" w:rsidRDefault="00B11E91" w:rsidP="00AD4168">
            <w:pPr>
              <w:spacing w:after="0" w:line="240" w:lineRule="auto"/>
              <w:jc w:val="center"/>
              <w:rPr>
                <w:rFonts w:eastAsia="Times New Roman" w:cs="Times New Roman"/>
                <w:color w:val="0000FF"/>
              </w:rPr>
            </w:pPr>
            <w:r w:rsidRPr="00A9080F">
              <w:rPr>
                <w:rFonts w:eastAsia="Times New Roman" w:cs="Times New Roman"/>
                <w:color w:val="0000FF"/>
              </w:rPr>
              <w:t xml:space="preserve">Outfit </w:t>
            </w:r>
            <w:r>
              <w:rPr>
                <w:rFonts w:eastAsia="Times New Roman" w:cs="Times New Roman"/>
                <w:color w:val="0000FF"/>
              </w:rPr>
              <w:t>mean square</w:t>
            </w:r>
          </w:p>
        </w:tc>
        <w:tc>
          <w:tcPr>
            <w:tcW w:w="1125" w:type="dxa"/>
            <w:tcBorders>
              <w:top w:val="single" w:sz="4" w:space="0" w:color="auto"/>
              <w:left w:val="nil"/>
              <w:bottom w:val="single" w:sz="4" w:space="0" w:color="auto"/>
            </w:tcBorders>
            <w:vAlign w:val="center"/>
          </w:tcPr>
          <w:p w14:paraId="4BD23427" w14:textId="77777777" w:rsidR="00B11E91" w:rsidRPr="00A9080F" w:rsidRDefault="00B11E91" w:rsidP="00AD4168">
            <w:pPr>
              <w:spacing w:after="0" w:line="240" w:lineRule="auto"/>
              <w:jc w:val="center"/>
              <w:rPr>
                <w:rFonts w:eastAsia="Times New Roman" w:cs="Times New Roman"/>
                <w:color w:val="0000FF"/>
              </w:rPr>
            </w:pPr>
            <w:proofErr w:type="spellStart"/>
            <w:r w:rsidRPr="00A9080F">
              <w:rPr>
                <w:rFonts w:eastAsia="Times New Roman" w:cs="Times New Roman"/>
                <w:color w:val="0000FF"/>
              </w:rPr>
              <w:t>Infit</w:t>
            </w:r>
            <w:proofErr w:type="spellEnd"/>
            <w:r w:rsidRPr="00A9080F">
              <w:rPr>
                <w:rFonts w:eastAsia="Times New Roman" w:cs="Times New Roman"/>
                <w:color w:val="0000FF"/>
              </w:rPr>
              <w:t xml:space="preserve"> </w:t>
            </w:r>
            <w:r>
              <w:rPr>
                <w:rFonts w:eastAsia="Times New Roman" w:cs="Times New Roman"/>
                <w:color w:val="0000FF"/>
              </w:rPr>
              <w:t>mean square</w:t>
            </w:r>
          </w:p>
        </w:tc>
        <w:tc>
          <w:tcPr>
            <w:tcW w:w="1128" w:type="dxa"/>
            <w:tcBorders>
              <w:top w:val="single" w:sz="4" w:space="0" w:color="auto"/>
              <w:left w:val="nil"/>
              <w:bottom w:val="single" w:sz="4" w:space="0" w:color="auto"/>
            </w:tcBorders>
            <w:vAlign w:val="center"/>
          </w:tcPr>
          <w:p w14:paraId="5A27AA50" w14:textId="77777777" w:rsidR="00B11E91" w:rsidRPr="00A9080F" w:rsidRDefault="00B11E91" w:rsidP="00AD4168">
            <w:pPr>
              <w:spacing w:after="0" w:line="240" w:lineRule="auto"/>
              <w:jc w:val="center"/>
              <w:rPr>
                <w:rFonts w:eastAsia="Times New Roman" w:cs="Times New Roman"/>
                <w:color w:val="0000FF"/>
              </w:rPr>
            </w:pPr>
            <w:r w:rsidRPr="00A9080F">
              <w:rPr>
                <w:rFonts w:eastAsia="Times New Roman" w:cs="Times New Roman"/>
                <w:color w:val="0000FF"/>
              </w:rPr>
              <w:t xml:space="preserve">Outfit </w:t>
            </w:r>
            <w:r>
              <w:rPr>
                <w:rFonts w:eastAsia="Times New Roman" w:cs="Times New Roman"/>
                <w:color w:val="0000FF"/>
              </w:rPr>
              <w:t>mean square</w:t>
            </w:r>
          </w:p>
        </w:tc>
        <w:tc>
          <w:tcPr>
            <w:tcW w:w="1286" w:type="dxa"/>
            <w:tcBorders>
              <w:top w:val="single" w:sz="4" w:space="0" w:color="auto"/>
              <w:left w:val="nil"/>
              <w:bottom w:val="single" w:sz="4" w:space="0" w:color="auto"/>
            </w:tcBorders>
            <w:vAlign w:val="center"/>
          </w:tcPr>
          <w:p w14:paraId="3EBD995A" w14:textId="77777777" w:rsidR="00B11E91" w:rsidRDefault="00B11E91" w:rsidP="00AD4168">
            <w:pPr>
              <w:spacing w:after="0" w:line="240" w:lineRule="auto"/>
              <w:jc w:val="center"/>
              <w:rPr>
                <w:rFonts w:eastAsia="Times New Roman" w:cs="Times New Roman"/>
                <w:color w:val="0000FF"/>
              </w:rPr>
            </w:pPr>
            <w:proofErr w:type="spellStart"/>
            <w:r w:rsidRPr="00A9080F">
              <w:rPr>
                <w:rFonts w:eastAsia="Times New Roman" w:cs="Times New Roman"/>
                <w:color w:val="0000FF"/>
              </w:rPr>
              <w:t>Infit</w:t>
            </w:r>
            <w:proofErr w:type="spellEnd"/>
            <w:r w:rsidRPr="00A9080F">
              <w:rPr>
                <w:rFonts w:eastAsia="Times New Roman" w:cs="Times New Roman"/>
                <w:color w:val="0000FF"/>
              </w:rPr>
              <w:t xml:space="preserve"> </w:t>
            </w:r>
          </w:p>
          <w:p w14:paraId="0AB0E6D1" w14:textId="77777777" w:rsidR="00B11E91" w:rsidRPr="00A9080F" w:rsidRDefault="00B11E91" w:rsidP="00AD4168">
            <w:pPr>
              <w:spacing w:after="0" w:line="240" w:lineRule="auto"/>
              <w:jc w:val="center"/>
              <w:rPr>
                <w:rFonts w:eastAsia="Times New Roman" w:cs="Times New Roman"/>
                <w:color w:val="0000FF"/>
              </w:rPr>
            </w:pPr>
            <w:r>
              <w:rPr>
                <w:rFonts w:eastAsia="Times New Roman" w:cs="Times New Roman"/>
                <w:color w:val="0000FF"/>
              </w:rPr>
              <w:t>mean square</w:t>
            </w:r>
          </w:p>
        </w:tc>
        <w:tc>
          <w:tcPr>
            <w:tcW w:w="1012" w:type="dxa"/>
            <w:tcBorders>
              <w:top w:val="single" w:sz="4" w:space="0" w:color="auto"/>
              <w:left w:val="nil"/>
              <w:bottom w:val="single" w:sz="4" w:space="0" w:color="auto"/>
            </w:tcBorders>
            <w:vAlign w:val="center"/>
          </w:tcPr>
          <w:p w14:paraId="3F93A097" w14:textId="77777777" w:rsidR="00B11E91" w:rsidRPr="00A9080F" w:rsidRDefault="00B11E91" w:rsidP="00AD4168">
            <w:pPr>
              <w:spacing w:after="0" w:line="240" w:lineRule="auto"/>
              <w:jc w:val="center"/>
              <w:rPr>
                <w:rFonts w:eastAsia="Times New Roman" w:cs="Times New Roman"/>
                <w:color w:val="0000FF"/>
              </w:rPr>
            </w:pPr>
            <w:r w:rsidRPr="00A9080F">
              <w:rPr>
                <w:rFonts w:eastAsia="Times New Roman" w:cs="Times New Roman"/>
                <w:color w:val="0000FF"/>
              </w:rPr>
              <w:t xml:space="preserve">Outfit </w:t>
            </w:r>
            <w:r>
              <w:rPr>
                <w:rFonts w:eastAsia="Times New Roman" w:cs="Times New Roman"/>
                <w:color w:val="0000FF"/>
              </w:rPr>
              <w:t>mean square</w:t>
            </w:r>
          </w:p>
        </w:tc>
      </w:tr>
      <w:tr w:rsidR="00B11E91" w:rsidRPr="00DF791F" w14:paraId="445E4FEC" w14:textId="77777777" w:rsidTr="00AD4168">
        <w:trPr>
          <w:trHeight w:val="310"/>
        </w:trPr>
        <w:tc>
          <w:tcPr>
            <w:tcW w:w="2213" w:type="dxa"/>
            <w:tcBorders>
              <w:top w:val="nil"/>
              <w:left w:val="nil"/>
              <w:bottom w:val="nil"/>
              <w:right w:val="nil"/>
            </w:tcBorders>
            <w:shd w:val="clear" w:color="auto" w:fill="auto"/>
            <w:vAlign w:val="bottom"/>
            <w:hideMark/>
          </w:tcPr>
          <w:p w14:paraId="01C82081" w14:textId="77777777" w:rsidR="00B11E91" w:rsidRPr="00A9080F" w:rsidRDefault="00B11E91" w:rsidP="00AD4168">
            <w:pPr>
              <w:spacing w:after="0" w:line="240" w:lineRule="auto"/>
              <w:rPr>
                <w:rFonts w:eastAsia="Times New Roman" w:cs="Times New Roman"/>
                <w:color w:val="0000FF"/>
              </w:rPr>
            </w:pPr>
            <w:r w:rsidRPr="00A9080F">
              <w:rPr>
                <w:rFonts w:eastAsia="Times New Roman" w:cs="Times New Roman"/>
                <w:color w:val="0000FF"/>
              </w:rPr>
              <w:t>Eating</w:t>
            </w:r>
          </w:p>
        </w:tc>
        <w:tc>
          <w:tcPr>
            <w:tcW w:w="1124" w:type="dxa"/>
            <w:tcBorders>
              <w:top w:val="single" w:sz="4" w:space="0" w:color="auto"/>
              <w:left w:val="nil"/>
              <w:bottom w:val="nil"/>
            </w:tcBorders>
            <w:shd w:val="clear" w:color="000000" w:fill="auto"/>
            <w:vAlign w:val="bottom"/>
          </w:tcPr>
          <w:p w14:paraId="7593B84C" w14:textId="77777777" w:rsidR="00B11E91" w:rsidRPr="00A9080F" w:rsidRDefault="00B11E91" w:rsidP="00AD4168">
            <w:pPr>
              <w:spacing w:after="0" w:line="240" w:lineRule="auto"/>
              <w:jc w:val="center"/>
              <w:rPr>
                <w:rFonts w:eastAsia="Times New Roman" w:cs="Times New Roman"/>
                <w:color w:val="0000FF"/>
              </w:rPr>
            </w:pPr>
            <w:r w:rsidRPr="00A9080F">
              <w:rPr>
                <w:color w:val="0000FF"/>
              </w:rPr>
              <w:t>1.28</w:t>
            </w:r>
          </w:p>
        </w:tc>
        <w:tc>
          <w:tcPr>
            <w:tcW w:w="1126" w:type="dxa"/>
            <w:tcBorders>
              <w:top w:val="single" w:sz="4" w:space="0" w:color="auto"/>
              <w:left w:val="nil"/>
              <w:bottom w:val="nil"/>
            </w:tcBorders>
            <w:shd w:val="clear" w:color="auto" w:fill="F2F2F2" w:themeFill="background1" w:themeFillShade="F2"/>
            <w:vAlign w:val="bottom"/>
          </w:tcPr>
          <w:p w14:paraId="3F1227BC" w14:textId="77777777" w:rsidR="00B11E91" w:rsidRPr="00A9080F" w:rsidRDefault="00B11E91" w:rsidP="00AD4168">
            <w:pPr>
              <w:spacing w:after="0" w:line="240" w:lineRule="auto"/>
              <w:jc w:val="center"/>
              <w:rPr>
                <w:rFonts w:eastAsia="Times New Roman" w:cs="Times New Roman"/>
                <w:color w:val="0000FF"/>
              </w:rPr>
            </w:pPr>
            <w:r w:rsidRPr="00A9080F">
              <w:rPr>
                <w:color w:val="0000FF"/>
              </w:rPr>
              <w:t>1.64</w:t>
            </w:r>
          </w:p>
        </w:tc>
        <w:tc>
          <w:tcPr>
            <w:tcW w:w="1125" w:type="dxa"/>
            <w:tcBorders>
              <w:top w:val="single" w:sz="4" w:space="0" w:color="auto"/>
              <w:left w:val="nil"/>
              <w:bottom w:val="nil"/>
            </w:tcBorders>
            <w:shd w:val="clear" w:color="000000" w:fill="auto"/>
            <w:vAlign w:val="bottom"/>
          </w:tcPr>
          <w:p w14:paraId="368B25E6" w14:textId="77777777" w:rsidR="00B11E91" w:rsidRPr="00A9080F" w:rsidRDefault="00B11E91" w:rsidP="00AD4168">
            <w:pPr>
              <w:spacing w:after="0" w:line="240" w:lineRule="auto"/>
              <w:jc w:val="center"/>
              <w:rPr>
                <w:rFonts w:eastAsia="Times New Roman" w:cs="Times New Roman"/>
                <w:color w:val="0000FF"/>
              </w:rPr>
            </w:pPr>
            <w:r w:rsidRPr="00A9080F">
              <w:rPr>
                <w:color w:val="0000FF"/>
              </w:rPr>
              <w:t>1.33</w:t>
            </w:r>
          </w:p>
        </w:tc>
        <w:tc>
          <w:tcPr>
            <w:tcW w:w="1128" w:type="dxa"/>
            <w:tcBorders>
              <w:top w:val="single" w:sz="4" w:space="0" w:color="auto"/>
              <w:left w:val="nil"/>
              <w:bottom w:val="nil"/>
            </w:tcBorders>
            <w:shd w:val="clear" w:color="auto" w:fill="F2F2F2" w:themeFill="background1" w:themeFillShade="F2"/>
            <w:vAlign w:val="bottom"/>
          </w:tcPr>
          <w:p w14:paraId="1339B0CA" w14:textId="77777777" w:rsidR="00B11E91" w:rsidRPr="00A9080F" w:rsidRDefault="00B11E91" w:rsidP="00AD4168">
            <w:pPr>
              <w:spacing w:after="0" w:line="240" w:lineRule="auto"/>
              <w:jc w:val="center"/>
              <w:rPr>
                <w:rFonts w:eastAsia="Times New Roman" w:cs="Times New Roman"/>
                <w:color w:val="0000FF"/>
              </w:rPr>
            </w:pPr>
            <w:r w:rsidRPr="00A9080F">
              <w:rPr>
                <w:color w:val="0000FF"/>
              </w:rPr>
              <w:t>1.42</w:t>
            </w:r>
          </w:p>
        </w:tc>
        <w:tc>
          <w:tcPr>
            <w:tcW w:w="1286" w:type="dxa"/>
            <w:tcBorders>
              <w:top w:val="single" w:sz="4" w:space="0" w:color="auto"/>
              <w:left w:val="nil"/>
              <w:bottom w:val="nil"/>
            </w:tcBorders>
            <w:shd w:val="clear" w:color="000000" w:fill="auto"/>
            <w:vAlign w:val="bottom"/>
          </w:tcPr>
          <w:p w14:paraId="273FECC2" w14:textId="77777777" w:rsidR="00B11E91" w:rsidRPr="00A9080F" w:rsidRDefault="00B11E91" w:rsidP="00AD4168">
            <w:pPr>
              <w:spacing w:after="0" w:line="240" w:lineRule="auto"/>
              <w:jc w:val="center"/>
              <w:rPr>
                <w:rFonts w:eastAsia="Times New Roman" w:cs="Times New Roman"/>
                <w:color w:val="0000FF"/>
              </w:rPr>
            </w:pPr>
            <w:r w:rsidRPr="00A9080F">
              <w:rPr>
                <w:color w:val="0000FF"/>
              </w:rPr>
              <w:t>1.26</w:t>
            </w:r>
          </w:p>
        </w:tc>
        <w:tc>
          <w:tcPr>
            <w:tcW w:w="1012" w:type="dxa"/>
            <w:tcBorders>
              <w:top w:val="single" w:sz="4" w:space="0" w:color="auto"/>
              <w:left w:val="nil"/>
              <w:bottom w:val="nil"/>
            </w:tcBorders>
            <w:shd w:val="clear" w:color="auto" w:fill="F2F2F2" w:themeFill="background1" w:themeFillShade="F2"/>
            <w:vAlign w:val="bottom"/>
          </w:tcPr>
          <w:p w14:paraId="5A6A8ADE" w14:textId="77777777" w:rsidR="00B11E91" w:rsidRPr="00A9080F" w:rsidRDefault="00B11E91" w:rsidP="00AD4168">
            <w:pPr>
              <w:spacing w:after="0" w:line="240" w:lineRule="auto"/>
              <w:jc w:val="center"/>
              <w:rPr>
                <w:rFonts w:eastAsia="Times New Roman" w:cs="Times New Roman"/>
                <w:color w:val="0000FF"/>
              </w:rPr>
            </w:pPr>
            <w:r w:rsidRPr="00A9080F">
              <w:rPr>
                <w:color w:val="0000FF"/>
              </w:rPr>
              <w:t>1.61</w:t>
            </w:r>
          </w:p>
        </w:tc>
      </w:tr>
      <w:tr w:rsidR="00B11E91" w:rsidRPr="00DF791F" w14:paraId="6556F84B" w14:textId="77777777" w:rsidTr="00AD4168">
        <w:trPr>
          <w:trHeight w:val="310"/>
        </w:trPr>
        <w:tc>
          <w:tcPr>
            <w:tcW w:w="2213" w:type="dxa"/>
            <w:tcBorders>
              <w:top w:val="nil"/>
              <w:left w:val="nil"/>
              <w:bottom w:val="nil"/>
              <w:right w:val="nil"/>
            </w:tcBorders>
            <w:shd w:val="clear" w:color="auto" w:fill="auto"/>
            <w:vAlign w:val="bottom"/>
            <w:hideMark/>
          </w:tcPr>
          <w:p w14:paraId="712CF270" w14:textId="39AD70EB" w:rsidR="00B11E91" w:rsidRPr="00A9080F" w:rsidRDefault="00B11E91" w:rsidP="00DF1E5E">
            <w:pPr>
              <w:spacing w:after="0" w:line="240" w:lineRule="auto"/>
              <w:rPr>
                <w:rFonts w:eastAsia="Times New Roman" w:cs="Times New Roman"/>
                <w:color w:val="0000FF"/>
              </w:rPr>
            </w:pPr>
            <w:r w:rsidRPr="00A9080F">
              <w:rPr>
                <w:rFonts w:eastAsia="Times New Roman" w:cs="Times New Roman"/>
                <w:color w:val="0000FF"/>
              </w:rPr>
              <w:t xml:space="preserve">Oral </w:t>
            </w:r>
            <w:r w:rsidR="00DF1E5E">
              <w:rPr>
                <w:rFonts w:eastAsia="Times New Roman" w:cs="Times New Roman"/>
                <w:color w:val="0000FF"/>
              </w:rPr>
              <w:t>h</w:t>
            </w:r>
            <w:r w:rsidRPr="00A9080F">
              <w:rPr>
                <w:rFonts w:eastAsia="Times New Roman" w:cs="Times New Roman"/>
                <w:color w:val="0000FF"/>
              </w:rPr>
              <w:t>ygiene</w:t>
            </w:r>
          </w:p>
        </w:tc>
        <w:tc>
          <w:tcPr>
            <w:tcW w:w="1124" w:type="dxa"/>
            <w:tcBorders>
              <w:top w:val="nil"/>
              <w:left w:val="nil"/>
              <w:bottom w:val="nil"/>
            </w:tcBorders>
            <w:vAlign w:val="bottom"/>
          </w:tcPr>
          <w:p w14:paraId="645DAD7E" w14:textId="77777777" w:rsidR="00B11E91" w:rsidRPr="00A9080F" w:rsidRDefault="00B11E91" w:rsidP="00AD4168">
            <w:pPr>
              <w:spacing w:after="0" w:line="240" w:lineRule="auto"/>
              <w:jc w:val="center"/>
              <w:rPr>
                <w:rFonts w:eastAsia="Times New Roman" w:cs="Times New Roman"/>
                <w:color w:val="0000FF"/>
              </w:rPr>
            </w:pPr>
            <w:r w:rsidRPr="00A9080F">
              <w:rPr>
                <w:color w:val="0000FF"/>
              </w:rPr>
              <w:t>1.02</w:t>
            </w:r>
          </w:p>
        </w:tc>
        <w:tc>
          <w:tcPr>
            <w:tcW w:w="1126" w:type="dxa"/>
            <w:tcBorders>
              <w:top w:val="nil"/>
              <w:left w:val="nil"/>
              <w:bottom w:val="nil"/>
            </w:tcBorders>
            <w:vAlign w:val="bottom"/>
          </w:tcPr>
          <w:p w14:paraId="78D5AFE2" w14:textId="77777777" w:rsidR="00B11E91" w:rsidRPr="00A9080F" w:rsidRDefault="00B11E91" w:rsidP="00AD4168">
            <w:pPr>
              <w:spacing w:after="0" w:line="240" w:lineRule="auto"/>
              <w:jc w:val="center"/>
              <w:rPr>
                <w:rFonts w:eastAsia="Times New Roman" w:cs="Times New Roman"/>
                <w:color w:val="0000FF"/>
              </w:rPr>
            </w:pPr>
            <w:r w:rsidRPr="00A9080F">
              <w:rPr>
                <w:color w:val="0000FF"/>
              </w:rPr>
              <w:t>1.03</w:t>
            </w:r>
          </w:p>
        </w:tc>
        <w:tc>
          <w:tcPr>
            <w:tcW w:w="1125" w:type="dxa"/>
            <w:tcBorders>
              <w:top w:val="nil"/>
              <w:left w:val="nil"/>
              <w:bottom w:val="nil"/>
            </w:tcBorders>
            <w:vAlign w:val="bottom"/>
          </w:tcPr>
          <w:p w14:paraId="38C96DA2" w14:textId="77777777" w:rsidR="00B11E91" w:rsidRPr="00A9080F" w:rsidRDefault="00B11E91" w:rsidP="00AD4168">
            <w:pPr>
              <w:spacing w:after="0" w:line="240" w:lineRule="auto"/>
              <w:jc w:val="center"/>
              <w:rPr>
                <w:rFonts w:eastAsia="Times New Roman" w:cs="Times New Roman"/>
                <w:color w:val="0000FF"/>
              </w:rPr>
            </w:pPr>
            <w:r w:rsidRPr="00A9080F">
              <w:rPr>
                <w:color w:val="0000FF"/>
              </w:rPr>
              <w:t>1.01</w:t>
            </w:r>
          </w:p>
        </w:tc>
        <w:tc>
          <w:tcPr>
            <w:tcW w:w="1128" w:type="dxa"/>
            <w:tcBorders>
              <w:top w:val="nil"/>
              <w:left w:val="nil"/>
              <w:bottom w:val="nil"/>
            </w:tcBorders>
            <w:vAlign w:val="bottom"/>
          </w:tcPr>
          <w:p w14:paraId="227FB559" w14:textId="77777777" w:rsidR="00B11E91" w:rsidRPr="00A9080F" w:rsidRDefault="00B11E91" w:rsidP="00AD4168">
            <w:pPr>
              <w:spacing w:after="0" w:line="240" w:lineRule="auto"/>
              <w:jc w:val="center"/>
              <w:rPr>
                <w:rFonts w:eastAsia="Times New Roman" w:cs="Times New Roman"/>
                <w:color w:val="0000FF"/>
              </w:rPr>
            </w:pPr>
            <w:r w:rsidRPr="00A9080F">
              <w:rPr>
                <w:color w:val="0000FF"/>
              </w:rPr>
              <w:t>1.04</w:t>
            </w:r>
          </w:p>
        </w:tc>
        <w:tc>
          <w:tcPr>
            <w:tcW w:w="1286" w:type="dxa"/>
            <w:tcBorders>
              <w:top w:val="nil"/>
              <w:left w:val="nil"/>
              <w:bottom w:val="nil"/>
            </w:tcBorders>
            <w:vAlign w:val="bottom"/>
          </w:tcPr>
          <w:p w14:paraId="185CD47A" w14:textId="77777777" w:rsidR="00B11E91" w:rsidRPr="00A9080F" w:rsidRDefault="00B11E91" w:rsidP="00AD4168">
            <w:pPr>
              <w:spacing w:after="0" w:line="240" w:lineRule="auto"/>
              <w:jc w:val="center"/>
              <w:rPr>
                <w:rFonts w:eastAsia="Times New Roman" w:cs="Times New Roman"/>
                <w:color w:val="0000FF"/>
              </w:rPr>
            </w:pPr>
            <w:r w:rsidRPr="00A9080F">
              <w:rPr>
                <w:color w:val="0000FF"/>
              </w:rPr>
              <w:t>1.07</w:t>
            </w:r>
          </w:p>
        </w:tc>
        <w:tc>
          <w:tcPr>
            <w:tcW w:w="1012" w:type="dxa"/>
            <w:tcBorders>
              <w:top w:val="nil"/>
              <w:left w:val="nil"/>
              <w:bottom w:val="nil"/>
            </w:tcBorders>
            <w:vAlign w:val="bottom"/>
          </w:tcPr>
          <w:p w14:paraId="3C500830" w14:textId="77777777" w:rsidR="00B11E91" w:rsidRPr="00A9080F" w:rsidRDefault="00B11E91" w:rsidP="00AD4168">
            <w:pPr>
              <w:spacing w:after="0" w:line="240" w:lineRule="auto"/>
              <w:jc w:val="center"/>
              <w:rPr>
                <w:rFonts w:eastAsia="Times New Roman" w:cs="Times New Roman"/>
                <w:color w:val="0000FF"/>
              </w:rPr>
            </w:pPr>
            <w:r w:rsidRPr="00A9080F">
              <w:rPr>
                <w:color w:val="0000FF"/>
              </w:rPr>
              <w:t>1.01</w:t>
            </w:r>
          </w:p>
        </w:tc>
      </w:tr>
      <w:tr w:rsidR="00B11E91" w:rsidRPr="00DF791F" w14:paraId="13FCD089" w14:textId="77777777" w:rsidTr="00AD4168">
        <w:trPr>
          <w:trHeight w:val="310"/>
        </w:trPr>
        <w:tc>
          <w:tcPr>
            <w:tcW w:w="2213" w:type="dxa"/>
            <w:tcBorders>
              <w:top w:val="nil"/>
              <w:left w:val="nil"/>
              <w:bottom w:val="nil"/>
              <w:right w:val="nil"/>
            </w:tcBorders>
            <w:shd w:val="clear" w:color="auto" w:fill="auto"/>
            <w:vAlign w:val="bottom"/>
            <w:hideMark/>
          </w:tcPr>
          <w:p w14:paraId="548053CD" w14:textId="027DEB56" w:rsidR="00B11E91" w:rsidRPr="00A9080F" w:rsidRDefault="00B11E91" w:rsidP="00DF1E5E">
            <w:pPr>
              <w:spacing w:after="0" w:line="240" w:lineRule="auto"/>
              <w:rPr>
                <w:rFonts w:eastAsia="Times New Roman" w:cs="Times New Roman"/>
                <w:color w:val="0000FF"/>
              </w:rPr>
            </w:pPr>
            <w:r w:rsidRPr="00A9080F">
              <w:rPr>
                <w:rFonts w:eastAsia="Times New Roman" w:cs="Times New Roman"/>
                <w:color w:val="0000FF"/>
              </w:rPr>
              <w:t xml:space="preserve">Toilet </w:t>
            </w:r>
            <w:r w:rsidR="00DF1E5E">
              <w:rPr>
                <w:rFonts w:eastAsia="Times New Roman" w:cs="Times New Roman"/>
                <w:color w:val="0000FF"/>
              </w:rPr>
              <w:t>h</w:t>
            </w:r>
            <w:r w:rsidRPr="00A9080F">
              <w:rPr>
                <w:rFonts w:eastAsia="Times New Roman" w:cs="Times New Roman"/>
                <w:color w:val="0000FF"/>
              </w:rPr>
              <w:t>ygiene</w:t>
            </w:r>
          </w:p>
        </w:tc>
        <w:tc>
          <w:tcPr>
            <w:tcW w:w="1124" w:type="dxa"/>
            <w:tcBorders>
              <w:top w:val="nil"/>
              <w:left w:val="nil"/>
              <w:bottom w:val="nil"/>
            </w:tcBorders>
            <w:vAlign w:val="bottom"/>
          </w:tcPr>
          <w:p w14:paraId="5A1BB14B" w14:textId="77777777" w:rsidR="00B11E91" w:rsidRPr="00A9080F" w:rsidRDefault="00B11E91" w:rsidP="00AD4168">
            <w:pPr>
              <w:spacing w:after="0" w:line="240" w:lineRule="auto"/>
              <w:jc w:val="center"/>
              <w:rPr>
                <w:rFonts w:eastAsia="Times New Roman" w:cs="Times New Roman"/>
                <w:color w:val="0000FF"/>
              </w:rPr>
            </w:pPr>
            <w:r w:rsidRPr="00A9080F">
              <w:rPr>
                <w:color w:val="0000FF"/>
              </w:rPr>
              <w:t>1.00</w:t>
            </w:r>
          </w:p>
        </w:tc>
        <w:tc>
          <w:tcPr>
            <w:tcW w:w="1126" w:type="dxa"/>
            <w:tcBorders>
              <w:top w:val="nil"/>
              <w:left w:val="nil"/>
              <w:bottom w:val="nil"/>
            </w:tcBorders>
            <w:vAlign w:val="bottom"/>
          </w:tcPr>
          <w:p w14:paraId="736D7192" w14:textId="77777777" w:rsidR="00B11E91" w:rsidRPr="00A9080F" w:rsidRDefault="00B11E91" w:rsidP="00AD4168">
            <w:pPr>
              <w:spacing w:after="0" w:line="240" w:lineRule="auto"/>
              <w:jc w:val="center"/>
              <w:rPr>
                <w:rFonts w:eastAsia="Times New Roman" w:cs="Times New Roman"/>
                <w:color w:val="0000FF"/>
              </w:rPr>
            </w:pPr>
            <w:r w:rsidRPr="00A9080F">
              <w:rPr>
                <w:color w:val="0000FF"/>
              </w:rPr>
              <w:t>0.99</w:t>
            </w:r>
          </w:p>
        </w:tc>
        <w:tc>
          <w:tcPr>
            <w:tcW w:w="1125" w:type="dxa"/>
            <w:tcBorders>
              <w:top w:val="nil"/>
              <w:left w:val="nil"/>
              <w:bottom w:val="nil"/>
            </w:tcBorders>
            <w:vAlign w:val="bottom"/>
          </w:tcPr>
          <w:p w14:paraId="48AADA63" w14:textId="77777777" w:rsidR="00B11E91" w:rsidRPr="00A9080F" w:rsidRDefault="00B11E91" w:rsidP="00AD4168">
            <w:pPr>
              <w:spacing w:after="0" w:line="240" w:lineRule="auto"/>
              <w:jc w:val="center"/>
              <w:rPr>
                <w:rFonts w:eastAsia="Times New Roman" w:cs="Times New Roman"/>
                <w:color w:val="0000FF"/>
              </w:rPr>
            </w:pPr>
            <w:r w:rsidRPr="00A9080F">
              <w:rPr>
                <w:color w:val="0000FF"/>
              </w:rPr>
              <w:t>0.99</w:t>
            </w:r>
          </w:p>
        </w:tc>
        <w:tc>
          <w:tcPr>
            <w:tcW w:w="1128" w:type="dxa"/>
            <w:tcBorders>
              <w:top w:val="nil"/>
              <w:left w:val="nil"/>
              <w:bottom w:val="nil"/>
            </w:tcBorders>
            <w:vAlign w:val="bottom"/>
          </w:tcPr>
          <w:p w14:paraId="5D88D477" w14:textId="77777777" w:rsidR="00B11E91" w:rsidRPr="00A9080F" w:rsidRDefault="00B11E91" w:rsidP="00AD4168">
            <w:pPr>
              <w:spacing w:after="0" w:line="240" w:lineRule="auto"/>
              <w:jc w:val="center"/>
              <w:rPr>
                <w:rFonts w:eastAsia="Times New Roman" w:cs="Times New Roman"/>
                <w:color w:val="0000FF"/>
              </w:rPr>
            </w:pPr>
            <w:r w:rsidRPr="00A9080F">
              <w:rPr>
                <w:color w:val="0000FF"/>
              </w:rPr>
              <w:t>1.00</w:t>
            </w:r>
          </w:p>
        </w:tc>
        <w:tc>
          <w:tcPr>
            <w:tcW w:w="1286" w:type="dxa"/>
            <w:tcBorders>
              <w:top w:val="nil"/>
              <w:left w:val="nil"/>
              <w:bottom w:val="nil"/>
            </w:tcBorders>
            <w:vAlign w:val="bottom"/>
          </w:tcPr>
          <w:p w14:paraId="654BC487" w14:textId="77777777" w:rsidR="00B11E91" w:rsidRPr="00A9080F" w:rsidRDefault="00B11E91" w:rsidP="00AD4168">
            <w:pPr>
              <w:spacing w:after="0" w:line="240" w:lineRule="auto"/>
              <w:jc w:val="center"/>
              <w:rPr>
                <w:rFonts w:eastAsia="Times New Roman" w:cs="Times New Roman"/>
                <w:color w:val="0000FF"/>
              </w:rPr>
            </w:pPr>
            <w:r w:rsidRPr="00A9080F">
              <w:rPr>
                <w:color w:val="0000FF"/>
              </w:rPr>
              <w:t>1.08</w:t>
            </w:r>
          </w:p>
        </w:tc>
        <w:tc>
          <w:tcPr>
            <w:tcW w:w="1012" w:type="dxa"/>
            <w:tcBorders>
              <w:top w:val="nil"/>
              <w:left w:val="nil"/>
              <w:bottom w:val="nil"/>
            </w:tcBorders>
            <w:vAlign w:val="bottom"/>
          </w:tcPr>
          <w:p w14:paraId="26BF4D14" w14:textId="77777777" w:rsidR="00B11E91" w:rsidRPr="00A9080F" w:rsidRDefault="00B11E91" w:rsidP="00AD4168">
            <w:pPr>
              <w:spacing w:after="0" w:line="240" w:lineRule="auto"/>
              <w:jc w:val="center"/>
              <w:rPr>
                <w:rFonts w:eastAsia="Times New Roman" w:cs="Times New Roman"/>
                <w:color w:val="0000FF"/>
              </w:rPr>
            </w:pPr>
            <w:r w:rsidRPr="00A9080F">
              <w:rPr>
                <w:color w:val="0000FF"/>
              </w:rPr>
              <w:t>1.04</w:t>
            </w:r>
          </w:p>
        </w:tc>
      </w:tr>
      <w:tr w:rsidR="00B11E91" w:rsidRPr="00DF791F" w14:paraId="28B6AD05" w14:textId="77777777" w:rsidTr="00AD4168">
        <w:trPr>
          <w:trHeight w:val="310"/>
        </w:trPr>
        <w:tc>
          <w:tcPr>
            <w:tcW w:w="2213" w:type="dxa"/>
            <w:tcBorders>
              <w:top w:val="nil"/>
              <w:left w:val="nil"/>
              <w:bottom w:val="nil"/>
              <w:right w:val="nil"/>
            </w:tcBorders>
            <w:shd w:val="clear" w:color="auto" w:fill="auto"/>
            <w:vAlign w:val="bottom"/>
            <w:hideMark/>
          </w:tcPr>
          <w:p w14:paraId="64D8CA32" w14:textId="0119F9C1" w:rsidR="00B11E91" w:rsidRPr="00A9080F" w:rsidRDefault="00B11E91" w:rsidP="00DF1E5E">
            <w:pPr>
              <w:spacing w:after="0" w:line="240" w:lineRule="auto"/>
              <w:rPr>
                <w:rFonts w:eastAsia="Times New Roman" w:cs="Times New Roman"/>
                <w:color w:val="0000FF"/>
              </w:rPr>
            </w:pPr>
            <w:r w:rsidRPr="00A9080F">
              <w:rPr>
                <w:rFonts w:eastAsia="Times New Roman" w:cs="Times New Roman"/>
                <w:color w:val="0000FF"/>
              </w:rPr>
              <w:t xml:space="preserve">Upper </w:t>
            </w:r>
            <w:r w:rsidR="00DF1E5E">
              <w:rPr>
                <w:rFonts w:eastAsia="Times New Roman" w:cs="Times New Roman"/>
                <w:color w:val="0000FF"/>
              </w:rPr>
              <w:t>d</w:t>
            </w:r>
            <w:r w:rsidRPr="00A9080F">
              <w:rPr>
                <w:rFonts w:eastAsia="Times New Roman" w:cs="Times New Roman"/>
                <w:color w:val="0000FF"/>
              </w:rPr>
              <w:t>ressing</w:t>
            </w:r>
          </w:p>
        </w:tc>
        <w:tc>
          <w:tcPr>
            <w:tcW w:w="1124" w:type="dxa"/>
            <w:tcBorders>
              <w:top w:val="nil"/>
              <w:left w:val="nil"/>
              <w:bottom w:val="nil"/>
            </w:tcBorders>
            <w:vAlign w:val="bottom"/>
          </w:tcPr>
          <w:p w14:paraId="6BD1C35E" w14:textId="77777777" w:rsidR="00B11E91" w:rsidRPr="00A9080F" w:rsidRDefault="00B11E91" w:rsidP="00AD4168">
            <w:pPr>
              <w:spacing w:after="0" w:line="240" w:lineRule="auto"/>
              <w:jc w:val="center"/>
              <w:rPr>
                <w:rFonts w:eastAsia="Times New Roman" w:cs="Times New Roman"/>
                <w:color w:val="0000FF"/>
              </w:rPr>
            </w:pPr>
            <w:r w:rsidRPr="00A9080F">
              <w:rPr>
                <w:color w:val="0000FF"/>
              </w:rPr>
              <w:t>0.87</w:t>
            </w:r>
          </w:p>
        </w:tc>
        <w:tc>
          <w:tcPr>
            <w:tcW w:w="1126" w:type="dxa"/>
            <w:tcBorders>
              <w:top w:val="nil"/>
              <w:left w:val="nil"/>
              <w:bottom w:val="nil"/>
            </w:tcBorders>
            <w:vAlign w:val="bottom"/>
          </w:tcPr>
          <w:p w14:paraId="6940D9DE" w14:textId="77777777" w:rsidR="00B11E91" w:rsidRPr="00A9080F" w:rsidRDefault="00B11E91" w:rsidP="00AD4168">
            <w:pPr>
              <w:spacing w:after="0" w:line="240" w:lineRule="auto"/>
              <w:jc w:val="center"/>
              <w:rPr>
                <w:rFonts w:eastAsia="Times New Roman" w:cs="Times New Roman"/>
                <w:color w:val="0000FF"/>
              </w:rPr>
            </w:pPr>
            <w:r w:rsidRPr="00A9080F">
              <w:rPr>
                <w:color w:val="0000FF"/>
              </w:rPr>
              <w:t>0.85</w:t>
            </w:r>
          </w:p>
        </w:tc>
        <w:tc>
          <w:tcPr>
            <w:tcW w:w="1125" w:type="dxa"/>
            <w:tcBorders>
              <w:top w:val="nil"/>
              <w:left w:val="nil"/>
              <w:bottom w:val="nil"/>
            </w:tcBorders>
            <w:vAlign w:val="bottom"/>
          </w:tcPr>
          <w:p w14:paraId="77F30910" w14:textId="77777777" w:rsidR="00B11E91" w:rsidRPr="00A9080F" w:rsidRDefault="00B11E91" w:rsidP="00AD4168">
            <w:pPr>
              <w:spacing w:after="0" w:line="240" w:lineRule="auto"/>
              <w:jc w:val="center"/>
              <w:rPr>
                <w:rFonts w:eastAsia="Times New Roman" w:cs="Times New Roman"/>
                <w:color w:val="0000FF"/>
              </w:rPr>
            </w:pPr>
            <w:r w:rsidRPr="00A9080F">
              <w:rPr>
                <w:color w:val="0000FF"/>
              </w:rPr>
              <w:t>0.90</w:t>
            </w:r>
          </w:p>
        </w:tc>
        <w:tc>
          <w:tcPr>
            <w:tcW w:w="1128" w:type="dxa"/>
            <w:tcBorders>
              <w:top w:val="nil"/>
              <w:left w:val="nil"/>
              <w:bottom w:val="nil"/>
            </w:tcBorders>
            <w:vAlign w:val="bottom"/>
          </w:tcPr>
          <w:p w14:paraId="41AFAED6" w14:textId="77777777" w:rsidR="00B11E91" w:rsidRPr="00A9080F" w:rsidRDefault="00B11E91" w:rsidP="00AD4168">
            <w:pPr>
              <w:spacing w:after="0" w:line="240" w:lineRule="auto"/>
              <w:jc w:val="center"/>
              <w:rPr>
                <w:rFonts w:eastAsia="Times New Roman" w:cs="Times New Roman"/>
                <w:color w:val="0000FF"/>
              </w:rPr>
            </w:pPr>
            <w:r w:rsidRPr="00A9080F">
              <w:rPr>
                <w:color w:val="0000FF"/>
              </w:rPr>
              <w:t>0.91</w:t>
            </w:r>
          </w:p>
        </w:tc>
        <w:tc>
          <w:tcPr>
            <w:tcW w:w="1286" w:type="dxa"/>
            <w:tcBorders>
              <w:top w:val="nil"/>
              <w:left w:val="nil"/>
              <w:bottom w:val="nil"/>
            </w:tcBorders>
            <w:vAlign w:val="bottom"/>
          </w:tcPr>
          <w:p w14:paraId="0BD32388" w14:textId="77777777" w:rsidR="00B11E91" w:rsidRPr="00A9080F" w:rsidRDefault="00B11E91" w:rsidP="00AD4168">
            <w:pPr>
              <w:spacing w:after="0" w:line="240" w:lineRule="auto"/>
              <w:jc w:val="center"/>
              <w:rPr>
                <w:rFonts w:eastAsia="Times New Roman" w:cs="Times New Roman"/>
                <w:color w:val="0000FF"/>
              </w:rPr>
            </w:pPr>
            <w:r w:rsidRPr="00A9080F">
              <w:rPr>
                <w:color w:val="0000FF"/>
              </w:rPr>
              <w:t>0.83</w:t>
            </w:r>
          </w:p>
        </w:tc>
        <w:tc>
          <w:tcPr>
            <w:tcW w:w="1012" w:type="dxa"/>
            <w:tcBorders>
              <w:top w:val="nil"/>
              <w:left w:val="nil"/>
              <w:bottom w:val="nil"/>
            </w:tcBorders>
            <w:vAlign w:val="bottom"/>
          </w:tcPr>
          <w:p w14:paraId="3E06DF70" w14:textId="77777777" w:rsidR="00B11E91" w:rsidRPr="00A9080F" w:rsidRDefault="00B11E91" w:rsidP="00AD4168">
            <w:pPr>
              <w:spacing w:after="0" w:line="240" w:lineRule="auto"/>
              <w:jc w:val="center"/>
              <w:rPr>
                <w:rFonts w:eastAsia="Times New Roman" w:cs="Times New Roman"/>
                <w:color w:val="0000FF"/>
              </w:rPr>
            </w:pPr>
            <w:r w:rsidRPr="00A9080F">
              <w:rPr>
                <w:color w:val="0000FF"/>
              </w:rPr>
              <w:t>0.79</w:t>
            </w:r>
          </w:p>
        </w:tc>
      </w:tr>
      <w:tr w:rsidR="00B11E91" w:rsidRPr="00DF791F" w14:paraId="00ADD078" w14:textId="77777777" w:rsidTr="00AD4168">
        <w:trPr>
          <w:trHeight w:val="310"/>
        </w:trPr>
        <w:tc>
          <w:tcPr>
            <w:tcW w:w="2213" w:type="dxa"/>
            <w:tcBorders>
              <w:top w:val="nil"/>
              <w:left w:val="nil"/>
              <w:bottom w:val="nil"/>
              <w:right w:val="nil"/>
            </w:tcBorders>
            <w:shd w:val="clear" w:color="auto" w:fill="auto"/>
            <w:vAlign w:val="bottom"/>
            <w:hideMark/>
          </w:tcPr>
          <w:p w14:paraId="031870C9" w14:textId="7701C2F1" w:rsidR="00B11E91" w:rsidRPr="00A9080F" w:rsidRDefault="00B11E91" w:rsidP="00DF1E5E">
            <w:pPr>
              <w:spacing w:after="0" w:line="240" w:lineRule="auto"/>
              <w:rPr>
                <w:rFonts w:eastAsia="Times New Roman" w:cs="Times New Roman"/>
                <w:color w:val="0000FF"/>
              </w:rPr>
            </w:pPr>
            <w:r w:rsidRPr="00A9080F">
              <w:rPr>
                <w:rFonts w:eastAsia="Times New Roman" w:cs="Times New Roman"/>
                <w:color w:val="0000FF"/>
              </w:rPr>
              <w:t xml:space="preserve">Lower </w:t>
            </w:r>
            <w:r w:rsidR="00DF1E5E">
              <w:rPr>
                <w:rFonts w:eastAsia="Times New Roman" w:cs="Times New Roman"/>
                <w:color w:val="0000FF"/>
              </w:rPr>
              <w:t>d</w:t>
            </w:r>
            <w:r w:rsidRPr="00A9080F">
              <w:rPr>
                <w:rFonts w:eastAsia="Times New Roman" w:cs="Times New Roman"/>
                <w:color w:val="0000FF"/>
              </w:rPr>
              <w:t>ressing</w:t>
            </w:r>
          </w:p>
        </w:tc>
        <w:tc>
          <w:tcPr>
            <w:tcW w:w="1124" w:type="dxa"/>
            <w:tcBorders>
              <w:top w:val="nil"/>
              <w:left w:val="nil"/>
              <w:bottom w:val="nil"/>
            </w:tcBorders>
            <w:vAlign w:val="bottom"/>
          </w:tcPr>
          <w:p w14:paraId="5BAB8BEF" w14:textId="77777777" w:rsidR="00B11E91" w:rsidRPr="00A9080F" w:rsidRDefault="00B11E91" w:rsidP="00AD4168">
            <w:pPr>
              <w:spacing w:after="0" w:line="240" w:lineRule="auto"/>
              <w:jc w:val="center"/>
              <w:rPr>
                <w:rFonts w:eastAsia="Times New Roman" w:cs="Times New Roman"/>
                <w:color w:val="0000FF"/>
              </w:rPr>
            </w:pPr>
            <w:r w:rsidRPr="00A9080F">
              <w:rPr>
                <w:color w:val="0000FF"/>
              </w:rPr>
              <w:t>0.59</w:t>
            </w:r>
          </w:p>
        </w:tc>
        <w:tc>
          <w:tcPr>
            <w:tcW w:w="1126" w:type="dxa"/>
            <w:tcBorders>
              <w:top w:val="nil"/>
              <w:left w:val="nil"/>
              <w:bottom w:val="nil"/>
            </w:tcBorders>
            <w:vAlign w:val="bottom"/>
          </w:tcPr>
          <w:p w14:paraId="5F244384" w14:textId="77777777" w:rsidR="00B11E91" w:rsidRPr="00A9080F" w:rsidRDefault="00B11E91" w:rsidP="00AD4168">
            <w:pPr>
              <w:spacing w:after="0" w:line="240" w:lineRule="auto"/>
              <w:jc w:val="center"/>
              <w:rPr>
                <w:rFonts w:eastAsia="Times New Roman" w:cs="Times New Roman"/>
                <w:color w:val="0000FF"/>
              </w:rPr>
            </w:pPr>
            <w:r w:rsidRPr="00A9080F">
              <w:rPr>
                <w:color w:val="0000FF"/>
              </w:rPr>
              <w:t>0.62</w:t>
            </w:r>
          </w:p>
        </w:tc>
        <w:tc>
          <w:tcPr>
            <w:tcW w:w="1125" w:type="dxa"/>
            <w:tcBorders>
              <w:top w:val="nil"/>
              <w:left w:val="nil"/>
              <w:bottom w:val="nil"/>
            </w:tcBorders>
            <w:vAlign w:val="bottom"/>
          </w:tcPr>
          <w:p w14:paraId="0D3EFAD2" w14:textId="77777777" w:rsidR="00B11E91" w:rsidRPr="00A9080F" w:rsidRDefault="00B11E91" w:rsidP="00AD4168">
            <w:pPr>
              <w:spacing w:after="0" w:line="240" w:lineRule="auto"/>
              <w:jc w:val="center"/>
              <w:rPr>
                <w:rFonts w:eastAsia="Times New Roman" w:cs="Times New Roman"/>
                <w:color w:val="0000FF"/>
              </w:rPr>
            </w:pPr>
            <w:r w:rsidRPr="00A9080F">
              <w:rPr>
                <w:color w:val="0000FF"/>
              </w:rPr>
              <w:t>0.61</w:t>
            </w:r>
          </w:p>
        </w:tc>
        <w:tc>
          <w:tcPr>
            <w:tcW w:w="1128" w:type="dxa"/>
            <w:tcBorders>
              <w:top w:val="nil"/>
              <w:left w:val="nil"/>
              <w:bottom w:val="nil"/>
            </w:tcBorders>
            <w:vAlign w:val="bottom"/>
          </w:tcPr>
          <w:p w14:paraId="4428F1ED" w14:textId="77777777" w:rsidR="00B11E91" w:rsidRPr="00A9080F" w:rsidRDefault="00B11E91" w:rsidP="00AD4168">
            <w:pPr>
              <w:spacing w:after="0" w:line="240" w:lineRule="auto"/>
              <w:jc w:val="center"/>
              <w:rPr>
                <w:rFonts w:eastAsia="Times New Roman" w:cs="Times New Roman"/>
                <w:color w:val="0000FF"/>
              </w:rPr>
            </w:pPr>
            <w:r w:rsidRPr="00A9080F">
              <w:rPr>
                <w:color w:val="0000FF"/>
              </w:rPr>
              <w:t>0.66</w:t>
            </w:r>
          </w:p>
        </w:tc>
        <w:tc>
          <w:tcPr>
            <w:tcW w:w="1286" w:type="dxa"/>
            <w:tcBorders>
              <w:top w:val="nil"/>
              <w:left w:val="nil"/>
              <w:bottom w:val="nil"/>
            </w:tcBorders>
            <w:vAlign w:val="bottom"/>
          </w:tcPr>
          <w:p w14:paraId="71D5EE4E" w14:textId="77777777" w:rsidR="00B11E91" w:rsidRPr="00A9080F" w:rsidRDefault="00B11E91" w:rsidP="00AD4168">
            <w:pPr>
              <w:spacing w:after="0" w:line="240" w:lineRule="auto"/>
              <w:jc w:val="center"/>
              <w:rPr>
                <w:rFonts w:eastAsia="Times New Roman" w:cs="Times New Roman"/>
                <w:color w:val="0000FF"/>
              </w:rPr>
            </w:pPr>
            <w:r w:rsidRPr="00A9080F">
              <w:rPr>
                <w:color w:val="0000FF"/>
              </w:rPr>
              <w:t>0.60</w:t>
            </w:r>
          </w:p>
        </w:tc>
        <w:tc>
          <w:tcPr>
            <w:tcW w:w="1012" w:type="dxa"/>
            <w:tcBorders>
              <w:top w:val="nil"/>
              <w:left w:val="nil"/>
              <w:bottom w:val="nil"/>
            </w:tcBorders>
            <w:vAlign w:val="bottom"/>
          </w:tcPr>
          <w:p w14:paraId="3724250A" w14:textId="77777777" w:rsidR="00B11E91" w:rsidRPr="00A9080F" w:rsidRDefault="00B11E91" w:rsidP="00AD4168">
            <w:pPr>
              <w:spacing w:after="0" w:line="240" w:lineRule="auto"/>
              <w:jc w:val="center"/>
              <w:rPr>
                <w:rFonts w:eastAsia="Times New Roman" w:cs="Times New Roman"/>
                <w:color w:val="0000FF"/>
              </w:rPr>
            </w:pPr>
            <w:r w:rsidRPr="00A9080F">
              <w:rPr>
                <w:color w:val="0000FF"/>
              </w:rPr>
              <w:t>0.62</w:t>
            </w:r>
          </w:p>
        </w:tc>
      </w:tr>
      <w:tr w:rsidR="00B11E91" w:rsidRPr="00DF791F" w14:paraId="0F972087" w14:textId="77777777" w:rsidTr="00AD4168">
        <w:trPr>
          <w:trHeight w:val="310"/>
        </w:trPr>
        <w:tc>
          <w:tcPr>
            <w:tcW w:w="2213" w:type="dxa"/>
            <w:tcBorders>
              <w:top w:val="nil"/>
              <w:left w:val="nil"/>
              <w:right w:val="nil"/>
            </w:tcBorders>
            <w:shd w:val="clear" w:color="auto" w:fill="auto"/>
            <w:vAlign w:val="bottom"/>
            <w:hideMark/>
          </w:tcPr>
          <w:p w14:paraId="27234B49" w14:textId="3E9D5372" w:rsidR="00B11E91" w:rsidRPr="00A9080F" w:rsidRDefault="00B11E91" w:rsidP="00DF1E5E">
            <w:pPr>
              <w:spacing w:after="0" w:line="240" w:lineRule="auto"/>
              <w:rPr>
                <w:rFonts w:eastAsia="Times New Roman" w:cs="Times New Roman"/>
                <w:color w:val="0000FF"/>
              </w:rPr>
            </w:pPr>
            <w:r w:rsidRPr="00A9080F">
              <w:rPr>
                <w:rFonts w:eastAsia="Times New Roman" w:cs="Times New Roman"/>
                <w:color w:val="0000FF"/>
              </w:rPr>
              <w:t xml:space="preserve">Shower/bathe </w:t>
            </w:r>
            <w:r w:rsidR="00DF1E5E">
              <w:rPr>
                <w:rFonts w:eastAsia="Times New Roman" w:cs="Times New Roman"/>
                <w:color w:val="0000FF"/>
              </w:rPr>
              <w:t>s</w:t>
            </w:r>
            <w:r w:rsidRPr="00A9080F">
              <w:rPr>
                <w:rFonts w:eastAsia="Times New Roman" w:cs="Times New Roman"/>
                <w:color w:val="0000FF"/>
              </w:rPr>
              <w:t>elf</w:t>
            </w:r>
          </w:p>
        </w:tc>
        <w:tc>
          <w:tcPr>
            <w:tcW w:w="1124" w:type="dxa"/>
            <w:tcBorders>
              <w:top w:val="nil"/>
              <w:left w:val="nil"/>
            </w:tcBorders>
            <w:vAlign w:val="bottom"/>
          </w:tcPr>
          <w:p w14:paraId="100BF223" w14:textId="77777777" w:rsidR="00B11E91" w:rsidRPr="00A9080F" w:rsidRDefault="00B11E91" w:rsidP="00AD4168">
            <w:pPr>
              <w:spacing w:after="0" w:line="240" w:lineRule="auto"/>
              <w:jc w:val="center"/>
              <w:rPr>
                <w:rFonts w:eastAsia="Times New Roman" w:cs="Times New Roman"/>
                <w:color w:val="0000FF"/>
              </w:rPr>
            </w:pPr>
            <w:r w:rsidRPr="00A9080F">
              <w:rPr>
                <w:color w:val="0000FF"/>
              </w:rPr>
              <w:t>0.92</w:t>
            </w:r>
          </w:p>
        </w:tc>
        <w:tc>
          <w:tcPr>
            <w:tcW w:w="1126" w:type="dxa"/>
            <w:tcBorders>
              <w:top w:val="nil"/>
              <w:left w:val="nil"/>
            </w:tcBorders>
            <w:vAlign w:val="bottom"/>
          </w:tcPr>
          <w:p w14:paraId="3554D3B0" w14:textId="77777777" w:rsidR="00B11E91" w:rsidRPr="00A9080F" w:rsidRDefault="00B11E91" w:rsidP="00AD4168">
            <w:pPr>
              <w:spacing w:after="0" w:line="240" w:lineRule="auto"/>
              <w:jc w:val="center"/>
              <w:rPr>
                <w:rFonts w:eastAsia="Times New Roman" w:cs="Times New Roman"/>
                <w:color w:val="0000FF"/>
              </w:rPr>
            </w:pPr>
            <w:r w:rsidRPr="00A9080F">
              <w:rPr>
                <w:color w:val="0000FF"/>
              </w:rPr>
              <w:t>1.17</w:t>
            </w:r>
          </w:p>
        </w:tc>
        <w:tc>
          <w:tcPr>
            <w:tcW w:w="1125" w:type="dxa"/>
            <w:tcBorders>
              <w:top w:val="nil"/>
              <w:left w:val="nil"/>
            </w:tcBorders>
            <w:vAlign w:val="bottom"/>
          </w:tcPr>
          <w:p w14:paraId="1249D427" w14:textId="77777777" w:rsidR="00B11E91" w:rsidRPr="00A9080F" w:rsidRDefault="00B11E91" w:rsidP="00AD4168">
            <w:pPr>
              <w:spacing w:after="0" w:line="240" w:lineRule="auto"/>
              <w:jc w:val="center"/>
              <w:rPr>
                <w:rFonts w:eastAsia="Times New Roman" w:cs="Times New Roman"/>
                <w:color w:val="0000FF"/>
              </w:rPr>
            </w:pPr>
            <w:r w:rsidRPr="00A9080F">
              <w:rPr>
                <w:color w:val="0000FF"/>
              </w:rPr>
              <w:t>0.80</w:t>
            </w:r>
          </w:p>
        </w:tc>
        <w:tc>
          <w:tcPr>
            <w:tcW w:w="1128" w:type="dxa"/>
            <w:tcBorders>
              <w:top w:val="nil"/>
              <w:left w:val="nil"/>
            </w:tcBorders>
            <w:vAlign w:val="bottom"/>
          </w:tcPr>
          <w:p w14:paraId="355CA9C2" w14:textId="77777777" w:rsidR="00B11E91" w:rsidRPr="00A9080F" w:rsidRDefault="00B11E91" w:rsidP="00AD4168">
            <w:pPr>
              <w:spacing w:after="0" w:line="240" w:lineRule="auto"/>
              <w:jc w:val="center"/>
              <w:rPr>
                <w:rFonts w:eastAsia="Times New Roman" w:cs="Times New Roman"/>
                <w:color w:val="0000FF"/>
              </w:rPr>
            </w:pPr>
            <w:r w:rsidRPr="00A9080F">
              <w:rPr>
                <w:color w:val="0000FF"/>
              </w:rPr>
              <w:t>0.88</w:t>
            </w:r>
          </w:p>
        </w:tc>
        <w:tc>
          <w:tcPr>
            <w:tcW w:w="1286" w:type="dxa"/>
            <w:tcBorders>
              <w:top w:val="nil"/>
              <w:left w:val="nil"/>
            </w:tcBorders>
            <w:vAlign w:val="bottom"/>
          </w:tcPr>
          <w:p w14:paraId="3EE9418B" w14:textId="77777777" w:rsidR="00B11E91" w:rsidRPr="00A9080F" w:rsidRDefault="00B11E91" w:rsidP="00AD4168">
            <w:pPr>
              <w:spacing w:after="0" w:line="240" w:lineRule="auto"/>
              <w:jc w:val="center"/>
              <w:rPr>
                <w:rFonts w:eastAsia="Times New Roman" w:cs="Times New Roman"/>
                <w:color w:val="0000FF"/>
              </w:rPr>
            </w:pPr>
            <w:r w:rsidRPr="00A9080F">
              <w:rPr>
                <w:color w:val="0000FF"/>
              </w:rPr>
              <w:t>1.02</w:t>
            </w:r>
          </w:p>
        </w:tc>
        <w:tc>
          <w:tcPr>
            <w:tcW w:w="1012" w:type="dxa"/>
            <w:tcBorders>
              <w:top w:val="nil"/>
              <w:left w:val="nil"/>
            </w:tcBorders>
            <w:vAlign w:val="bottom"/>
          </w:tcPr>
          <w:p w14:paraId="15844D53" w14:textId="77777777" w:rsidR="00B11E91" w:rsidRPr="00A9080F" w:rsidRDefault="00B11E91" w:rsidP="00AD4168">
            <w:pPr>
              <w:spacing w:after="0" w:line="240" w:lineRule="auto"/>
              <w:jc w:val="center"/>
              <w:rPr>
                <w:rFonts w:eastAsia="Times New Roman" w:cs="Times New Roman"/>
                <w:color w:val="0000FF"/>
              </w:rPr>
            </w:pPr>
            <w:r w:rsidRPr="00A9080F">
              <w:rPr>
                <w:color w:val="0000FF"/>
              </w:rPr>
              <w:t>1.20</w:t>
            </w:r>
          </w:p>
        </w:tc>
      </w:tr>
      <w:tr w:rsidR="00B11E91" w:rsidRPr="00DF791F" w14:paraId="723DDDB5" w14:textId="77777777" w:rsidTr="00AD4168">
        <w:trPr>
          <w:trHeight w:val="310"/>
        </w:trPr>
        <w:tc>
          <w:tcPr>
            <w:tcW w:w="2213" w:type="dxa"/>
            <w:tcBorders>
              <w:bottom w:val="single" w:sz="4" w:space="0" w:color="auto"/>
            </w:tcBorders>
            <w:shd w:val="clear" w:color="auto" w:fill="auto"/>
            <w:vAlign w:val="bottom"/>
            <w:hideMark/>
          </w:tcPr>
          <w:p w14:paraId="33C79770" w14:textId="77777777" w:rsidR="00B11E91" w:rsidRPr="00A9080F" w:rsidRDefault="00B11E91" w:rsidP="00AD4168">
            <w:pPr>
              <w:spacing w:after="0" w:line="240" w:lineRule="auto"/>
              <w:rPr>
                <w:rFonts w:eastAsia="Times New Roman" w:cs="Times New Roman"/>
                <w:color w:val="0000FF"/>
              </w:rPr>
            </w:pPr>
            <w:r w:rsidRPr="00A9080F">
              <w:rPr>
                <w:rFonts w:eastAsia="Times New Roman" w:cs="Times New Roman"/>
                <w:color w:val="0000FF"/>
              </w:rPr>
              <w:t>Footwear</w:t>
            </w:r>
          </w:p>
        </w:tc>
        <w:tc>
          <w:tcPr>
            <w:tcW w:w="1124" w:type="dxa"/>
            <w:tcBorders>
              <w:bottom w:val="single" w:sz="4" w:space="0" w:color="auto"/>
            </w:tcBorders>
            <w:vAlign w:val="bottom"/>
          </w:tcPr>
          <w:p w14:paraId="0B09669A" w14:textId="77777777" w:rsidR="00B11E91" w:rsidRPr="00A9080F" w:rsidRDefault="00B11E91" w:rsidP="00AD4168">
            <w:pPr>
              <w:spacing w:after="0" w:line="240" w:lineRule="auto"/>
              <w:jc w:val="center"/>
              <w:rPr>
                <w:rFonts w:eastAsia="Times New Roman" w:cs="Times New Roman"/>
                <w:color w:val="0000FF"/>
              </w:rPr>
            </w:pPr>
            <w:r w:rsidRPr="00A9080F">
              <w:rPr>
                <w:color w:val="0000FF"/>
              </w:rPr>
              <w:t>1.09</w:t>
            </w:r>
          </w:p>
        </w:tc>
        <w:tc>
          <w:tcPr>
            <w:tcW w:w="1126" w:type="dxa"/>
            <w:tcBorders>
              <w:bottom w:val="single" w:sz="4" w:space="0" w:color="auto"/>
            </w:tcBorders>
            <w:vAlign w:val="bottom"/>
          </w:tcPr>
          <w:p w14:paraId="02B1DD4B" w14:textId="77777777" w:rsidR="00B11E91" w:rsidRPr="00A9080F" w:rsidRDefault="00B11E91" w:rsidP="00AD4168">
            <w:pPr>
              <w:spacing w:after="0" w:line="240" w:lineRule="auto"/>
              <w:jc w:val="center"/>
              <w:rPr>
                <w:rFonts w:eastAsia="Times New Roman" w:cs="Times New Roman"/>
                <w:color w:val="0000FF"/>
              </w:rPr>
            </w:pPr>
            <w:r w:rsidRPr="00A9080F">
              <w:rPr>
                <w:color w:val="0000FF"/>
              </w:rPr>
              <w:t>1.07</w:t>
            </w:r>
          </w:p>
        </w:tc>
        <w:tc>
          <w:tcPr>
            <w:tcW w:w="1125" w:type="dxa"/>
            <w:tcBorders>
              <w:bottom w:val="single" w:sz="4" w:space="0" w:color="auto"/>
            </w:tcBorders>
            <w:vAlign w:val="bottom"/>
          </w:tcPr>
          <w:p w14:paraId="7C833453" w14:textId="77777777" w:rsidR="00B11E91" w:rsidRPr="00A9080F" w:rsidRDefault="00B11E91" w:rsidP="00AD4168">
            <w:pPr>
              <w:spacing w:after="0" w:line="240" w:lineRule="auto"/>
              <w:jc w:val="center"/>
              <w:rPr>
                <w:rFonts w:eastAsia="Times New Roman" w:cs="Times New Roman"/>
                <w:color w:val="0000FF"/>
              </w:rPr>
            </w:pPr>
            <w:r w:rsidRPr="00A9080F">
              <w:rPr>
                <w:color w:val="0000FF"/>
              </w:rPr>
              <w:t>1.18</w:t>
            </w:r>
          </w:p>
        </w:tc>
        <w:tc>
          <w:tcPr>
            <w:tcW w:w="1128" w:type="dxa"/>
            <w:tcBorders>
              <w:bottom w:val="single" w:sz="4" w:space="0" w:color="auto"/>
            </w:tcBorders>
            <w:vAlign w:val="bottom"/>
          </w:tcPr>
          <w:p w14:paraId="507B4931" w14:textId="77777777" w:rsidR="00B11E91" w:rsidRPr="00A9080F" w:rsidRDefault="00B11E91" w:rsidP="00AD4168">
            <w:pPr>
              <w:spacing w:after="0" w:line="240" w:lineRule="auto"/>
              <w:jc w:val="center"/>
              <w:rPr>
                <w:rFonts w:eastAsia="Times New Roman" w:cs="Times New Roman"/>
                <w:color w:val="0000FF"/>
              </w:rPr>
            </w:pPr>
            <w:r w:rsidRPr="00A9080F">
              <w:rPr>
                <w:color w:val="0000FF"/>
              </w:rPr>
              <w:t>1.18</w:t>
            </w:r>
          </w:p>
        </w:tc>
        <w:tc>
          <w:tcPr>
            <w:tcW w:w="1286" w:type="dxa"/>
            <w:tcBorders>
              <w:bottom w:val="single" w:sz="4" w:space="0" w:color="auto"/>
            </w:tcBorders>
            <w:vAlign w:val="bottom"/>
          </w:tcPr>
          <w:p w14:paraId="24B3C2EE" w14:textId="77777777" w:rsidR="00B11E91" w:rsidRPr="00A9080F" w:rsidRDefault="00B11E91" w:rsidP="00AD4168">
            <w:pPr>
              <w:spacing w:after="0" w:line="240" w:lineRule="auto"/>
              <w:jc w:val="center"/>
              <w:rPr>
                <w:rFonts w:eastAsia="Times New Roman" w:cs="Times New Roman"/>
                <w:color w:val="0000FF"/>
              </w:rPr>
            </w:pPr>
            <w:r w:rsidRPr="00A9080F">
              <w:rPr>
                <w:color w:val="0000FF"/>
              </w:rPr>
              <w:t>1.07</w:t>
            </w:r>
          </w:p>
        </w:tc>
        <w:tc>
          <w:tcPr>
            <w:tcW w:w="1012" w:type="dxa"/>
            <w:tcBorders>
              <w:bottom w:val="single" w:sz="4" w:space="0" w:color="auto"/>
            </w:tcBorders>
            <w:vAlign w:val="bottom"/>
          </w:tcPr>
          <w:p w14:paraId="1F49EE0B" w14:textId="77777777" w:rsidR="00B11E91" w:rsidRPr="00A9080F" w:rsidRDefault="00B11E91" w:rsidP="00AD4168">
            <w:pPr>
              <w:spacing w:after="0" w:line="240" w:lineRule="auto"/>
              <w:jc w:val="center"/>
              <w:rPr>
                <w:rFonts w:eastAsia="Times New Roman" w:cs="Times New Roman"/>
                <w:color w:val="0000FF"/>
              </w:rPr>
            </w:pPr>
            <w:r w:rsidRPr="00A9080F">
              <w:rPr>
                <w:color w:val="0000FF"/>
              </w:rPr>
              <w:t>1.03</w:t>
            </w:r>
          </w:p>
        </w:tc>
      </w:tr>
    </w:tbl>
    <w:p w14:paraId="08623AAE" w14:textId="58E075E7" w:rsidR="00605FA1" w:rsidRDefault="003F4334" w:rsidP="003F4334">
      <w:pPr>
        <w:spacing w:before="240" w:after="240" w:line="240" w:lineRule="auto"/>
        <w:rPr>
          <w:color w:val="0000FF"/>
        </w:rPr>
      </w:pPr>
      <w:r>
        <w:rPr>
          <w:rFonts w:ascii="Calibri" w:eastAsia="Calibri" w:hAnsi="Calibri" w:cs="Times New Roman"/>
          <w:b/>
          <w:color w:val="0000FF"/>
        </w:rPr>
        <w:t xml:space="preserve">Items Reliability and Validity - </w:t>
      </w:r>
      <w:r w:rsidR="00B11E91" w:rsidRPr="001B4B1B">
        <w:rPr>
          <w:rFonts w:ascii="Calibri" w:eastAsia="Calibri" w:hAnsi="Calibri" w:cs="Times New Roman"/>
          <w:b/>
          <w:color w:val="0000FF"/>
        </w:rPr>
        <w:t>Response Option Assessment</w:t>
      </w:r>
      <w:r>
        <w:rPr>
          <w:rFonts w:ascii="Calibri" w:eastAsia="Calibri" w:hAnsi="Calibri" w:cs="Times New Roman"/>
          <w:b/>
          <w:color w:val="0000FF"/>
        </w:rPr>
        <w:t xml:space="preserve"> (</w:t>
      </w:r>
      <w:r w:rsidRPr="001B4B1B">
        <w:rPr>
          <w:rFonts w:ascii="Calibri" w:eastAsia="Calibri" w:hAnsi="Calibri" w:cs="Times New Roman"/>
          <w:b/>
          <w:color w:val="0000FF"/>
        </w:rPr>
        <w:t>Rasch Analysis</w:t>
      </w:r>
      <w:r>
        <w:rPr>
          <w:rFonts w:ascii="Calibri" w:eastAsia="Calibri" w:hAnsi="Calibri" w:cs="Times New Roman"/>
          <w:b/>
          <w:color w:val="0000FF"/>
        </w:rPr>
        <w:t>)</w:t>
      </w:r>
      <w:r w:rsidR="00B11E91" w:rsidRPr="001B4B1B">
        <w:rPr>
          <w:rFonts w:ascii="Calibri" w:eastAsia="Calibri" w:hAnsi="Calibri" w:cs="Times New Roman"/>
          <w:b/>
          <w:color w:val="0000FF"/>
        </w:rPr>
        <w:t xml:space="preserve">: </w:t>
      </w:r>
      <w:r w:rsidR="00B11E91" w:rsidRPr="001B4B1B">
        <w:rPr>
          <w:bCs/>
          <w:color w:val="0000FF"/>
        </w:rPr>
        <w:t>Rasch analyses provide information on how many people were observed in a particular response category (</w:t>
      </w:r>
      <w:r w:rsidR="00B11E91">
        <w:rPr>
          <w:bCs/>
          <w:color w:val="0000FF"/>
        </w:rPr>
        <w:t xml:space="preserve">i.e., </w:t>
      </w:r>
      <w:r w:rsidR="00B11E91" w:rsidRPr="001B4B1B">
        <w:rPr>
          <w:bCs/>
          <w:color w:val="0000FF"/>
        </w:rPr>
        <w:t xml:space="preserve">independent </w:t>
      </w:r>
      <w:r w:rsidR="00B11E91">
        <w:rPr>
          <w:bCs/>
          <w:color w:val="0000FF"/>
        </w:rPr>
        <w:t>to</w:t>
      </w:r>
      <w:r w:rsidR="00B11E91" w:rsidRPr="001B4B1B">
        <w:rPr>
          <w:bCs/>
          <w:color w:val="0000FF"/>
        </w:rPr>
        <w:t xml:space="preserve"> dependent) and the average ability (or skill level) of those individuals.</w:t>
      </w:r>
      <w:r w:rsidR="00B11E91">
        <w:rPr>
          <w:bCs/>
          <w:color w:val="0000FF"/>
        </w:rPr>
        <w:t xml:space="preserve"> </w:t>
      </w:r>
      <w:r w:rsidR="00B11E91" w:rsidRPr="001B4B1B">
        <w:rPr>
          <w:bCs/>
          <w:color w:val="0000FF"/>
        </w:rPr>
        <w:t>Evaluations of observed response categories indicate that rating scale use is as expected, with patients with higher skill showing increasing levels of independence.</w:t>
      </w:r>
      <w:r w:rsidR="00B11E91">
        <w:rPr>
          <w:bCs/>
        </w:rPr>
        <w:t xml:space="preserve"> </w:t>
      </w:r>
      <w:r w:rsidR="00B11E91" w:rsidRPr="001B4B1B">
        <w:rPr>
          <w:bCs/>
          <w:color w:val="0000FF"/>
        </w:rPr>
        <w:t>An</w:t>
      </w:r>
      <w:r w:rsidR="00B11E91" w:rsidRPr="001B4B1B">
        <w:rPr>
          <w:color w:val="0000FF"/>
        </w:rPr>
        <w:t xml:space="preserve"> important step in the self-care item evaluation is to establish that the 6-point observation response scale is operating as intended. It is expected that lower ability persons would generally be observed in the more dependent categories (substantial assistance, etc.).</w:t>
      </w:r>
      <w:r w:rsidR="00B11E91">
        <w:rPr>
          <w:color w:val="0000FF"/>
        </w:rPr>
        <w:t xml:space="preserve"> </w:t>
      </w:r>
      <w:r w:rsidR="00B11E91" w:rsidRPr="001B4B1B">
        <w:rPr>
          <w:color w:val="0000FF"/>
        </w:rPr>
        <w:t xml:space="preserve">Therefore, the average ability (or skill level) estimate associated with the more dependent </w:t>
      </w:r>
      <w:r w:rsidR="00B11E91" w:rsidRPr="000B13FE">
        <w:rPr>
          <w:color w:val="0000FF"/>
        </w:rPr>
        <w:t xml:space="preserve">response categories would be lower than those associated with the more independent response categories. </w:t>
      </w:r>
    </w:p>
    <w:p w14:paraId="4A6F4E0F" w14:textId="2B62A1DF" w:rsidR="00B11E91" w:rsidRDefault="00B11E91" w:rsidP="00EF6E95">
      <w:pPr>
        <w:spacing w:before="240" w:after="240" w:line="240" w:lineRule="auto"/>
      </w:pPr>
      <w:r w:rsidRPr="000B13FE">
        <w:rPr>
          <w:color w:val="0000FF"/>
        </w:rPr>
        <w:t xml:space="preserve">Findings </w:t>
      </w:r>
      <w:r w:rsidR="009D386B">
        <w:rPr>
          <w:color w:val="0000FF"/>
        </w:rPr>
        <w:t>and</w:t>
      </w:r>
      <w:r w:rsidRPr="000B13FE">
        <w:rPr>
          <w:color w:val="0000FF"/>
        </w:rPr>
        <w:t xml:space="preserve"> Interpretation: The evaluation of the average ability (</w:t>
      </w:r>
      <w:r w:rsidRPr="000B13FE">
        <w:rPr>
          <w:b/>
          <w:bCs/>
          <w:color w:val="0000FF"/>
        </w:rPr>
        <w:t xml:space="preserve">Table </w:t>
      </w:r>
      <w:r w:rsidR="00EF6E95" w:rsidRPr="000B13FE">
        <w:rPr>
          <w:b/>
          <w:bCs/>
          <w:color w:val="0000FF"/>
        </w:rPr>
        <w:t>4</w:t>
      </w:r>
      <w:r w:rsidRPr="000B13FE">
        <w:rPr>
          <w:color w:val="0000FF"/>
        </w:rPr>
        <w:t>) as observations progress from dependent to independent indicate that, for the self-care items, the observational scale is working as intended.</w:t>
      </w:r>
      <w:r>
        <w:t xml:space="preserve"> </w:t>
      </w:r>
    </w:p>
    <w:p w14:paraId="1C1CA3C8" w14:textId="77777777" w:rsidR="00E44F62" w:rsidRDefault="00E44F62">
      <w:pPr>
        <w:rPr>
          <w:b/>
          <w:bCs/>
          <w:color w:val="0000FF"/>
        </w:rPr>
      </w:pPr>
      <w:r>
        <w:rPr>
          <w:b/>
          <w:bCs/>
          <w:color w:val="0000FF"/>
        </w:rPr>
        <w:br w:type="page"/>
      </w:r>
    </w:p>
    <w:p w14:paraId="7AD7577C" w14:textId="142CF76C" w:rsidR="00B11E91" w:rsidRPr="00EF6E95" w:rsidRDefault="00EF6E95" w:rsidP="000F01E7">
      <w:pPr>
        <w:spacing w:after="0" w:line="240" w:lineRule="auto"/>
        <w:rPr>
          <w:b/>
          <w:bCs/>
          <w:color w:val="0000FF"/>
        </w:rPr>
      </w:pPr>
      <w:proofErr w:type="gramStart"/>
      <w:r>
        <w:rPr>
          <w:b/>
          <w:bCs/>
          <w:color w:val="0000FF"/>
        </w:rPr>
        <w:lastRenderedPageBreak/>
        <w:t>Table 4</w:t>
      </w:r>
      <w:r w:rsidR="00B11E91" w:rsidRPr="00EF6E95">
        <w:rPr>
          <w:b/>
          <w:bCs/>
          <w:color w:val="0000FF"/>
        </w:rPr>
        <w:t>.</w:t>
      </w:r>
      <w:proofErr w:type="gramEnd"/>
      <w:r w:rsidR="00B11E91" w:rsidRPr="00EF6E95">
        <w:rPr>
          <w:b/>
          <w:bCs/>
          <w:color w:val="0000FF"/>
        </w:rPr>
        <w:t xml:space="preserve"> Distribution of Scores and Average Ability Estimate by Response C</w:t>
      </w:r>
      <w:r w:rsidR="000F01E7">
        <w:rPr>
          <w:b/>
          <w:bCs/>
          <w:color w:val="0000FF"/>
        </w:rPr>
        <w:t>ode</w:t>
      </w:r>
    </w:p>
    <w:p w14:paraId="32443798" w14:textId="77777777" w:rsidR="00B11E91" w:rsidRPr="00671425" w:rsidRDefault="00B11E91" w:rsidP="00B11E91">
      <w:pPr>
        <w:spacing w:after="0" w:line="240" w:lineRule="auto"/>
        <w:rPr>
          <w:color w:val="0000FF"/>
        </w:rPr>
      </w:pPr>
    </w:p>
    <w:tbl>
      <w:tblPr>
        <w:tblW w:w="7931" w:type="dxa"/>
        <w:tblInd w:w="93" w:type="dxa"/>
        <w:tblLook w:val="04A0" w:firstRow="1" w:lastRow="0" w:firstColumn="1" w:lastColumn="0" w:noHBand="0" w:noVBand="1"/>
      </w:tblPr>
      <w:tblGrid>
        <w:gridCol w:w="1293"/>
        <w:gridCol w:w="1366"/>
        <w:gridCol w:w="1526"/>
        <w:gridCol w:w="1665"/>
        <w:gridCol w:w="2081"/>
      </w:tblGrid>
      <w:tr w:rsidR="00B11E91" w:rsidRPr="00E9785D" w14:paraId="3882C1DC" w14:textId="77777777" w:rsidTr="001B0F37">
        <w:trPr>
          <w:trHeight w:val="591"/>
        </w:trPr>
        <w:tc>
          <w:tcPr>
            <w:tcW w:w="1293" w:type="dxa"/>
            <w:tcBorders>
              <w:top w:val="single" w:sz="4" w:space="0" w:color="auto"/>
              <w:bottom w:val="single" w:sz="8" w:space="0" w:color="auto"/>
            </w:tcBorders>
            <w:shd w:val="clear" w:color="auto" w:fill="auto"/>
            <w:noWrap/>
            <w:vAlign w:val="center"/>
            <w:hideMark/>
          </w:tcPr>
          <w:p w14:paraId="7E158C52"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Item</w:t>
            </w:r>
          </w:p>
        </w:tc>
        <w:tc>
          <w:tcPr>
            <w:tcW w:w="1366" w:type="dxa"/>
            <w:tcBorders>
              <w:top w:val="single" w:sz="4" w:space="0" w:color="auto"/>
              <w:bottom w:val="single" w:sz="8" w:space="0" w:color="auto"/>
            </w:tcBorders>
            <w:shd w:val="clear" w:color="auto" w:fill="auto"/>
            <w:noWrap/>
            <w:vAlign w:val="center"/>
            <w:hideMark/>
          </w:tcPr>
          <w:p w14:paraId="1BB51848" w14:textId="77777777" w:rsidR="00B11E91"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Response</w:t>
            </w:r>
          </w:p>
          <w:p w14:paraId="0D714A9E" w14:textId="77777777" w:rsidR="00B11E91" w:rsidRPr="00E9785D" w:rsidRDefault="00B11E91" w:rsidP="00AD4168">
            <w:pPr>
              <w:spacing w:after="0" w:line="240" w:lineRule="auto"/>
              <w:jc w:val="center"/>
              <w:rPr>
                <w:rFonts w:eastAsia="Times New Roman" w:cs="Times New Roman"/>
                <w:color w:val="0000FF"/>
              </w:rPr>
            </w:pPr>
            <w:r>
              <w:rPr>
                <w:rFonts w:eastAsia="Times New Roman" w:cs="Times New Roman"/>
                <w:color w:val="0000FF"/>
              </w:rPr>
              <w:t>Code</w:t>
            </w:r>
          </w:p>
        </w:tc>
        <w:tc>
          <w:tcPr>
            <w:tcW w:w="1526" w:type="dxa"/>
            <w:tcBorders>
              <w:top w:val="single" w:sz="4" w:space="0" w:color="auto"/>
              <w:bottom w:val="single" w:sz="8" w:space="0" w:color="auto"/>
            </w:tcBorders>
            <w:shd w:val="clear" w:color="auto" w:fill="auto"/>
            <w:vAlign w:val="center"/>
            <w:hideMark/>
          </w:tcPr>
          <w:p w14:paraId="4E483550" w14:textId="77777777" w:rsidR="00B11E91" w:rsidRPr="00E9785D" w:rsidRDefault="00B11E91" w:rsidP="00AD4168">
            <w:pPr>
              <w:spacing w:after="0" w:line="240" w:lineRule="auto"/>
              <w:jc w:val="center"/>
              <w:rPr>
                <w:rFonts w:eastAsia="Times New Roman" w:cs="Times New Roman"/>
                <w:color w:val="0000FF"/>
              </w:rPr>
            </w:pPr>
            <w:r>
              <w:rPr>
                <w:rFonts w:eastAsia="Times New Roman" w:cs="Times New Roman"/>
                <w:color w:val="0000FF"/>
              </w:rPr>
              <w:t>Number</w:t>
            </w:r>
          </w:p>
        </w:tc>
        <w:tc>
          <w:tcPr>
            <w:tcW w:w="1665" w:type="dxa"/>
            <w:tcBorders>
              <w:top w:val="single" w:sz="4" w:space="0" w:color="auto"/>
              <w:bottom w:val="single" w:sz="8" w:space="0" w:color="auto"/>
            </w:tcBorders>
            <w:shd w:val="clear" w:color="auto" w:fill="auto"/>
            <w:vAlign w:val="center"/>
            <w:hideMark/>
          </w:tcPr>
          <w:p w14:paraId="43321474" w14:textId="77777777" w:rsidR="00B11E91" w:rsidRPr="00E9785D" w:rsidRDefault="00B11E91" w:rsidP="00AD4168">
            <w:pPr>
              <w:spacing w:after="0" w:line="240" w:lineRule="auto"/>
              <w:jc w:val="center"/>
              <w:rPr>
                <w:rFonts w:eastAsia="Times New Roman" w:cs="Times New Roman"/>
                <w:color w:val="0000FF"/>
              </w:rPr>
            </w:pPr>
            <w:r>
              <w:rPr>
                <w:rFonts w:eastAsia="Times New Roman" w:cs="Times New Roman"/>
                <w:color w:val="0000FF"/>
              </w:rPr>
              <w:t>Percent</w:t>
            </w:r>
          </w:p>
        </w:tc>
        <w:tc>
          <w:tcPr>
            <w:tcW w:w="2081" w:type="dxa"/>
            <w:tcBorders>
              <w:top w:val="single" w:sz="4" w:space="0" w:color="auto"/>
              <w:bottom w:val="single" w:sz="8" w:space="0" w:color="auto"/>
            </w:tcBorders>
            <w:shd w:val="clear" w:color="auto" w:fill="auto"/>
            <w:vAlign w:val="center"/>
            <w:hideMark/>
          </w:tcPr>
          <w:p w14:paraId="73479089" w14:textId="77777777" w:rsidR="00B11E91" w:rsidRDefault="00B11E91" w:rsidP="00AD4168">
            <w:pPr>
              <w:spacing w:after="0" w:line="240" w:lineRule="auto"/>
              <w:jc w:val="center"/>
              <w:rPr>
                <w:rFonts w:eastAsia="Times New Roman" w:cs="Times New Roman"/>
                <w:color w:val="0000FF"/>
              </w:rPr>
            </w:pPr>
            <w:r>
              <w:rPr>
                <w:rFonts w:eastAsia="Times New Roman" w:cs="Times New Roman"/>
                <w:color w:val="0000FF"/>
              </w:rPr>
              <w:t xml:space="preserve">Average Ability </w:t>
            </w:r>
          </w:p>
          <w:p w14:paraId="1B80D547" w14:textId="77777777" w:rsidR="00B11E91" w:rsidRPr="00E9785D" w:rsidRDefault="00B11E91" w:rsidP="00AD4168">
            <w:pPr>
              <w:spacing w:after="0" w:line="240" w:lineRule="auto"/>
              <w:jc w:val="center"/>
              <w:rPr>
                <w:rFonts w:eastAsia="Times New Roman" w:cs="Times New Roman"/>
                <w:color w:val="0000FF"/>
              </w:rPr>
            </w:pPr>
            <w:r>
              <w:rPr>
                <w:rFonts w:eastAsia="Times New Roman" w:cs="Times New Roman"/>
                <w:color w:val="0000FF"/>
              </w:rPr>
              <w:t>(0 to 100 Scale)</w:t>
            </w:r>
          </w:p>
        </w:tc>
      </w:tr>
      <w:tr w:rsidR="00B11E91" w:rsidRPr="00E9785D" w14:paraId="28882AC2" w14:textId="77777777" w:rsidTr="00AD4168">
        <w:trPr>
          <w:trHeight w:val="296"/>
        </w:trPr>
        <w:tc>
          <w:tcPr>
            <w:tcW w:w="1293" w:type="dxa"/>
            <w:shd w:val="clear" w:color="auto" w:fill="auto"/>
            <w:noWrap/>
            <w:vAlign w:val="bottom"/>
            <w:hideMark/>
          </w:tcPr>
          <w:p w14:paraId="0B53F030" w14:textId="77777777" w:rsidR="00B11E91" w:rsidRPr="001B0F37" w:rsidRDefault="00B11E91" w:rsidP="00AD4168">
            <w:pPr>
              <w:spacing w:after="0" w:line="240" w:lineRule="auto"/>
              <w:rPr>
                <w:rFonts w:eastAsia="Times New Roman" w:cs="Times New Roman"/>
                <w:color w:val="0000FF"/>
              </w:rPr>
            </w:pPr>
            <w:r w:rsidRPr="001B0F37">
              <w:rPr>
                <w:rFonts w:eastAsia="Times New Roman" w:cs="Times New Roman"/>
                <w:color w:val="0000FF"/>
              </w:rPr>
              <w:t>Eating</w:t>
            </w:r>
          </w:p>
        </w:tc>
        <w:tc>
          <w:tcPr>
            <w:tcW w:w="1366" w:type="dxa"/>
            <w:shd w:val="clear" w:color="auto" w:fill="auto"/>
            <w:noWrap/>
            <w:vAlign w:val="bottom"/>
            <w:hideMark/>
          </w:tcPr>
          <w:p w14:paraId="2E321E0E" w14:textId="77777777" w:rsidR="00B11E91" w:rsidRPr="001B0F37" w:rsidRDefault="00B11E91" w:rsidP="00AD4168">
            <w:pPr>
              <w:spacing w:after="0" w:line="240" w:lineRule="auto"/>
              <w:rPr>
                <w:rFonts w:eastAsia="Times New Roman" w:cs="Times New Roman"/>
                <w:color w:val="0000FF"/>
              </w:rPr>
            </w:pPr>
          </w:p>
        </w:tc>
        <w:tc>
          <w:tcPr>
            <w:tcW w:w="1526" w:type="dxa"/>
            <w:shd w:val="clear" w:color="auto" w:fill="auto"/>
            <w:noWrap/>
            <w:vAlign w:val="bottom"/>
            <w:hideMark/>
          </w:tcPr>
          <w:p w14:paraId="53B7D6E7" w14:textId="77777777" w:rsidR="00B11E91" w:rsidRPr="001B0F37" w:rsidRDefault="00B11E91" w:rsidP="00AD4168">
            <w:pPr>
              <w:spacing w:after="0" w:line="240" w:lineRule="auto"/>
              <w:jc w:val="center"/>
              <w:rPr>
                <w:rFonts w:eastAsia="Times New Roman" w:cs="Times New Roman"/>
                <w:color w:val="0000FF"/>
              </w:rPr>
            </w:pPr>
          </w:p>
        </w:tc>
        <w:tc>
          <w:tcPr>
            <w:tcW w:w="1665" w:type="dxa"/>
            <w:shd w:val="clear" w:color="auto" w:fill="auto"/>
            <w:noWrap/>
            <w:vAlign w:val="bottom"/>
            <w:hideMark/>
          </w:tcPr>
          <w:p w14:paraId="4EBC3143" w14:textId="77777777" w:rsidR="00B11E91" w:rsidRPr="001B0F37" w:rsidRDefault="00B11E91" w:rsidP="00AD4168">
            <w:pPr>
              <w:spacing w:after="0" w:line="240" w:lineRule="auto"/>
              <w:jc w:val="center"/>
              <w:rPr>
                <w:rFonts w:eastAsia="Times New Roman" w:cs="Times New Roman"/>
                <w:color w:val="0000FF"/>
              </w:rPr>
            </w:pPr>
          </w:p>
        </w:tc>
        <w:tc>
          <w:tcPr>
            <w:tcW w:w="2081" w:type="dxa"/>
            <w:shd w:val="clear" w:color="auto" w:fill="auto"/>
            <w:noWrap/>
            <w:vAlign w:val="bottom"/>
            <w:hideMark/>
          </w:tcPr>
          <w:p w14:paraId="24BAACE9" w14:textId="77777777" w:rsidR="00B11E91" w:rsidRPr="001B0F37" w:rsidRDefault="00B11E91" w:rsidP="00AD4168">
            <w:pPr>
              <w:spacing w:after="0" w:line="240" w:lineRule="auto"/>
              <w:jc w:val="center"/>
              <w:rPr>
                <w:rFonts w:eastAsia="Times New Roman" w:cs="Times New Roman"/>
                <w:color w:val="0000FF"/>
              </w:rPr>
            </w:pPr>
          </w:p>
        </w:tc>
      </w:tr>
      <w:tr w:rsidR="00B11E91" w:rsidRPr="00E9785D" w14:paraId="38706790" w14:textId="77777777" w:rsidTr="00AD4168">
        <w:trPr>
          <w:trHeight w:val="296"/>
        </w:trPr>
        <w:tc>
          <w:tcPr>
            <w:tcW w:w="1293" w:type="dxa"/>
            <w:shd w:val="clear" w:color="auto" w:fill="auto"/>
            <w:noWrap/>
            <w:vAlign w:val="bottom"/>
            <w:hideMark/>
          </w:tcPr>
          <w:p w14:paraId="0ADD0C3A" w14:textId="77777777" w:rsidR="00B11E91" w:rsidRPr="00E9785D" w:rsidRDefault="00B11E91" w:rsidP="00AD4168">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5D2AC5F0"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1</w:t>
            </w:r>
          </w:p>
        </w:tc>
        <w:tc>
          <w:tcPr>
            <w:tcW w:w="1526" w:type="dxa"/>
            <w:shd w:val="clear" w:color="auto" w:fill="auto"/>
            <w:noWrap/>
            <w:vAlign w:val="bottom"/>
            <w:hideMark/>
          </w:tcPr>
          <w:p w14:paraId="4CF88338"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141</w:t>
            </w:r>
          </w:p>
        </w:tc>
        <w:tc>
          <w:tcPr>
            <w:tcW w:w="1665" w:type="dxa"/>
            <w:shd w:val="clear" w:color="auto" w:fill="auto"/>
            <w:noWrap/>
            <w:vAlign w:val="bottom"/>
            <w:hideMark/>
          </w:tcPr>
          <w:p w14:paraId="74CEDEEC"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2</w:t>
            </w:r>
          </w:p>
        </w:tc>
        <w:tc>
          <w:tcPr>
            <w:tcW w:w="2081" w:type="dxa"/>
            <w:shd w:val="clear" w:color="auto" w:fill="auto"/>
            <w:noWrap/>
            <w:vAlign w:val="bottom"/>
            <w:hideMark/>
          </w:tcPr>
          <w:p w14:paraId="3F4AECEF"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9.85</w:t>
            </w:r>
          </w:p>
        </w:tc>
      </w:tr>
      <w:tr w:rsidR="00B11E91" w:rsidRPr="00E9785D" w14:paraId="15851093" w14:textId="77777777" w:rsidTr="00AD4168">
        <w:trPr>
          <w:trHeight w:val="296"/>
        </w:trPr>
        <w:tc>
          <w:tcPr>
            <w:tcW w:w="1293" w:type="dxa"/>
            <w:shd w:val="clear" w:color="auto" w:fill="auto"/>
            <w:noWrap/>
            <w:vAlign w:val="bottom"/>
            <w:hideMark/>
          </w:tcPr>
          <w:p w14:paraId="4B41D7E1" w14:textId="77777777" w:rsidR="00B11E91" w:rsidRPr="00E9785D" w:rsidRDefault="00B11E91" w:rsidP="00AD4168">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3803A10A"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2</w:t>
            </w:r>
          </w:p>
        </w:tc>
        <w:tc>
          <w:tcPr>
            <w:tcW w:w="1526" w:type="dxa"/>
            <w:shd w:val="clear" w:color="auto" w:fill="auto"/>
            <w:noWrap/>
            <w:vAlign w:val="bottom"/>
            <w:hideMark/>
          </w:tcPr>
          <w:p w14:paraId="7E45CF5A"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114</w:t>
            </w:r>
          </w:p>
        </w:tc>
        <w:tc>
          <w:tcPr>
            <w:tcW w:w="1665" w:type="dxa"/>
            <w:shd w:val="clear" w:color="auto" w:fill="auto"/>
            <w:noWrap/>
            <w:vAlign w:val="bottom"/>
            <w:hideMark/>
          </w:tcPr>
          <w:p w14:paraId="57309DEA"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2</w:t>
            </w:r>
          </w:p>
        </w:tc>
        <w:tc>
          <w:tcPr>
            <w:tcW w:w="2081" w:type="dxa"/>
            <w:shd w:val="clear" w:color="auto" w:fill="auto"/>
            <w:noWrap/>
            <w:vAlign w:val="bottom"/>
            <w:hideMark/>
          </w:tcPr>
          <w:p w14:paraId="7F26FB56"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21.89</w:t>
            </w:r>
          </w:p>
        </w:tc>
      </w:tr>
      <w:tr w:rsidR="00B11E91" w:rsidRPr="00E9785D" w14:paraId="4D01B184" w14:textId="77777777" w:rsidTr="00AD4168">
        <w:trPr>
          <w:trHeight w:val="296"/>
        </w:trPr>
        <w:tc>
          <w:tcPr>
            <w:tcW w:w="1293" w:type="dxa"/>
            <w:shd w:val="clear" w:color="auto" w:fill="auto"/>
            <w:noWrap/>
            <w:vAlign w:val="bottom"/>
            <w:hideMark/>
          </w:tcPr>
          <w:p w14:paraId="2CD99452" w14:textId="77777777" w:rsidR="00B11E91" w:rsidRPr="00E9785D" w:rsidRDefault="00B11E91" w:rsidP="00AD4168">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321BDB1E"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3</w:t>
            </w:r>
          </w:p>
        </w:tc>
        <w:tc>
          <w:tcPr>
            <w:tcW w:w="1526" w:type="dxa"/>
            <w:shd w:val="clear" w:color="auto" w:fill="auto"/>
            <w:noWrap/>
            <w:vAlign w:val="bottom"/>
            <w:hideMark/>
          </w:tcPr>
          <w:p w14:paraId="71B1D2C1"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211</w:t>
            </w:r>
          </w:p>
        </w:tc>
        <w:tc>
          <w:tcPr>
            <w:tcW w:w="1665" w:type="dxa"/>
            <w:shd w:val="clear" w:color="auto" w:fill="auto"/>
            <w:noWrap/>
            <w:vAlign w:val="bottom"/>
            <w:hideMark/>
          </w:tcPr>
          <w:p w14:paraId="4DEF338B"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4</w:t>
            </w:r>
          </w:p>
        </w:tc>
        <w:tc>
          <w:tcPr>
            <w:tcW w:w="2081" w:type="dxa"/>
            <w:shd w:val="clear" w:color="auto" w:fill="auto"/>
            <w:noWrap/>
            <w:vAlign w:val="bottom"/>
            <w:hideMark/>
          </w:tcPr>
          <w:p w14:paraId="6C9937E1"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33.09</w:t>
            </w:r>
          </w:p>
        </w:tc>
      </w:tr>
      <w:tr w:rsidR="00B11E91" w:rsidRPr="00E9785D" w14:paraId="730C0ED8" w14:textId="77777777" w:rsidTr="00AD4168">
        <w:trPr>
          <w:trHeight w:val="296"/>
        </w:trPr>
        <w:tc>
          <w:tcPr>
            <w:tcW w:w="1293" w:type="dxa"/>
            <w:shd w:val="clear" w:color="auto" w:fill="auto"/>
            <w:noWrap/>
            <w:vAlign w:val="bottom"/>
            <w:hideMark/>
          </w:tcPr>
          <w:p w14:paraId="5503FBAE" w14:textId="77777777" w:rsidR="00B11E91" w:rsidRPr="00E9785D" w:rsidRDefault="00B11E91" w:rsidP="00AD4168">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14DB1D2D"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4</w:t>
            </w:r>
          </w:p>
        </w:tc>
        <w:tc>
          <w:tcPr>
            <w:tcW w:w="1526" w:type="dxa"/>
            <w:shd w:val="clear" w:color="auto" w:fill="auto"/>
            <w:noWrap/>
            <w:vAlign w:val="bottom"/>
            <w:hideMark/>
          </w:tcPr>
          <w:p w14:paraId="34FB0E75"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711</w:t>
            </w:r>
          </w:p>
        </w:tc>
        <w:tc>
          <w:tcPr>
            <w:tcW w:w="1665" w:type="dxa"/>
            <w:shd w:val="clear" w:color="auto" w:fill="auto"/>
            <w:noWrap/>
            <w:vAlign w:val="bottom"/>
            <w:hideMark/>
          </w:tcPr>
          <w:p w14:paraId="1E666071"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12</w:t>
            </w:r>
          </w:p>
        </w:tc>
        <w:tc>
          <w:tcPr>
            <w:tcW w:w="2081" w:type="dxa"/>
            <w:shd w:val="clear" w:color="auto" w:fill="auto"/>
            <w:noWrap/>
            <w:vAlign w:val="bottom"/>
            <w:hideMark/>
          </w:tcPr>
          <w:p w14:paraId="588EA2E5"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42.05</w:t>
            </w:r>
          </w:p>
        </w:tc>
      </w:tr>
      <w:tr w:rsidR="00B11E91" w:rsidRPr="00E9785D" w14:paraId="2B7D31A2" w14:textId="77777777" w:rsidTr="00AD4168">
        <w:trPr>
          <w:trHeight w:val="296"/>
        </w:trPr>
        <w:tc>
          <w:tcPr>
            <w:tcW w:w="1293" w:type="dxa"/>
            <w:shd w:val="clear" w:color="auto" w:fill="auto"/>
            <w:noWrap/>
            <w:vAlign w:val="bottom"/>
            <w:hideMark/>
          </w:tcPr>
          <w:p w14:paraId="30A264A3" w14:textId="77777777" w:rsidR="00B11E91" w:rsidRPr="00E9785D" w:rsidRDefault="00B11E91" w:rsidP="00AD4168">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60FB97E8"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5</w:t>
            </w:r>
          </w:p>
        </w:tc>
        <w:tc>
          <w:tcPr>
            <w:tcW w:w="1526" w:type="dxa"/>
            <w:shd w:val="clear" w:color="auto" w:fill="auto"/>
            <w:noWrap/>
            <w:vAlign w:val="bottom"/>
            <w:hideMark/>
          </w:tcPr>
          <w:p w14:paraId="2EFF7F31"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1</w:t>
            </w:r>
            <w:r>
              <w:rPr>
                <w:rFonts w:eastAsia="Times New Roman" w:cs="Times New Roman"/>
                <w:color w:val="0000FF"/>
              </w:rPr>
              <w:t>,</w:t>
            </w:r>
            <w:r w:rsidRPr="00E9785D">
              <w:rPr>
                <w:rFonts w:eastAsia="Times New Roman" w:cs="Times New Roman"/>
                <w:color w:val="0000FF"/>
              </w:rPr>
              <w:t>871</w:t>
            </w:r>
          </w:p>
        </w:tc>
        <w:tc>
          <w:tcPr>
            <w:tcW w:w="1665" w:type="dxa"/>
            <w:shd w:val="clear" w:color="auto" w:fill="auto"/>
            <w:noWrap/>
            <w:vAlign w:val="bottom"/>
            <w:hideMark/>
          </w:tcPr>
          <w:p w14:paraId="1ABF4176"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33</w:t>
            </w:r>
          </w:p>
        </w:tc>
        <w:tc>
          <w:tcPr>
            <w:tcW w:w="2081" w:type="dxa"/>
            <w:shd w:val="clear" w:color="auto" w:fill="auto"/>
            <w:noWrap/>
            <w:vAlign w:val="bottom"/>
            <w:hideMark/>
          </w:tcPr>
          <w:p w14:paraId="363F0A5C"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49.33</w:t>
            </w:r>
          </w:p>
        </w:tc>
      </w:tr>
      <w:tr w:rsidR="00B11E91" w:rsidRPr="00E9785D" w14:paraId="1F33E387" w14:textId="77777777" w:rsidTr="00AD4168">
        <w:trPr>
          <w:trHeight w:val="296"/>
        </w:trPr>
        <w:tc>
          <w:tcPr>
            <w:tcW w:w="1293" w:type="dxa"/>
            <w:shd w:val="clear" w:color="auto" w:fill="auto"/>
            <w:noWrap/>
            <w:vAlign w:val="bottom"/>
            <w:hideMark/>
          </w:tcPr>
          <w:p w14:paraId="7CE5CEE4" w14:textId="77777777" w:rsidR="00B11E91" w:rsidRPr="00E9785D" w:rsidRDefault="00B11E91" w:rsidP="00AD4168">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173F0621"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6</w:t>
            </w:r>
          </w:p>
        </w:tc>
        <w:tc>
          <w:tcPr>
            <w:tcW w:w="1526" w:type="dxa"/>
            <w:shd w:val="clear" w:color="auto" w:fill="auto"/>
            <w:noWrap/>
            <w:vAlign w:val="bottom"/>
            <w:hideMark/>
          </w:tcPr>
          <w:p w14:paraId="67DAD8DB"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2</w:t>
            </w:r>
            <w:r>
              <w:rPr>
                <w:rFonts w:eastAsia="Times New Roman" w:cs="Times New Roman"/>
                <w:color w:val="0000FF"/>
              </w:rPr>
              <w:t>,</w:t>
            </w:r>
            <w:r w:rsidRPr="00E9785D">
              <w:rPr>
                <w:rFonts w:eastAsia="Times New Roman" w:cs="Times New Roman"/>
                <w:color w:val="0000FF"/>
              </w:rPr>
              <w:t>645</w:t>
            </w:r>
          </w:p>
        </w:tc>
        <w:tc>
          <w:tcPr>
            <w:tcW w:w="1665" w:type="dxa"/>
            <w:shd w:val="clear" w:color="auto" w:fill="auto"/>
            <w:noWrap/>
            <w:vAlign w:val="bottom"/>
            <w:hideMark/>
          </w:tcPr>
          <w:p w14:paraId="51BE4497"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46</w:t>
            </w:r>
          </w:p>
        </w:tc>
        <w:tc>
          <w:tcPr>
            <w:tcW w:w="2081" w:type="dxa"/>
            <w:shd w:val="clear" w:color="auto" w:fill="auto"/>
            <w:noWrap/>
            <w:vAlign w:val="bottom"/>
            <w:hideMark/>
          </w:tcPr>
          <w:p w14:paraId="0B5A3870"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70.55</w:t>
            </w:r>
          </w:p>
        </w:tc>
      </w:tr>
      <w:tr w:rsidR="00B11E91" w:rsidRPr="00E9785D" w14:paraId="2895CBB6" w14:textId="77777777" w:rsidTr="00AD4168">
        <w:trPr>
          <w:trHeight w:val="296"/>
        </w:trPr>
        <w:tc>
          <w:tcPr>
            <w:tcW w:w="2659" w:type="dxa"/>
            <w:gridSpan w:val="2"/>
            <w:shd w:val="clear" w:color="auto" w:fill="auto"/>
            <w:noWrap/>
            <w:vAlign w:val="bottom"/>
            <w:hideMark/>
          </w:tcPr>
          <w:p w14:paraId="24AC666B" w14:textId="37FE5AA5" w:rsidR="00B11E91" w:rsidRPr="00E9785D" w:rsidRDefault="00B11E91" w:rsidP="008816CF">
            <w:pPr>
              <w:spacing w:after="0" w:line="240" w:lineRule="auto"/>
              <w:rPr>
                <w:rFonts w:eastAsia="Times New Roman" w:cs="Times New Roman"/>
                <w:color w:val="0000FF"/>
              </w:rPr>
            </w:pPr>
            <w:r w:rsidRPr="00E9785D">
              <w:rPr>
                <w:rFonts w:eastAsia="Times New Roman" w:cs="Times New Roman"/>
                <w:color w:val="0000FF"/>
              </w:rPr>
              <w:t xml:space="preserve">Oral </w:t>
            </w:r>
            <w:r w:rsidR="008816CF">
              <w:rPr>
                <w:rFonts w:eastAsia="Times New Roman" w:cs="Times New Roman"/>
                <w:color w:val="0000FF"/>
              </w:rPr>
              <w:t>h</w:t>
            </w:r>
            <w:r w:rsidRPr="00E9785D">
              <w:rPr>
                <w:rFonts w:eastAsia="Times New Roman" w:cs="Times New Roman"/>
                <w:color w:val="0000FF"/>
              </w:rPr>
              <w:t>ygiene</w:t>
            </w:r>
          </w:p>
        </w:tc>
        <w:tc>
          <w:tcPr>
            <w:tcW w:w="1526" w:type="dxa"/>
            <w:shd w:val="clear" w:color="auto" w:fill="auto"/>
            <w:noWrap/>
            <w:vAlign w:val="bottom"/>
            <w:hideMark/>
          </w:tcPr>
          <w:p w14:paraId="04E1EF71" w14:textId="77777777" w:rsidR="00B11E91" w:rsidRPr="00E9785D" w:rsidRDefault="00B11E91" w:rsidP="00AD4168">
            <w:pPr>
              <w:spacing w:after="0" w:line="240" w:lineRule="auto"/>
              <w:jc w:val="center"/>
              <w:rPr>
                <w:rFonts w:eastAsia="Times New Roman" w:cs="Times New Roman"/>
                <w:color w:val="0000FF"/>
              </w:rPr>
            </w:pPr>
          </w:p>
        </w:tc>
        <w:tc>
          <w:tcPr>
            <w:tcW w:w="1665" w:type="dxa"/>
            <w:shd w:val="clear" w:color="auto" w:fill="auto"/>
            <w:noWrap/>
            <w:vAlign w:val="bottom"/>
            <w:hideMark/>
          </w:tcPr>
          <w:p w14:paraId="6AAB69FC" w14:textId="77777777" w:rsidR="00B11E91" w:rsidRPr="00E9785D" w:rsidRDefault="00B11E91" w:rsidP="00AD4168">
            <w:pPr>
              <w:spacing w:after="0" w:line="240" w:lineRule="auto"/>
              <w:jc w:val="center"/>
              <w:rPr>
                <w:rFonts w:eastAsia="Times New Roman" w:cs="Times New Roman"/>
                <w:color w:val="0000FF"/>
              </w:rPr>
            </w:pPr>
          </w:p>
        </w:tc>
        <w:tc>
          <w:tcPr>
            <w:tcW w:w="2081" w:type="dxa"/>
            <w:shd w:val="clear" w:color="auto" w:fill="auto"/>
            <w:noWrap/>
            <w:vAlign w:val="bottom"/>
            <w:hideMark/>
          </w:tcPr>
          <w:p w14:paraId="4D0DE1A1" w14:textId="77777777" w:rsidR="00B11E91" w:rsidRPr="00E9785D" w:rsidRDefault="00B11E91" w:rsidP="00AD4168">
            <w:pPr>
              <w:spacing w:after="0" w:line="240" w:lineRule="auto"/>
              <w:jc w:val="center"/>
              <w:rPr>
                <w:rFonts w:eastAsia="Times New Roman" w:cs="Times New Roman"/>
                <w:color w:val="0000FF"/>
              </w:rPr>
            </w:pPr>
          </w:p>
        </w:tc>
      </w:tr>
      <w:tr w:rsidR="00B11E91" w:rsidRPr="00E9785D" w14:paraId="3C165976" w14:textId="77777777" w:rsidTr="00AD4168">
        <w:trPr>
          <w:trHeight w:val="296"/>
        </w:trPr>
        <w:tc>
          <w:tcPr>
            <w:tcW w:w="1293" w:type="dxa"/>
            <w:shd w:val="clear" w:color="auto" w:fill="auto"/>
            <w:noWrap/>
            <w:vAlign w:val="bottom"/>
            <w:hideMark/>
          </w:tcPr>
          <w:p w14:paraId="15B4C004" w14:textId="77777777" w:rsidR="00B11E91" w:rsidRPr="00E9785D" w:rsidRDefault="00B11E91" w:rsidP="00AD4168">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52370416"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1</w:t>
            </w:r>
          </w:p>
        </w:tc>
        <w:tc>
          <w:tcPr>
            <w:tcW w:w="1526" w:type="dxa"/>
            <w:shd w:val="clear" w:color="auto" w:fill="auto"/>
            <w:noWrap/>
            <w:vAlign w:val="bottom"/>
            <w:hideMark/>
          </w:tcPr>
          <w:p w14:paraId="23A4A765"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197</w:t>
            </w:r>
          </w:p>
        </w:tc>
        <w:tc>
          <w:tcPr>
            <w:tcW w:w="1665" w:type="dxa"/>
            <w:shd w:val="clear" w:color="auto" w:fill="auto"/>
            <w:noWrap/>
            <w:vAlign w:val="bottom"/>
            <w:hideMark/>
          </w:tcPr>
          <w:p w14:paraId="7EB69AA4"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3</w:t>
            </w:r>
          </w:p>
        </w:tc>
        <w:tc>
          <w:tcPr>
            <w:tcW w:w="2081" w:type="dxa"/>
            <w:shd w:val="clear" w:color="auto" w:fill="auto"/>
            <w:noWrap/>
            <w:vAlign w:val="bottom"/>
            <w:hideMark/>
          </w:tcPr>
          <w:p w14:paraId="3E577453"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8.63</w:t>
            </w:r>
          </w:p>
        </w:tc>
      </w:tr>
      <w:tr w:rsidR="00B11E91" w:rsidRPr="00E9785D" w14:paraId="14227BBB" w14:textId="77777777" w:rsidTr="00AD4168">
        <w:trPr>
          <w:trHeight w:val="296"/>
        </w:trPr>
        <w:tc>
          <w:tcPr>
            <w:tcW w:w="1293" w:type="dxa"/>
            <w:shd w:val="clear" w:color="auto" w:fill="auto"/>
            <w:noWrap/>
            <w:vAlign w:val="bottom"/>
            <w:hideMark/>
          </w:tcPr>
          <w:p w14:paraId="4072DE62" w14:textId="77777777" w:rsidR="00B11E91" w:rsidRPr="00E9785D" w:rsidRDefault="00B11E91" w:rsidP="00AD4168">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11CA1944"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2</w:t>
            </w:r>
          </w:p>
        </w:tc>
        <w:tc>
          <w:tcPr>
            <w:tcW w:w="1526" w:type="dxa"/>
            <w:shd w:val="clear" w:color="auto" w:fill="auto"/>
            <w:noWrap/>
            <w:vAlign w:val="bottom"/>
            <w:hideMark/>
          </w:tcPr>
          <w:p w14:paraId="1137FA02"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180</w:t>
            </w:r>
          </w:p>
        </w:tc>
        <w:tc>
          <w:tcPr>
            <w:tcW w:w="1665" w:type="dxa"/>
            <w:shd w:val="clear" w:color="auto" w:fill="auto"/>
            <w:noWrap/>
            <w:vAlign w:val="bottom"/>
            <w:hideMark/>
          </w:tcPr>
          <w:p w14:paraId="2B7EC9F6"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3</w:t>
            </w:r>
          </w:p>
        </w:tc>
        <w:tc>
          <w:tcPr>
            <w:tcW w:w="2081" w:type="dxa"/>
            <w:shd w:val="clear" w:color="auto" w:fill="auto"/>
            <w:noWrap/>
            <w:vAlign w:val="bottom"/>
            <w:hideMark/>
          </w:tcPr>
          <w:p w14:paraId="3A16B4CA"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25.47</w:t>
            </w:r>
          </w:p>
        </w:tc>
      </w:tr>
      <w:tr w:rsidR="00B11E91" w:rsidRPr="00E9785D" w14:paraId="3252195E" w14:textId="77777777" w:rsidTr="00AD4168">
        <w:trPr>
          <w:trHeight w:val="296"/>
        </w:trPr>
        <w:tc>
          <w:tcPr>
            <w:tcW w:w="1293" w:type="dxa"/>
            <w:shd w:val="clear" w:color="auto" w:fill="auto"/>
            <w:noWrap/>
            <w:vAlign w:val="bottom"/>
            <w:hideMark/>
          </w:tcPr>
          <w:p w14:paraId="09F18051" w14:textId="77777777" w:rsidR="00B11E91" w:rsidRPr="00E9785D" w:rsidRDefault="00B11E91" w:rsidP="00AD4168">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10D44C91"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3</w:t>
            </w:r>
          </w:p>
        </w:tc>
        <w:tc>
          <w:tcPr>
            <w:tcW w:w="1526" w:type="dxa"/>
            <w:shd w:val="clear" w:color="auto" w:fill="auto"/>
            <w:noWrap/>
            <w:vAlign w:val="bottom"/>
            <w:hideMark/>
          </w:tcPr>
          <w:p w14:paraId="3B89FF70"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432</w:t>
            </w:r>
          </w:p>
        </w:tc>
        <w:tc>
          <w:tcPr>
            <w:tcW w:w="1665" w:type="dxa"/>
            <w:shd w:val="clear" w:color="auto" w:fill="auto"/>
            <w:noWrap/>
            <w:vAlign w:val="bottom"/>
            <w:hideMark/>
          </w:tcPr>
          <w:p w14:paraId="38193E56"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8</w:t>
            </w:r>
          </w:p>
        </w:tc>
        <w:tc>
          <w:tcPr>
            <w:tcW w:w="2081" w:type="dxa"/>
            <w:shd w:val="clear" w:color="auto" w:fill="auto"/>
            <w:noWrap/>
            <w:vAlign w:val="bottom"/>
            <w:hideMark/>
          </w:tcPr>
          <w:p w14:paraId="3B792A21"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35.7</w:t>
            </w:r>
            <w:r>
              <w:rPr>
                <w:rFonts w:eastAsia="Times New Roman" w:cs="Times New Roman"/>
                <w:color w:val="0000FF"/>
              </w:rPr>
              <w:t>0</w:t>
            </w:r>
          </w:p>
        </w:tc>
      </w:tr>
      <w:tr w:rsidR="00B11E91" w:rsidRPr="00E9785D" w14:paraId="6AB239BC" w14:textId="77777777" w:rsidTr="00AD4168">
        <w:trPr>
          <w:trHeight w:val="296"/>
        </w:trPr>
        <w:tc>
          <w:tcPr>
            <w:tcW w:w="1293" w:type="dxa"/>
            <w:shd w:val="clear" w:color="auto" w:fill="auto"/>
            <w:noWrap/>
            <w:vAlign w:val="bottom"/>
            <w:hideMark/>
          </w:tcPr>
          <w:p w14:paraId="12A3FBC6" w14:textId="77777777" w:rsidR="00B11E91" w:rsidRPr="00E9785D" w:rsidRDefault="00B11E91" w:rsidP="00AD4168">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37FE9F7D"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4</w:t>
            </w:r>
          </w:p>
        </w:tc>
        <w:tc>
          <w:tcPr>
            <w:tcW w:w="1526" w:type="dxa"/>
            <w:shd w:val="clear" w:color="auto" w:fill="auto"/>
            <w:noWrap/>
            <w:vAlign w:val="bottom"/>
            <w:hideMark/>
          </w:tcPr>
          <w:p w14:paraId="3E395FF8"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1</w:t>
            </w:r>
            <w:r>
              <w:rPr>
                <w:rFonts w:eastAsia="Times New Roman" w:cs="Times New Roman"/>
                <w:color w:val="0000FF"/>
              </w:rPr>
              <w:t>,</w:t>
            </w:r>
            <w:r w:rsidRPr="00E9785D">
              <w:rPr>
                <w:rFonts w:eastAsia="Times New Roman" w:cs="Times New Roman"/>
                <w:color w:val="0000FF"/>
              </w:rPr>
              <w:t>084</w:t>
            </w:r>
          </w:p>
        </w:tc>
        <w:tc>
          <w:tcPr>
            <w:tcW w:w="1665" w:type="dxa"/>
            <w:shd w:val="clear" w:color="auto" w:fill="auto"/>
            <w:noWrap/>
            <w:vAlign w:val="bottom"/>
            <w:hideMark/>
          </w:tcPr>
          <w:p w14:paraId="3A23739A"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19</w:t>
            </w:r>
          </w:p>
        </w:tc>
        <w:tc>
          <w:tcPr>
            <w:tcW w:w="2081" w:type="dxa"/>
            <w:shd w:val="clear" w:color="auto" w:fill="auto"/>
            <w:noWrap/>
            <w:vAlign w:val="bottom"/>
            <w:hideMark/>
          </w:tcPr>
          <w:p w14:paraId="7D16B1DC"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45.98</w:t>
            </w:r>
          </w:p>
        </w:tc>
      </w:tr>
      <w:tr w:rsidR="00B11E91" w:rsidRPr="00E9785D" w14:paraId="7B605DB0" w14:textId="77777777" w:rsidTr="00AD4168">
        <w:trPr>
          <w:trHeight w:val="296"/>
        </w:trPr>
        <w:tc>
          <w:tcPr>
            <w:tcW w:w="1293" w:type="dxa"/>
            <w:shd w:val="clear" w:color="auto" w:fill="auto"/>
            <w:noWrap/>
            <w:vAlign w:val="bottom"/>
            <w:hideMark/>
          </w:tcPr>
          <w:p w14:paraId="525DC207" w14:textId="77777777" w:rsidR="00B11E91" w:rsidRPr="00E9785D" w:rsidRDefault="00B11E91" w:rsidP="00AD4168">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71E9737C"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5</w:t>
            </w:r>
          </w:p>
        </w:tc>
        <w:tc>
          <w:tcPr>
            <w:tcW w:w="1526" w:type="dxa"/>
            <w:shd w:val="clear" w:color="auto" w:fill="auto"/>
            <w:noWrap/>
            <w:vAlign w:val="bottom"/>
            <w:hideMark/>
          </w:tcPr>
          <w:p w14:paraId="2400604C"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2</w:t>
            </w:r>
            <w:r>
              <w:rPr>
                <w:rFonts w:eastAsia="Times New Roman" w:cs="Times New Roman"/>
                <w:color w:val="0000FF"/>
              </w:rPr>
              <w:t>,</w:t>
            </w:r>
            <w:r w:rsidRPr="00E9785D">
              <w:rPr>
                <w:rFonts w:eastAsia="Times New Roman" w:cs="Times New Roman"/>
                <w:color w:val="0000FF"/>
              </w:rPr>
              <w:t>128</w:t>
            </w:r>
          </w:p>
        </w:tc>
        <w:tc>
          <w:tcPr>
            <w:tcW w:w="1665" w:type="dxa"/>
            <w:shd w:val="clear" w:color="auto" w:fill="auto"/>
            <w:noWrap/>
            <w:vAlign w:val="bottom"/>
            <w:hideMark/>
          </w:tcPr>
          <w:p w14:paraId="3D7B0E03"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37</w:t>
            </w:r>
          </w:p>
        </w:tc>
        <w:tc>
          <w:tcPr>
            <w:tcW w:w="2081" w:type="dxa"/>
            <w:shd w:val="clear" w:color="auto" w:fill="auto"/>
            <w:noWrap/>
            <w:vAlign w:val="bottom"/>
            <w:hideMark/>
          </w:tcPr>
          <w:p w14:paraId="34D57117"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52.52</w:t>
            </w:r>
          </w:p>
        </w:tc>
      </w:tr>
      <w:tr w:rsidR="00B11E91" w:rsidRPr="00E9785D" w14:paraId="088B6766" w14:textId="77777777" w:rsidTr="00AD4168">
        <w:trPr>
          <w:trHeight w:val="296"/>
        </w:trPr>
        <w:tc>
          <w:tcPr>
            <w:tcW w:w="1293" w:type="dxa"/>
            <w:shd w:val="clear" w:color="auto" w:fill="auto"/>
            <w:noWrap/>
            <w:vAlign w:val="bottom"/>
            <w:hideMark/>
          </w:tcPr>
          <w:p w14:paraId="3AF71D14" w14:textId="77777777" w:rsidR="00B11E91" w:rsidRPr="00E9785D" w:rsidRDefault="00B11E91" w:rsidP="00AD4168">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35235093"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6</w:t>
            </w:r>
          </w:p>
        </w:tc>
        <w:tc>
          <w:tcPr>
            <w:tcW w:w="1526" w:type="dxa"/>
            <w:shd w:val="clear" w:color="auto" w:fill="auto"/>
            <w:noWrap/>
            <w:vAlign w:val="bottom"/>
            <w:hideMark/>
          </w:tcPr>
          <w:p w14:paraId="26D6D5BF"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1</w:t>
            </w:r>
            <w:r>
              <w:rPr>
                <w:rFonts w:eastAsia="Times New Roman" w:cs="Times New Roman"/>
                <w:color w:val="0000FF"/>
              </w:rPr>
              <w:t>,</w:t>
            </w:r>
            <w:r w:rsidRPr="00E9785D">
              <w:rPr>
                <w:rFonts w:eastAsia="Times New Roman" w:cs="Times New Roman"/>
                <w:color w:val="0000FF"/>
              </w:rPr>
              <w:t>718</w:t>
            </w:r>
          </w:p>
        </w:tc>
        <w:tc>
          <w:tcPr>
            <w:tcW w:w="1665" w:type="dxa"/>
            <w:shd w:val="clear" w:color="auto" w:fill="auto"/>
            <w:noWrap/>
            <w:vAlign w:val="bottom"/>
            <w:hideMark/>
          </w:tcPr>
          <w:p w14:paraId="1AD2B8A9"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30</w:t>
            </w:r>
          </w:p>
        </w:tc>
        <w:tc>
          <w:tcPr>
            <w:tcW w:w="2081" w:type="dxa"/>
            <w:shd w:val="clear" w:color="auto" w:fill="auto"/>
            <w:noWrap/>
            <w:vAlign w:val="bottom"/>
            <w:hideMark/>
          </w:tcPr>
          <w:p w14:paraId="2102EEAF"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79.2</w:t>
            </w:r>
            <w:r>
              <w:rPr>
                <w:rFonts w:eastAsia="Times New Roman" w:cs="Times New Roman"/>
                <w:color w:val="0000FF"/>
              </w:rPr>
              <w:t>0</w:t>
            </w:r>
          </w:p>
        </w:tc>
      </w:tr>
      <w:tr w:rsidR="00B11E91" w:rsidRPr="00E9785D" w14:paraId="2A255C9D" w14:textId="77777777" w:rsidTr="00AD4168">
        <w:trPr>
          <w:trHeight w:val="296"/>
        </w:trPr>
        <w:tc>
          <w:tcPr>
            <w:tcW w:w="2659" w:type="dxa"/>
            <w:gridSpan w:val="2"/>
            <w:shd w:val="clear" w:color="auto" w:fill="auto"/>
            <w:noWrap/>
            <w:vAlign w:val="bottom"/>
            <w:hideMark/>
          </w:tcPr>
          <w:p w14:paraId="670A73E4" w14:textId="72004D5C" w:rsidR="00B11E91" w:rsidRPr="00E9785D" w:rsidRDefault="00B11E91" w:rsidP="00AD4168">
            <w:pPr>
              <w:spacing w:after="0" w:line="240" w:lineRule="auto"/>
              <w:rPr>
                <w:rFonts w:eastAsia="Times New Roman" w:cs="Times New Roman"/>
                <w:color w:val="0000FF"/>
              </w:rPr>
            </w:pPr>
            <w:r w:rsidRPr="00E9785D">
              <w:rPr>
                <w:rFonts w:eastAsia="Times New Roman" w:cs="Times New Roman"/>
                <w:color w:val="0000FF"/>
              </w:rPr>
              <w:t>Toilet</w:t>
            </w:r>
            <w:r>
              <w:rPr>
                <w:rFonts w:eastAsia="Times New Roman" w:cs="Times New Roman"/>
                <w:color w:val="0000FF"/>
              </w:rPr>
              <w:t>ing</w:t>
            </w:r>
            <w:r w:rsidR="008816CF">
              <w:rPr>
                <w:rFonts w:eastAsia="Times New Roman" w:cs="Times New Roman"/>
                <w:color w:val="0000FF"/>
              </w:rPr>
              <w:t xml:space="preserve"> h</w:t>
            </w:r>
            <w:r w:rsidRPr="00E9785D">
              <w:rPr>
                <w:rFonts w:eastAsia="Times New Roman" w:cs="Times New Roman"/>
                <w:color w:val="0000FF"/>
              </w:rPr>
              <w:t>ygiene</w:t>
            </w:r>
          </w:p>
        </w:tc>
        <w:tc>
          <w:tcPr>
            <w:tcW w:w="1526" w:type="dxa"/>
            <w:shd w:val="clear" w:color="auto" w:fill="auto"/>
            <w:noWrap/>
            <w:vAlign w:val="bottom"/>
            <w:hideMark/>
          </w:tcPr>
          <w:p w14:paraId="170CE8BE" w14:textId="77777777" w:rsidR="00B11E91" w:rsidRPr="00E9785D" w:rsidRDefault="00B11E91" w:rsidP="00AD4168">
            <w:pPr>
              <w:spacing w:after="0" w:line="240" w:lineRule="auto"/>
              <w:jc w:val="center"/>
              <w:rPr>
                <w:rFonts w:eastAsia="Times New Roman" w:cs="Times New Roman"/>
                <w:color w:val="0000FF"/>
              </w:rPr>
            </w:pPr>
          </w:p>
        </w:tc>
        <w:tc>
          <w:tcPr>
            <w:tcW w:w="1665" w:type="dxa"/>
            <w:shd w:val="clear" w:color="auto" w:fill="auto"/>
            <w:noWrap/>
            <w:vAlign w:val="bottom"/>
            <w:hideMark/>
          </w:tcPr>
          <w:p w14:paraId="65497E9D" w14:textId="77777777" w:rsidR="00B11E91" w:rsidRPr="00E9785D" w:rsidRDefault="00B11E91" w:rsidP="00AD4168">
            <w:pPr>
              <w:spacing w:after="0" w:line="240" w:lineRule="auto"/>
              <w:jc w:val="center"/>
              <w:rPr>
                <w:rFonts w:eastAsia="Times New Roman" w:cs="Times New Roman"/>
                <w:color w:val="0000FF"/>
              </w:rPr>
            </w:pPr>
          </w:p>
        </w:tc>
        <w:tc>
          <w:tcPr>
            <w:tcW w:w="2081" w:type="dxa"/>
            <w:shd w:val="clear" w:color="auto" w:fill="auto"/>
            <w:noWrap/>
            <w:vAlign w:val="bottom"/>
            <w:hideMark/>
          </w:tcPr>
          <w:p w14:paraId="4F8B32B6" w14:textId="77777777" w:rsidR="00B11E91" w:rsidRPr="00E9785D" w:rsidRDefault="00B11E91" w:rsidP="00AD4168">
            <w:pPr>
              <w:spacing w:after="0" w:line="240" w:lineRule="auto"/>
              <w:jc w:val="center"/>
              <w:rPr>
                <w:rFonts w:eastAsia="Times New Roman" w:cs="Times New Roman"/>
                <w:color w:val="0000FF"/>
              </w:rPr>
            </w:pPr>
          </w:p>
        </w:tc>
      </w:tr>
      <w:tr w:rsidR="00B11E91" w:rsidRPr="00E9785D" w14:paraId="750637A1" w14:textId="77777777" w:rsidTr="00AD4168">
        <w:trPr>
          <w:trHeight w:val="296"/>
        </w:trPr>
        <w:tc>
          <w:tcPr>
            <w:tcW w:w="1293" w:type="dxa"/>
            <w:shd w:val="clear" w:color="auto" w:fill="auto"/>
            <w:noWrap/>
            <w:vAlign w:val="bottom"/>
            <w:hideMark/>
          </w:tcPr>
          <w:p w14:paraId="765ECD78" w14:textId="77777777" w:rsidR="00B11E91" w:rsidRPr="00E9785D" w:rsidRDefault="00B11E91" w:rsidP="00AD4168">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2DFD7E03"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1</w:t>
            </w:r>
          </w:p>
        </w:tc>
        <w:tc>
          <w:tcPr>
            <w:tcW w:w="1526" w:type="dxa"/>
            <w:shd w:val="clear" w:color="auto" w:fill="auto"/>
            <w:noWrap/>
            <w:vAlign w:val="bottom"/>
            <w:hideMark/>
          </w:tcPr>
          <w:p w14:paraId="70D817DF"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954</w:t>
            </w:r>
          </w:p>
        </w:tc>
        <w:tc>
          <w:tcPr>
            <w:tcW w:w="1665" w:type="dxa"/>
            <w:shd w:val="clear" w:color="auto" w:fill="auto"/>
            <w:noWrap/>
            <w:vAlign w:val="bottom"/>
            <w:hideMark/>
          </w:tcPr>
          <w:p w14:paraId="2D18BD99"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17</w:t>
            </w:r>
          </w:p>
        </w:tc>
        <w:tc>
          <w:tcPr>
            <w:tcW w:w="2081" w:type="dxa"/>
            <w:shd w:val="clear" w:color="auto" w:fill="auto"/>
            <w:noWrap/>
            <w:vAlign w:val="bottom"/>
            <w:hideMark/>
          </w:tcPr>
          <w:p w14:paraId="292E6C87"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29.24</w:t>
            </w:r>
          </w:p>
        </w:tc>
      </w:tr>
      <w:tr w:rsidR="00B11E91" w:rsidRPr="00E9785D" w14:paraId="58E55181" w14:textId="77777777" w:rsidTr="00AD4168">
        <w:trPr>
          <w:trHeight w:val="296"/>
        </w:trPr>
        <w:tc>
          <w:tcPr>
            <w:tcW w:w="1293" w:type="dxa"/>
            <w:shd w:val="clear" w:color="auto" w:fill="auto"/>
            <w:noWrap/>
            <w:vAlign w:val="bottom"/>
            <w:hideMark/>
          </w:tcPr>
          <w:p w14:paraId="0A910B5C" w14:textId="77777777" w:rsidR="00B11E91" w:rsidRPr="00E9785D" w:rsidRDefault="00B11E91" w:rsidP="00AD4168">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796D833D"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2</w:t>
            </w:r>
          </w:p>
        </w:tc>
        <w:tc>
          <w:tcPr>
            <w:tcW w:w="1526" w:type="dxa"/>
            <w:shd w:val="clear" w:color="auto" w:fill="auto"/>
            <w:noWrap/>
            <w:vAlign w:val="bottom"/>
            <w:hideMark/>
          </w:tcPr>
          <w:p w14:paraId="7950AB8D"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727</w:t>
            </w:r>
          </w:p>
        </w:tc>
        <w:tc>
          <w:tcPr>
            <w:tcW w:w="1665" w:type="dxa"/>
            <w:shd w:val="clear" w:color="auto" w:fill="auto"/>
            <w:noWrap/>
            <w:vAlign w:val="bottom"/>
            <w:hideMark/>
          </w:tcPr>
          <w:p w14:paraId="26D22BBF"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13</w:t>
            </w:r>
          </w:p>
        </w:tc>
        <w:tc>
          <w:tcPr>
            <w:tcW w:w="2081" w:type="dxa"/>
            <w:shd w:val="clear" w:color="auto" w:fill="auto"/>
            <w:noWrap/>
            <w:vAlign w:val="bottom"/>
            <w:hideMark/>
          </w:tcPr>
          <w:p w14:paraId="67E50B09"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40.58</w:t>
            </w:r>
          </w:p>
        </w:tc>
      </w:tr>
      <w:tr w:rsidR="00B11E91" w:rsidRPr="00E9785D" w14:paraId="5E6E2DB2" w14:textId="77777777" w:rsidTr="00AD4168">
        <w:trPr>
          <w:trHeight w:val="296"/>
        </w:trPr>
        <w:tc>
          <w:tcPr>
            <w:tcW w:w="1293" w:type="dxa"/>
            <w:shd w:val="clear" w:color="auto" w:fill="auto"/>
            <w:noWrap/>
            <w:vAlign w:val="bottom"/>
            <w:hideMark/>
          </w:tcPr>
          <w:p w14:paraId="707497A7" w14:textId="77777777" w:rsidR="00B11E91" w:rsidRPr="00E9785D" w:rsidRDefault="00B11E91" w:rsidP="00AD4168">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43EAE10C"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3</w:t>
            </w:r>
          </w:p>
        </w:tc>
        <w:tc>
          <w:tcPr>
            <w:tcW w:w="1526" w:type="dxa"/>
            <w:shd w:val="clear" w:color="auto" w:fill="auto"/>
            <w:noWrap/>
            <w:vAlign w:val="bottom"/>
            <w:hideMark/>
          </w:tcPr>
          <w:p w14:paraId="24C85B1C"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945</w:t>
            </w:r>
          </w:p>
        </w:tc>
        <w:tc>
          <w:tcPr>
            <w:tcW w:w="1665" w:type="dxa"/>
            <w:shd w:val="clear" w:color="auto" w:fill="auto"/>
            <w:noWrap/>
            <w:vAlign w:val="bottom"/>
            <w:hideMark/>
          </w:tcPr>
          <w:p w14:paraId="355BFB2B"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16</w:t>
            </w:r>
          </w:p>
        </w:tc>
        <w:tc>
          <w:tcPr>
            <w:tcW w:w="2081" w:type="dxa"/>
            <w:shd w:val="clear" w:color="auto" w:fill="auto"/>
            <w:noWrap/>
            <w:vAlign w:val="bottom"/>
            <w:hideMark/>
          </w:tcPr>
          <w:p w14:paraId="24BF6ABA"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48.04</w:t>
            </w:r>
          </w:p>
        </w:tc>
      </w:tr>
      <w:tr w:rsidR="00B11E91" w:rsidRPr="00E9785D" w14:paraId="0293C93D" w14:textId="77777777" w:rsidTr="00AD4168">
        <w:trPr>
          <w:trHeight w:val="296"/>
        </w:trPr>
        <w:tc>
          <w:tcPr>
            <w:tcW w:w="1293" w:type="dxa"/>
            <w:shd w:val="clear" w:color="auto" w:fill="auto"/>
            <w:noWrap/>
            <w:vAlign w:val="bottom"/>
            <w:hideMark/>
          </w:tcPr>
          <w:p w14:paraId="43DBF47C" w14:textId="77777777" w:rsidR="00B11E91" w:rsidRPr="00E9785D" w:rsidRDefault="00B11E91" w:rsidP="00AD4168">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683F0552"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4</w:t>
            </w:r>
          </w:p>
        </w:tc>
        <w:tc>
          <w:tcPr>
            <w:tcW w:w="1526" w:type="dxa"/>
            <w:shd w:val="clear" w:color="auto" w:fill="auto"/>
            <w:noWrap/>
            <w:vAlign w:val="bottom"/>
            <w:hideMark/>
          </w:tcPr>
          <w:p w14:paraId="54BC178B"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1</w:t>
            </w:r>
            <w:r>
              <w:rPr>
                <w:rFonts w:eastAsia="Times New Roman" w:cs="Times New Roman"/>
                <w:color w:val="0000FF"/>
              </w:rPr>
              <w:t>,</w:t>
            </w:r>
            <w:r w:rsidRPr="00E9785D">
              <w:rPr>
                <w:rFonts w:eastAsia="Times New Roman" w:cs="Times New Roman"/>
                <w:color w:val="0000FF"/>
              </w:rPr>
              <w:t>378</w:t>
            </w:r>
          </w:p>
        </w:tc>
        <w:tc>
          <w:tcPr>
            <w:tcW w:w="1665" w:type="dxa"/>
            <w:shd w:val="clear" w:color="auto" w:fill="auto"/>
            <w:noWrap/>
            <w:vAlign w:val="bottom"/>
            <w:hideMark/>
          </w:tcPr>
          <w:p w14:paraId="4EE019E5"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24</w:t>
            </w:r>
          </w:p>
        </w:tc>
        <w:tc>
          <w:tcPr>
            <w:tcW w:w="2081" w:type="dxa"/>
            <w:shd w:val="clear" w:color="auto" w:fill="auto"/>
            <w:noWrap/>
            <w:vAlign w:val="bottom"/>
            <w:hideMark/>
          </w:tcPr>
          <w:p w14:paraId="064E3D56"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55.98</w:t>
            </w:r>
          </w:p>
        </w:tc>
      </w:tr>
      <w:tr w:rsidR="00B11E91" w:rsidRPr="00E9785D" w14:paraId="332172E1" w14:textId="77777777" w:rsidTr="00AD4168">
        <w:trPr>
          <w:trHeight w:val="296"/>
        </w:trPr>
        <w:tc>
          <w:tcPr>
            <w:tcW w:w="1293" w:type="dxa"/>
            <w:shd w:val="clear" w:color="auto" w:fill="auto"/>
            <w:noWrap/>
            <w:vAlign w:val="bottom"/>
            <w:hideMark/>
          </w:tcPr>
          <w:p w14:paraId="7A9BD717" w14:textId="77777777" w:rsidR="00B11E91" w:rsidRPr="00E9785D" w:rsidRDefault="00B11E91" w:rsidP="00AD4168">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47977476"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5</w:t>
            </w:r>
          </w:p>
        </w:tc>
        <w:tc>
          <w:tcPr>
            <w:tcW w:w="1526" w:type="dxa"/>
            <w:shd w:val="clear" w:color="auto" w:fill="auto"/>
            <w:noWrap/>
            <w:vAlign w:val="bottom"/>
            <w:hideMark/>
          </w:tcPr>
          <w:p w14:paraId="185B9AE0"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638</w:t>
            </w:r>
          </w:p>
        </w:tc>
        <w:tc>
          <w:tcPr>
            <w:tcW w:w="1665" w:type="dxa"/>
            <w:shd w:val="clear" w:color="auto" w:fill="auto"/>
            <w:noWrap/>
            <w:vAlign w:val="bottom"/>
            <w:hideMark/>
          </w:tcPr>
          <w:p w14:paraId="0D514C35"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11</w:t>
            </w:r>
          </w:p>
        </w:tc>
        <w:tc>
          <w:tcPr>
            <w:tcW w:w="2081" w:type="dxa"/>
            <w:shd w:val="clear" w:color="auto" w:fill="auto"/>
            <w:noWrap/>
            <w:vAlign w:val="bottom"/>
            <w:hideMark/>
          </w:tcPr>
          <w:p w14:paraId="02E55603"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65.92</w:t>
            </w:r>
          </w:p>
        </w:tc>
      </w:tr>
      <w:tr w:rsidR="00B11E91" w:rsidRPr="00E9785D" w14:paraId="5E7E4E30" w14:textId="77777777" w:rsidTr="00AD4168">
        <w:trPr>
          <w:trHeight w:val="296"/>
        </w:trPr>
        <w:tc>
          <w:tcPr>
            <w:tcW w:w="1293" w:type="dxa"/>
            <w:shd w:val="clear" w:color="auto" w:fill="auto"/>
            <w:noWrap/>
            <w:vAlign w:val="bottom"/>
            <w:hideMark/>
          </w:tcPr>
          <w:p w14:paraId="2540E7A7" w14:textId="77777777" w:rsidR="00B11E91" w:rsidRPr="00E9785D" w:rsidRDefault="00B11E91" w:rsidP="00AD4168">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4603A7D7"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6</w:t>
            </w:r>
          </w:p>
        </w:tc>
        <w:tc>
          <w:tcPr>
            <w:tcW w:w="1526" w:type="dxa"/>
            <w:shd w:val="clear" w:color="auto" w:fill="auto"/>
            <w:noWrap/>
            <w:vAlign w:val="bottom"/>
            <w:hideMark/>
          </w:tcPr>
          <w:p w14:paraId="154AC976"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1</w:t>
            </w:r>
            <w:r>
              <w:rPr>
                <w:rFonts w:eastAsia="Times New Roman" w:cs="Times New Roman"/>
                <w:color w:val="0000FF"/>
              </w:rPr>
              <w:t>,</w:t>
            </w:r>
            <w:r w:rsidRPr="00E9785D">
              <w:rPr>
                <w:rFonts w:eastAsia="Times New Roman" w:cs="Times New Roman"/>
                <w:color w:val="0000FF"/>
              </w:rPr>
              <w:t>132</w:t>
            </w:r>
          </w:p>
        </w:tc>
        <w:tc>
          <w:tcPr>
            <w:tcW w:w="1665" w:type="dxa"/>
            <w:shd w:val="clear" w:color="auto" w:fill="auto"/>
            <w:noWrap/>
            <w:vAlign w:val="bottom"/>
            <w:hideMark/>
          </w:tcPr>
          <w:p w14:paraId="711F6BFC"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20</w:t>
            </w:r>
          </w:p>
        </w:tc>
        <w:tc>
          <w:tcPr>
            <w:tcW w:w="2081" w:type="dxa"/>
            <w:shd w:val="clear" w:color="auto" w:fill="auto"/>
            <w:noWrap/>
            <w:vAlign w:val="bottom"/>
            <w:hideMark/>
          </w:tcPr>
          <w:p w14:paraId="5D7EA49F"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87.18</w:t>
            </w:r>
          </w:p>
        </w:tc>
      </w:tr>
      <w:tr w:rsidR="00B11E91" w:rsidRPr="00E9785D" w14:paraId="4433B0DB" w14:textId="77777777" w:rsidTr="00AD4168">
        <w:trPr>
          <w:trHeight w:val="296"/>
        </w:trPr>
        <w:tc>
          <w:tcPr>
            <w:tcW w:w="2659" w:type="dxa"/>
            <w:gridSpan w:val="2"/>
            <w:shd w:val="clear" w:color="auto" w:fill="auto"/>
            <w:noWrap/>
            <w:vAlign w:val="bottom"/>
            <w:hideMark/>
          </w:tcPr>
          <w:p w14:paraId="2E8A6CE4" w14:textId="2DFE12F3" w:rsidR="00B11E91" w:rsidRPr="00E9785D" w:rsidRDefault="00B11E91" w:rsidP="00AD4168">
            <w:pPr>
              <w:spacing w:after="0" w:line="240" w:lineRule="auto"/>
              <w:rPr>
                <w:rFonts w:eastAsia="Times New Roman" w:cs="Times New Roman"/>
                <w:color w:val="0000FF"/>
              </w:rPr>
            </w:pPr>
            <w:r w:rsidRPr="00E9785D">
              <w:rPr>
                <w:rFonts w:eastAsia="Times New Roman" w:cs="Times New Roman"/>
                <w:color w:val="0000FF"/>
              </w:rPr>
              <w:t xml:space="preserve">Upper </w:t>
            </w:r>
            <w:r w:rsidR="008816CF">
              <w:rPr>
                <w:rFonts w:eastAsia="Times New Roman" w:cs="Times New Roman"/>
                <w:color w:val="0000FF"/>
              </w:rPr>
              <w:t>b</w:t>
            </w:r>
            <w:r>
              <w:rPr>
                <w:rFonts w:eastAsia="Times New Roman" w:cs="Times New Roman"/>
                <w:color w:val="0000FF"/>
              </w:rPr>
              <w:t xml:space="preserve">ody </w:t>
            </w:r>
            <w:r w:rsidR="008816CF">
              <w:rPr>
                <w:rFonts w:eastAsia="Times New Roman" w:cs="Times New Roman"/>
                <w:color w:val="0000FF"/>
              </w:rPr>
              <w:t>d</w:t>
            </w:r>
            <w:r w:rsidRPr="00E9785D">
              <w:rPr>
                <w:rFonts w:eastAsia="Times New Roman" w:cs="Times New Roman"/>
                <w:color w:val="0000FF"/>
              </w:rPr>
              <w:t>ressing</w:t>
            </w:r>
          </w:p>
        </w:tc>
        <w:tc>
          <w:tcPr>
            <w:tcW w:w="1526" w:type="dxa"/>
            <w:shd w:val="clear" w:color="auto" w:fill="auto"/>
            <w:noWrap/>
            <w:vAlign w:val="bottom"/>
            <w:hideMark/>
          </w:tcPr>
          <w:p w14:paraId="0F803E6C" w14:textId="77777777" w:rsidR="00B11E91" w:rsidRPr="00E9785D" w:rsidRDefault="00B11E91" w:rsidP="00AD4168">
            <w:pPr>
              <w:spacing w:after="0" w:line="240" w:lineRule="auto"/>
              <w:jc w:val="center"/>
              <w:rPr>
                <w:rFonts w:eastAsia="Times New Roman" w:cs="Times New Roman"/>
                <w:color w:val="0000FF"/>
              </w:rPr>
            </w:pPr>
          </w:p>
        </w:tc>
        <w:tc>
          <w:tcPr>
            <w:tcW w:w="1665" w:type="dxa"/>
            <w:shd w:val="clear" w:color="auto" w:fill="auto"/>
            <w:noWrap/>
            <w:vAlign w:val="bottom"/>
            <w:hideMark/>
          </w:tcPr>
          <w:p w14:paraId="45E775AC" w14:textId="77777777" w:rsidR="00B11E91" w:rsidRPr="00E9785D" w:rsidRDefault="00B11E91" w:rsidP="00AD4168">
            <w:pPr>
              <w:spacing w:after="0" w:line="240" w:lineRule="auto"/>
              <w:jc w:val="center"/>
              <w:rPr>
                <w:rFonts w:eastAsia="Times New Roman" w:cs="Times New Roman"/>
                <w:color w:val="0000FF"/>
              </w:rPr>
            </w:pPr>
          </w:p>
        </w:tc>
        <w:tc>
          <w:tcPr>
            <w:tcW w:w="2081" w:type="dxa"/>
            <w:shd w:val="clear" w:color="auto" w:fill="auto"/>
            <w:noWrap/>
            <w:vAlign w:val="bottom"/>
            <w:hideMark/>
          </w:tcPr>
          <w:p w14:paraId="5B9A296A" w14:textId="77777777" w:rsidR="00B11E91" w:rsidRPr="00E9785D" w:rsidRDefault="00B11E91" w:rsidP="00AD4168">
            <w:pPr>
              <w:spacing w:after="0" w:line="240" w:lineRule="auto"/>
              <w:jc w:val="center"/>
              <w:rPr>
                <w:rFonts w:eastAsia="Times New Roman" w:cs="Times New Roman"/>
                <w:color w:val="0000FF"/>
              </w:rPr>
            </w:pPr>
          </w:p>
        </w:tc>
      </w:tr>
      <w:tr w:rsidR="00B11E91" w:rsidRPr="00E9785D" w14:paraId="0CFA79EA" w14:textId="77777777" w:rsidTr="00AD4168">
        <w:trPr>
          <w:trHeight w:val="296"/>
        </w:trPr>
        <w:tc>
          <w:tcPr>
            <w:tcW w:w="1293" w:type="dxa"/>
            <w:shd w:val="clear" w:color="auto" w:fill="auto"/>
            <w:noWrap/>
            <w:vAlign w:val="bottom"/>
            <w:hideMark/>
          </w:tcPr>
          <w:p w14:paraId="0E14AA3D" w14:textId="77777777" w:rsidR="00B11E91" w:rsidRPr="00E9785D" w:rsidRDefault="00B11E91" w:rsidP="00AD4168">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49D3901F"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1</w:t>
            </w:r>
          </w:p>
        </w:tc>
        <w:tc>
          <w:tcPr>
            <w:tcW w:w="1526" w:type="dxa"/>
            <w:shd w:val="clear" w:color="auto" w:fill="auto"/>
            <w:noWrap/>
            <w:vAlign w:val="bottom"/>
            <w:hideMark/>
          </w:tcPr>
          <w:p w14:paraId="544CC44F"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303</w:t>
            </w:r>
          </w:p>
        </w:tc>
        <w:tc>
          <w:tcPr>
            <w:tcW w:w="1665" w:type="dxa"/>
            <w:shd w:val="clear" w:color="auto" w:fill="auto"/>
            <w:noWrap/>
            <w:vAlign w:val="bottom"/>
            <w:hideMark/>
          </w:tcPr>
          <w:p w14:paraId="2013FCBE"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5</w:t>
            </w:r>
          </w:p>
        </w:tc>
        <w:tc>
          <w:tcPr>
            <w:tcW w:w="2081" w:type="dxa"/>
            <w:shd w:val="clear" w:color="auto" w:fill="auto"/>
            <w:noWrap/>
            <w:vAlign w:val="bottom"/>
            <w:hideMark/>
          </w:tcPr>
          <w:p w14:paraId="39D3CA08"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14.94</w:t>
            </w:r>
          </w:p>
        </w:tc>
      </w:tr>
      <w:tr w:rsidR="00B11E91" w:rsidRPr="00E9785D" w14:paraId="111AE108" w14:textId="77777777" w:rsidTr="00AD4168">
        <w:trPr>
          <w:trHeight w:val="296"/>
        </w:trPr>
        <w:tc>
          <w:tcPr>
            <w:tcW w:w="1293" w:type="dxa"/>
            <w:shd w:val="clear" w:color="auto" w:fill="auto"/>
            <w:noWrap/>
            <w:vAlign w:val="bottom"/>
            <w:hideMark/>
          </w:tcPr>
          <w:p w14:paraId="0023B3CB" w14:textId="77777777" w:rsidR="00B11E91" w:rsidRPr="00E9785D" w:rsidRDefault="00B11E91" w:rsidP="00AD4168">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74B5258B"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2</w:t>
            </w:r>
          </w:p>
        </w:tc>
        <w:tc>
          <w:tcPr>
            <w:tcW w:w="1526" w:type="dxa"/>
            <w:shd w:val="clear" w:color="auto" w:fill="auto"/>
            <w:noWrap/>
            <w:vAlign w:val="bottom"/>
            <w:hideMark/>
          </w:tcPr>
          <w:p w14:paraId="646E4B8B"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482</w:t>
            </w:r>
          </w:p>
        </w:tc>
        <w:tc>
          <w:tcPr>
            <w:tcW w:w="1665" w:type="dxa"/>
            <w:shd w:val="clear" w:color="auto" w:fill="auto"/>
            <w:noWrap/>
            <w:vAlign w:val="bottom"/>
            <w:hideMark/>
          </w:tcPr>
          <w:p w14:paraId="7654F9EC"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8</w:t>
            </w:r>
          </w:p>
        </w:tc>
        <w:tc>
          <w:tcPr>
            <w:tcW w:w="2081" w:type="dxa"/>
            <w:shd w:val="clear" w:color="auto" w:fill="auto"/>
            <w:noWrap/>
            <w:vAlign w:val="bottom"/>
            <w:hideMark/>
          </w:tcPr>
          <w:p w14:paraId="3504B830"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32.43</w:t>
            </w:r>
          </w:p>
        </w:tc>
      </w:tr>
      <w:tr w:rsidR="00B11E91" w:rsidRPr="00E9785D" w14:paraId="6B94456A" w14:textId="77777777" w:rsidTr="00AD4168">
        <w:trPr>
          <w:trHeight w:val="296"/>
        </w:trPr>
        <w:tc>
          <w:tcPr>
            <w:tcW w:w="1293" w:type="dxa"/>
            <w:shd w:val="clear" w:color="auto" w:fill="auto"/>
            <w:noWrap/>
            <w:vAlign w:val="bottom"/>
            <w:hideMark/>
          </w:tcPr>
          <w:p w14:paraId="4F37B058" w14:textId="77777777" w:rsidR="00B11E91" w:rsidRPr="00E9785D" w:rsidRDefault="00B11E91" w:rsidP="00AD4168">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267501E7"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3</w:t>
            </w:r>
          </w:p>
        </w:tc>
        <w:tc>
          <w:tcPr>
            <w:tcW w:w="1526" w:type="dxa"/>
            <w:shd w:val="clear" w:color="auto" w:fill="auto"/>
            <w:noWrap/>
            <w:vAlign w:val="bottom"/>
            <w:hideMark/>
          </w:tcPr>
          <w:p w14:paraId="71D6BDE7"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993</w:t>
            </w:r>
          </w:p>
        </w:tc>
        <w:tc>
          <w:tcPr>
            <w:tcW w:w="1665" w:type="dxa"/>
            <w:shd w:val="clear" w:color="auto" w:fill="auto"/>
            <w:noWrap/>
            <w:vAlign w:val="bottom"/>
            <w:hideMark/>
          </w:tcPr>
          <w:p w14:paraId="56402F97"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17</w:t>
            </w:r>
          </w:p>
        </w:tc>
        <w:tc>
          <w:tcPr>
            <w:tcW w:w="2081" w:type="dxa"/>
            <w:shd w:val="clear" w:color="auto" w:fill="auto"/>
            <w:noWrap/>
            <w:vAlign w:val="bottom"/>
            <w:hideMark/>
          </w:tcPr>
          <w:p w14:paraId="776EAA9D"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42.71</w:t>
            </w:r>
          </w:p>
        </w:tc>
      </w:tr>
      <w:tr w:rsidR="00B11E91" w:rsidRPr="00E9785D" w14:paraId="52FF4EB2" w14:textId="77777777" w:rsidTr="00AD4168">
        <w:trPr>
          <w:trHeight w:val="296"/>
        </w:trPr>
        <w:tc>
          <w:tcPr>
            <w:tcW w:w="1293" w:type="dxa"/>
            <w:shd w:val="clear" w:color="auto" w:fill="auto"/>
            <w:noWrap/>
            <w:vAlign w:val="bottom"/>
            <w:hideMark/>
          </w:tcPr>
          <w:p w14:paraId="3237E16E" w14:textId="77777777" w:rsidR="00B11E91" w:rsidRPr="00E9785D" w:rsidRDefault="00B11E91" w:rsidP="00AD4168">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24CFFE6C"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4</w:t>
            </w:r>
          </w:p>
        </w:tc>
        <w:tc>
          <w:tcPr>
            <w:tcW w:w="1526" w:type="dxa"/>
            <w:shd w:val="clear" w:color="auto" w:fill="auto"/>
            <w:noWrap/>
            <w:vAlign w:val="bottom"/>
            <w:hideMark/>
          </w:tcPr>
          <w:p w14:paraId="5A603752"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1248</w:t>
            </w:r>
          </w:p>
        </w:tc>
        <w:tc>
          <w:tcPr>
            <w:tcW w:w="1665" w:type="dxa"/>
            <w:shd w:val="clear" w:color="auto" w:fill="auto"/>
            <w:noWrap/>
            <w:vAlign w:val="bottom"/>
            <w:hideMark/>
          </w:tcPr>
          <w:p w14:paraId="38372692"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22</w:t>
            </w:r>
          </w:p>
        </w:tc>
        <w:tc>
          <w:tcPr>
            <w:tcW w:w="2081" w:type="dxa"/>
            <w:shd w:val="clear" w:color="auto" w:fill="auto"/>
            <w:noWrap/>
            <w:vAlign w:val="bottom"/>
            <w:hideMark/>
          </w:tcPr>
          <w:p w14:paraId="36CF8A74"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51.13</w:t>
            </w:r>
          </w:p>
        </w:tc>
      </w:tr>
      <w:tr w:rsidR="00B11E91" w:rsidRPr="00E9785D" w14:paraId="05FD0640" w14:textId="77777777" w:rsidTr="00AD4168">
        <w:trPr>
          <w:trHeight w:val="296"/>
        </w:trPr>
        <w:tc>
          <w:tcPr>
            <w:tcW w:w="1293" w:type="dxa"/>
            <w:shd w:val="clear" w:color="auto" w:fill="auto"/>
            <w:noWrap/>
            <w:vAlign w:val="bottom"/>
            <w:hideMark/>
          </w:tcPr>
          <w:p w14:paraId="277AD23D" w14:textId="77777777" w:rsidR="00B11E91" w:rsidRPr="00E9785D" w:rsidRDefault="00B11E91" w:rsidP="00AD4168">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2DE04441"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5</w:t>
            </w:r>
          </w:p>
        </w:tc>
        <w:tc>
          <w:tcPr>
            <w:tcW w:w="1526" w:type="dxa"/>
            <w:shd w:val="clear" w:color="auto" w:fill="auto"/>
            <w:noWrap/>
            <w:vAlign w:val="bottom"/>
            <w:hideMark/>
          </w:tcPr>
          <w:p w14:paraId="0FA74024"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1558</w:t>
            </w:r>
          </w:p>
        </w:tc>
        <w:tc>
          <w:tcPr>
            <w:tcW w:w="1665" w:type="dxa"/>
            <w:shd w:val="clear" w:color="auto" w:fill="auto"/>
            <w:noWrap/>
            <w:vAlign w:val="bottom"/>
            <w:hideMark/>
          </w:tcPr>
          <w:p w14:paraId="1E546658"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27</w:t>
            </w:r>
          </w:p>
        </w:tc>
        <w:tc>
          <w:tcPr>
            <w:tcW w:w="2081" w:type="dxa"/>
            <w:shd w:val="clear" w:color="auto" w:fill="auto"/>
            <w:noWrap/>
            <w:vAlign w:val="bottom"/>
            <w:hideMark/>
          </w:tcPr>
          <w:p w14:paraId="26E6F977"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57.84</w:t>
            </w:r>
          </w:p>
        </w:tc>
      </w:tr>
      <w:tr w:rsidR="00B11E91" w:rsidRPr="00E9785D" w14:paraId="29F17088" w14:textId="77777777" w:rsidTr="00AD4168">
        <w:trPr>
          <w:trHeight w:val="296"/>
        </w:trPr>
        <w:tc>
          <w:tcPr>
            <w:tcW w:w="1293" w:type="dxa"/>
            <w:shd w:val="clear" w:color="auto" w:fill="auto"/>
            <w:noWrap/>
            <w:vAlign w:val="bottom"/>
            <w:hideMark/>
          </w:tcPr>
          <w:p w14:paraId="56E58BAE" w14:textId="77777777" w:rsidR="00B11E91" w:rsidRPr="00E9785D" w:rsidRDefault="00B11E91" w:rsidP="00AD4168">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3F2C8886"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6</w:t>
            </w:r>
          </w:p>
        </w:tc>
        <w:tc>
          <w:tcPr>
            <w:tcW w:w="1526" w:type="dxa"/>
            <w:shd w:val="clear" w:color="auto" w:fill="auto"/>
            <w:noWrap/>
            <w:vAlign w:val="bottom"/>
            <w:hideMark/>
          </w:tcPr>
          <w:p w14:paraId="2A7E4F41"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1206</w:t>
            </w:r>
          </w:p>
        </w:tc>
        <w:tc>
          <w:tcPr>
            <w:tcW w:w="1665" w:type="dxa"/>
            <w:shd w:val="clear" w:color="auto" w:fill="auto"/>
            <w:noWrap/>
            <w:vAlign w:val="bottom"/>
            <w:hideMark/>
          </w:tcPr>
          <w:p w14:paraId="4AB32A88"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21</w:t>
            </w:r>
          </w:p>
        </w:tc>
        <w:tc>
          <w:tcPr>
            <w:tcW w:w="2081" w:type="dxa"/>
            <w:shd w:val="clear" w:color="auto" w:fill="auto"/>
            <w:noWrap/>
            <w:vAlign w:val="bottom"/>
            <w:hideMark/>
          </w:tcPr>
          <w:p w14:paraId="56738CE7"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87.1</w:t>
            </w:r>
            <w:r>
              <w:rPr>
                <w:rFonts w:eastAsia="Times New Roman" w:cs="Times New Roman"/>
                <w:color w:val="0000FF"/>
              </w:rPr>
              <w:t>0</w:t>
            </w:r>
          </w:p>
        </w:tc>
      </w:tr>
      <w:tr w:rsidR="00B11E91" w:rsidRPr="00E9785D" w14:paraId="348953AE" w14:textId="77777777" w:rsidTr="00AD4168">
        <w:trPr>
          <w:trHeight w:val="296"/>
        </w:trPr>
        <w:tc>
          <w:tcPr>
            <w:tcW w:w="2659" w:type="dxa"/>
            <w:gridSpan w:val="2"/>
            <w:shd w:val="clear" w:color="auto" w:fill="auto"/>
            <w:noWrap/>
            <w:vAlign w:val="bottom"/>
            <w:hideMark/>
          </w:tcPr>
          <w:p w14:paraId="2E76D97D" w14:textId="695E2AD4" w:rsidR="00B11E91" w:rsidRPr="00E9785D" w:rsidRDefault="00B11E91" w:rsidP="00AD4168">
            <w:pPr>
              <w:spacing w:after="0" w:line="240" w:lineRule="auto"/>
              <w:rPr>
                <w:rFonts w:eastAsia="Times New Roman" w:cs="Times New Roman"/>
                <w:color w:val="0000FF"/>
              </w:rPr>
            </w:pPr>
            <w:r w:rsidRPr="00E9785D">
              <w:rPr>
                <w:rFonts w:eastAsia="Times New Roman" w:cs="Times New Roman"/>
                <w:color w:val="0000FF"/>
              </w:rPr>
              <w:t xml:space="preserve">Lower </w:t>
            </w:r>
            <w:r w:rsidR="008816CF">
              <w:rPr>
                <w:rFonts w:eastAsia="Times New Roman" w:cs="Times New Roman"/>
                <w:color w:val="0000FF"/>
              </w:rPr>
              <w:t>b</w:t>
            </w:r>
            <w:r>
              <w:rPr>
                <w:rFonts w:eastAsia="Times New Roman" w:cs="Times New Roman"/>
                <w:color w:val="0000FF"/>
              </w:rPr>
              <w:t xml:space="preserve">ody </w:t>
            </w:r>
            <w:r w:rsidR="008816CF">
              <w:rPr>
                <w:rFonts w:eastAsia="Times New Roman" w:cs="Times New Roman"/>
                <w:color w:val="0000FF"/>
              </w:rPr>
              <w:t>d</w:t>
            </w:r>
            <w:r w:rsidRPr="00E9785D">
              <w:rPr>
                <w:rFonts w:eastAsia="Times New Roman" w:cs="Times New Roman"/>
                <w:color w:val="0000FF"/>
              </w:rPr>
              <w:t>ressing</w:t>
            </w:r>
          </w:p>
        </w:tc>
        <w:tc>
          <w:tcPr>
            <w:tcW w:w="1526" w:type="dxa"/>
            <w:shd w:val="clear" w:color="auto" w:fill="auto"/>
            <w:noWrap/>
            <w:vAlign w:val="bottom"/>
            <w:hideMark/>
          </w:tcPr>
          <w:p w14:paraId="20826036" w14:textId="77777777" w:rsidR="00B11E91" w:rsidRPr="00E9785D" w:rsidRDefault="00B11E91" w:rsidP="00AD4168">
            <w:pPr>
              <w:spacing w:after="0" w:line="240" w:lineRule="auto"/>
              <w:jc w:val="center"/>
              <w:rPr>
                <w:rFonts w:eastAsia="Times New Roman" w:cs="Times New Roman"/>
                <w:color w:val="0000FF"/>
              </w:rPr>
            </w:pPr>
          </w:p>
        </w:tc>
        <w:tc>
          <w:tcPr>
            <w:tcW w:w="1665" w:type="dxa"/>
            <w:shd w:val="clear" w:color="auto" w:fill="auto"/>
            <w:noWrap/>
            <w:vAlign w:val="bottom"/>
            <w:hideMark/>
          </w:tcPr>
          <w:p w14:paraId="44B1BC40" w14:textId="77777777" w:rsidR="00B11E91" w:rsidRPr="00E9785D" w:rsidRDefault="00B11E91" w:rsidP="00AD4168">
            <w:pPr>
              <w:spacing w:after="0" w:line="240" w:lineRule="auto"/>
              <w:jc w:val="center"/>
              <w:rPr>
                <w:rFonts w:eastAsia="Times New Roman" w:cs="Times New Roman"/>
                <w:color w:val="0000FF"/>
              </w:rPr>
            </w:pPr>
          </w:p>
        </w:tc>
        <w:tc>
          <w:tcPr>
            <w:tcW w:w="2081" w:type="dxa"/>
            <w:shd w:val="clear" w:color="auto" w:fill="auto"/>
            <w:noWrap/>
            <w:vAlign w:val="bottom"/>
            <w:hideMark/>
          </w:tcPr>
          <w:p w14:paraId="718FCBC6" w14:textId="77777777" w:rsidR="00B11E91" w:rsidRPr="00E9785D" w:rsidRDefault="00B11E91" w:rsidP="00AD4168">
            <w:pPr>
              <w:spacing w:after="0" w:line="240" w:lineRule="auto"/>
              <w:jc w:val="center"/>
              <w:rPr>
                <w:rFonts w:eastAsia="Times New Roman" w:cs="Times New Roman"/>
                <w:color w:val="0000FF"/>
              </w:rPr>
            </w:pPr>
          </w:p>
        </w:tc>
      </w:tr>
      <w:tr w:rsidR="00B11E91" w:rsidRPr="00E9785D" w14:paraId="38952E39" w14:textId="77777777" w:rsidTr="00AD4168">
        <w:trPr>
          <w:trHeight w:val="296"/>
        </w:trPr>
        <w:tc>
          <w:tcPr>
            <w:tcW w:w="1293" w:type="dxa"/>
            <w:shd w:val="clear" w:color="auto" w:fill="auto"/>
            <w:noWrap/>
            <w:vAlign w:val="bottom"/>
            <w:hideMark/>
          </w:tcPr>
          <w:p w14:paraId="135C1181" w14:textId="77777777" w:rsidR="00B11E91" w:rsidRPr="00E9785D" w:rsidRDefault="00B11E91" w:rsidP="00AD4168">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4E184CCB"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1</w:t>
            </w:r>
          </w:p>
        </w:tc>
        <w:tc>
          <w:tcPr>
            <w:tcW w:w="1526" w:type="dxa"/>
            <w:shd w:val="clear" w:color="auto" w:fill="auto"/>
            <w:noWrap/>
            <w:vAlign w:val="bottom"/>
            <w:hideMark/>
          </w:tcPr>
          <w:p w14:paraId="1546D3CD"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923</w:t>
            </w:r>
          </w:p>
        </w:tc>
        <w:tc>
          <w:tcPr>
            <w:tcW w:w="1665" w:type="dxa"/>
            <w:shd w:val="clear" w:color="auto" w:fill="auto"/>
            <w:noWrap/>
            <w:vAlign w:val="bottom"/>
            <w:hideMark/>
          </w:tcPr>
          <w:p w14:paraId="593820F5"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16</w:t>
            </w:r>
          </w:p>
        </w:tc>
        <w:tc>
          <w:tcPr>
            <w:tcW w:w="2081" w:type="dxa"/>
            <w:shd w:val="clear" w:color="auto" w:fill="auto"/>
            <w:noWrap/>
            <w:vAlign w:val="bottom"/>
            <w:hideMark/>
          </w:tcPr>
          <w:p w14:paraId="59554DC4"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28.31</w:t>
            </w:r>
          </w:p>
        </w:tc>
      </w:tr>
      <w:tr w:rsidR="00B11E91" w:rsidRPr="00E9785D" w14:paraId="17E8FD56" w14:textId="77777777" w:rsidTr="00AD4168">
        <w:trPr>
          <w:trHeight w:val="296"/>
        </w:trPr>
        <w:tc>
          <w:tcPr>
            <w:tcW w:w="1293" w:type="dxa"/>
            <w:shd w:val="clear" w:color="auto" w:fill="auto"/>
            <w:noWrap/>
            <w:vAlign w:val="bottom"/>
            <w:hideMark/>
          </w:tcPr>
          <w:p w14:paraId="4E1B0843" w14:textId="77777777" w:rsidR="00B11E91" w:rsidRPr="00E9785D" w:rsidRDefault="00B11E91" w:rsidP="00AD4168">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7E18DE15"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2</w:t>
            </w:r>
          </w:p>
        </w:tc>
        <w:tc>
          <w:tcPr>
            <w:tcW w:w="1526" w:type="dxa"/>
            <w:shd w:val="clear" w:color="auto" w:fill="auto"/>
            <w:noWrap/>
            <w:vAlign w:val="bottom"/>
            <w:hideMark/>
          </w:tcPr>
          <w:p w14:paraId="1B0CD37A"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1133</w:t>
            </w:r>
          </w:p>
        </w:tc>
        <w:tc>
          <w:tcPr>
            <w:tcW w:w="1665" w:type="dxa"/>
            <w:shd w:val="clear" w:color="auto" w:fill="auto"/>
            <w:noWrap/>
            <w:vAlign w:val="bottom"/>
            <w:hideMark/>
          </w:tcPr>
          <w:p w14:paraId="5619AEEF"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20</w:t>
            </w:r>
          </w:p>
        </w:tc>
        <w:tc>
          <w:tcPr>
            <w:tcW w:w="2081" w:type="dxa"/>
            <w:shd w:val="clear" w:color="auto" w:fill="auto"/>
            <w:noWrap/>
            <w:vAlign w:val="bottom"/>
            <w:hideMark/>
          </w:tcPr>
          <w:p w14:paraId="3258E8D5"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42.47</w:t>
            </w:r>
          </w:p>
        </w:tc>
      </w:tr>
      <w:tr w:rsidR="00B11E91" w:rsidRPr="00E9785D" w14:paraId="6D3BB1F8" w14:textId="77777777" w:rsidTr="00AD4168">
        <w:trPr>
          <w:trHeight w:val="296"/>
        </w:trPr>
        <w:tc>
          <w:tcPr>
            <w:tcW w:w="1293" w:type="dxa"/>
            <w:shd w:val="clear" w:color="auto" w:fill="auto"/>
            <w:noWrap/>
            <w:vAlign w:val="bottom"/>
            <w:hideMark/>
          </w:tcPr>
          <w:p w14:paraId="604B8A6E" w14:textId="77777777" w:rsidR="00B11E91" w:rsidRPr="00E9785D" w:rsidRDefault="00B11E91" w:rsidP="00AD4168">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4D0A9506"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3</w:t>
            </w:r>
          </w:p>
        </w:tc>
        <w:tc>
          <w:tcPr>
            <w:tcW w:w="1526" w:type="dxa"/>
            <w:shd w:val="clear" w:color="auto" w:fill="auto"/>
            <w:noWrap/>
            <w:vAlign w:val="bottom"/>
            <w:hideMark/>
          </w:tcPr>
          <w:p w14:paraId="2A03D2B6"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1159</w:t>
            </w:r>
          </w:p>
        </w:tc>
        <w:tc>
          <w:tcPr>
            <w:tcW w:w="1665" w:type="dxa"/>
            <w:shd w:val="clear" w:color="auto" w:fill="auto"/>
            <w:noWrap/>
            <w:vAlign w:val="bottom"/>
            <w:hideMark/>
          </w:tcPr>
          <w:p w14:paraId="6FB74730"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20</w:t>
            </w:r>
          </w:p>
        </w:tc>
        <w:tc>
          <w:tcPr>
            <w:tcW w:w="2081" w:type="dxa"/>
            <w:shd w:val="clear" w:color="auto" w:fill="auto"/>
            <w:noWrap/>
            <w:vAlign w:val="bottom"/>
            <w:hideMark/>
          </w:tcPr>
          <w:p w14:paraId="6532E9AE"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50.93</w:t>
            </w:r>
          </w:p>
        </w:tc>
      </w:tr>
      <w:tr w:rsidR="00B11E91" w:rsidRPr="00E9785D" w14:paraId="4A9A7D2F" w14:textId="77777777" w:rsidTr="00AD4168">
        <w:trPr>
          <w:trHeight w:val="296"/>
        </w:trPr>
        <w:tc>
          <w:tcPr>
            <w:tcW w:w="1293" w:type="dxa"/>
            <w:shd w:val="clear" w:color="auto" w:fill="auto"/>
            <w:noWrap/>
            <w:vAlign w:val="bottom"/>
            <w:hideMark/>
          </w:tcPr>
          <w:p w14:paraId="2627574E" w14:textId="77777777" w:rsidR="00B11E91" w:rsidRPr="00E9785D" w:rsidRDefault="00B11E91" w:rsidP="00AD4168">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4E4D0781"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4</w:t>
            </w:r>
          </w:p>
        </w:tc>
        <w:tc>
          <w:tcPr>
            <w:tcW w:w="1526" w:type="dxa"/>
            <w:shd w:val="clear" w:color="auto" w:fill="auto"/>
            <w:noWrap/>
            <w:vAlign w:val="bottom"/>
            <w:hideMark/>
          </w:tcPr>
          <w:p w14:paraId="7C25B43B"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1098</w:t>
            </w:r>
          </w:p>
        </w:tc>
        <w:tc>
          <w:tcPr>
            <w:tcW w:w="1665" w:type="dxa"/>
            <w:shd w:val="clear" w:color="auto" w:fill="auto"/>
            <w:noWrap/>
            <w:vAlign w:val="bottom"/>
            <w:hideMark/>
          </w:tcPr>
          <w:p w14:paraId="4D802981"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19</w:t>
            </w:r>
          </w:p>
        </w:tc>
        <w:tc>
          <w:tcPr>
            <w:tcW w:w="2081" w:type="dxa"/>
            <w:shd w:val="clear" w:color="auto" w:fill="auto"/>
            <w:noWrap/>
            <w:vAlign w:val="bottom"/>
            <w:hideMark/>
          </w:tcPr>
          <w:p w14:paraId="48C50D42"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58.94</w:t>
            </w:r>
          </w:p>
        </w:tc>
      </w:tr>
      <w:tr w:rsidR="00B11E91" w:rsidRPr="00E9785D" w14:paraId="19EB3FCA" w14:textId="77777777" w:rsidTr="00AD4168">
        <w:trPr>
          <w:trHeight w:val="296"/>
        </w:trPr>
        <w:tc>
          <w:tcPr>
            <w:tcW w:w="1293" w:type="dxa"/>
            <w:shd w:val="clear" w:color="auto" w:fill="auto"/>
            <w:noWrap/>
            <w:vAlign w:val="bottom"/>
            <w:hideMark/>
          </w:tcPr>
          <w:p w14:paraId="23C1569B" w14:textId="77777777" w:rsidR="00B11E91" w:rsidRPr="00E9785D" w:rsidRDefault="00B11E91" w:rsidP="00AD4168">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4B244CAD"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5</w:t>
            </w:r>
          </w:p>
        </w:tc>
        <w:tc>
          <w:tcPr>
            <w:tcW w:w="1526" w:type="dxa"/>
            <w:shd w:val="clear" w:color="auto" w:fill="auto"/>
            <w:noWrap/>
            <w:vAlign w:val="bottom"/>
            <w:hideMark/>
          </w:tcPr>
          <w:p w14:paraId="4A9E76EB"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575</w:t>
            </w:r>
          </w:p>
        </w:tc>
        <w:tc>
          <w:tcPr>
            <w:tcW w:w="1665" w:type="dxa"/>
            <w:shd w:val="clear" w:color="auto" w:fill="auto"/>
            <w:noWrap/>
            <w:vAlign w:val="bottom"/>
            <w:hideMark/>
          </w:tcPr>
          <w:p w14:paraId="3C44E8B1"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10</w:t>
            </w:r>
          </w:p>
        </w:tc>
        <w:tc>
          <w:tcPr>
            <w:tcW w:w="2081" w:type="dxa"/>
            <w:shd w:val="clear" w:color="auto" w:fill="auto"/>
            <w:noWrap/>
            <w:vAlign w:val="bottom"/>
            <w:hideMark/>
          </w:tcPr>
          <w:p w14:paraId="3A9FA78B"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69.31</w:t>
            </w:r>
          </w:p>
        </w:tc>
      </w:tr>
      <w:tr w:rsidR="00B11E91" w:rsidRPr="00E9785D" w14:paraId="6B6EACF9" w14:textId="77777777" w:rsidTr="00AD4168">
        <w:trPr>
          <w:trHeight w:val="296"/>
        </w:trPr>
        <w:tc>
          <w:tcPr>
            <w:tcW w:w="1293" w:type="dxa"/>
            <w:tcBorders>
              <w:bottom w:val="single" w:sz="4" w:space="0" w:color="auto"/>
            </w:tcBorders>
            <w:shd w:val="clear" w:color="auto" w:fill="auto"/>
            <w:noWrap/>
            <w:vAlign w:val="bottom"/>
            <w:hideMark/>
          </w:tcPr>
          <w:p w14:paraId="70FAD603" w14:textId="77777777" w:rsidR="00B11E91" w:rsidRPr="00E9785D" w:rsidRDefault="00B11E91" w:rsidP="00AD4168">
            <w:pPr>
              <w:spacing w:after="0" w:line="240" w:lineRule="auto"/>
              <w:rPr>
                <w:rFonts w:eastAsia="Times New Roman" w:cs="Times New Roman"/>
                <w:color w:val="0000FF"/>
              </w:rPr>
            </w:pPr>
            <w:r w:rsidRPr="00E9785D">
              <w:rPr>
                <w:rFonts w:eastAsia="Times New Roman" w:cs="Times New Roman"/>
                <w:color w:val="0000FF"/>
              </w:rPr>
              <w:t> </w:t>
            </w:r>
          </w:p>
        </w:tc>
        <w:tc>
          <w:tcPr>
            <w:tcW w:w="1366" w:type="dxa"/>
            <w:tcBorders>
              <w:bottom w:val="single" w:sz="4" w:space="0" w:color="auto"/>
            </w:tcBorders>
            <w:shd w:val="clear" w:color="auto" w:fill="auto"/>
            <w:noWrap/>
            <w:vAlign w:val="bottom"/>
            <w:hideMark/>
          </w:tcPr>
          <w:p w14:paraId="61F122AE"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6</w:t>
            </w:r>
          </w:p>
        </w:tc>
        <w:tc>
          <w:tcPr>
            <w:tcW w:w="1526" w:type="dxa"/>
            <w:tcBorders>
              <w:bottom w:val="single" w:sz="4" w:space="0" w:color="auto"/>
            </w:tcBorders>
            <w:shd w:val="clear" w:color="auto" w:fill="auto"/>
            <w:noWrap/>
            <w:vAlign w:val="bottom"/>
            <w:hideMark/>
          </w:tcPr>
          <w:p w14:paraId="7ACC5522"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901</w:t>
            </w:r>
          </w:p>
        </w:tc>
        <w:tc>
          <w:tcPr>
            <w:tcW w:w="1665" w:type="dxa"/>
            <w:tcBorders>
              <w:bottom w:val="single" w:sz="4" w:space="0" w:color="auto"/>
            </w:tcBorders>
            <w:shd w:val="clear" w:color="auto" w:fill="auto"/>
            <w:noWrap/>
            <w:vAlign w:val="bottom"/>
            <w:hideMark/>
          </w:tcPr>
          <w:p w14:paraId="0BEAF716"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16</w:t>
            </w:r>
          </w:p>
        </w:tc>
        <w:tc>
          <w:tcPr>
            <w:tcW w:w="2081" w:type="dxa"/>
            <w:tcBorders>
              <w:bottom w:val="single" w:sz="4" w:space="0" w:color="auto"/>
            </w:tcBorders>
            <w:shd w:val="clear" w:color="auto" w:fill="auto"/>
            <w:noWrap/>
            <w:vAlign w:val="bottom"/>
            <w:hideMark/>
          </w:tcPr>
          <w:p w14:paraId="5015B286"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92.92</w:t>
            </w:r>
          </w:p>
        </w:tc>
      </w:tr>
    </w:tbl>
    <w:p w14:paraId="636CEFE2" w14:textId="77777777" w:rsidR="000B13FE" w:rsidRDefault="000B13FE" w:rsidP="00B11E91">
      <w:pPr>
        <w:spacing w:after="0" w:line="240" w:lineRule="auto"/>
        <w:ind w:firstLine="7200"/>
        <w:rPr>
          <w:color w:val="0000FF"/>
        </w:rPr>
      </w:pPr>
    </w:p>
    <w:p w14:paraId="4BA1D790" w14:textId="77777777" w:rsidR="009D386B" w:rsidRDefault="009D386B" w:rsidP="00EF6E95">
      <w:pPr>
        <w:spacing w:after="0" w:line="240" w:lineRule="auto"/>
        <w:rPr>
          <w:b/>
          <w:bCs/>
          <w:color w:val="0000FF"/>
        </w:rPr>
      </w:pPr>
    </w:p>
    <w:p w14:paraId="1AD797EA" w14:textId="77777777" w:rsidR="009D386B" w:rsidRDefault="009D386B" w:rsidP="00EF6E95">
      <w:pPr>
        <w:spacing w:after="0" w:line="240" w:lineRule="auto"/>
        <w:rPr>
          <w:b/>
          <w:bCs/>
          <w:color w:val="0000FF"/>
        </w:rPr>
      </w:pPr>
    </w:p>
    <w:p w14:paraId="5BEBB55C" w14:textId="77777777" w:rsidR="009D386B" w:rsidRDefault="009D386B" w:rsidP="00EF6E95">
      <w:pPr>
        <w:spacing w:after="0" w:line="240" w:lineRule="auto"/>
        <w:rPr>
          <w:b/>
          <w:bCs/>
          <w:color w:val="0000FF"/>
        </w:rPr>
      </w:pPr>
    </w:p>
    <w:p w14:paraId="7C9983F4" w14:textId="77777777" w:rsidR="009D386B" w:rsidRDefault="009D386B" w:rsidP="00EF6E95">
      <w:pPr>
        <w:spacing w:after="0" w:line="240" w:lineRule="auto"/>
        <w:rPr>
          <w:b/>
          <w:bCs/>
          <w:color w:val="0000FF"/>
        </w:rPr>
      </w:pPr>
    </w:p>
    <w:p w14:paraId="1FE86BE9" w14:textId="727169D2" w:rsidR="00B11E91" w:rsidRPr="000B13FE" w:rsidRDefault="00B11E91" w:rsidP="00EF6E95">
      <w:pPr>
        <w:spacing w:after="0" w:line="240" w:lineRule="auto"/>
        <w:rPr>
          <w:b/>
          <w:color w:val="0000FF"/>
        </w:rPr>
      </w:pPr>
      <w:r w:rsidRPr="000B13FE">
        <w:rPr>
          <w:b/>
          <w:bCs/>
          <w:color w:val="0000FF"/>
        </w:rPr>
        <w:lastRenderedPageBreak/>
        <w:t xml:space="preserve">Table </w:t>
      </w:r>
      <w:r w:rsidR="00EF6E95" w:rsidRPr="000B13FE">
        <w:rPr>
          <w:b/>
          <w:bCs/>
          <w:color w:val="0000FF"/>
        </w:rPr>
        <w:t>4</w:t>
      </w:r>
      <w:r w:rsidRPr="000B13FE">
        <w:rPr>
          <w:b/>
          <w:bCs/>
          <w:color w:val="0000FF"/>
        </w:rPr>
        <w:t>.</w:t>
      </w:r>
      <w:r w:rsidRPr="000B13FE">
        <w:rPr>
          <w:b/>
          <w:color w:val="0000FF"/>
        </w:rPr>
        <w:t xml:space="preserve"> Distribution of Scores and Average Ability Estimate by Response Category (cont’d)</w:t>
      </w:r>
    </w:p>
    <w:p w14:paraId="32807DCC" w14:textId="77777777" w:rsidR="00B11E91" w:rsidRPr="00671425" w:rsidRDefault="00B11E91" w:rsidP="00B11E91">
      <w:pPr>
        <w:spacing w:after="0" w:line="240" w:lineRule="auto"/>
        <w:rPr>
          <w:color w:val="0000FF"/>
        </w:rPr>
      </w:pPr>
    </w:p>
    <w:tbl>
      <w:tblPr>
        <w:tblW w:w="7931" w:type="dxa"/>
        <w:tblInd w:w="93" w:type="dxa"/>
        <w:tblLook w:val="04A0" w:firstRow="1" w:lastRow="0" w:firstColumn="1" w:lastColumn="0" w:noHBand="0" w:noVBand="1"/>
      </w:tblPr>
      <w:tblGrid>
        <w:gridCol w:w="1293"/>
        <w:gridCol w:w="1366"/>
        <w:gridCol w:w="1526"/>
        <w:gridCol w:w="1665"/>
        <w:gridCol w:w="2081"/>
      </w:tblGrid>
      <w:tr w:rsidR="00B11E91" w:rsidRPr="00E9785D" w14:paraId="3676B11A" w14:textId="77777777" w:rsidTr="00AD4168">
        <w:trPr>
          <w:trHeight w:val="591"/>
        </w:trPr>
        <w:tc>
          <w:tcPr>
            <w:tcW w:w="1293" w:type="dxa"/>
            <w:tcBorders>
              <w:bottom w:val="single" w:sz="8" w:space="0" w:color="auto"/>
            </w:tcBorders>
            <w:shd w:val="clear" w:color="auto" w:fill="auto"/>
            <w:noWrap/>
            <w:vAlign w:val="center"/>
            <w:hideMark/>
          </w:tcPr>
          <w:p w14:paraId="0666BEC6"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Item</w:t>
            </w:r>
          </w:p>
        </w:tc>
        <w:tc>
          <w:tcPr>
            <w:tcW w:w="1366" w:type="dxa"/>
            <w:tcBorders>
              <w:bottom w:val="single" w:sz="8" w:space="0" w:color="auto"/>
            </w:tcBorders>
            <w:shd w:val="clear" w:color="auto" w:fill="auto"/>
            <w:noWrap/>
            <w:vAlign w:val="center"/>
            <w:hideMark/>
          </w:tcPr>
          <w:p w14:paraId="2EB1663B" w14:textId="77777777" w:rsidR="00B11E91"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Response</w:t>
            </w:r>
          </w:p>
          <w:p w14:paraId="66ABB707" w14:textId="77777777" w:rsidR="00B11E91" w:rsidRPr="00E9785D" w:rsidRDefault="00B11E91" w:rsidP="00AD4168">
            <w:pPr>
              <w:spacing w:after="0" w:line="240" w:lineRule="auto"/>
              <w:jc w:val="center"/>
              <w:rPr>
                <w:rFonts w:eastAsia="Times New Roman" w:cs="Times New Roman"/>
                <w:color w:val="0000FF"/>
              </w:rPr>
            </w:pPr>
            <w:r>
              <w:rPr>
                <w:rFonts w:eastAsia="Times New Roman" w:cs="Times New Roman"/>
                <w:color w:val="0000FF"/>
              </w:rPr>
              <w:t>Code</w:t>
            </w:r>
          </w:p>
        </w:tc>
        <w:tc>
          <w:tcPr>
            <w:tcW w:w="1526" w:type="dxa"/>
            <w:tcBorders>
              <w:bottom w:val="single" w:sz="8" w:space="0" w:color="auto"/>
            </w:tcBorders>
            <w:shd w:val="clear" w:color="auto" w:fill="auto"/>
            <w:vAlign w:val="center"/>
            <w:hideMark/>
          </w:tcPr>
          <w:p w14:paraId="64998053" w14:textId="77777777" w:rsidR="00B11E91" w:rsidRPr="00E9785D" w:rsidRDefault="00B11E91" w:rsidP="00AD4168">
            <w:pPr>
              <w:spacing w:after="0" w:line="240" w:lineRule="auto"/>
              <w:jc w:val="center"/>
              <w:rPr>
                <w:rFonts w:eastAsia="Times New Roman" w:cs="Times New Roman"/>
                <w:color w:val="0000FF"/>
              </w:rPr>
            </w:pPr>
            <w:r>
              <w:rPr>
                <w:rFonts w:eastAsia="Times New Roman" w:cs="Times New Roman"/>
                <w:color w:val="0000FF"/>
              </w:rPr>
              <w:t>Number</w:t>
            </w:r>
          </w:p>
        </w:tc>
        <w:tc>
          <w:tcPr>
            <w:tcW w:w="1665" w:type="dxa"/>
            <w:tcBorders>
              <w:bottom w:val="single" w:sz="8" w:space="0" w:color="auto"/>
            </w:tcBorders>
            <w:shd w:val="clear" w:color="auto" w:fill="auto"/>
            <w:vAlign w:val="center"/>
            <w:hideMark/>
          </w:tcPr>
          <w:p w14:paraId="6FDCE8DC" w14:textId="77777777" w:rsidR="00B11E91" w:rsidRPr="00E9785D" w:rsidRDefault="00B11E91" w:rsidP="00AD4168">
            <w:pPr>
              <w:spacing w:after="0" w:line="240" w:lineRule="auto"/>
              <w:jc w:val="center"/>
              <w:rPr>
                <w:rFonts w:eastAsia="Times New Roman" w:cs="Times New Roman"/>
                <w:color w:val="0000FF"/>
              </w:rPr>
            </w:pPr>
            <w:r>
              <w:rPr>
                <w:rFonts w:eastAsia="Times New Roman" w:cs="Times New Roman"/>
                <w:color w:val="0000FF"/>
              </w:rPr>
              <w:t>Percent</w:t>
            </w:r>
          </w:p>
        </w:tc>
        <w:tc>
          <w:tcPr>
            <w:tcW w:w="2081" w:type="dxa"/>
            <w:tcBorders>
              <w:bottom w:val="single" w:sz="8" w:space="0" w:color="auto"/>
            </w:tcBorders>
            <w:shd w:val="clear" w:color="auto" w:fill="auto"/>
            <w:vAlign w:val="center"/>
            <w:hideMark/>
          </w:tcPr>
          <w:p w14:paraId="08DE31AB" w14:textId="77777777" w:rsidR="00B11E91" w:rsidRDefault="00B11E91" w:rsidP="00AD4168">
            <w:pPr>
              <w:spacing w:after="0" w:line="240" w:lineRule="auto"/>
              <w:jc w:val="center"/>
              <w:rPr>
                <w:rFonts w:eastAsia="Times New Roman" w:cs="Times New Roman"/>
                <w:color w:val="0000FF"/>
              </w:rPr>
            </w:pPr>
            <w:r>
              <w:rPr>
                <w:rFonts w:eastAsia="Times New Roman" w:cs="Times New Roman"/>
                <w:color w:val="0000FF"/>
              </w:rPr>
              <w:t xml:space="preserve">Average Ability </w:t>
            </w:r>
          </w:p>
          <w:p w14:paraId="4F241642" w14:textId="77777777" w:rsidR="00B11E91" w:rsidRPr="00E9785D" w:rsidRDefault="00B11E91" w:rsidP="00AD4168">
            <w:pPr>
              <w:spacing w:after="0" w:line="240" w:lineRule="auto"/>
              <w:jc w:val="center"/>
              <w:rPr>
                <w:rFonts w:eastAsia="Times New Roman" w:cs="Times New Roman"/>
                <w:color w:val="0000FF"/>
              </w:rPr>
            </w:pPr>
            <w:r>
              <w:rPr>
                <w:rFonts w:eastAsia="Times New Roman" w:cs="Times New Roman"/>
                <w:color w:val="0000FF"/>
              </w:rPr>
              <w:t>(0 to 100 Scale)</w:t>
            </w:r>
          </w:p>
        </w:tc>
      </w:tr>
      <w:tr w:rsidR="00B11E91" w:rsidRPr="00E9785D" w14:paraId="46966A3E" w14:textId="77777777" w:rsidTr="00AD4168">
        <w:trPr>
          <w:trHeight w:val="296"/>
        </w:trPr>
        <w:tc>
          <w:tcPr>
            <w:tcW w:w="2659" w:type="dxa"/>
            <w:gridSpan w:val="2"/>
            <w:shd w:val="clear" w:color="auto" w:fill="auto"/>
            <w:noWrap/>
            <w:vAlign w:val="bottom"/>
            <w:hideMark/>
          </w:tcPr>
          <w:p w14:paraId="02750518" w14:textId="049BA67D" w:rsidR="00B11E91" w:rsidRPr="00E9785D" w:rsidRDefault="00B11E91" w:rsidP="008816CF">
            <w:pPr>
              <w:spacing w:after="0" w:line="240" w:lineRule="auto"/>
              <w:rPr>
                <w:rFonts w:eastAsia="Times New Roman" w:cs="Times New Roman"/>
                <w:color w:val="0000FF"/>
              </w:rPr>
            </w:pPr>
            <w:r w:rsidRPr="00E9785D">
              <w:rPr>
                <w:rFonts w:eastAsia="Times New Roman" w:cs="Times New Roman"/>
                <w:color w:val="0000FF"/>
              </w:rPr>
              <w:t>Shower/</w:t>
            </w:r>
            <w:r w:rsidR="008816CF">
              <w:rPr>
                <w:rFonts w:eastAsia="Times New Roman" w:cs="Times New Roman"/>
                <w:color w:val="0000FF"/>
              </w:rPr>
              <w:t>b</w:t>
            </w:r>
            <w:r w:rsidRPr="00E9785D">
              <w:rPr>
                <w:rFonts w:eastAsia="Times New Roman" w:cs="Times New Roman"/>
                <w:color w:val="0000FF"/>
              </w:rPr>
              <w:t xml:space="preserve">athe </w:t>
            </w:r>
            <w:r w:rsidR="008816CF">
              <w:rPr>
                <w:rFonts w:eastAsia="Times New Roman" w:cs="Times New Roman"/>
                <w:color w:val="0000FF"/>
              </w:rPr>
              <w:t>s</w:t>
            </w:r>
            <w:r w:rsidRPr="00E9785D">
              <w:rPr>
                <w:rFonts w:eastAsia="Times New Roman" w:cs="Times New Roman"/>
                <w:color w:val="0000FF"/>
              </w:rPr>
              <w:t>elf</w:t>
            </w:r>
          </w:p>
        </w:tc>
        <w:tc>
          <w:tcPr>
            <w:tcW w:w="1526" w:type="dxa"/>
            <w:shd w:val="clear" w:color="auto" w:fill="auto"/>
            <w:noWrap/>
            <w:vAlign w:val="bottom"/>
            <w:hideMark/>
          </w:tcPr>
          <w:p w14:paraId="5E512A9B" w14:textId="77777777" w:rsidR="00B11E91" w:rsidRPr="00E9785D" w:rsidRDefault="00B11E91" w:rsidP="00AD4168">
            <w:pPr>
              <w:spacing w:after="0" w:line="240" w:lineRule="auto"/>
              <w:jc w:val="center"/>
              <w:rPr>
                <w:rFonts w:eastAsia="Times New Roman" w:cs="Times New Roman"/>
                <w:color w:val="0000FF"/>
              </w:rPr>
            </w:pPr>
          </w:p>
        </w:tc>
        <w:tc>
          <w:tcPr>
            <w:tcW w:w="1665" w:type="dxa"/>
            <w:shd w:val="clear" w:color="auto" w:fill="auto"/>
            <w:noWrap/>
            <w:vAlign w:val="bottom"/>
            <w:hideMark/>
          </w:tcPr>
          <w:p w14:paraId="6ADC61B0" w14:textId="77777777" w:rsidR="00B11E91" w:rsidRPr="00E9785D" w:rsidRDefault="00B11E91" w:rsidP="00AD4168">
            <w:pPr>
              <w:spacing w:after="0" w:line="240" w:lineRule="auto"/>
              <w:jc w:val="center"/>
              <w:rPr>
                <w:rFonts w:eastAsia="Times New Roman" w:cs="Times New Roman"/>
                <w:color w:val="0000FF"/>
              </w:rPr>
            </w:pPr>
          </w:p>
        </w:tc>
        <w:tc>
          <w:tcPr>
            <w:tcW w:w="2081" w:type="dxa"/>
            <w:shd w:val="clear" w:color="auto" w:fill="auto"/>
            <w:noWrap/>
            <w:vAlign w:val="bottom"/>
            <w:hideMark/>
          </w:tcPr>
          <w:p w14:paraId="239C8491" w14:textId="77777777" w:rsidR="00B11E91" w:rsidRPr="00E9785D" w:rsidRDefault="00B11E91" w:rsidP="00AD4168">
            <w:pPr>
              <w:spacing w:after="0" w:line="240" w:lineRule="auto"/>
              <w:jc w:val="center"/>
              <w:rPr>
                <w:rFonts w:eastAsia="Times New Roman" w:cs="Times New Roman"/>
                <w:color w:val="0000FF"/>
              </w:rPr>
            </w:pPr>
          </w:p>
        </w:tc>
      </w:tr>
      <w:tr w:rsidR="00B11E91" w:rsidRPr="00E9785D" w14:paraId="3F465EBC" w14:textId="77777777" w:rsidTr="00AD4168">
        <w:trPr>
          <w:trHeight w:val="296"/>
        </w:trPr>
        <w:tc>
          <w:tcPr>
            <w:tcW w:w="1293" w:type="dxa"/>
            <w:shd w:val="clear" w:color="auto" w:fill="auto"/>
            <w:noWrap/>
            <w:vAlign w:val="bottom"/>
            <w:hideMark/>
          </w:tcPr>
          <w:p w14:paraId="1376B5E0" w14:textId="77777777" w:rsidR="00B11E91" w:rsidRPr="00E9785D" w:rsidRDefault="00B11E91" w:rsidP="00AD4168">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4C2C14B0"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1</w:t>
            </w:r>
          </w:p>
        </w:tc>
        <w:tc>
          <w:tcPr>
            <w:tcW w:w="1526" w:type="dxa"/>
            <w:shd w:val="clear" w:color="auto" w:fill="auto"/>
            <w:noWrap/>
            <w:vAlign w:val="bottom"/>
            <w:hideMark/>
          </w:tcPr>
          <w:p w14:paraId="52227443"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385</w:t>
            </w:r>
          </w:p>
        </w:tc>
        <w:tc>
          <w:tcPr>
            <w:tcW w:w="1665" w:type="dxa"/>
            <w:shd w:val="clear" w:color="auto" w:fill="auto"/>
            <w:noWrap/>
            <w:vAlign w:val="bottom"/>
            <w:hideMark/>
          </w:tcPr>
          <w:p w14:paraId="0ED2FD64"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9</w:t>
            </w:r>
          </w:p>
        </w:tc>
        <w:tc>
          <w:tcPr>
            <w:tcW w:w="2081" w:type="dxa"/>
            <w:shd w:val="clear" w:color="auto" w:fill="auto"/>
            <w:noWrap/>
            <w:vAlign w:val="bottom"/>
            <w:hideMark/>
          </w:tcPr>
          <w:p w14:paraId="4F4FB101"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23.37</w:t>
            </w:r>
          </w:p>
        </w:tc>
      </w:tr>
      <w:tr w:rsidR="00B11E91" w:rsidRPr="00E9785D" w14:paraId="05667678" w14:textId="77777777" w:rsidTr="00AD4168">
        <w:trPr>
          <w:trHeight w:val="296"/>
        </w:trPr>
        <w:tc>
          <w:tcPr>
            <w:tcW w:w="1293" w:type="dxa"/>
            <w:shd w:val="clear" w:color="auto" w:fill="auto"/>
            <w:noWrap/>
            <w:vAlign w:val="bottom"/>
            <w:hideMark/>
          </w:tcPr>
          <w:p w14:paraId="09AD374E" w14:textId="77777777" w:rsidR="00B11E91" w:rsidRPr="00E9785D" w:rsidRDefault="00B11E91" w:rsidP="00AD4168">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552F591E"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2</w:t>
            </w:r>
          </w:p>
        </w:tc>
        <w:tc>
          <w:tcPr>
            <w:tcW w:w="1526" w:type="dxa"/>
            <w:shd w:val="clear" w:color="auto" w:fill="auto"/>
            <w:noWrap/>
            <w:vAlign w:val="bottom"/>
            <w:hideMark/>
          </w:tcPr>
          <w:p w14:paraId="147AAD11"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621</w:t>
            </w:r>
          </w:p>
        </w:tc>
        <w:tc>
          <w:tcPr>
            <w:tcW w:w="1665" w:type="dxa"/>
            <w:shd w:val="clear" w:color="auto" w:fill="auto"/>
            <w:noWrap/>
            <w:vAlign w:val="bottom"/>
            <w:hideMark/>
          </w:tcPr>
          <w:p w14:paraId="414E1E7F"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14</w:t>
            </w:r>
          </w:p>
        </w:tc>
        <w:tc>
          <w:tcPr>
            <w:tcW w:w="2081" w:type="dxa"/>
            <w:shd w:val="clear" w:color="auto" w:fill="auto"/>
            <w:noWrap/>
            <w:vAlign w:val="bottom"/>
            <w:hideMark/>
          </w:tcPr>
          <w:p w14:paraId="6CF4C640"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38.54</w:t>
            </w:r>
          </w:p>
        </w:tc>
      </w:tr>
      <w:tr w:rsidR="00B11E91" w:rsidRPr="00E9785D" w14:paraId="52FEDE7B" w14:textId="77777777" w:rsidTr="00AD4168">
        <w:trPr>
          <w:trHeight w:val="296"/>
        </w:trPr>
        <w:tc>
          <w:tcPr>
            <w:tcW w:w="1293" w:type="dxa"/>
            <w:shd w:val="clear" w:color="auto" w:fill="auto"/>
            <w:noWrap/>
            <w:vAlign w:val="bottom"/>
            <w:hideMark/>
          </w:tcPr>
          <w:p w14:paraId="46DB9EC1" w14:textId="77777777" w:rsidR="00B11E91" w:rsidRPr="00E9785D" w:rsidRDefault="00B11E91" w:rsidP="00AD4168">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72661EB0"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3</w:t>
            </w:r>
          </w:p>
        </w:tc>
        <w:tc>
          <w:tcPr>
            <w:tcW w:w="1526" w:type="dxa"/>
            <w:shd w:val="clear" w:color="auto" w:fill="auto"/>
            <w:noWrap/>
            <w:vAlign w:val="bottom"/>
            <w:hideMark/>
          </w:tcPr>
          <w:p w14:paraId="52B43834"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1031</w:t>
            </w:r>
          </w:p>
        </w:tc>
        <w:tc>
          <w:tcPr>
            <w:tcW w:w="1665" w:type="dxa"/>
            <w:shd w:val="clear" w:color="auto" w:fill="auto"/>
            <w:noWrap/>
            <w:vAlign w:val="bottom"/>
            <w:hideMark/>
          </w:tcPr>
          <w:p w14:paraId="66DCFCE1"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23</w:t>
            </w:r>
          </w:p>
        </w:tc>
        <w:tc>
          <w:tcPr>
            <w:tcW w:w="2081" w:type="dxa"/>
            <w:shd w:val="clear" w:color="auto" w:fill="auto"/>
            <w:noWrap/>
            <w:vAlign w:val="bottom"/>
            <w:hideMark/>
          </w:tcPr>
          <w:p w14:paraId="46DE2359"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48.62</w:t>
            </w:r>
          </w:p>
        </w:tc>
      </w:tr>
      <w:tr w:rsidR="00B11E91" w:rsidRPr="00E9785D" w14:paraId="470049A0" w14:textId="77777777" w:rsidTr="00AD4168">
        <w:trPr>
          <w:trHeight w:val="296"/>
        </w:trPr>
        <w:tc>
          <w:tcPr>
            <w:tcW w:w="1293" w:type="dxa"/>
            <w:shd w:val="clear" w:color="auto" w:fill="auto"/>
            <w:noWrap/>
            <w:vAlign w:val="bottom"/>
            <w:hideMark/>
          </w:tcPr>
          <w:p w14:paraId="16A9E3A9" w14:textId="77777777" w:rsidR="00B11E91" w:rsidRPr="00E9785D" w:rsidRDefault="00B11E91" w:rsidP="00AD4168">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0E8F8F1B"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4</w:t>
            </w:r>
          </w:p>
        </w:tc>
        <w:tc>
          <w:tcPr>
            <w:tcW w:w="1526" w:type="dxa"/>
            <w:shd w:val="clear" w:color="auto" w:fill="auto"/>
            <w:noWrap/>
            <w:vAlign w:val="bottom"/>
            <w:hideMark/>
          </w:tcPr>
          <w:p w14:paraId="3471C7F1"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1215</w:t>
            </w:r>
          </w:p>
        </w:tc>
        <w:tc>
          <w:tcPr>
            <w:tcW w:w="1665" w:type="dxa"/>
            <w:shd w:val="clear" w:color="auto" w:fill="auto"/>
            <w:noWrap/>
            <w:vAlign w:val="bottom"/>
            <w:hideMark/>
          </w:tcPr>
          <w:p w14:paraId="0C1026D2"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27</w:t>
            </w:r>
          </w:p>
        </w:tc>
        <w:tc>
          <w:tcPr>
            <w:tcW w:w="2081" w:type="dxa"/>
            <w:shd w:val="clear" w:color="auto" w:fill="auto"/>
            <w:noWrap/>
            <w:vAlign w:val="bottom"/>
            <w:hideMark/>
          </w:tcPr>
          <w:p w14:paraId="62ADF797"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59.86</w:t>
            </w:r>
          </w:p>
        </w:tc>
      </w:tr>
      <w:tr w:rsidR="00B11E91" w:rsidRPr="00E9785D" w14:paraId="6ACEDFEA" w14:textId="77777777" w:rsidTr="00AD4168">
        <w:trPr>
          <w:trHeight w:val="296"/>
        </w:trPr>
        <w:tc>
          <w:tcPr>
            <w:tcW w:w="1293" w:type="dxa"/>
            <w:shd w:val="clear" w:color="auto" w:fill="auto"/>
            <w:noWrap/>
            <w:vAlign w:val="bottom"/>
            <w:hideMark/>
          </w:tcPr>
          <w:p w14:paraId="71155CEF" w14:textId="77777777" w:rsidR="00B11E91" w:rsidRPr="00E9785D" w:rsidRDefault="00B11E91" w:rsidP="00AD4168">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5B9B268C"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5</w:t>
            </w:r>
          </w:p>
        </w:tc>
        <w:tc>
          <w:tcPr>
            <w:tcW w:w="1526" w:type="dxa"/>
            <w:shd w:val="clear" w:color="auto" w:fill="auto"/>
            <w:noWrap/>
            <w:vAlign w:val="bottom"/>
            <w:hideMark/>
          </w:tcPr>
          <w:p w14:paraId="6A22AE16"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663</w:t>
            </w:r>
          </w:p>
        </w:tc>
        <w:tc>
          <w:tcPr>
            <w:tcW w:w="1665" w:type="dxa"/>
            <w:shd w:val="clear" w:color="auto" w:fill="auto"/>
            <w:noWrap/>
            <w:vAlign w:val="bottom"/>
            <w:hideMark/>
          </w:tcPr>
          <w:p w14:paraId="4F7D6B0B"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15</w:t>
            </w:r>
          </w:p>
        </w:tc>
        <w:tc>
          <w:tcPr>
            <w:tcW w:w="2081" w:type="dxa"/>
            <w:shd w:val="clear" w:color="auto" w:fill="auto"/>
            <w:noWrap/>
            <w:vAlign w:val="bottom"/>
            <w:hideMark/>
          </w:tcPr>
          <w:p w14:paraId="198051CD"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71.56</w:t>
            </w:r>
          </w:p>
        </w:tc>
      </w:tr>
      <w:tr w:rsidR="00B11E91" w:rsidRPr="00E9785D" w14:paraId="41B82D95" w14:textId="77777777" w:rsidTr="00AD4168">
        <w:trPr>
          <w:trHeight w:val="296"/>
        </w:trPr>
        <w:tc>
          <w:tcPr>
            <w:tcW w:w="1293" w:type="dxa"/>
            <w:shd w:val="clear" w:color="auto" w:fill="auto"/>
            <w:noWrap/>
            <w:vAlign w:val="bottom"/>
            <w:hideMark/>
          </w:tcPr>
          <w:p w14:paraId="1D7107ED" w14:textId="77777777" w:rsidR="00B11E91" w:rsidRPr="00E9785D" w:rsidRDefault="00B11E91" w:rsidP="00AD4168">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1449C294"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6</w:t>
            </w:r>
          </w:p>
        </w:tc>
        <w:tc>
          <w:tcPr>
            <w:tcW w:w="1526" w:type="dxa"/>
            <w:shd w:val="clear" w:color="auto" w:fill="auto"/>
            <w:noWrap/>
            <w:vAlign w:val="bottom"/>
            <w:hideMark/>
          </w:tcPr>
          <w:p w14:paraId="6CBA5312"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597</w:t>
            </w:r>
          </w:p>
        </w:tc>
        <w:tc>
          <w:tcPr>
            <w:tcW w:w="1665" w:type="dxa"/>
            <w:shd w:val="clear" w:color="auto" w:fill="auto"/>
            <w:noWrap/>
            <w:vAlign w:val="bottom"/>
            <w:hideMark/>
          </w:tcPr>
          <w:p w14:paraId="4311D94B"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13</w:t>
            </w:r>
          </w:p>
        </w:tc>
        <w:tc>
          <w:tcPr>
            <w:tcW w:w="2081" w:type="dxa"/>
            <w:shd w:val="clear" w:color="auto" w:fill="auto"/>
            <w:noWrap/>
            <w:vAlign w:val="bottom"/>
            <w:hideMark/>
          </w:tcPr>
          <w:p w14:paraId="1EC9E08C"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94.95</w:t>
            </w:r>
          </w:p>
        </w:tc>
      </w:tr>
      <w:tr w:rsidR="00B11E91" w:rsidRPr="00E9785D" w14:paraId="271B6DC8" w14:textId="77777777" w:rsidTr="00AD4168">
        <w:trPr>
          <w:trHeight w:val="296"/>
        </w:trPr>
        <w:tc>
          <w:tcPr>
            <w:tcW w:w="4185" w:type="dxa"/>
            <w:gridSpan w:val="3"/>
            <w:shd w:val="clear" w:color="auto" w:fill="auto"/>
            <w:noWrap/>
            <w:vAlign w:val="bottom"/>
            <w:hideMark/>
          </w:tcPr>
          <w:p w14:paraId="51B974FC" w14:textId="34B45F4E" w:rsidR="00B11E91" w:rsidRPr="00E9785D" w:rsidRDefault="00B11E91" w:rsidP="008816CF">
            <w:pPr>
              <w:spacing w:after="0" w:line="240" w:lineRule="auto"/>
              <w:rPr>
                <w:rFonts w:eastAsia="Times New Roman" w:cs="Times New Roman"/>
                <w:color w:val="0000FF"/>
              </w:rPr>
            </w:pPr>
            <w:r>
              <w:rPr>
                <w:rFonts w:eastAsia="Times New Roman" w:cs="Times New Roman"/>
                <w:color w:val="0000FF"/>
              </w:rPr>
              <w:t xml:space="preserve">Putting </w:t>
            </w:r>
            <w:r w:rsidR="008816CF">
              <w:rPr>
                <w:rFonts w:eastAsia="Times New Roman" w:cs="Times New Roman"/>
                <w:color w:val="0000FF"/>
              </w:rPr>
              <w:t>o</w:t>
            </w:r>
            <w:r>
              <w:rPr>
                <w:rFonts w:eastAsia="Times New Roman" w:cs="Times New Roman"/>
                <w:color w:val="0000FF"/>
              </w:rPr>
              <w:t xml:space="preserve">n and </w:t>
            </w:r>
            <w:r w:rsidR="008816CF">
              <w:rPr>
                <w:rFonts w:eastAsia="Times New Roman" w:cs="Times New Roman"/>
                <w:color w:val="0000FF"/>
              </w:rPr>
              <w:t>t</w:t>
            </w:r>
            <w:r>
              <w:rPr>
                <w:rFonts w:eastAsia="Times New Roman" w:cs="Times New Roman"/>
                <w:color w:val="0000FF"/>
              </w:rPr>
              <w:t xml:space="preserve">aking </w:t>
            </w:r>
            <w:r w:rsidR="008816CF">
              <w:rPr>
                <w:rFonts w:eastAsia="Times New Roman" w:cs="Times New Roman"/>
                <w:color w:val="0000FF"/>
              </w:rPr>
              <w:t>o</w:t>
            </w:r>
            <w:r>
              <w:rPr>
                <w:rFonts w:eastAsia="Times New Roman" w:cs="Times New Roman"/>
                <w:color w:val="0000FF"/>
              </w:rPr>
              <w:t xml:space="preserve">ff </w:t>
            </w:r>
            <w:r w:rsidR="008816CF">
              <w:rPr>
                <w:rFonts w:eastAsia="Times New Roman" w:cs="Times New Roman"/>
                <w:color w:val="0000FF"/>
              </w:rPr>
              <w:t>f</w:t>
            </w:r>
            <w:r w:rsidRPr="00E9785D">
              <w:rPr>
                <w:rFonts w:eastAsia="Times New Roman" w:cs="Times New Roman"/>
                <w:color w:val="0000FF"/>
              </w:rPr>
              <w:t>ootwear</w:t>
            </w:r>
          </w:p>
        </w:tc>
        <w:tc>
          <w:tcPr>
            <w:tcW w:w="1665" w:type="dxa"/>
            <w:shd w:val="clear" w:color="auto" w:fill="auto"/>
            <w:noWrap/>
            <w:vAlign w:val="bottom"/>
            <w:hideMark/>
          </w:tcPr>
          <w:p w14:paraId="52C9C8CE" w14:textId="77777777" w:rsidR="00B11E91" w:rsidRPr="00E9785D" w:rsidRDefault="00B11E91" w:rsidP="00AD4168">
            <w:pPr>
              <w:spacing w:after="0" w:line="240" w:lineRule="auto"/>
              <w:jc w:val="center"/>
              <w:rPr>
                <w:rFonts w:eastAsia="Times New Roman" w:cs="Times New Roman"/>
                <w:color w:val="0000FF"/>
              </w:rPr>
            </w:pPr>
          </w:p>
        </w:tc>
        <w:tc>
          <w:tcPr>
            <w:tcW w:w="2081" w:type="dxa"/>
            <w:shd w:val="clear" w:color="auto" w:fill="auto"/>
            <w:noWrap/>
            <w:vAlign w:val="bottom"/>
            <w:hideMark/>
          </w:tcPr>
          <w:p w14:paraId="222957D6" w14:textId="77777777" w:rsidR="00B11E91" w:rsidRPr="00E9785D" w:rsidRDefault="00B11E91" w:rsidP="00AD4168">
            <w:pPr>
              <w:spacing w:after="0" w:line="240" w:lineRule="auto"/>
              <w:jc w:val="center"/>
              <w:rPr>
                <w:rFonts w:eastAsia="Times New Roman" w:cs="Times New Roman"/>
                <w:color w:val="0000FF"/>
              </w:rPr>
            </w:pPr>
          </w:p>
        </w:tc>
      </w:tr>
      <w:tr w:rsidR="00B11E91" w:rsidRPr="00E9785D" w14:paraId="5E70C9AB" w14:textId="77777777" w:rsidTr="00AD4168">
        <w:trPr>
          <w:trHeight w:val="296"/>
        </w:trPr>
        <w:tc>
          <w:tcPr>
            <w:tcW w:w="1293" w:type="dxa"/>
            <w:shd w:val="clear" w:color="auto" w:fill="auto"/>
            <w:noWrap/>
            <w:vAlign w:val="bottom"/>
            <w:hideMark/>
          </w:tcPr>
          <w:p w14:paraId="624F5E9B" w14:textId="77777777" w:rsidR="00B11E91" w:rsidRPr="00E9785D" w:rsidRDefault="00B11E91" w:rsidP="00AD4168">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19ED4F0E"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1</w:t>
            </w:r>
          </w:p>
        </w:tc>
        <w:tc>
          <w:tcPr>
            <w:tcW w:w="1526" w:type="dxa"/>
            <w:shd w:val="clear" w:color="auto" w:fill="auto"/>
            <w:noWrap/>
            <w:vAlign w:val="bottom"/>
            <w:hideMark/>
          </w:tcPr>
          <w:p w14:paraId="3FFE9165"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1269</w:t>
            </w:r>
          </w:p>
        </w:tc>
        <w:tc>
          <w:tcPr>
            <w:tcW w:w="1665" w:type="dxa"/>
            <w:shd w:val="clear" w:color="auto" w:fill="auto"/>
            <w:noWrap/>
            <w:vAlign w:val="bottom"/>
            <w:hideMark/>
          </w:tcPr>
          <w:p w14:paraId="241CAA35"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24</w:t>
            </w:r>
          </w:p>
        </w:tc>
        <w:tc>
          <w:tcPr>
            <w:tcW w:w="2081" w:type="dxa"/>
            <w:shd w:val="clear" w:color="auto" w:fill="auto"/>
            <w:noWrap/>
            <w:vAlign w:val="bottom"/>
            <w:hideMark/>
          </w:tcPr>
          <w:p w14:paraId="7ABA76E9"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33.83</w:t>
            </w:r>
          </w:p>
        </w:tc>
      </w:tr>
      <w:tr w:rsidR="00B11E91" w:rsidRPr="00E9785D" w14:paraId="16A83724" w14:textId="77777777" w:rsidTr="00AD4168">
        <w:trPr>
          <w:trHeight w:val="296"/>
        </w:trPr>
        <w:tc>
          <w:tcPr>
            <w:tcW w:w="1293" w:type="dxa"/>
            <w:shd w:val="clear" w:color="auto" w:fill="auto"/>
            <w:noWrap/>
            <w:vAlign w:val="bottom"/>
            <w:hideMark/>
          </w:tcPr>
          <w:p w14:paraId="27F59D15" w14:textId="77777777" w:rsidR="00B11E91" w:rsidRPr="00E9785D" w:rsidRDefault="00B11E91" w:rsidP="00AD4168">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1498010E"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2</w:t>
            </w:r>
          </w:p>
        </w:tc>
        <w:tc>
          <w:tcPr>
            <w:tcW w:w="1526" w:type="dxa"/>
            <w:shd w:val="clear" w:color="auto" w:fill="auto"/>
            <w:noWrap/>
            <w:vAlign w:val="bottom"/>
            <w:hideMark/>
          </w:tcPr>
          <w:p w14:paraId="266D2212"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832</w:t>
            </w:r>
          </w:p>
        </w:tc>
        <w:tc>
          <w:tcPr>
            <w:tcW w:w="1665" w:type="dxa"/>
            <w:shd w:val="clear" w:color="auto" w:fill="auto"/>
            <w:noWrap/>
            <w:vAlign w:val="bottom"/>
            <w:hideMark/>
          </w:tcPr>
          <w:p w14:paraId="43C0D7EB"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16</w:t>
            </w:r>
          </w:p>
        </w:tc>
        <w:tc>
          <w:tcPr>
            <w:tcW w:w="2081" w:type="dxa"/>
            <w:shd w:val="clear" w:color="auto" w:fill="auto"/>
            <w:noWrap/>
            <w:vAlign w:val="bottom"/>
            <w:hideMark/>
          </w:tcPr>
          <w:p w14:paraId="582821DE"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44.58</w:t>
            </w:r>
          </w:p>
        </w:tc>
      </w:tr>
      <w:tr w:rsidR="00B11E91" w:rsidRPr="00E9785D" w14:paraId="456D4072" w14:textId="77777777" w:rsidTr="00AD4168">
        <w:trPr>
          <w:trHeight w:val="296"/>
        </w:trPr>
        <w:tc>
          <w:tcPr>
            <w:tcW w:w="1293" w:type="dxa"/>
            <w:shd w:val="clear" w:color="auto" w:fill="auto"/>
            <w:noWrap/>
            <w:vAlign w:val="bottom"/>
            <w:hideMark/>
          </w:tcPr>
          <w:p w14:paraId="4E580C5C" w14:textId="77777777" w:rsidR="00B11E91" w:rsidRPr="00E9785D" w:rsidRDefault="00B11E91" w:rsidP="00AD4168">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22DF0CAD"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3</w:t>
            </w:r>
          </w:p>
        </w:tc>
        <w:tc>
          <w:tcPr>
            <w:tcW w:w="1526" w:type="dxa"/>
            <w:shd w:val="clear" w:color="auto" w:fill="auto"/>
            <w:noWrap/>
            <w:vAlign w:val="bottom"/>
            <w:hideMark/>
          </w:tcPr>
          <w:p w14:paraId="61F607DC"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830</w:t>
            </w:r>
          </w:p>
        </w:tc>
        <w:tc>
          <w:tcPr>
            <w:tcW w:w="1665" w:type="dxa"/>
            <w:shd w:val="clear" w:color="auto" w:fill="auto"/>
            <w:noWrap/>
            <w:vAlign w:val="bottom"/>
            <w:hideMark/>
          </w:tcPr>
          <w:p w14:paraId="369879E9"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16</w:t>
            </w:r>
          </w:p>
        </w:tc>
        <w:tc>
          <w:tcPr>
            <w:tcW w:w="2081" w:type="dxa"/>
            <w:shd w:val="clear" w:color="auto" w:fill="auto"/>
            <w:noWrap/>
            <w:vAlign w:val="bottom"/>
            <w:hideMark/>
          </w:tcPr>
          <w:p w14:paraId="1289A435"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52.06</w:t>
            </w:r>
          </w:p>
        </w:tc>
      </w:tr>
      <w:tr w:rsidR="00B11E91" w:rsidRPr="00E9785D" w14:paraId="3415D26B" w14:textId="77777777" w:rsidTr="00AD4168">
        <w:trPr>
          <w:trHeight w:val="296"/>
        </w:trPr>
        <w:tc>
          <w:tcPr>
            <w:tcW w:w="1293" w:type="dxa"/>
            <w:shd w:val="clear" w:color="auto" w:fill="auto"/>
            <w:noWrap/>
            <w:vAlign w:val="bottom"/>
            <w:hideMark/>
          </w:tcPr>
          <w:p w14:paraId="0B4E424A" w14:textId="77777777" w:rsidR="00B11E91" w:rsidRPr="00E9785D" w:rsidRDefault="00B11E91" w:rsidP="00AD4168">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5451C16F"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4</w:t>
            </w:r>
          </w:p>
        </w:tc>
        <w:tc>
          <w:tcPr>
            <w:tcW w:w="1526" w:type="dxa"/>
            <w:shd w:val="clear" w:color="auto" w:fill="auto"/>
            <w:noWrap/>
            <w:vAlign w:val="bottom"/>
            <w:hideMark/>
          </w:tcPr>
          <w:p w14:paraId="5F76B423"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905</w:t>
            </w:r>
          </w:p>
        </w:tc>
        <w:tc>
          <w:tcPr>
            <w:tcW w:w="1665" w:type="dxa"/>
            <w:shd w:val="clear" w:color="auto" w:fill="auto"/>
            <w:noWrap/>
            <w:vAlign w:val="bottom"/>
            <w:hideMark/>
          </w:tcPr>
          <w:p w14:paraId="67E9835F"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17</w:t>
            </w:r>
          </w:p>
        </w:tc>
        <w:tc>
          <w:tcPr>
            <w:tcW w:w="2081" w:type="dxa"/>
            <w:shd w:val="clear" w:color="auto" w:fill="auto"/>
            <w:noWrap/>
            <w:vAlign w:val="bottom"/>
            <w:hideMark/>
          </w:tcPr>
          <w:p w14:paraId="0461B97E"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58.81</w:t>
            </w:r>
          </w:p>
        </w:tc>
      </w:tr>
      <w:tr w:rsidR="00B11E91" w:rsidRPr="00E9785D" w14:paraId="5FA6E317" w14:textId="77777777" w:rsidTr="00AD4168">
        <w:trPr>
          <w:trHeight w:val="296"/>
        </w:trPr>
        <w:tc>
          <w:tcPr>
            <w:tcW w:w="1293" w:type="dxa"/>
            <w:shd w:val="clear" w:color="auto" w:fill="auto"/>
            <w:noWrap/>
            <w:vAlign w:val="bottom"/>
            <w:hideMark/>
          </w:tcPr>
          <w:p w14:paraId="44361CD3" w14:textId="77777777" w:rsidR="00B11E91" w:rsidRPr="00E9785D" w:rsidRDefault="00B11E91" w:rsidP="00AD4168">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6AFCAF34"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5</w:t>
            </w:r>
          </w:p>
        </w:tc>
        <w:tc>
          <w:tcPr>
            <w:tcW w:w="1526" w:type="dxa"/>
            <w:shd w:val="clear" w:color="auto" w:fill="auto"/>
            <w:noWrap/>
            <w:vAlign w:val="bottom"/>
            <w:hideMark/>
          </w:tcPr>
          <w:p w14:paraId="7ADA54F3"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600</w:t>
            </w:r>
          </w:p>
        </w:tc>
        <w:tc>
          <w:tcPr>
            <w:tcW w:w="1665" w:type="dxa"/>
            <w:shd w:val="clear" w:color="auto" w:fill="auto"/>
            <w:noWrap/>
            <w:vAlign w:val="bottom"/>
            <w:hideMark/>
          </w:tcPr>
          <w:p w14:paraId="24F9E03F"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11</w:t>
            </w:r>
          </w:p>
        </w:tc>
        <w:tc>
          <w:tcPr>
            <w:tcW w:w="2081" w:type="dxa"/>
            <w:shd w:val="clear" w:color="auto" w:fill="auto"/>
            <w:noWrap/>
            <w:vAlign w:val="bottom"/>
            <w:hideMark/>
          </w:tcPr>
          <w:p w14:paraId="211C8F01"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67.15</w:t>
            </w:r>
          </w:p>
        </w:tc>
      </w:tr>
      <w:tr w:rsidR="00B11E91" w:rsidRPr="00E9785D" w14:paraId="1451A71E" w14:textId="77777777" w:rsidTr="00AD4168">
        <w:trPr>
          <w:trHeight w:val="296"/>
        </w:trPr>
        <w:tc>
          <w:tcPr>
            <w:tcW w:w="1293" w:type="dxa"/>
            <w:tcBorders>
              <w:bottom w:val="single" w:sz="4" w:space="0" w:color="auto"/>
            </w:tcBorders>
            <w:shd w:val="clear" w:color="auto" w:fill="auto"/>
            <w:noWrap/>
            <w:vAlign w:val="bottom"/>
            <w:hideMark/>
          </w:tcPr>
          <w:p w14:paraId="2062DF5F" w14:textId="77777777" w:rsidR="00B11E91" w:rsidRPr="00E9785D" w:rsidRDefault="00B11E91" w:rsidP="00AD4168">
            <w:pPr>
              <w:spacing w:after="0" w:line="240" w:lineRule="auto"/>
              <w:rPr>
                <w:rFonts w:eastAsia="Times New Roman" w:cs="Times New Roman"/>
                <w:color w:val="0000FF"/>
              </w:rPr>
            </w:pPr>
            <w:r w:rsidRPr="00E9785D">
              <w:rPr>
                <w:rFonts w:eastAsia="Times New Roman" w:cs="Times New Roman"/>
                <w:color w:val="0000FF"/>
              </w:rPr>
              <w:t> </w:t>
            </w:r>
          </w:p>
        </w:tc>
        <w:tc>
          <w:tcPr>
            <w:tcW w:w="1366" w:type="dxa"/>
            <w:tcBorders>
              <w:bottom w:val="single" w:sz="4" w:space="0" w:color="auto"/>
            </w:tcBorders>
            <w:shd w:val="clear" w:color="auto" w:fill="auto"/>
            <w:noWrap/>
            <w:vAlign w:val="bottom"/>
            <w:hideMark/>
          </w:tcPr>
          <w:p w14:paraId="0C1FF636"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6</w:t>
            </w:r>
          </w:p>
        </w:tc>
        <w:tc>
          <w:tcPr>
            <w:tcW w:w="1526" w:type="dxa"/>
            <w:tcBorders>
              <w:bottom w:val="single" w:sz="4" w:space="0" w:color="auto"/>
            </w:tcBorders>
            <w:shd w:val="clear" w:color="auto" w:fill="auto"/>
            <w:noWrap/>
            <w:vAlign w:val="bottom"/>
            <w:hideMark/>
          </w:tcPr>
          <w:p w14:paraId="41354005"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903</w:t>
            </w:r>
          </w:p>
        </w:tc>
        <w:tc>
          <w:tcPr>
            <w:tcW w:w="1665" w:type="dxa"/>
            <w:tcBorders>
              <w:bottom w:val="single" w:sz="4" w:space="0" w:color="auto"/>
            </w:tcBorders>
            <w:shd w:val="clear" w:color="auto" w:fill="auto"/>
            <w:noWrap/>
            <w:vAlign w:val="bottom"/>
            <w:hideMark/>
          </w:tcPr>
          <w:p w14:paraId="32E5E7D1"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17</w:t>
            </w:r>
          </w:p>
        </w:tc>
        <w:tc>
          <w:tcPr>
            <w:tcW w:w="2081" w:type="dxa"/>
            <w:tcBorders>
              <w:bottom w:val="single" w:sz="4" w:space="0" w:color="auto"/>
            </w:tcBorders>
            <w:shd w:val="clear" w:color="auto" w:fill="auto"/>
            <w:noWrap/>
            <w:vAlign w:val="bottom"/>
            <w:hideMark/>
          </w:tcPr>
          <w:p w14:paraId="38FB1B43" w14:textId="77777777" w:rsidR="00B11E91" w:rsidRPr="00E9785D" w:rsidRDefault="00B11E91" w:rsidP="00AD4168">
            <w:pPr>
              <w:spacing w:after="0" w:line="240" w:lineRule="auto"/>
              <w:jc w:val="center"/>
              <w:rPr>
                <w:rFonts w:eastAsia="Times New Roman" w:cs="Times New Roman"/>
                <w:color w:val="0000FF"/>
              </w:rPr>
            </w:pPr>
            <w:r w:rsidRPr="00E9785D">
              <w:rPr>
                <w:rFonts w:eastAsia="Times New Roman" w:cs="Times New Roman"/>
                <w:color w:val="0000FF"/>
              </w:rPr>
              <w:t>91.75</w:t>
            </w:r>
          </w:p>
        </w:tc>
      </w:tr>
    </w:tbl>
    <w:p w14:paraId="1B84F235" w14:textId="210E3C41" w:rsidR="00B11E91" w:rsidRPr="009D386B" w:rsidRDefault="00B11E91" w:rsidP="00B11E91">
      <w:pPr>
        <w:pStyle w:val="ListParagraph"/>
        <w:spacing w:after="240" w:line="240" w:lineRule="auto"/>
        <w:ind w:left="216"/>
        <w:rPr>
          <w:color w:val="0000FF"/>
        </w:rPr>
      </w:pPr>
      <w:r w:rsidRPr="009D386B">
        <w:rPr>
          <w:color w:val="0000FF"/>
        </w:rPr>
        <w:t>*Activity not attempted/did not occur codes are not included in this analysis</w:t>
      </w:r>
      <w:r w:rsidR="00105029" w:rsidRPr="009D386B">
        <w:rPr>
          <w:color w:val="0000FF"/>
        </w:rPr>
        <w:t xml:space="preserve">. </w:t>
      </w:r>
    </w:p>
    <w:p w14:paraId="50A7A425" w14:textId="417BAC6C" w:rsidR="00653A39" w:rsidRPr="009D386B" w:rsidRDefault="00105029" w:rsidP="00F263FF">
      <w:pPr>
        <w:pStyle w:val="ListParagraph"/>
        <w:spacing w:after="240" w:line="240" w:lineRule="auto"/>
        <w:ind w:left="216"/>
        <w:rPr>
          <w:color w:val="0000FF"/>
        </w:rPr>
      </w:pPr>
      <w:r w:rsidRPr="009D386B">
        <w:rPr>
          <w:color w:val="0000FF"/>
        </w:rPr>
        <w:t>**Response categories are defined as: 1</w:t>
      </w:r>
      <w:r w:rsidR="00F263FF" w:rsidRPr="009D386B">
        <w:rPr>
          <w:color w:val="0000FF"/>
        </w:rPr>
        <w:t xml:space="preserve"> –</w:t>
      </w:r>
      <w:r w:rsidRPr="009D386B">
        <w:rPr>
          <w:color w:val="0000FF"/>
        </w:rPr>
        <w:t xml:space="preserve"> Dependent</w:t>
      </w:r>
      <w:r w:rsidR="00F263FF" w:rsidRPr="009D386B">
        <w:rPr>
          <w:color w:val="0000FF"/>
        </w:rPr>
        <w:t xml:space="preserve">; </w:t>
      </w:r>
      <w:r w:rsidRPr="009D386B">
        <w:rPr>
          <w:color w:val="0000FF"/>
        </w:rPr>
        <w:t>2</w:t>
      </w:r>
      <w:r w:rsidR="00F263FF" w:rsidRPr="009D386B">
        <w:rPr>
          <w:color w:val="0000FF"/>
        </w:rPr>
        <w:t xml:space="preserve"> –</w:t>
      </w:r>
      <w:r w:rsidRPr="009D386B">
        <w:rPr>
          <w:color w:val="0000FF"/>
        </w:rPr>
        <w:t xml:space="preserve"> Substantial</w:t>
      </w:r>
      <w:r w:rsidR="00F263FF" w:rsidRPr="009D386B">
        <w:rPr>
          <w:color w:val="0000FF"/>
        </w:rPr>
        <w:t>/</w:t>
      </w:r>
      <w:r w:rsidRPr="009D386B">
        <w:rPr>
          <w:color w:val="0000FF"/>
        </w:rPr>
        <w:t>maximal assistance</w:t>
      </w:r>
      <w:r w:rsidR="00F263FF" w:rsidRPr="009D386B">
        <w:rPr>
          <w:color w:val="0000FF"/>
        </w:rPr>
        <w:t xml:space="preserve">; </w:t>
      </w:r>
      <w:r w:rsidRPr="009D386B">
        <w:rPr>
          <w:color w:val="0000FF"/>
        </w:rPr>
        <w:t>3</w:t>
      </w:r>
      <w:r w:rsidR="00F263FF" w:rsidRPr="009D386B">
        <w:rPr>
          <w:color w:val="0000FF"/>
        </w:rPr>
        <w:t xml:space="preserve"> -</w:t>
      </w:r>
      <w:r w:rsidRPr="009D386B">
        <w:rPr>
          <w:color w:val="0000FF"/>
        </w:rPr>
        <w:t xml:space="preserve"> Partial/moderate assistance</w:t>
      </w:r>
      <w:r w:rsidR="00F263FF" w:rsidRPr="009D386B">
        <w:rPr>
          <w:color w:val="0000FF"/>
        </w:rPr>
        <w:t>;</w:t>
      </w:r>
      <w:r w:rsidRPr="009D386B">
        <w:rPr>
          <w:color w:val="0000FF"/>
        </w:rPr>
        <w:t xml:space="preserve"> 4</w:t>
      </w:r>
      <w:r w:rsidR="00F263FF" w:rsidRPr="009D386B">
        <w:rPr>
          <w:color w:val="0000FF"/>
        </w:rPr>
        <w:t xml:space="preserve"> -</w:t>
      </w:r>
      <w:r w:rsidRPr="009D386B">
        <w:rPr>
          <w:color w:val="0000FF"/>
        </w:rPr>
        <w:t xml:space="preserve"> Supervision or touching assistance</w:t>
      </w:r>
      <w:r w:rsidR="00F263FF" w:rsidRPr="009D386B">
        <w:rPr>
          <w:color w:val="0000FF"/>
        </w:rPr>
        <w:t>;</w:t>
      </w:r>
      <w:r w:rsidRPr="009D386B">
        <w:rPr>
          <w:color w:val="0000FF"/>
        </w:rPr>
        <w:t xml:space="preserve"> 5</w:t>
      </w:r>
      <w:r w:rsidR="00F263FF" w:rsidRPr="009D386B">
        <w:rPr>
          <w:color w:val="0000FF"/>
        </w:rPr>
        <w:t xml:space="preserve"> -</w:t>
      </w:r>
      <w:r w:rsidRPr="009D386B">
        <w:rPr>
          <w:color w:val="0000FF"/>
        </w:rPr>
        <w:t xml:space="preserve"> Setup or clean-up assistance</w:t>
      </w:r>
      <w:r w:rsidR="00F263FF" w:rsidRPr="009D386B">
        <w:rPr>
          <w:color w:val="0000FF"/>
        </w:rPr>
        <w:t>;</w:t>
      </w:r>
      <w:r w:rsidRPr="009D386B">
        <w:rPr>
          <w:color w:val="0000FF"/>
        </w:rPr>
        <w:t xml:space="preserve"> and 6</w:t>
      </w:r>
      <w:r w:rsidR="00F263FF" w:rsidRPr="009D386B">
        <w:rPr>
          <w:color w:val="0000FF"/>
        </w:rPr>
        <w:t xml:space="preserve"> -</w:t>
      </w:r>
      <w:r w:rsidRPr="009D386B">
        <w:rPr>
          <w:color w:val="0000FF"/>
        </w:rPr>
        <w:t xml:space="preserve"> Independent. </w:t>
      </w:r>
    </w:p>
    <w:p w14:paraId="440261FA" w14:textId="77777777" w:rsidR="000F01E7" w:rsidRPr="009D386B" w:rsidRDefault="000F01E7" w:rsidP="000F01E7">
      <w:pPr>
        <w:spacing w:after="240" w:line="240" w:lineRule="auto"/>
        <w:outlineLvl w:val="4"/>
        <w:rPr>
          <w:rFonts w:eastAsia="Calibri" w:cs="Times New Roman"/>
          <w:b/>
          <w:bCs/>
          <w:color w:val="0000FF"/>
        </w:rPr>
      </w:pPr>
      <w:r w:rsidRPr="009D386B">
        <w:rPr>
          <w:rFonts w:eastAsia="Calibri" w:cs="Times New Roman"/>
          <w:b/>
          <w:bCs/>
          <w:color w:val="0000FF"/>
        </w:rPr>
        <w:t>Citation:</w:t>
      </w:r>
    </w:p>
    <w:p w14:paraId="2A757B61" w14:textId="77777777" w:rsidR="000F01E7" w:rsidRDefault="000F01E7" w:rsidP="000F01E7">
      <w:pPr>
        <w:spacing w:after="240" w:line="240" w:lineRule="auto"/>
        <w:outlineLvl w:val="4"/>
        <w:rPr>
          <w:rStyle w:val="Hyperlink"/>
          <w:rFonts w:cs="Arial"/>
        </w:rPr>
      </w:pPr>
      <w:r w:rsidRPr="009D386B">
        <w:rPr>
          <w:rFonts w:cs="Arial"/>
          <w:color w:val="0000FF"/>
        </w:rPr>
        <w:t xml:space="preserve">Wright BD, Linacre JM (1994) Reasonable mean-square fit values. </w:t>
      </w:r>
      <w:r w:rsidRPr="009D386B">
        <w:rPr>
          <w:rFonts w:cs="Arial"/>
          <w:i/>
          <w:iCs/>
          <w:color w:val="0000FF"/>
        </w:rPr>
        <w:t>Rasch Measurement Transactions.</w:t>
      </w:r>
      <w:r w:rsidRPr="009D386B">
        <w:rPr>
          <w:rFonts w:cs="Arial"/>
          <w:color w:val="0000FF"/>
        </w:rPr>
        <w:t xml:space="preserve"> 8:3 p.370. </w:t>
      </w:r>
      <w:hyperlink r:id="rId13" w:history="1">
        <w:r w:rsidRPr="009D386B">
          <w:rPr>
            <w:rStyle w:val="Hyperlink"/>
            <w:rFonts w:cs="Arial"/>
          </w:rPr>
          <w:t>http://www.rasch.org/rmt/rmt83b.htm</w:t>
        </w:r>
      </w:hyperlink>
    </w:p>
    <w:p w14:paraId="40D3DAF6" w14:textId="69F6FF22" w:rsidR="0003686E" w:rsidRDefault="00092566" w:rsidP="00B11E91">
      <w:pPr>
        <w:keepNext/>
        <w:spacing w:after="0" w:line="240" w:lineRule="auto"/>
        <w:outlineLvl w:val="4"/>
        <w:rPr>
          <w:rFonts w:cstheme="minorHAnsi"/>
          <w:bCs/>
        </w:rPr>
      </w:pPr>
      <w:r w:rsidRPr="00BC6811">
        <w:rPr>
          <w:rFonts w:cstheme="minorHAnsi"/>
          <w:b/>
          <w:bCs/>
        </w:rPr>
        <w:t>2b2.</w:t>
      </w:r>
      <w:r w:rsidR="007757CE" w:rsidRPr="00BC6811">
        <w:rPr>
          <w:rFonts w:cstheme="minorHAnsi"/>
          <w:b/>
          <w:bCs/>
        </w:rPr>
        <w:t xml:space="preserve">4. </w:t>
      </w:r>
      <w:proofErr w:type="gramStart"/>
      <w:r w:rsidR="000B2DF7" w:rsidRPr="00BC6811">
        <w:rPr>
          <w:rFonts w:cstheme="minorHAnsi"/>
          <w:b/>
          <w:bCs/>
        </w:rPr>
        <w:t>What</w:t>
      </w:r>
      <w:proofErr w:type="gramEnd"/>
      <w:r w:rsidR="000B2DF7" w:rsidRPr="00BC6811">
        <w:rPr>
          <w:rFonts w:cstheme="minorHAnsi"/>
          <w:b/>
          <w:bCs/>
        </w:rPr>
        <w:t xml:space="preserve"> is your interpretation of the results </w:t>
      </w:r>
      <w:r w:rsidR="007422FD" w:rsidRPr="00BC6811">
        <w:rPr>
          <w:rFonts w:cstheme="minorHAnsi"/>
          <w:b/>
          <w:bCs/>
        </w:rPr>
        <w:t>in terms of demonstrating validity</w:t>
      </w:r>
      <w:r w:rsidR="007422FD" w:rsidRPr="00BC6811">
        <w:rPr>
          <w:rFonts w:cstheme="minorHAnsi"/>
          <w:bCs/>
        </w:rPr>
        <w:t xml:space="preserve">? </w:t>
      </w:r>
      <w:r w:rsidR="000B2DF7" w:rsidRPr="00BC6811">
        <w:rPr>
          <w:rFonts w:cstheme="minorHAnsi"/>
          <w:bCs/>
        </w:rPr>
        <w:t>(i</w:t>
      </w:r>
      <w:r w:rsidR="000B2DF7" w:rsidRPr="00BC6811">
        <w:rPr>
          <w:rFonts w:cstheme="minorHAnsi"/>
          <w:bCs/>
          <w:i/>
        </w:rPr>
        <w:t>.e., what do the results mean and what are the norms for the test conducted</w:t>
      </w:r>
      <w:r w:rsidR="00A25024" w:rsidRPr="00BC6811">
        <w:rPr>
          <w:rFonts w:cstheme="minorHAnsi"/>
          <w:bCs/>
          <w:i/>
        </w:rPr>
        <w:t>?</w:t>
      </w:r>
      <w:r w:rsidR="000B2DF7" w:rsidRPr="00BC6811">
        <w:rPr>
          <w:rFonts w:cstheme="minorHAnsi"/>
          <w:bCs/>
        </w:rPr>
        <w:t>)</w:t>
      </w:r>
    </w:p>
    <w:p w14:paraId="506439B5" w14:textId="77777777" w:rsidR="00B11E91" w:rsidRDefault="00B11E91" w:rsidP="00B11E91">
      <w:pPr>
        <w:keepNext/>
        <w:spacing w:after="0" w:line="240" w:lineRule="auto"/>
        <w:outlineLvl w:val="4"/>
        <w:rPr>
          <w:rFonts w:cstheme="minorHAnsi"/>
          <w:bCs/>
        </w:rPr>
      </w:pPr>
    </w:p>
    <w:p w14:paraId="22E4BA76" w14:textId="77777777" w:rsidR="008303CC" w:rsidRDefault="00B11E91" w:rsidP="008303CC">
      <w:pPr>
        <w:spacing w:after="240" w:line="240" w:lineRule="auto"/>
        <w:outlineLvl w:val="4"/>
        <w:rPr>
          <w:rFonts w:eastAsia="Calibri" w:cs="Times New Roman"/>
          <w:color w:val="0000FF"/>
        </w:rPr>
      </w:pPr>
      <w:r>
        <w:rPr>
          <w:rFonts w:eastAsia="Calibri" w:cs="Times New Roman"/>
          <w:color w:val="0000FF"/>
        </w:rPr>
        <w:t xml:space="preserve">The activities included in the self-scale scale are similar to self-care items on other functional assessment instruments. </w:t>
      </w:r>
      <w:r w:rsidRPr="001B4B1B">
        <w:rPr>
          <w:rFonts w:eastAsia="Calibri" w:cs="Times New Roman"/>
          <w:color w:val="0000FF"/>
        </w:rPr>
        <w:t>According to technical expert consultation, the</w:t>
      </w:r>
      <w:r>
        <w:rPr>
          <w:rFonts w:eastAsia="Calibri" w:cs="Times New Roman"/>
          <w:color w:val="0000FF"/>
        </w:rPr>
        <w:t xml:space="preserve"> self-care </w:t>
      </w:r>
      <w:r w:rsidRPr="001B4B1B">
        <w:rPr>
          <w:rFonts w:eastAsia="Calibri" w:cs="Times New Roman"/>
          <w:color w:val="0000FF"/>
        </w:rPr>
        <w:t>items are in an order that makes sense clinically.</w:t>
      </w:r>
      <w:r>
        <w:rPr>
          <w:rFonts w:eastAsia="Calibri" w:cs="Times New Roman"/>
          <w:color w:val="0000FF"/>
        </w:rPr>
        <w:t xml:space="preserve"> </w:t>
      </w:r>
      <w:r w:rsidRPr="001B4B1B">
        <w:rPr>
          <w:rFonts w:eastAsia="Calibri" w:cs="Times New Roman"/>
          <w:color w:val="0000FF"/>
        </w:rPr>
        <w:t>That is, the order of the items from easy to difficult (item hierarchy) is consistent with task difficulties in the field.</w:t>
      </w:r>
      <w:r>
        <w:rPr>
          <w:rFonts w:eastAsia="Calibri" w:cs="Times New Roman"/>
          <w:color w:val="0000FF"/>
        </w:rPr>
        <w:t xml:space="preserve"> </w:t>
      </w:r>
      <w:r w:rsidRPr="001B4B1B">
        <w:rPr>
          <w:rFonts w:eastAsia="Calibri" w:cs="Times New Roman"/>
          <w:color w:val="0000FF"/>
        </w:rPr>
        <w:t>The item hierarchy is also consistent with clinical findings from similar instruments.</w:t>
      </w:r>
      <w:r>
        <w:rPr>
          <w:rFonts w:eastAsia="Calibri" w:cs="Times New Roman"/>
          <w:color w:val="0000FF"/>
        </w:rPr>
        <w:t xml:space="preserve"> Rasch analysis of the data showed the items work well together, with generally good </w:t>
      </w:r>
      <w:proofErr w:type="spellStart"/>
      <w:r>
        <w:rPr>
          <w:rFonts w:eastAsia="Calibri" w:cs="Times New Roman"/>
          <w:color w:val="0000FF"/>
        </w:rPr>
        <w:t>infit</w:t>
      </w:r>
      <w:proofErr w:type="spellEnd"/>
      <w:r>
        <w:rPr>
          <w:rFonts w:eastAsia="Calibri" w:cs="Times New Roman"/>
          <w:color w:val="0000FF"/>
        </w:rPr>
        <w:t xml:space="preserve"> and outfit statistics. As expected, for each item, the average ability score of patients increases as the rating scale increases.</w:t>
      </w:r>
    </w:p>
    <w:p w14:paraId="20FEFA42" w14:textId="3BD1FCF6" w:rsidR="008A403A" w:rsidRPr="00A25024" w:rsidRDefault="00483E94" w:rsidP="008303CC">
      <w:pPr>
        <w:spacing w:after="240" w:line="240" w:lineRule="auto"/>
        <w:outlineLvl w:val="4"/>
        <w:rPr>
          <w:rFonts w:cstheme="minorHAnsi"/>
          <w:bCs/>
        </w:rPr>
      </w:pPr>
      <w:r>
        <w:rPr>
          <w:rFonts w:cstheme="minorHAnsi"/>
          <w:bCs/>
        </w:rPr>
        <w:t>_______________________</w:t>
      </w:r>
    </w:p>
    <w:p w14:paraId="70D366D4" w14:textId="77777777"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14:paraId="791CBD56" w14:textId="72E33185" w:rsidR="00B037BA" w:rsidRDefault="001E4DD4" w:rsidP="00DB3627">
      <w:pPr>
        <w:autoSpaceDE w:val="0"/>
        <w:autoSpaceDN w:val="0"/>
        <w:adjustRightInd w:val="0"/>
        <w:spacing w:after="0" w:line="240" w:lineRule="auto"/>
        <w:rPr>
          <w:rStyle w:val="Hyperlink"/>
          <w:rFonts w:cstheme="minorHAnsi"/>
          <w:b/>
          <w:bCs/>
          <w:i/>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sdt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14:paraId="5E9882DA" w14:textId="77777777" w:rsidR="00001D73" w:rsidRDefault="00001D73" w:rsidP="00DB3627">
      <w:pPr>
        <w:autoSpaceDE w:val="0"/>
        <w:autoSpaceDN w:val="0"/>
        <w:adjustRightInd w:val="0"/>
        <w:spacing w:after="0" w:line="240" w:lineRule="auto"/>
        <w:rPr>
          <w:rFonts w:cstheme="minorHAnsi"/>
          <w:b/>
          <w:bCs/>
        </w:rPr>
      </w:pPr>
    </w:p>
    <w:p w14:paraId="6836F76C" w14:textId="77777777" w:rsidR="00C2452E" w:rsidRDefault="00092566" w:rsidP="00BC6811">
      <w:pPr>
        <w:autoSpaceDE w:val="0"/>
        <w:autoSpaceDN w:val="0"/>
        <w:adjustRightInd w:val="0"/>
        <w:spacing w:after="0" w:line="240" w:lineRule="auto"/>
        <w:rPr>
          <w:rFonts w:cstheme="minorHAnsi"/>
          <w:bCs/>
        </w:rPr>
      </w:pPr>
      <w:r>
        <w:rPr>
          <w:rFonts w:cstheme="minorHAnsi"/>
          <w:b/>
          <w:bCs/>
        </w:rPr>
        <w:lastRenderedPageBreak/>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p>
    <w:p w14:paraId="31EFCDA1" w14:textId="77777777" w:rsidR="0003686E" w:rsidRDefault="0003686E" w:rsidP="00BC6811">
      <w:pPr>
        <w:autoSpaceDE w:val="0"/>
        <w:autoSpaceDN w:val="0"/>
        <w:adjustRightInd w:val="0"/>
        <w:spacing w:after="0" w:line="240" w:lineRule="auto"/>
        <w:rPr>
          <w:rFonts w:cstheme="minorHAnsi"/>
          <w:bCs/>
        </w:rPr>
      </w:pPr>
    </w:p>
    <w:p w14:paraId="695D0E05" w14:textId="77777777" w:rsidR="0003686E" w:rsidRPr="001B4B1B" w:rsidRDefault="0003686E" w:rsidP="0003686E">
      <w:pPr>
        <w:autoSpaceDE w:val="0"/>
        <w:autoSpaceDN w:val="0"/>
        <w:adjustRightInd w:val="0"/>
        <w:spacing w:after="0" w:line="240" w:lineRule="auto"/>
        <w:rPr>
          <w:rFonts w:cstheme="minorHAnsi"/>
          <w:bCs/>
        </w:rPr>
      </w:pPr>
      <w:r w:rsidRPr="001B4B1B">
        <w:rPr>
          <w:rFonts w:eastAsia="Calibri" w:cs="Times New Roman"/>
          <w:color w:val="0000FF"/>
        </w:rPr>
        <w:t>We examined the percentage of patients who were excluded from the quality measure calculations due the exclusion criteria. With the exception of missing data criteria, the exclusion criteria are applied to the data in order to maintain the validity of the performance score.</w:t>
      </w:r>
    </w:p>
    <w:p w14:paraId="1BE0D3B8" w14:textId="08E44866" w:rsidR="00154333" w:rsidRPr="00A57363" w:rsidRDefault="00154333" w:rsidP="00BC6811">
      <w:pPr>
        <w:autoSpaceDE w:val="0"/>
        <w:autoSpaceDN w:val="0"/>
        <w:adjustRightInd w:val="0"/>
        <w:spacing w:after="0" w:line="240" w:lineRule="auto"/>
        <w:rPr>
          <w:color w:val="0000FF"/>
          <w:sz w:val="20"/>
        </w:rPr>
      </w:pPr>
    </w:p>
    <w:p w14:paraId="38BA2C19" w14:textId="77777777" w:rsidR="00C2452E" w:rsidRDefault="00092566" w:rsidP="00A57363">
      <w:pPr>
        <w:rPr>
          <w:rFonts w:cstheme="minorHAnsi"/>
          <w:bCs/>
        </w:rPr>
      </w:pPr>
      <w:r>
        <w:rPr>
          <w:rFonts w:cstheme="minorHAnsi"/>
          <w:b/>
          <w:bCs/>
        </w:rPr>
        <w:t>2b3.</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p>
    <w:p w14:paraId="43107747" w14:textId="5E5BEF64" w:rsidR="00B11E91" w:rsidRDefault="0003686E">
      <w:pPr>
        <w:rPr>
          <w:rFonts w:eastAsia="Calibri" w:cs="Times New Roman"/>
          <w:color w:val="0000FF"/>
        </w:rPr>
      </w:pPr>
      <w:r w:rsidRPr="00EF6E95">
        <w:rPr>
          <w:rFonts w:eastAsia="Calibri" w:cs="Times New Roman"/>
          <w:b/>
          <w:bCs/>
          <w:color w:val="0000FF"/>
        </w:rPr>
        <w:t xml:space="preserve">Table </w:t>
      </w:r>
      <w:r w:rsidR="00EF6E95" w:rsidRPr="00EF6E95">
        <w:rPr>
          <w:rFonts w:eastAsia="Calibri" w:cs="Times New Roman"/>
          <w:b/>
          <w:bCs/>
          <w:color w:val="0000FF"/>
        </w:rPr>
        <w:t>5</w:t>
      </w:r>
      <w:r w:rsidRPr="001B4B1B">
        <w:rPr>
          <w:rFonts w:eastAsia="Calibri" w:cs="Times New Roman"/>
          <w:color w:val="0000FF"/>
        </w:rPr>
        <w:t xml:space="preserve"> lists the exclusion criteria and the number and percent of patient records excluded for each criterion. Overall, 13.5 percent of the </w:t>
      </w:r>
      <w:r w:rsidRPr="008F21AE">
        <w:rPr>
          <w:rFonts w:eastAsia="Calibri" w:cs="Times New Roman"/>
          <w:color w:val="0000FF"/>
        </w:rPr>
        <w:t xml:space="preserve">sample met one or more of the exclusion criteria. With the exception of missing data criteria, the exclusion criteria are applied to the data in order to maintain the validity of the performance score. Missing </w:t>
      </w:r>
      <w:r w:rsidR="00A733E5" w:rsidRPr="008F21AE">
        <w:rPr>
          <w:rFonts w:eastAsia="Calibri" w:cs="Times New Roman"/>
          <w:color w:val="0000FF"/>
        </w:rPr>
        <w:t xml:space="preserve">or invalid </w:t>
      </w:r>
      <w:r w:rsidRPr="008F21AE">
        <w:rPr>
          <w:rFonts w:eastAsia="Calibri" w:cs="Times New Roman"/>
          <w:color w:val="0000FF"/>
        </w:rPr>
        <w:t>data was present in less than 1 percent of patient records after all other exclusion criteria were applied.</w:t>
      </w:r>
    </w:p>
    <w:p w14:paraId="046C0D19" w14:textId="7F7C37B4" w:rsidR="001B3FE2" w:rsidRPr="00EF6E95" w:rsidRDefault="001B3FE2" w:rsidP="00EF6E95">
      <w:pPr>
        <w:rPr>
          <w:rFonts w:eastAsia="Calibri" w:cs="Times New Roman"/>
          <w:b/>
          <w:bCs/>
          <w:color w:val="0000FF"/>
        </w:rPr>
      </w:pPr>
      <w:r w:rsidRPr="00EF6E95">
        <w:rPr>
          <w:rFonts w:eastAsia="Calibri" w:cs="Times New Roman"/>
          <w:b/>
          <w:bCs/>
          <w:color w:val="0000FF"/>
        </w:rPr>
        <w:t xml:space="preserve">Table </w:t>
      </w:r>
      <w:r w:rsidR="00EF6E95" w:rsidRPr="00EF6E95">
        <w:rPr>
          <w:rFonts w:eastAsia="Calibri" w:cs="Times New Roman"/>
          <w:b/>
          <w:bCs/>
          <w:color w:val="0000FF"/>
        </w:rPr>
        <w:t>5</w:t>
      </w:r>
      <w:r w:rsidRPr="00EF6E95">
        <w:rPr>
          <w:rFonts w:eastAsia="Calibri" w:cs="Times New Roman"/>
          <w:b/>
          <w:bCs/>
          <w:color w:val="0000FF"/>
        </w:rPr>
        <w:t>. Number and Percentage of Inpatient Rehabilitation Facility Patients Excluded from the Self-Care Quality Measure (n = 5,516)</w:t>
      </w:r>
    </w:p>
    <w:tbl>
      <w:tblPr>
        <w:tblW w:w="9564" w:type="dxa"/>
        <w:tblInd w:w="93" w:type="dxa"/>
        <w:tblLook w:val="04A0" w:firstRow="1" w:lastRow="0" w:firstColumn="1" w:lastColumn="0" w:noHBand="0" w:noVBand="1"/>
      </w:tblPr>
      <w:tblGrid>
        <w:gridCol w:w="8052"/>
        <w:gridCol w:w="551"/>
        <w:gridCol w:w="961"/>
      </w:tblGrid>
      <w:tr w:rsidR="001B3FE2" w:rsidRPr="001B4B1B" w14:paraId="1311A677" w14:textId="77777777" w:rsidTr="00AD4168">
        <w:trPr>
          <w:trHeight w:val="300"/>
        </w:trPr>
        <w:tc>
          <w:tcPr>
            <w:tcW w:w="8052" w:type="dxa"/>
            <w:vMerge w:val="restart"/>
            <w:tcBorders>
              <w:top w:val="single" w:sz="4" w:space="0" w:color="auto"/>
              <w:bottom w:val="single" w:sz="4" w:space="0" w:color="auto"/>
            </w:tcBorders>
            <w:shd w:val="clear" w:color="auto" w:fill="auto"/>
            <w:noWrap/>
            <w:vAlign w:val="center"/>
            <w:hideMark/>
          </w:tcPr>
          <w:p w14:paraId="403F1D2C" w14:textId="77777777" w:rsidR="001B3FE2" w:rsidRPr="001B4B1B" w:rsidRDefault="001B3FE2" w:rsidP="00AD4168">
            <w:pPr>
              <w:spacing w:after="0" w:line="240" w:lineRule="auto"/>
              <w:jc w:val="center"/>
              <w:rPr>
                <w:rFonts w:eastAsia="Calibri" w:cs="Times New Roman"/>
                <w:b/>
                <w:bCs/>
                <w:color w:val="0000FF"/>
              </w:rPr>
            </w:pPr>
            <w:r w:rsidRPr="001B4B1B">
              <w:rPr>
                <w:rFonts w:eastAsia="Calibri" w:cs="Times New Roman"/>
                <w:b/>
                <w:bCs/>
                <w:color w:val="0000FF"/>
              </w:rPr>
              <w:t>Exclusion Criteria</w:t>
            </w:r>
          </w:p>
        </w:tc>
        <w:tc>
          <w:tcPr>
            <w:tcW w:w="551" w:type="dxa"/>
            <w:vMerge w:val="restart"/>
            <w:tcBorders>
              <w:top w:val="single" w:sz="4" w:space="0" w:color="auto"/>
              <w:bottom w:val="single" w:sz="4" w:space="0" w:color="auto"/>
            </w:tcBorders>
            <w:shd w:val="clear" w:color="auto" w:fill="auto"/>
            <w:noWrap/>
            <w:vAlign w:val="center"/>
            <w:hideMark/>
          </w:tcPr>
          <w:p w14:paraId="504EF773" w14:textId="77777777" w:rsidR="001B3FE2" w:rsidRPr="001B4B1B" w:rsidRDefault="001B3FE2" w:rsidP="00AD4168">
            <w:pPr>
              <w:spacing w:after="0" w:line="240" w:lineRule="auto"/>
              <w:jc w:val="center"/>
              <w:rPr>
                <w:rFonts w:eastAsia="Calibri" w:cs="Times New Roman"/>
                <w:b/>
                <w:bCs/>
                <w:color w:val="0000FF"/>
              </w:rPr>
            </w:pPr>
            <w:r w:rsidRPr="001B4B1B">
              <w:rPr>
                <w:rFonts w:eastAsia="Calibri" w:cs="Times New Roman"/>
                <w:b/>
                <w:bCs/>
                <w:color w:val="0000FF"/>
              </w:rPr>
              <w:t>N</w:t>
            </w:r>
          </w:p>
        </w:tc>
        <w:tc>
          <w:tcPr>
            <w:tcW w:w="961" w:type="dxa"/>
            <w:vMerge w:val="restart"/>
            <w:tcBorders>
              <w:top w:val="single" w:sz="4" w:space="0" w:color="auto"/>
              <w:bottom w:val="single" w:sz="4" w:space="0" w:color="auto"/>
            </w:tcBorders>
            <w:shd w:val="clear" w:color="auto" w:fill="auto"/>
            <w:noWrap/>
            <w:vAlign w:val="center"/>
            <w:hideMark/>
          </w:tcPr>
          <w:p w14:paraId="0077E826" w14:textId="77777777" w:rsidR="001B3FE2" w:rsidRPr="001B4B1B" w:rsidRDefault="001B3FE2" w:rsidP="00AD4168">
            <w:pPr>
              <w:spacing w:after="0" w:line="240" w:lineRule="auto"/>
              <w:jc w:val="center"/>
              <w:rPr>
                <w:rFonts w:eastAsia="Calibri" w:cs="Times New Roman"/>
                <w:b/>
                <w:bCs/>
                <w:color w:val="0000FF"/>
              </w:rPr>
            </w:pPr>
            <w:r w:rsidRPr="001B4B1B">
              <w:rPr>
                <w:rFonts w:eastAsia="Calibri" w:cs="Times New Roman"/>
                <w:b/>
                <w:bCs/>
                <w:color w:val="0000FF"/>
              </w:rPr>
              <w:t>Percent</w:t>
            </w:r>
          </w:p>
        </w:tc>
      </w:tr>
      <w:tr w:rsidR="001B3FE2" w:rsidRPr="001B4B1B" w14:paraId="1F86AE28" w14:textId="77777777" w:rsidTr="00AD4168">
        <w:trPr>
          <w:trHeight w:val="269"/>
        </w:trPr>
        <w:tc>
          <w:tcPr>
            <w:tcW w:w="8052" w:type="dxa"/>
            <w:vMerge/>
            <w:tcBorders>
              <w:top w:val="single" w:sz="4" w:space="0" w:color="auto"/>
              <w:bottom w:val="single" w:sz="4" w:space="0" w:color="auto"/>
            </w:tcBorders>
            <w:vAlign w:val="center"/>
            <w:hideMark/>
          </w:tcPr>
          <w:p w14:paraId="272BE09A" w14:textId="77777777" w:rsidR="001B3FE2" w:rsidRPr="001B4B1B" w:rsidRDefault="001B3FE2" w:rsidP="00AD4168">
            <w:pPr>
              <w:spacing w:after="0" w:line="240" w:lineRule="auto"/>
              <w:rPr>
                <w:rFonts w:eastAsia="Calibri" w:cs="Times New Roman"/>
                <w:color w:val="0000FF"/>
              </w:rPr>
            </w:pPr>
          </w:p>
        </w:tc>
        <w:tc>
          <w:tcPr>
            <w:tcW w:w="551" w:type="dxa"/>
            <w:vMerge/>
            <w:tcBorders>
              <w:bottom w:val="single" w:sz="4" w:space="0" w:color="auto"/>
            </w:tcBorders>
            <w:vAlign w:val="center"/>
            <w:hideMark/>
          </w:tcPr>
          <w:p w14:paraId="595429DB" w14:textId="77777777" w:rsidR="001B3FE2" w:rsidRPr="001B4B1B" w:rsidRDefault="001B3FE2" w:rsidP="00AD4168">
            <w:pPr>
              <w:spacing w:after="0" w:line="240" w:lineRule="auto"/>
              <w:rPr>
                <w:rFonts w:eastAsia="Calibri" w:cs="Times New Roman"/>
                <w:color w:val="0000FF"/>
              </w:rPr>
            </w:pPr>
          </w:p>
        </w:tc>
        <w:tc>
          <w:tcPr>
            <w:tcW w:w="961" w:type="dxa"/>
            <w:vMerge/>
            <w:tcBorders>
              <w:bottom w:val="single" w:sz="4" w:space="0" w:color="auto"/>
            </w:tcBorders>
            <w:vAlign w:val="center"/>
            <w:hideMark/>
          </w:tcPr>
          <w:p w14:paraId="0CD697B5" w14:textId="77777777" w:rsidR="001B3FE2" w:rsidRPr="001B4B1B" w:rsidRDefault="001B3FE2" w:rsidP="00AD4168">
            <w:pPr>
              <w:spacing w:after="0" w:line="240" w:lineRule="auto"/>
              <w:rPr>
                <w:rFonts w:eastAsia="Calibri" w:cs="Times New Roman"/>
                <w:color w:val="0000FF"/>
              </w:rPr>
            </w:pPr>
          </w:p>
        </w:tc>
      </w:tr>
      <w:tr w:rsidR="001B3FE2" w:rsidRPr="001B4B1B" w14:paraId="73A1727E" w14:textId="77777777" w:rsidTr="00AD4168">
        <w:trPr>
          <w:trHeight w:val="300"/>
        </w:trPr>
        <w:tc>
          <w:tcPr>
            <w:tcW w:w="8052" w:type="dxa"/>
            <w:shd w:val="clear" w:color="auto" w:fill="FFFFFF" w:themeFill="background1"/>
            <w:noWrap/>
            <w:vAlign w:val="center"/>
            <w:hideMark/>
          </w:tcPr>
          <w:p w14:paraId="0CD3FF3D" w14:textId="77777777" w:rsidR="001B3FE2" w:rsidRPr="001B4B1B" w:rsidRDefault="001B3FE2" w:rsidP="00AD4168">
            <w:pPr>
              <w:spacing w:after="0" w:line="240" w:lineRule="auto"/>
              <w:rPr>
                <w:rFonts w:eastAsia="Calibri" w:cs="Times New Roman"/>
                <w:color w:val="0000FF"/>
              </w:rPr>
            </w:pPr>
            <w:r w:rsidRPr="001B4B1B">
              <w:rPr>
                <w:rFonts w:eastAsia="Calibri" w:cs="Times New Roman"/>
                <w:color w:val="0000FF"/>
              </w:rPr>
              <w:t xml:space="preserve">Incomplete stay: discharged due to medical emergency </w:t>
            </w:r>
          </w:p>
        </w:tc>
        <w:tc>
          <w:tcPr>
            <w:tcW w:w="551" w:type="dxa"/>
            <w:shd w:val="clear" w:color="auto" w:fill="FFFFFF" w:themeFill="background1"/>
            <w:noWrap/>
            <w:vAlign w:val="center"/>
            <w:hideMark/>
          </w:tcPr>
          <w:p w14:paraId="3BF37E4F" w14:textId="305C2D88" w:rsidR="001B3FE2" w:rsidRPr="001B4B1B" w:rsidRDefault="00626558" w:rsidP="00AD4168">
            <w:pPr>
              <w:spacing w:after="0" w:line="240" w:lineRule="auto"/>
              <w:jc w:val="center"/>
              <w:rPr>
                <w:rFonts w:eastAsia="Calibri" w:cs="Times New Roman"/>
                <w:color w:val="0000FF"/>
              </w:rPr>
            </w:pPr>
            <w:r>
              <w:rPr>
                <w:rFonts w:eastAsia="Calibri" w:cs="Times New Roman"/>
                <w:color w:val="0000FF"/>
              </w:rPr>
              <w:t>511</w:t>
            </w:r>
          </w:p>
        </w:tc>
        <w:tc>
          <w:tcPr>
            <w:tcW w:w="961" w:type="dxa"/>
            <w:shd w:val="clear" w:color="auto" w:fill="FFFFFF" w:themeFill="background1"/>
            <w:noWrap/>
            <w:vAlign w:val="center"/>
            <w:hideMark/>
          </w:tcPr>
          <w:p w14:paraId="07416A8E" w14:textId="793EB7B3" w:rsidR="001B3FE2" w:rsidRPr="001B4B1B" w:rsidRDefault="00626558" w:rsidP="00AD4168">
            <w:pPr>
              <w:spacing w:after="0" w:line="240" w:lineRule="auto"/>
              <w:jc w:val="center"/>
              <w:rPr>
                <w:rFonts w:eastAsia="Calibri" w:cs="Times New Roman"/>
                <w:color w:val="0000FF"/>
              </w:rPr>
            </w:pPr>
            <w:r>
              <w:rPr>
                <w:rFonts w:eastAsia="Calibri" w:cs="Times New Roman"/>
                <w:color w:val="0000FF"/>
              </w:rPr>
              <w:t>9.2</w:t>
            </w:r>
            <w:r w:rsidR="001B3FE2" w:rsidRPr="001B4B1B">
              <w:rPr>
                <w:rFonts w:eastAsia="Calibri" w:cs="Times New Roman"/>
                <w:color w:val="0000FF"/>
              </w:rPr>
              <w:t>6</w:t>
            </w:r>
          </w:p>
        </w:tc>
      </w:tr>
      <w:tr w:rsidR="001B3FE2" w:rsidRPr="001B4B1B" w14:paraId="722CA39F" w14:textId="77777777" w:rsidTr="00AD4168">
        <w:trPr>
          <w:trHeight w:val="300"/>
        </w:trPr>
        <w:tc>
          <w:tcPr>
            <w:tcW w:w="8052" w:type="dxa"/>
            <w:shd w:val="clear" w:color="auto" w:fill="F2F2F2" w:themeFill="background1" w:themeFillShade="F2"/>
            <w:noWrap/>
            <w:vAlign w:val="center"/>
          </w:tcPr>
          <w:p w14:paraId="13B252B9" w14:textId="77777777" w:rsidR="001B3FE2" w:rsidRPr="001B4B1B" w:rsidRDefault="001B3FE2" w:rsidP="00AD4168">
            <w:pPr>
              <w:spacing w:after="0" w:line="240" w:lineRule="auto"/>
              <w:rPr>
                <w:rFonts w:eastAsia="Calibri" w:cs="Times New Roman"/>
                <w:color w:val="0000FF"/>
              </w:rPr>
            </w:pPr>
            <w:r w:rsidRPr="001B4B1B">
              <w:rPr>
                <w:rFonts w:eastAsia="Calibri" w:cs="Times New Roman"/>
                <w:color w:val="0000FF"/>
              </w:rPr>
              <w:t>Incomplete stay: discharged against medical advice</w:t>
            </w:r>
          </w:p>
        </w:tc>
        <w:tc>
          <w:tcPr>
            <w:tcW w:w="551" w:type="dxa"/>
            <w:shd w:val="clear" w:color="auto" w:fill="F2F2F2" w:themeFill="background1" w:themeFillShade="F2"/>
            <w:noWrap/>
            <w:vAlign w:val="center"/>
          </w:tcPr>
          <w:p w14:paraId="3B1C3BEE" w14:textId="3C73DE6D" w:rsidR="001B3FE2" w:rsidRPr="001B4B1B" w:rsidRDefault="00E170B1" w:rsidP="00AD4168">
            <w:pPr>
              <w:spacing w:after="0" w:line="240" w:lineRule="auto"/>
              <w:jc w:val="center"/>
              <w:rPr>
                <w:rFonts w:eastAsia="Calibri" w:cs="Times New Roman"/>
                <w:color w:val="0000FF"/>
              </w:rPr>
            </w:pPr>
            <w:r>
              <w:rPr>
                <w:rFonts w:eastAsia="Calibri" w:cs="Times New Roman"/>
                <w:color w:val="0000FF"/>
              </w:rPr>
              <w:t>+</w:t>
            </w:r>
          </w:p>
        </w:tc>
        <w:tc>
          <w:tcPr>
            <w:tcW w:w="961" w:type="dxa"/>
            <w:shd w:val="clear" w:color="auto" w:fill="F2F2F2" w:themeFill="background1" w:themeFillShade="F2"/>
            <w:noWrap/>
            <w:vAlign w:val="center"/>
          </w:tcPr>
          <w:p w14:paraId="4533E031" w14:textId="6AFEB8F9" w:rsidR="001B3FE2" w:rsidRPr="001B4B1B" w:rsidRDefault="00E170B1" w:rsidP="00AD4168">
            <w:pPr>
              <w:spacing w:after="0" w:line="240" w:lineRule="auto"/>
              <w:jc w:val="center"/>
              <w:rPr>
                <w:rFonts w:eastAsia="Calibri" w:cs="Times New Roman"/>
                <w:color w:val="0000FF"/>
              </w:rPr>
            </w:pPr>
            <w:r>
              <w:rPr>
                <w:rFonts w:eastAsia="Calibri" w:cs="Times New Roman"/>
                <w:color w:val="0000FF"/>
              </w:rPr>
              <w:t>+</w:t>
            </w:r>
          </w:p>
        </w:tc>
      </w:tr>
      <w:tr w:rsidR="001B3FE2" w:rsidRPr="001B4B1B" w14:paraId="629A1A25" w14:textId="77777777" w:rsidTr="00AD4168">
        <w:trPr>
          <w:trHeight w:val="300"/>
        </w:trPr>
        <w:tc>
          <w:tcPr>
            <w:tcW w:w="8052" w:type="dxa"/>
            <w:shd w:val="clear" w:color="auto" w:fill="FFFFFF" w:themeFill="background1"/>
            <w:noWrap/>
            <w:vAlign w:val="bottom"/>
          </w:tcPr>
          <w:p w14:paraId="358DF336" w14:textId="77777777" w:rsidR="001B3FE2" w:rsidRPr="001B4B1B" w:rsidRDefault="001B3FE2" w:rsidP="00AD4168">
            <w:pPr>
              <w:spacing w:after="0" w:line="240" w:lineRule="auto"/>
              <w:rPr>
                <w:rFonts w:eastAsia="Calibri" w:cs="Times New Roman"/>
                <w:color w:val="0000FF"/>
              </w:rPr>
            </w:pPr>
            <w:r w:rsidRPr="001B4B1B">
              <w:rPr>
                <w:rFonts w:eastAsia="Calibri" w:cs="Times New Roman"/>
                <w:color w:val="0000FF"/>
              </w:rPr>
              <w:t>Incomplete stay: length of stay &lt; 3 days</w:t>
            </w:r>
          </w:p>
        </w:tc>
        <w:tc>
          <w:tcPr>
            <w:tcW w:w="551" w:type="dxa"/>
            <w:shd w:val="clear" w:color="auto" w:fill="FFFFFF" w:themeFill="background1"/>
            <w:noWrap/>
            <w:vAlign w:val="center"/>
          </w:tcPr>
          <w:p w14:paraId="21B84067" w14:textId="77777777" w:rsidR="001B3FE2" w:rsidRPr="001B4B1B" w:rsidRDefault="001B3FE2" w:rsidP="00AD4168">
            <w:pPr>
              <w:spacing w:after="0" w:line="240" w:lineRule="auto"/>
              <w:jc w:val="center"/>
              <w:rPr>
                <w:rFonts w:eastAsia="Calibri" w:cs="Times New Roman"/>
                <w:color w:val="0000FF"/>
              </w:rPr>
            </w:pPr>
            <w:r w:rsidRPr="001B4B1B">
              <w:rPr>
                <w:rFonts w:eastAsia="Calibri" w:cs="Times New Roman"/>
                <w:color w:val="0000FF"/>
              </w:rPr>
              <w:t>73</w:t>
            </w:r>
          </w:p>
        </w:tc>
        <w:tc>
          <w:tcPr>
            <w:tcW w:w="961" w:type="dxa"/>
            <w:shd w:val="clear" w:color="auto" w:fill="FFFFFF" w:themeFill="background1"/>
            <w:noWrap/>
            <w:vAlign w:val="center"/>
          </w:tcPr>
          <w:p w14:paraId="348B6478" w14:textId="77777777" w:rsidR="001B3FE2" w:rsidRPr="001B4B1B" w:rsidRDefault="001B3FE2" w:rsidP="00AD4168">
            <w:pPr>
              <w:spacing w:after="0" w:line="240" w:lineRule="auto"/>
              <w:jc w:val="center"/>
              <w:rPr>
                <w:rFonts w:eastAsia="Calibri" w:cs="Times New Roman"/>
                <w:color w:val="0000FF"/>
              </w:rPr>
            </w:pPr>
            <w:r w:rsidRPr="001B4B1B">
              <w:rPr>
                <w:rFonts w:eastAsia="Calibri" w:cs="Times New Roman"/>
                <w:color w:val="0000FF"/>
              </w:rPr>
              <w:t>1.32</w:t>
            </w:r>
          </w:p>
        </w:tc>
      </w:tr>
      <w:tr w:rsidR="008E4C0E" w:rsidRPr="001B4B1B" w14:paraId="4292BC25" w14:textId="77777777" w:rsidTr="00AD4168">
        <w:trPr>
          <w:trHeight w:val="300"/>
        </w:trPr>
        <w:tc>
          <w:tcPr>
            <w:tcW w:w="8052" w:type="dxa"/>
            <w:shd w:val="clear" w:color="auto" w:fill="F2F2F2" w:themeFill="background1" w:themeFillShade="F2"/>
            <w:noWrap/>
          </w:tcPr>
          <w:p w14:paraId="7143E3D3" w14:textId="4A50DEDC" w:rsidR="008E4C0E" w:rsidRPr="001B4B1B" w:rsidRDefault="00626558" w:rsidP="00AD4168">
            <w:pPr>
              <w:spacing w:after="0" w:line="240" w:lineRule="auto"/>
              <w:rPr>
                <w:rFonts w:eastAsia="Calibri" w:cs="Times New Roman"/>
                <w:color w:val="0000FF"/>
              </w:rPr>
            </w:pPr>
            <w:r>
              <w:rPr>
                <w:rFonts w:eastAsia="Calibri" w:cs="Times New Roman"/>
                <w:color w:val="0000FF"/>
              </w:rPr>
              <w:t>Discharged to hospice (institutional facility)</w:t>
            </w:r>
          </w:p>
        </w:tc>
        <w:tc>
          <w:tcPr>
            <w:tcW w:w="551" w:type="dxa"/>
            <w:shd w:val="clear" w:color="auto" w:fill="F2F2F2" w:themeFill="background1" w:themeFillShade="F2"/>
            <w:noWrap/>
            <w:vAlign w:val="center"/>
          </w:tcPr>
          <w:p w14:paraId="5488073E" w14:textId="49C5285B" w:rsidR="008E4C0E" w:rsidRPr="001B4B1B" w:rsidRDefault="00E170B1" w:rsidP="00AD4168">
            <w:pPr>
              <w:spacing w:after="0" w:line="240" w:lineRule="auto"/>
              <w:jc w:val="center"/>
              <w:rPr>
                <w:rFonts w:eastAsia="Calibri" w:cs="Times New Roman"/>
                <w:color w:val="0000FF"/>
              </w:rPr>
            </w:pPr>
            <w:r>
              <w:rPr>
                <w:rFonts w:eastAsia="Calibri" w:cs="Times New Roman"/>
                <w:color w:val="0000FF"/>
              </w:rPr>
              <w:t>+</w:t>
            </w:r>
          </w:p>
        </w:tc>
        <w:tc>
          <w:tcPr>
            <w:tcW w:w="961" w:type="dxa"/>
            <w:shd w:val="clear" w:color="auto" w:fill="F2F2F2" w:themeFill="background1" w:themeFillShade="F2"/>
            <w:noWrap/>
            <w:vAlign w:val="center"/>
          </w:tcPr>
          <w:p w14:paraId="018ABD74" w14:textId="328DF41E" w:rsidR="008E4C0E" w:rsidRPr="001B4B1B" w:rsidRDefault="00E170B1" w:rsidP="00AD4168">
            <w:pPr>
              <w:spacing w:after="0" w:line="240" w:lineRule="auto"/>
              <w:jc w:val="center"/>
              <w:rPr>
                <w:rFonts w:eastAsia="Calibri" w:cs="Times New Roman"/>
                <w:color w:val="0000FF"/>
              </w:rPr>
            </w:pPr>
            <w:r>
              <w:rPr>
                <w:rFonts w:eastAsia="Calibri" w:cs="Times New Roman"/>
                <w:color w:val="0000FF"/>
              </w:rPr>
              <w:t>+</w:t>
            </w:r>
          </w:p>
        </w:tc>
      </w:tr>
      <w:tr w:rsidR="008E4C0E" w:rsidRPr="001B4B1B" w14:paraId="6F68EBBA" w14:textId="77777777" w:rsidTr="00702940">
        <w:trPr>
          <w:trHeight w:val="300"/>
        </w:trPr>
        <w:tc>
          <w:tcPr>
            <w:tcW w:w="8052" w:type="dxa"/>
            <w:shd w:val="clear" w:color="auto" w:fill="FFFFFF" w:themeFill="background1"/>
            <w:noWrap/>
          </w:tcPr>
          <w:p w14:paraId="2AF947C0" w14:textId="0D3EE827" w:rsidR="008E4C0E" w:rsidRPr="001B4B1B" w:rsidRDefault="00626558" w:rsidP="00AD4168">
            <w:pPr>
              <w:spacing w:after="0" w:line="240" w:lineRule="auto"/>
              <w:rPr>
                <w:rFonts w:eastAsia="Calibri" w:cs="Times New Roman"/>
                <w:color w:val="0000FF"/>
              </w:rPr>
            </w:pPr>
            <w:r>
              <w:rPr>
                <w:rFonts w:eastAsia="Calibri" w:cs="Times New Roman"/>
                <w:color w:val="0000FF"/>
              </w:rPr>
              <w:t>Discharged to another IRF</w:t>
            </w:r>
          </w:p>
        </w:tc>
        <w:tc>
          <w:tcPr>
            <w:tcW w:w="551" w:type="dxa"/>
            <w:shd w:val="clear" w:color="auto" w:fill="FFFFFF" w:themeFill="background1"/>
            <w:noWrap/>
            <w:vAlign w:val="center"/>
          </w:tcPr>
          <w:p w14:paraId="38424CEB" w14:textId="415CC5C8" w:rsidR="008E4C0E" w:rsidRPr="001B4B1B" w:rsidRDefault="00626558" w:rsidP="00AD4168">
            <w:pPr>
              <w:spacing w:after="0" w:line="240" w:lineRule="auto"/>
              <w:jc w:val="center"/>
              <w:rPr>
                <w:rFonts w:eastAsia="Calibri" w:cs="Times New Roman"/>
                <w:color w:val="0000FF"/>
              </w:rPr>
            </w:pPr>
            <w:r>
              <w:rPr>
                <w:rFonts w:eastAsia="Calibri" w:cs="Times New Roman"/>
                <w:color w:val="0000FF"/>
              </w:rPr>
              <w:t>16</w:t>
            </w:r>
          </w:p>
        </w:tc>
        <w:tc>
          <w:tcPr>
            <w:tcW w:w="961" w:type="dxa"/>
            <w:shd w:val="clear" w:color="auto" w:fill="FFFFFF" w:themeFill="background1"/>
            <w:noWrap/>
            <w:vAlign w:val="center"/>
          </w:tcPr>
          <w:p w14:paraId="628DA7BD" w14:textId="1F1C6A8A" w:rsidR="008E4C0E" w:rsidRPr="001B4B1B" w:rsidRDefault="00626558" w:rsidP="00AD4168">
            <w:pPr>
              <w:spacing w:after="0" w:line="240" w:lineRule="auto"/>
              <w:jc w:val="center"/>
              <w:rPr>
                <w:rFonts w:eastAsia="Calibri" w:cs="Times New Roman"/>
                <w:color w:val="0000FF"/>
              </w:rPr>
            </w:pPr>
            <w:r>
              <w:rPr>
                <w:rFonts w:eastAsia="Calibri" w:cs="Times New Roman"/>
                <w:color w:val="0000FF"/>
              </w:rPr>
              <w:t>0.29</w:t>
            </w:r>
          </w:p>
        </w:tc>
      </w:tr>
      <w:tr w:rsidR="001B3FE2" w:rsidRPr="001B4B1B" w14:paraId="2C102C0C" w14:textId="77777777" w:rsidTr="00AD4168">
        <w:trPr>
          <w:trHeight w:val="300"/>
        </w:trPr>
        <w:tc>
          <w:tcPr>
            <w:tcW w:w="8052" w:type="dxa"/>
            <w:shd w:val="clear" w:color="auto" w:fill="F2F2F2" w:themeFill="background1" w:themeFillShade="F2"/>
            <w:noWrap/>
          </w:tcPr>
          <w:p w14:paraId="4CE9F361" w14:textId="77777777" w:rsidR="001B3FE2" w:rsidRPr="001B4B1B" w:rsidRDefault="001B3FE2" w:rsidP="00AD4168">
            <w:pPr>
              <w:spacing w:after="0" w:line="240" w:lineRule="auto"/>
              <w:rPr>
                <w:rFonts w:eastAsia="Calibri" w:cs="Times New Roman"/>
                <w:color w:val="0000FF"/>
              </w:rPr>
            </w:pPr>
            <w:r w:rsidRPr="001B4B1B">
              <w:rPr>
                <w:rFonts w:eastAsia="Calibri" w:cs="Times New Roman"/>
                <w:color w:val="0000FF"/>
              </w:rPr>
              <w:t xml:space="preserve">Patients with medical conditions with </w:t>
            </w:r>
            <w:r w:rsidRPr="001B4B1B">
              <w:rPr>
                <w:color w:val="0000FF"/>
              </w:rPr>
              <w:t xml:space="preserve">limited or less predictable improvement in </w:t>
            </w:r>
            <w:r w:rsidRPr="001B4B1B">
              <w:rPr>
                <w:rFonts w:eastAsia="Calibri" w:cs="Times New Roman"/>
                <w:color w:val="0000FF"/>
              </w:rPr>
              <w:t>self-care function with current set of items: complete quadriplegia and locked-in syndrome</w:t>
            </w:r>
          </w:p>
        </w:tc>
        <w:tc>
          <w:tcPr>
            <w:tcW w:w="551" w:type="dxa"/>
            <w:shd w:val="clear" w:color="auto" w:fill="F2F2F2" w:themeFill="background1" w:themeFillShade="F2"/>
            <w:noWrap/>
            <w:vAlign w:val="center"/>
          </w:tcPr>
          <w:p w14:paraId="462AA655" w14:textId="0E219035" w:rsidR="001B3FE2" w:rsidRPr="001B4B1B" w:rsidRDefault="00E170B1" w:rsidP="00AD4168">
            <w:pPr>
              <w:spacing w:after="0" w:line="240" w:lineRule="auto"/>
              <w:jc w:val="center"/>
              <w:rPr>
                <w:rFonts w:eastAsia="Calibri" w:cs="Times New Roman"/>
                <w:color w:val="0000FF"/>
              </w:rPr>
            </w:pPr>
            <w:r>
              <w:rPr>
                <w:rFonts w:eastAsia="Calibri" w:cs="Times New Roman"/>
                <w:color w:val="0000FF"/>
              </w:rPr>
              <w:t>+</w:t>
            </w:r>
          </w:p>
        </w:tc>
        <w:tc>
          <w:tcPr>
            <w:tcW w:w="961" w:type="dxa"/>
            <w:shd w:val="clear" w:color="auto" w:fill="F2F2F2" w:themeFill="background1" w:themeFillShade="F2"/>
            <w:noWrap/>
            <w:vAlign w:val="center"/>
          </w:tcPr>
          <w:p w14:paraId="6D3BD967" w14:textId="50FB237E" w:rsidR="001B3FE2" w:rsidRPr="001B4B1B" w:rsidRDefault="00E170B1" w:rsidP="00AD4168">
            <w:pPr>
              <w:spacing w:after="0" w:line="240" w:lineRule="auto"/>
              <w:jc w:val="center"/>
              <w:rPr>
                <w:rFonts w:eastAsia="Calibri" w:cs="Times New Roman"/>
                <w:color w:val="0000FF"/>
              </w:rPr>
            </w:pPr>
            <w:r>
              <w:rPr>
                <w:rFonts w:eastAsia="Calibri" w:cs="Times New Roman"/>
                <w:color w:val="0000FF"/>
              </w:rPr>
              <w:t>+</w:t>
            </w:r>
          </w:p>
        </w:tc>
      </w:tr>
      <w:tr w:rsidR="001B3FE2" w:rsidRPr="001B4B1B" w14:paraId="75D0ACC0" w14:textId="77777777" w:rsidTr="00AD4168">
        <w:trPr>
          <w:trHeight w:val="300"/>
        </w:trPr>
        <w:tc>
          <w:tcPr>
            <w:tcW w:w="8052" w:type="dxa"/>
            <w:shd w:val="clear" w:color="auto" w:fill="FFFFFF" w:themeFill="background1"/>
            <w:noWrap/>
            <w:vAlign w:val="bottom"/>
            <w:hideMark/>
          </w:tcPr>
          <w:p w14:paraId="037683EE" w14:textId="77777777" w:rsidR="001B3FE2" w:rsidRPr="001B4B1B" w:rsidRDefault="001B3FE2" w:rsidP="00AD4168">
            <w:pPr>
              <w:spacing w:after="0" w:line="240" w:lineRule="auto"/>
              <w:rPr>
                <w:rFonts w:eastAsia="Calibri" w:cs="Times New Roman"/>
                <w:color w:val="0000FF"/>
              </w:rPr>
            </w:pPr>
            <w:r w:rsidRPr="001B4B1B">
              <w:rPr>
                <w:rFonts w:eastAsia="Calibri" w:cs="Times New Roman"/>
                <w:color w:val="0000FF"/>
              </w:rPr>
              <w:t xml:space="preserve">Patients with medical conditions with </w:t>
            </w:r>
            <w:r w:rsidRPr="001B4B1B">
              <w:rPr>
                <w:color w:val="0000FF"/>
              </w:rPr>
              <w:t xml:space="preserve">less predictable improvement in </w:t>
            </w:r>
            <w:r w:rsidRPr="001B4B1B">
              <w:rPr>
                <w:rFonts w:eastAsia="Calibri" w:cs="Times New Roman"/>
                <w:color w:val="0000FF"/>
              </w:rPr>
              <w:t xml:space="preserve">self-care function with current set of items: </w:t>
            </w:r>
            <w:r>
              <w:rPr>
                <w:rFonts w:eastAsia="Calibri" w:cs="Times New Roman"/>
                <w:color w:val="0000FF"/>
              </w:rPr>
              <w:t>c</w:t>
            </w:r>
            <w:r w:rsidRPr="001B4B1B">
              <w:rPr>
                <w:rFonts w:eastAsia="Calibri" w:cs="Times New Roman"/>
                <w:color w:val="0000FF"/>
              </w:rPr>
              <w:t>oma, persistent vegetative state, severe brain damage at admission</w:t>
            </w:r>
          </w:p>
        </w:tc>
        <w:tc>
          <w:tcPr>
            <w:tcW w:w="551" w:type="dxa"/>
            <w:shd w:val="clear" w:color="auto" w:fill="FFFFFF" w:themeFill="background1"/>
            <w:noWrap/>
            <w:vAlign w:val="center"/>
            <w:hideMark/>
          </w:tcPr>
          <w:p w14:paraId="74B00472" w14:textId="77777777" w:rsidR="001B3FE2" w:rsidRPr="001B4B1B" w:rsidRDefault="001B3FE2" w:rsidP="00AD4168">
            <w:pPr>
              <w:spacing w:after="0" w:line="240" w:lineRule="auto"/>
              <w:jc w:val="center"/>
              <w:rPr>
                <w:rFonts w:eastAsia="Calibri" w:cs="Times New Roman"/>
                <w:color w:val="0000FF"/>
              </w:rPr>
            </w:pPr>
            <w:r w:rsidRPr="001B4B1B">
              <w:rPr>
                <w:rFonts w:eastAsia="Calibri" w:cs="Times New Roman"/>
                <w:color w:val="0000FF"/>
              </w:rPr>
              <w:t>180</w:t>
            </w:r>
          </w:p>
        </w:tc>
        <w:tc>
          <w:tcPr>
            <w:tcW w:w="961" w:type="dxa"/>
            <w:shd w:val="clear" w:color="auto" w:fill="FFFFFF" w:themeFill="background1"/>
            <w:noWrap/>
            <w:vAlign w:val="center"/>
            <w:hideMark/>
          </w:tcPr>
          <w:p w14:paraId="1FA77217" w14:textId="77777777" w:rsidR="001B3FE2" w:rsidRPr="001B4B1B" w:rsidRDefault="001B3FE2" w:rsidP="00AD4168">
            <w:pPr>
              <w:spacing w:after="0" w:line="240" w:lineRule="auto"/>
              <w:jc w:val="center"/>
              <w:rPr>
                <w:rFonts w:eastAsia="Calibri" w:cs="Times New Roman"/>
                <w:color w:val="0000FF"/>
              </w:rPr>
            </w:pPr>
            <w:r w:rsidRPr="001B4B1B">
              <w:rPr>
                <w:rFonts w:eastAsia="Calibri" w:cs="Times New Roman"/>
                <w:color w:val="0000FF"/>
              </w:rPr>
              <w:t>3.26</w:t>
            </w:r>
          </w:p>
        </w:tc>
      </w:tr>
      <w:tr w:rsidR="009F5B53" w:rsidRPr="001B4B1B" w14:paraId="07B06F59" w14:textId="77777777" w:rsidTr="00702940">
        <w:trPr>
          <w:trHeight w:val="300"/>
        </w:trPr>
        <w:tc>
          <w:tcPr>
            <w:tcW w:w="8052" w:type="dxa"/>
            <w:shd w:val="clear" w:color="auto" w:fill="F2F2F2" w:themeFill="background1" w:themeFillShade="F2"/>
            <w:noWrap/>
            <w:hideMark/>
          </w:tcPr>
          <w:p w14:paraId="1B086B16" w14:textId="3B915980" w:rsidR="009F5B53" w:rsidRPr="001B4B1B" w:rsidRDefault="009F5B53" w:rsidP="009F5B53">
            <w:pPr>
              <w:tabs>
                <w:tab w:val="left" w:pos="5880"/>
              </w:tabs>
              <w:spacing w:after="0" w:line="240" w:lineRule="auto"/>
              <w:rPr>
                <w:rFonts w:eastAsia="Calibri" w:cs="Times New Roman"/>
                <w:color w:val="0000FF"/>
              </w:rPr>
            </w:pPr>
            <w:r w:rsidRPr="001B4B1B">
              <w:rPr>
                <w:rFonts w:eastAsia="Calibri" w:cs="Times New Roman"/>
                <w:color w:val="0000FF"/>
              </w:rPr>
              <w:t xml:space="preserve">Patient records with all function data </w:t>
            </w:r>
            <w:r w:rsidRPr="008F21AE">
              <w:rPr>
                <w:rFonts w:eastAsia="Calibri" w:cs="Times New Roman"/>
                <w:color w:val="0000FF"/>
              </w:rPr>
              <w:t>missing or invalid at admission</w:t>
            </w:r>
            <w:r w:rsidRPr="001B4B1B">
              <w:rPr>
                <w:rFonts w:eastAsia="Calibri" w:cs="Times New Roman"/>
                <w:color w:val="0000FF"/>
              </w:rPr>
              <w:t xml:space="preserve"> </w:t>
            </w:r>
          </w:p>
        </w:tc>
        <w:tc>
          <w:tcPr>
            <w:tcW w:w="551" w:type="dxa"/>
            <w:shd w:val="clear" w:color="auto" w:fill="F2F2F2" w:themeFill="background1" w:themeFillShade="F2"/>
            <w:noWrap/>
            <w:vAlign w:val="center"/>
            <w:hideMark/>
          </w:tcPr>
          <w:p w14:paraId="2D00DFAB" w14:textId="09A2BE9A" w:rsidR="009F5B53" w:rsidRPr="001B4B1B" w:rsidRDefault="009F5B53" w:rsidP="00AD4168">
            <w:pPr>
              <w:spacing w:after="0" w:line="240" w:lineRule="auto"/>
              <w:jc w:val="center"/>
              <w:rPr>
                <w:rFonts w:eastAsia="Calibri" w:cs="Times New Roman"/>
                <w:color w:val="0000FF"/>
              </w:rPr>
            </w:pPr>
            <w:r>
              <w:rPr>
                <w:rFonts w:eastAsia="Calibri" w:cs="Times New Roman"/>
                <w:color w:val="0000FF"/>
              </w:rPr>
              <w:t>24</w:t>
            </w:r>
          </w:p>
        </w:tc>
        <w:tc>
          <w:tcPr>
            <w:tcW w:w="961" w:type="dxa"/>
            <w:shd w:val="clear" w:color="auto" w:fill="F2F2F2" w:themeFill="background1" w:themeFillShade="F2"/>
            <w:noWrap/>
            <w:vAlign w:val="center"/>
            <w:hideMark/>
          </w:tcPr>
          <w:p w14:paraId="15917133" w14:textId="418AE4B2" w:rsidR="009F5B53" w:rsidRPr="001B4B1B" w:rsidRDefault="009F5B53" w:rsidP="00AD4168">
            <w:pPr>
              <w:spacing w:after="0" w:line="240" w:lineRule="auto"/>
              <w:jc w:val="center"/>
              <w:rPr>
                <w:rFonts w:eastAsia="Calibri" w:cs="Times New Roman"/>
                <w:color w:val="0000FF"/>
              </w:rPr>
            </w:pPr>
            <w:r>
              <w:rPr>
                <w:rFonts w:eastAsia="Calibri" w:cs="Times New Roman"/>
                <w:color w:val="0000FF"/>
              </w:rPr>
              <w:t>0.44</w:t>
            </w:r>
          </w:p>
        </w:tc>
      </w:tr>
      <w:tr w:rsidR="001B3FE2" w:rsidRPr="001B4B1B" w14:paraId="2B4E4470" w14:textId="77777777" w:rsidTr="00702940">
        <w:trPr>
          <w:trHeight w:val="300"/>
        </w:trPr>
        <w:tc>
          <w:tcPr>
            <w:tcW w:w="8052" w:type="dxa"/>
            <w:shd w:val="clear" w:color="auto" w:fill="FFFFFF" w:themeFill="background1"/>
            <w:hideMark/>
          </w:tcPr>
          <w:p w14:paraId="16AC5731" w14:textId="77777777" w:rsidR="001B3FE2" w:rsidRPr="001B4B1B" w:rsidRDefault="001B3FE2" w:rsidP="00AD4168">
            <w:pPr>
              <w:spacing w:after="0" w:line="240" w:lineRule="auto"/>
              <w:rPr>
                <w:rFonts w:eastAsia="Calibri" w:cs="Times New Roman"/>
                <w:color w:val="0000FF"/>
              </w:rPr>
            </w:pPr>
            <w:r w:rsidRPr="001B4B1B">
              <w:rPr>
                <w:rFonts w:eastAsia="Calibri" w:cs="Times New Roman"/>
                <w:color w:val="0000FF"/>
              </w:rPr>
              <w:t xml:space="preserve">Patient records with all function data missing at discharge </w:t>
            </w:r>
          </w:p>
        </w:tc>
        <w:tc>
          <w:tcPr>
            <w:tcW w:w="551" w:type="dxa"/>
            <w:shd w:val="clear" w:color="auto" w:fill="FFFFFF" w:themeFill="background1"/>
            <w:noWrap/>
            <w:vAlign w:val="center"/>
            <w:hideMark/>
          </w:tcPr>
          <w:p w14:paraId="6C99AC91" w14:textId="77777777" w:rsidR="001B3FE2" w:rsidRPr="001B4B1B" w:rsidRDefault="001B3FE2" w:rsidP="00AD4168">
            <w:pPr>
              <w:spacing w:after="0" w:line="240" w:lineRule="auto"/>
              <w:jc w:val="center"/>
              <w:rPr>
                <w:rFonts w:eastAsia="Calibri" w:cs="Times New Roman"/>
                <w:color w:val="0000FF"/>
              </w:rPr>
            </w:pPr>
            <w:r w:rsidRPr="001B4B1B">
              <w:rPr>
                <w:rFonts w:eastAsia="Calibri" w:cs="Times New Roman"/>
                <w:color w:val="0000FF"/>
              </w:rPr>
              <w:t>196</w:t>
            </w:r>
          </w:p>
        </w:tc>
        <w:tc>
          <w:tcPr>
            <w:tcW w:w="961" w:type="dxa"/>
            <w:shd w:val="clear" w:color="auto" w:fill="FFFFFF" w:themeFill="background1"/>
            <w:noWrap/>
            <w:vAlign w:val="center"/>
            <w:hideMark/>
          </w:tcPr>
          <w:p w14:paraId="5E7E389A" w14:textId="77777777" w:rsidR="001B3FE2" w:rsidRPr="001B4B1B" w:rsidRDefault="001B3FE2" w:rsidP="00AD4168">
            <w:pPr>
              <w:spacing w:after="0" w:line="240" w:lineRule="auto"/>
              <w:jc w:val="center"/>
              <w:rPr>
                <w:rFonts w:eastAsia="Calibri" w:cs="Times New Roman"/>
                <w:color w:val="0000FF"/>
              </w:rPr>
            </w:pPr>
            <w:r w:rsidRPr="001B4B1B">
              <w:rPr>
                <w:rFonts w:eastAsia="Calibri" w:cs="Times New Roman"/>
                <w:color w:val="0000FF"/>
              </w:rPr>
              <w:t>3.55</w:t>
            </w:r>
          </w:p>
        </w:tc>
      </w:tr>
      <w:tr w:rsidR="001B3FE2" w:rsidRPr="001B4B1B" w14:paraId="77A2E205" w14:textId="77777777" w:rsidTr="00702940">
        <w:trPr>
          <w:trHeight w:val="300"/>
        </w:trPr>
        <w:tc>
          <w:tcPr>
            <w:tcW w:w="8052" w:type="dxa"/>
            <w:shd w:val="clear" w:color="auto" w:fill="F2F2F2" w:themeFill="background1" w:themeFillShade="F2"/>
            <w:hideMark/>
          </w:tcPr>
          <w:p w14:paraId="74A44404" w14:textId="77777777" w:rsidR="001B3FE2" w:rsidRPr="001B4B1B" w:rsidRDefault="001B3FE2" w:rsidP="00AD4168">
            <w:pPr>
              <w:spacing w:after="0" w:line="240" w:lineRule="auto"/>
              <w:rPr>
                <w:rFonts w:eastAsia="Calibri" w:cs="Times New Roman"/>
                <w:color w:val="0000FF"/>
              </w:rPr>
            </w:pPr>
            <w:r w:rsidRPr="001B4B1B">
              <w:rPr>
                <w:rFonts w:eastAsia="Calibri" w:cs="Times New Roman"/>
                <w:color w:val="0000FF"/>
              </w:rPr>
              <w:t xml:space="preserve">Patient records with all function data as letter codes at admission and discharge </w:t>
            </w:r>
          </w:p>
        </w:tc>
        <w:tc>
          <w:tcPr>
            <w:tcW w:w="551" w:type="dxa"/>
            <w:shd w:val="clear" w:color="auto" w:fill="F2F2F2" w:themeFill="background1" w:themeFillShade="F2"/>
            <w:noWrap/>
            <w:vAlign w:val="center"/>
            <w:hideMark/>
          </w:tcPr>
          <w:p w14:paraId="5CD24AA8" w14:textId="77777777" w:rsidR="001B3FE2" w:rsidRPr="001B4B1B" w:rsidRDefault="001B3FE2" w:rsidP="00AD4168">
            <w:pPr>
              <w:spacing w:after="0" w:line="240" w:lineRule="auto"/>
              <w:jc w:val="center"/>
              <w:rPr>
                <w:rFonts w:eastAsia="Calibri" w:cs="Times New Roman"/>
                <w:color w:val="0000FF"/>
              </w:rPr>
            </w:pPr>
            <w:r w:rsidRPr="001B4B1B">
              <w:rPr>
                <w:rFonts w:eastAsia="Calibri" w:cs="Times New Roman"/>
                <w:color w:val="0000FF"/>
              </w:rPr>
              <w:t>0</w:t>
            </w:r>
          </w:p>
        </w:tc>
        <w:tc>
          <w:tcPr>
            <w:tcW w:w="961" w:type="dxa"/>
            <w:shd w:val="clear" w:color="auto" w:fill="F2F2F2" w:themeFill="background1" w:themeFillShade="F2"/>
            <w:noWrap/>
            <w:vAlign w:val="center"/>
            <w:hideMark/>
          </w:tcPr>
          <w:p w14:paraId="0A86FCF4" w14:textId="77777777" w:rsidR="001B3FE2" w:rsidRPr="001B4B1B" w:rsidRDefault="001B3FE2" w:rsidP="00AD4168">
            <w:pPr>
              <w:spacing w:after="0" w:line="240" w:lineRule="auto"/>
              <w:jc w:val="center"/>
              <w:rPr>
                <w:rFonts w:eastAsia="Calibri" w:cs="Times New Roman"/>
                <w:color w:val="0000FF"/>
              </w:rPr>
            </w:pPr>
            <w:r>
              <w:rPr>
                <w:rFonts w:eastAsia="Calibri" w:cs="Times New Roman"/>
                <w:color w:val="0000FF"/>
              </w:rPr>
              <w:t>0</w:t>
            </w:r>
          </w:p>
        </w:tc>
      </w:tr>
      <w:tr w:rsidR="001B3FE2" w:rsidRPr="001B4B1B" w14:paraId="4F2BC445" w14:textId="77777777" w:rsidTr="00702940">
        <w:trPr>
          <w:trHeight w:val="287"/>
        </w:trPr>
        <w:tc>
          <w:tcPr>
            <w:tcW w:w="8052" w:type="dxa"/>
            <w:tcBorders>
              <w:bottom w:val="single" w:sz="4" w:space="0" w:color="auto"/>
            </w:tcBorders>
            <w:shd w:val="clear" w:color="auto" w:fill="FFFFFF" w:themeFill="background1"/>
            <w:hideMark/>
          </w:tcPr>
          <w:p w14:paraId="3EC5E1A9" w14:textId="77777777" w:rsidR="001B3FE2" w:rsidRPr="001B4B1B" w:rsidRDefault="001B3FE2" w:rsidP="00AD4168">
            <w:pPr>
              <w:spacing w:after="0" w:line="240" w:lineRule="auto"/>
              <w:rPr>
                <w:rFonts w:eastAsia="Calibri" w:cs="Times New Roman"/>
                <w:color w:val="0000FF"/>
              </w:rPr>
            </w:pPr>
            <w:r w:rsidRPr="001B4B1B">
              <w:rPr>
                <w:rFonts w:eastAsia="Calibri" w:cs="Times New Roman"/>
                <w:color w:val="0000FF"/>
              </w:rPr>
              <w:t>Patients records with all function data missing or letter codes at admission and discharge</w:t>
            </w:r>
          </w:p>
        </w:tc>
        <w:tc>
          <w:tcPr>
            <w:tcW w:w="551" w:type="dxa"/>
            <w:tcBorders>
              <w:bottom w:val="single" w:sz="4" w:space="0" w:color="auto"/>
            </w:tcBorders>
            <w:shd w:val="clear" w:color="auto" w:fill="FFFFFF" w:themeFill="background1"/>
            <w:noWrap/>
            <w:vAlign w:val="center"/>
            <w:hideMark/>
          </w:tcPr>
          <w:p w14:paraId="486EF65F" w14:textId="498EFEE2" w:rsidR="001B3FE2" w:rsidRPr="001B4B1B" w:rsidRDefault="00E170B1" w:rsidP="00AD4168">
            <w:pPr>
              <w:spacing w:after="0" w:line="240" w:lineRule="auto"/>
              <w:jc w:val="center"/>
              <w:rPr>
                <w:rFonts w:eastAsia="Calibri" w:cs="Times New Roman"/>
                <w:color w:val="0000FF"/>
              </w:rPr>
            </w:pPr>
            <w:r>
              <w:rPr>
                <w:rFonts w:eastAsia="Calibri" w:cs="Times New Roman"/>
                <w:color w:val="0000FF"/>
              </w:rPr>
              <w:t>+</w:t>
            </w:r>
          </w:p>
        </w:tc>
        <w:tc>
          <w:tcPr>
            <w:tcW w:w="961" w:type="dxa"/>
            <w:tcBorders>
              <w:bottom w:val="single" w:sz="4" w:space="0" w:color="auto"/>
            </w:tcBorders>
            <w:shd w:val="clear" w:color="auto" w:fill="FFFFFF" w:themeFill="background1"/>
            <w:noWrap/>
            <w:vAlign w:val="center"/>
            <w:hideMark/>
          </w:tcPr>
          <w:p w14:paraId="63EE7C84" w14:textId="4074E8D5" w:rsidR="001B3FE2" w:rsidRPr="001B4B1B" w:rsidRDefault="00E170B1" w:rsidP="00AD4168">
            <w:pPr>
              <w:spacing w:after="0" w:line="240" w:lineRule="auto"/>
              <w:jc w:val="center"/>
              <w:rPr>
                <w:rFonts w:eastAsia="Calibri" w:cs="Times New Roman"/>
                <w:color w:val="0000FF"/>
              </w:rPr>
            </w:pPr>
            <w:r>
              <w:rPr>
                <w:rFonts w:eastAsia="Calibri" w:cs="Times New Roman"/>
                <w:color w:val="0000FF"/>
              </w:rPr>
              <w:t>+</w:t>
            </w:r>
          </w:p>
        </w:tc>
      </w:tr>
      <w:tr w:rsidR="001B3FE2" w:rsidRPr="001B4B1B" w14:paraId="41464121" w14:textId="77777777" w:rsidTr="00AD4168">
        <w:trPr>
          <w:trHeight w:val="287"/>
        </w:trPr>
        <w:tc>
          <w:tcPr>
            <w:tcW w:w="8052" w:type="dxa"/>
            <w:tcBorders>
              <w:top w:val="single" w:sz="4" w:space="0" w:color="auto"/>
              <w:bottom w:val="single" w:sz="4" w:space="0" w:color="auto"/>
            </w:tcBorders>
            <w:shd w:val="clear" w:color="auto" w:fill="auto"/>
            <w:vAlign w:val="center"/>
          </w:tcPr>
          <w:p w14:paraId="5D156F9E" w14:textId="77777777" w:rsidR="001B3FE2" w:rsidRPr="001E3274" w:rsidRDefault="001B3FE2" w:rsidP="00AD4168">
            <w:pPr>
              <w:spacing w:after="0" w:line="240" w:lineRule="auto"/>
              <w:rPr>
                <w:rFonts w:eastAsia="Calibri" w:cs="Times New Roman"/>
                <w:b/>
                <w:color w:val="0000FF"/>
              </w:rPr>
            </w:pPr>
            <w:r w:rsidRPr="001E3274">
              <w:rPr>
                <w:rFonts w:eastAsia="Calibri" w:cs="Times New Roman"/>
                <w:b/>
                <w:color w:val="0000FF"/>
              </w:rPr>
              <w:t>Total number of case records excluded*</w:t>
            </w:r>
          </w:p>
        </w:tc>
        <w:tc>
          <w:tcPr>
            <w:tcW w:w="551" w:type="dxa"/>
            <w:tcBorders>
              <w:top w:val="single" w:sz="4" w:space="0" w:color="auto"/>
              <w:bottom w:val="single" w:sz="4" w:space="0" w:color="auto"/>
            </w:tcBorders>
            <w:shd w:val="clear" w:color="auto" w:fill="auto"/>
            <w:noWrap/>
            <w:vAlign w:val="bottom"/>
          </w:tcPr>
          <w:p w14:paraId="1A67F776" w14:textId="77777777" w:rsidR="001B3FE2" w:rsidRPr="001E3274" w:rsidRDefault="001B3FE2" w:rsidP="00AD4168">
            <w:pPr>
              <w:spacing w:after="0" w:line="240" w:lineRule="auto"/>
              <w:jc w:val="center"/>
              <w:rPr>
                <w:rFonts w:eastAsia="Calibri" w:cs="Times New Roman"/>
                <w:b/>
                <w:color w:val="0000FF"/>
              </w:rPr>
            </w:pPr>
            <w:r w:rsidRPr="001E3274">
              <w:rPr>
                <w:rFonts w:eastAsia="Calibri" w:cs="Times New Roman"/>
                <w:b/>
                <w:color w:val="0000FF"/>
              </w:rPr>
              <w:t>747</w:t>
            </w:r>
          </w:p>
        </w:tc>
        <w:tc>
          <w:tcPr>
            <w:tcW w:w="961" w:type="dxa"/>
            <w:tcBorders>
              <w:top w:val="single" w:sz="4" w:space="0" w:color="auto"/>
              <w:bottom w:val="single" w:sz="4" w:space="0" w:color="auto"/>
            </w:tcBorders>
            <w:shd w:val="clear" w:color="auto" w:fill="auto"/>
            <w:noWrap/>
            <w:vAlign w:val="bottom"/>
          </w:tcPr>
          <w:p w14:paraId="218D3566" w14:textId="77777777" w:rsidR="001B3FE2" w:rsidRPr="001E3274" w:rsidRDefault="001B3FE2" w:rsidP="00AD4168">
            <w:pPr>
              <w:spacing w:after="0" w:line="240" w:lineRule="auto"/>
              <w:jc w:val="center"/>
              <w:rPr>
                <w:rFonts w:eastAsia="Calibri" w:cs="Times New Roman"/>
                <w:b/>
                <w:color w:val="0000FF"/>
              </w:rPr>
            </w:pPr>
            <w:r w:rsidRPr="001E3274">
              <w:rPr>
                <w:rFonts w:eastAsia="Calibri" w:cs="Times New Roman"/>
                <w:b/>
                <w:color w:val="0000FF"/>
              </w:rPr>
              <w:t>13.54</w:t>
            </w:r>
          </w:p>
        </w:tc>
      </w:tr>
    </w:tbl>
    <w:p w14:paraId="3F3D55DF" w14:textId="77777777" w:rsidR="001B3FE2" w:rsidRPr="009D386B" w:rsidRDefault="001B3FE2" w:rsidP="001B3FE2">
      <w:pPr>
        <w:autoSpaceDE w:val="0"/>
        <w:autoSpaceDN w:val="0"/>
        <w:adjustRightInd w:val="0"/>
        <w:spacing w:after="0" w:line="240" w:lineRule="auto"/>
        <w:rPr>
          <w:rFonts w:cstheme="minorHAnsi"/>
          <w:color w:val="0000FF"/>
        </w:rPr>
      </w:pPr>
      <w:r w:rsidRPr="009D386B">
        <w:rPr>
          <w:rFonts w:cstheme="minorHAnsi"/>
          <w:color w:val="0000FF"/>
        </w:rPr>
        <w:t>*More than one criterion may apply, so the total number is less than the sum of all criteria.</w:t>
      </w:r>
    </w:p>
    <w:p w14:paraId="60151515" w14:textId="23D6C170" w:rsidR="00E170B1" w:rsidRPr="001B4B1B" w:rsidRDefault="00E170B1" w:rsidP="001B3FE2">
      <w:pPr>
        <w:autoSpaceDE w:val="0"/>
        <w:autoSpaceDN w:val="0"/>
        <w:adjustRightInd w:val="0"/>
        <w:spacing w:after="0" w:line="240" w:lineRule="auto"/>
        <w:rPr>
          <w:rFonts w:cstheme="minorHAnsi"/>
          <w:color w:val="0000FF"/>
        </w:rPr>
      </w:pPr>
      <w:r w:rsidRPr="009D386B">
        <w:rPr>
          <w:rFonts w:cstheme="minorHAnsi"/>
          <w:color w:val="0000FF"/>
        </w:rPr>
        <w:t>+ Cells based on a sample size of n &lt; 11 are not shown.</w:t>
      </w:r>
    </w:p>
    <w:p w14:paraId="5C90C096" w14:textId="77777777" w:rsidR="0003686E" w:rsidRPr="001B4B1B" w:rsidRDefault="0003686E" w:rsidP="0003686E">
      <w:pPr>
        <w:autoSpaceDE w:val="0"/>
        <w:autoSpaceDN w:val="0"/>
        <w:adjustRightInd w:val="0"/>
        <w:spacing w:after="0" w:line="240" w:lineRule="auto"/>
        <w:rPr>
          <w:rFonts w:cstheme="minorHAnsi"/>
          <w:b/>
          <w:bCs/>
          <w:color w:val="0000FF"/>
        </w:rPr>
      </w:pPr>
    </w:p>
    <w:p w14:paraId="25CD3FEB" w14:textId="77777777" w:rsidR="00E44F62" w:rsidRDefault="00E44F62">
      <w:pPr>
        <w:rPr>
          <w:rFonts w:cstheme="minorHAnsi"/>
          <w:b/>
          <w:bCs/>
        </w:rPr>
      </w:pPr>
      <w:r>
        <w:rPr>
          <w:rFonts w:cstheme="minorHAnsi"/>
          <w:b/>
          <w:bCs/>
        </w:rPr>
        <w:br w:type="page"/>
      </w:r>
    </w:p>
    <w:p w14:paraId="67787CF3" w14:textId="11C3F651" w:rsidR="00140F3A" w:rsidRDefault="00092566" w:rsidP="0003686E">
      <w:pPr>
        <w:autoSpaceDE w:val="0"/>
        <w:autoSpaceDN w:val="0"/>
        <w:adjustRightInd w:val="0"/>
        <w:spacing w:after="0" w:line="240" w:lineRule="auto"/>
        <w:rPr>
          <w:rFonts w:cstheme="minorHAnsi"/>
          <w:bCs/>
        </w:rPr>
      </w:pPr>
      <w:r>
        <w:rPr>
          <w:rFonts w:cstheme="minorHAnsi"/>
          <w:b/>
          <w:bCs/>
        </w:rPr>
        <w:lastRenderedPageBreak/>
        <w:t>2b3.</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p>
    <w:p w14:paraId="2AEF44B6" w14:textId="77777777" w:rsidR="0003686E" w:rsidRPr="001B4B1B" w:rsidRDefault="0003686E" w:rsidP="0003686E">
      <w:pPr>
        <w:autoSpaceDE w:val="0"/>
        <w:autoSpaceDN w:val="0"/>
        <w:adjustRightInd w:val="0"/>
        <w:spacing w:after="0" w:line="240" w:lineRule="auto"/>
        <w:rPr>
          <w:rFonts w:eastAsia="Calibri" w:cs="Times New Roman"/>
          <w:color w:val="0000FF"/>
        </w:rPr>
      </w:pPr>
    </w:p>
    <w:p w14:paraId="382BCD37" w14:textId="77777777" w:rsidR="0003686E" w:rsidRPr="001B4B1B" w:rsidRDefault="0003686E" w:rsidP="0003686E">
      <w:pPr>
        <w:autoSpaceDE w:val="0"/>
        <w:autoSpaceDN w:val="0"/>
        <w:adjustRightInd w:val="0"/>
        <w:spacing w:after="0" w:line="240" w:lineRule="auto"/>
        <w:rPr>
          <w:rFonts w:eastAsia="Calibri" w:cs="Times New Roman"/>
          <w:color w:val="0000FF"/>
        </w:rPr>
      </w:pPr>
      <w:r w:rsidRPr="001B4B1B">
        <w:rPr>
          <w:rFonts w:eastAsia="Calibri" w:cs="Times New Roman"/>
          <w:color w:val="0000FF"/>
        </w:rPr>
        <w:t>Overall, 13.5 percent of the sample met one or more of the exclusion criteria. With the exception of missing data criteria, the exclusion criteria are applied to the data in order to maintain the validity of the performance score. Missing data was present in less than 1 percent of patient records after all other exclusion criteria were applied.</w:t>
      </w:r>
    </w:p>
    <w:p w14:paraId="658176BD"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32B515E4" w14:textId="77777777"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14:paraId="68158E83" w14:textId="77777777" w:rsidR="008871A9" w:rsidRDefault="008871A9" w:rsidP="00092566">
      <w:pPr>
        <w:autoSpaceDE w:val="0"/>
        <w:autoSpaceDN w:val="0"/>
        <w:adjustRightInd w:val="0"/>
        <w:spacing w:after="0" w:line="240" w:lineRule="auto"/>
        <w:rPr>
          <w:rFonts w:cstheme="minorHAnsi"/>
          <w:b/>
          <w:bCs/>
        </w:rPr>
      </w:pPr>
    </w:p>
    <w:p w14:paraId="1E092AC2" w14:textId="77777777"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14:paraId="60BA0EEB" w14:textId="741F9888" w:rsidR="00033038" w:rsidRPr="005232D6" w:rsidRDefault="00A2496B" w:rsidP="00092566">
      <w:pPr>
        <w:autoSpaceDE w:val="0"/>
        <w:autoSpaceDN w:val="0"/>
        <w:adjustRightInd w:val="0"/>
        <w:spacing w:after="0" w:line="240" w:lineRule="auto"/>
        <w:rPr>
          <w:rFonts w:cstheme="minorHAnsi"/>
          <w:b/>
          <w:bCs/>
        </w:rPr>
      </w:pPr>
      <w:sdt>
        <w:sdtPr>
          <w:rPr>
            <w:rFonts w:cstheme="minorHAnsi"/>
            <w:bCs/>
            <w:color w:val="0000FF"/>
          </w:rPr>
          <w:id w:val="-1450705013"/>
        </w:sdt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5CDB4149" w14:textId="3FAB5B70" w:rsidR="00743E46" w:rsidRPr="005232D6" w:rsidRDefault="00A2496B" w:rsidP="0003686E">
      <w:pPr>
        <w:autoSpaceDE w:val="0"/>
        <w:autoSpaceDN w:val="0"/>
        <w:adjustRightInd w:val="0"/>
        <w:spacing w:after="0" w:line="240" w:lineRule="auto"/>
        <w:rPr>
          <w:rFonts w:cstheme="minorHAnsi"/>
          <w:b/>
          <w:bCs/>
        </w:rPr>
      </w:pPr>
      <w:sdt>
        <w:sdtPr>
          <w:rPr>
            <w:rFonts w:cstheme="minorHAnsi"/>
            <w:bCs/>
            <w:color w:val="0000FF"/>
          </w:rPr>
          <w:id w:val="-912162535"/>
        </w:sdtPr>
        <w:sdtContent>
          <w:sdt>
            <w:sdtPr>
              <w:rPr>
                <w:rFonts w:cstheme="minorHAnsi"/>
                <w:bCs/>
                <w:color w:val="0000FF"/>
              </w:rPr>
              <w:id w:val="296056354"/>
            </w:sdtPr>
            <w:sdtContent>
              <w:sdt>
                <w:sdtPr>
                  <w:rPr>
                    <w:rFonts w:cstheme="minorHAnsi"/>
                    <w:bCs/>
                    <w:color w:val="0000FF"/>
                  </w:rPr>
                  <w:id w:val="1918428750"/>
                </w:sdtPr>
                <w:sdtContent>
                  <w:r w:rsidR="009D386B">
                    <w:rPr>
                      <w:rFonts w:cstheme="minorHAnsi"/>
                      <w:bCs/>
                      <w:color w:val="0000FF"/>
                    </w:rPr>
                    <w:t xml:space="preserve"> </w:t>
                  </w:r>
                  <w:r w:rsidR="009D386B">
                    <w:rPr>
                      <w:rFonts w:ascii="MS Gothic" w:eastAsia="MS Gothic" w:cstheme="minorHAnsi" w:hint="eastAsia"/>
                      <w:bCs/>
                      <w:color w:val="0000FF"/>
                    </w:rPr>
                    <w:t>X</w:t>
                  </w:r>
                </w:sdtContent>
              </w:sdt>
            </w:sdtContent>
          </w:sdt>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290515647"/>
          <w:showingPlcHdr/>
          <w:text/>
        </w:sdtPr>
        <w:sdtEndPr>
          <w:rPr>
            <w:rStyle w:val="DefaultParagraphFont"/>
            <w:rFonts w:asciiTheme="minorHAnsi" w:hAnsiTheme="minorHAnsi" w:cstheme="minorHAnsi"/>
            <w:b w:val="0"/>
            <w:bCs/>
            <w:color w:val="auto"/>
          </w:rPr>
        </w:sdtEndPr>
        <w:sdtContent>
          <w:r w:rsidR="004F4FE3">
            <w:rPr>
              <w:rStyle w:val="Style4"/>
              <w:u w:val="none"/>
            </w:rPr>
            <w:t xml:space="preserve">     </w:t>
          </w:r>
        </w:sdtContent>
      </w:sdt>
      <w:r w:rsidR="004F4FE3" w:rsidRPr="004F4FE3">
        <w:rPr>
          <w:rFonts w:cstheme="minorHAnsi"/>
          <w:b/>
          <w:bCs/>
          <w:color w:val="0000FF"/>
        </w:rPr>
        <w:t xml:space="preserve">74 </w:t>
      </w:r>
      <w:r w:rsidR="00743E46" w:rsidRPr="005232D6">
        <w:rPr>
          <w:rFonts w:cstheme="minorHAnsi"/>
          <w:b/>
          <w:bCs/>
        </w:rPr>
        <w:t>risk factors</w:t>
      </w:r>
    </w:p>
    <w:p w14:paraId="62646748" w14:textId="48F24B9D" w:rsidR="00743E46" w:rsidRPr="005232D6" w:rsidRDefault="00A2496B" w:rsidP="00092566">
      <w:pPr>
        <w:autoSpaceDE w:val="0"/>
        <w:autoSpaceDN w:val="0"/>
        <w:adjustRightInd w:val="0"/>
        <w:spacing w:after="0" w:line="240" w:lineRule="auto"/>
        <w:rPr>
          <w:rFonts w:cstheme="minorHAnsi"/>
          <w:b/>
          <w:bCs/>
        </w:rPr>
      </w:pPr>
      <w:sdt>
        <w:sdtPr>
          <w:rPr>
            <w:rFonts w:cstheme="minorHAnsi"/>
            <w:bCs/>
            <w:color w:val="0000FF"/>
          </w:rPr>
          <w:id w:val="-1831823302"/>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40DB2639" w14:textId="31E7007E" w:rsidR="00743E46" w:rsidRPr="005232D6" w:rsidRDefault="00A2496B" w:rsidP="00092566">
      <w:pPr>
        <w:autoSpaceDE w:val="0"/>
        <w:autoSpaceDN w:val="0"/>
        <w:adjustRightInd w:val="0"/>
        <w:spacing w:after="0" w:line="240" w:lineRule="auto"/>
        <w:rPr>
          <w:rFonts w:cstheme="minorHAnsi"/>
          <w:b/>
          <w:bCs/>
        </w:rPr>
      </w:pPr>
      <w:sdt>
        <w:sdtPr>
          <w:rPr>
            <w:rFonts w:cstheme="minorHAnsi"/>
            <w:bCs/>
            <w:color w:val="0000FF"/>
          </w:rPr>
          <w:id w:val="2076930997"/>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32563638" w14:textId="77777777" w:rsidR="00743E46" w:rsidRDefault="00743E46" w:rsidP="00092566">
      <w:pPr>
        <w:autoSpaceDE w:val="0"/>
        <w:autoSpaceDN w:val="0"/>
        <w:adjustRightInd w:val="0"/>
        <w:spacing w:after="0" w:line="240" w:lineRule="auto"/>
        <w:rPr>
          <w:rFonts w:cstheme="minorHAnsi"/>
          <w:b/>
          <w:bCs/>
        </w:rPr>
      </w:pPr>
    </w:p>
    <w:p w14:paraId="640D6D10" w14:textId="77777777" w:rsidR="00EB694C" w:rsidRDefault="00743E46" w:rsidP="0003686E">
      <w:pPr>
        <w:autoSpaceDE w:val="0"/>
        <w:autoSpaceDN w:val="0"/>
        <w:adjustRightInd w:val="0"/>
        <w:spacing w:after="0" w:line="240" w:lineRule="auto"/>
        <w:rPr>
          <w:rFonts w:cstheme="minorHAnsi"/>
          <w:bCs/>
        </w:rPr>
      </w:pPr>
      <w:r>
        <w:rPr>
          <w:rFonts w:cstheme="minorHAnsi"/>
          <w:b/>
          <w:bCs/>
        </w:rPr>
        <w:t xml:space="preserve">2b4.2. </w:t>
      </w:r>
      <w:proofErr w:type="gramStart"/>
      <w:r w:rsidR="008871A9">
        <w:rPr>
          <w:rFonts w:cstheme="minorHAnsi"/>
          <w:b/>
          <w:bCs/>
        </w:rPr>
        <w:t>If</w:t>
      </w:r>
      <w:proofErr w:type="gramEnd"/>
      <w:r w:rsidR="008871A9">
        <w:rPr>
          <w:rFonts w:cstheme="minorHAnsi"/>
          <w:b/>
          <w:bCs/>
        </w:rPr>
        <w:t xml:space="preserve">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p>
    <w:p w14:paraId="4439A48D" w14:textId="721DF220" w:rsidR="0003686E" w:rsidRPr="001B4B1B" w:rsidRDefault="00092566" w:rsidP="0003686E">
      <w:pPr>
        <w:autoSpaceDE w:val="0"/>
        <w:autoSpaceDN w:val="0"/>
        <w:adjustRightInd w:val="0"/>
        <w:spacing w:after="0" w:line="240" w:lineRule="auto"/>
        <w:rPr>
          <w:iCs/>
          <w:color w:val="0000FF"/>
        </w:rPr>
      </w:pPr>
      <w:r w:rsidRPr="00A25024">
        <w:rPr>
          <w:rFonts w:cstheme="minorHAnsi"/>
          <w:bCs/>
        </w:rPr>
        <w:br/>
      </w:r>
      <w:r w:rsidR="0003686E" w:rsidRPr="001B4B1B">
        <w:rPr>
          <w:iCs/>
          <w:color w:val="0000FF"/>
        </w:rPr>
        <w:t>Not applicable. This quality measure is risk adjusted.</w:t>
      </w:r>
    </w:p>
    <w:p w14:paraId="73ACBB85" w14:textId="77777777" w:rsidR="0014120C" w:rsidRDefault="00092566" w:rsidP="000E1334">
      <w:pPr>
        <w:pStyle w:val="BodyText"/>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p>
    <w:p w14:paraId="6969490E" w14:textId="2F56793C" w:rsidR="00B11E91" w:rsidRPr="009E5BE6" w:rsidRDefault="00A07D08" w:rsidP="00743C44">
      <w:pPr>
        <w:pStyle w:val="BodyText"/>
        <w:rPr>
          <w:rFonts w:asciiTheme="minorHAnsi" w:eastAsiaTheme="minorEastAsia" w:hAnsiTheme="minorHAnsi" w:cstheme="minorBidi"/>
          <w:iCs/>
          <w:color w:val="0000FF"/>
          <w:sz w:val="22"/>
        </w:rPr>
      </w:pPr>
      <w:r w:rsidRPr="008D65B0">
        <w:rPr>
          <w:rFonts w:asciiTheme="minorHAnsi" w:hAnsiTheme="minorHAnsi"/>
          <w:color w:val="0000FF"/>
          <w:sz w:val="22"/>
        </w:rPr>
        <w:t xml:space="preserve">This </w:t>
      </w:r>
      <w:r w:rsidR="00B11E91">
        <w:rPr>
          <w:rFonts w:asciiTheme="minorHAnsi" w:hAnsiTheme="minorHAnsi"/>
          <w:color w:val="0000FF"/>
          <w:sz w:val="22"/>
        </w:rPr>
        <w:t xml:space="preserve">quality </w:t>
      </w:r>
      <w:r w:rsidRPr="008D65B0">
        <w:rPr>
          <w:rFonts w:asciiTheme="minorHAnsi" w:hAnsiTheme="minorHAnsi"/>
          <w:color w:val="0000FF"/>
          <w:sz w:val="22"/>
        </w:rPr>
        <w:t xml:space="preserve">measure estimates </w:t>
      </w:r>
      <w:r w:rsidRPr="009E5BE6">
        <w:rPr>
          <w:rFonts w:asciiTheme="minorHAnsi" w:hAnsiTheme="minorHAnsi"/>
          <w:color w:val="0000FF"/>
          <w:sz w:val="22"/>
        </w:rPr>
        <w:t xml:space="preserve">the percent of patients in an IRF who meet or exceed a </w:t>
      </w:r>
      <w:r w:rsidR="00FC1CBF">
        <w:rPr>
          <w:rFonts w:asciiTheme="minorHAnsi" w:hAnsiTheme="minorHAnsi"/>
          <w:color w:val="0000FF"/>
          <w:sz w:val="22"/>
        </w:rPr>
        <w:t>risk adjust</w:t>
      </w:r>
      <w:r w:rsidRPr="009E5BE6">
        <w:rPr>
          <w:rFonts w:asciiTheme="minorHAnsi" w:hAnsiTheme="minorHAnsi"/>
          <w:color w:val="0000FF"/>
          <w:sz w:val="22"/>
        </w:rPr>
        <w:t>ed expected discharge self-care score.</w:t>
      </w:r>
      <w:r w:rsidR="00B11E91">
        <w:rPr>
          <w:rFonts w:asciiTheme="minorHAnsi" w:hAnsiTheme="minorHAnsi"/>
          <w:color w:val="0000FF"/>
          <w:sz w:val="22"/>
        </w:rPr>
        <w:t xml:space="preserve"> </w:t>
      </w:r>
      <w:r w:rsidR="009E5BE6">
        <w:rPr>
          <w:color w:val="0000FF"/>
          <w:sz w:val="22"/>
        </w:rPr>
        <w:t>Discharge functional status</w:t>
      </w:r>
      <w:r w:rsidR="00B11E91" w:rsidRPr="0071037F">
        <w:rPr>
          <w:color w:val="0000FF"/>
          <w:sz w:val="22"/>
        </w:rPr>
        <w:t xml:space="preserve"> can vary based on patients’ demographic or clinical characteristics</w:t>
      </w:r>
      <w:r w:rsidR="00B11E91">
        <w:rPr>
          <w:color w:val="0000FF"/>
          <w:sz w:val="22"/>
        </w:rPr>
        <w:t>, therefore, this measure is risk adjusted</w:t>
      </w:r>
      <w:r w:rsidR="00B11E91" w:rsidRPr="0071037F">
        <w:rPr>
          <w:color w:val="0000FF"/>
          <w:sz w:val="22"/>
        </w:rPr>
        <w:t xml:space="preserve">. The goal of risk </w:t>
      </w:r>
      <w:r w:rsidR="00B11E91" w:rsidRPr="009E5BE6">
        <w:rPr>
          <w:color w:val="0000FF"/>
          <w:sz w:val="22"/>
        </w:rPr>
        <w:t>adjustment is to control for differences across facilities in patient characteristics at admission that might be related to the outcome of interest. This allows outcomes to be compared across facilities after differences in patient</w:t>
      </w:r>
      <w:r w:rsidR="00B11E91" w:rsidRPr="0071037F">
        <w:rPr>
          <w:color w:val="0000FF"/>
          <w:sz w:val="22"/>
        </w:rPr>
        <w:t xml:space="preserve"> complexity (i.e., patient characteristics) have been accounted for in the analysis. The risk adjustment model for this measure controls for variation across facilities in patient </w:t>
      </w:r>
      <w:r w:rsidR="00B11E91" w:rsidRPr="009E5BE6">
        <w:rPr>
          <w:color w:val="0000FF"/>
          <w:sz w:val="22"/>
        </w:rPr>
        <w:t>demographic</w:t>
      </w:r>
      <w:r w:rsidR="00387741" w:rsidRPr="009E5BE6">
        <w:rPr>
          <w:color w:val="0000FF"/>
          <w:sz w:val="22"/>
        </w:rPr>
        <w:t>s</w:t>
      </w:r>
      <w:r w:rsidR="00B11E91" w:rsidRPr="009E5BE6">
        <w:rPr>
          <w:color w:val="0000FF"/>
          <w:sz w:val="22"/>
        </w:rPr>
        <w:t xml:space="preserve"> (e</w:t>
      </w:r>
      <w:r w:rsidR="00B11E91" w:rsidRPr="0071037F">
        <w:rPr>
          <w:color w:val="0000FF"/>
          <w:sz w:val="22"/>
        </w:rPr>
        <w:t>.g., age) and clinical (e.g., diagnosis</w:t>
      </w:r>
      <w:r w:rsidR="00B11E91" w:rsidRPr="009E5BE6">
        <w:rPr>
          <w:color w:val="0000FF"/>
          <w:sz w:val="22"/>
        </w:rPr>
        <w:t xml:space="preserve">) characteristics present at the time of admission that may influence functional outcomes, to allow </w:t>
      </w:r>
      <w:r w:rsidR="009E5BE6" w:rsidRPr="009E5BE6">
        <w:rPr>
          <w:color w:val="0000FF"/>
          <w:sz w:val="22"/>
        </w:rPr>
        <w:t xml:space="preserve">discharge </w:t>
      </w:r>
      <w:r w:rsidR="00B11E91" w:rsidRPr="009E5BE6">
        <w:rPr>
          <w:color w:val="0000FF"/>
          <w:sz w:val="22"/>
        </w:rPr>
        <w:t>self-care outcomes to be compared across IRFs</w:t>
      </w:r>
      <w:r w:rsidR="00B11E91" w:rsidRPr="009E5BE6">
        <w:rPr>
          <w:rFonts w:asciiTheme="minorHAnsi" w:eastAsiaTheme="minorEastAsia" w:hAnsiTheme="minorHAnsi" w:cstheme="minorBidi"/>
          <w:iCs/>
          <w:color w:val="0000FF"/>
          <w:sz w:val="22"/>
        </w:rPr>
        <w:t xml:space="preserve">. </w:t>
      </w:r>
    </w:p>
    <w:p w14:paraId="07248185" w14:textId="48CACB2F" w:rsidR="00B11E91" w:rsidRPr="008F21AE" w:rsidRDefault="00B11E91" w:rsidP="00B11E91">
      <w:pPr>
        <w:pStyle w:val="BodyText"/>
        <w:rPr>
          <w:rFonts w:asciiTheme="minorHAnsi" w:eastAsiaTheme="minorEastAsia" w:hAnsiTheme="minorHAnsi" w:cstheme="minorBidi"/>
          <w:iCs/>
          <w:color w:val="0000FF"/>
          <w:sz w:val="22"/>
        </w:rPr>
      </w:pPr>
      <w:r w:rsidRPr="009E5BE6">
        <w:rPr>
          <w:rFonts w:asciiTheme="minorHAnsi" w:eastAsiaTheme="minorEastAsia" w:hAnsiTheme="minorHAnsi" w:cstheme="minorBidi"/>
          <w:iCs/>
          <w:color w:val="0000FF"/>
          <w:sz w:val="22"/>
        </w:rPr>
        <w:t xml:space="preserve">To develop the risk adjustment model for this measure, we used </w:t>
      </w:r>
      <w:r w:rsidR="00872F24">
        <w:rPr>
          <w:rFonts w:asciiTheme="minorHAnsi" w:eastAsiaTheme="minorEastAsia" w:hAnsiTheme="minorHAnsi" w:cstheme="minorBidi"/>
          <w:iCs/>
          <w:color w:val="0000FF"/>
          <w:sz w:val="22"/>
        </w:rPr>
        <w:t>three</w:t>
      </w:r>
      <w:r w:rsidRPr="009E5BE6">
        <w:rPr>
          <w:rFonts w:asciiTheme="minorHAnsi" w:eastAsiaTheme="minorEastAsia" w:hAnsiTheme="minorHAnsi" w:cstheme="minorBidi"/>
          <w:iCs/>
          <w:color w:val="0000FF"/>
          <w:sz w:val="22"/>
        </w:rPr>
        <w:t xml:space="preserve"> data sources that were linked: 1) CARE data from the Post-Acute Care Payment Reform</w:t>
      </w:r>
      <w:r w:rsidRPr="0071037F">
        <w:rPr>
          <w:rFonts w:asciiTheme="minorHAnsi" w:eastAsiaTheme="minorEastAsia" w:hAnsiTheme="minorHAnsi" w:cstheme="minorBidi"/>
          <w:iCs/>
          <w:color w:val="0000FF"/>
          <w:sz w:val="22"/>
        </w:rPr>
        <w:t xml:space="preserve"> Demonstration, 2) Inpatient Rehabilitation Facility Patient Assessment </w:t>
      </w:r>
      <w:r w:rsidRPr="008F21AE">
        <w:rPr>
          <w:rFonts w:asciiTheme="minorHAnsi" w:eastAsiaTheme="minorEastAsia" w:hAnsiTheme="minorHAnsi" w:cstheme="minorBidi"/>
          <w:iCs/>
          <w:color w:val="0000FF"/>
          <w:sz w:val="22"/>
        </w:rPr>
        <w:t xml:space="preserve">Instrument (IRF-PAI) data to determine the primary condition requiring IRF admission and the comorbidities, and 3) Claims data from the </w:t>
      </w:r>
      <w:r w:rsidRPr="009D386B">
        <w:rPr>
          <w:rFonts w:asciiTheme="minorHAnsi" w:eastAsiaTheme="minorEastAsia" w:hAnsiTheme="minorHAnsi" w:cstheme="minorBidi"/>
          <w:iCs/>
          <w:color w:val="0000FF"/>
          <w:sz w:val="22"/>
        </w:rPr>
        <w:t xml:space="preserve">acute care </w:t>
      </w:r>
      <w:r w:rsidR="00A429AE" w:rsidRPr="009D386B">
        <w:rPr>
          <w:rFonts w:asciiTheme="minorHAnsi" w:eastAsiaTheme="minorEastAsia" w:hAnsiTheme="minorHAnsi" w:cstheme="minorBidi"/>
          <w:iCs/>
          <w:color w:val="0000FF"/>
          <w:sz w:val="22"/>
        </w:rPr>
        <w:t xml:space="preserve">or long-term care hospital </w:t>
      </w:r>
      <w:r w:rsidRPr="009D386B">
        <w:rPr>
          <w:rFonts w:asciiTheme="minorHAnsi" w:eastAsiaTheme="minorEastAsia" w:hAnsiTheme="minorHAnsi" w:cstheme="minorBidi"/>
          <w:iCs/>
          <w:color w:val="0000FF"/>
          <w:sz w:val="22"/>
        </w:rPr>
        <w:t>stay</w:t>
      </w:r>
      <w:r w:rsidRPr="008F21AE">
        <w:rPr>
          <w:rFonts w:asciiTheme="minorHAnsi" w:eastAsiaTheme="minorEastAsia" w:hAnsiTheme="minorHAnsi" w:cstheme="minorBidi"/>
          <w:iCs/>
          <w:color w:val="0000FF"/>
          <w:sz w:val="22"/>
        </w:rPr>
        <w:t xml:space="preserve"> prior to the IRF stay to determine comorbidities. Development and testing of the risk adjustment model was conducted after applying the exclusion criteria described in 2b3, and was based on 4,769 patient records from 38 IRFs.</w:t>
      </w:r>
    </w:p>
    <w:p w14:paraId="1E898038" w14:textId="77777777" w:rsidR="00B11E91" w:rsidRPr="008F21AE" w:rsidRDefault="00B11E91" w:rsidP="00B11E91">
      <w:pPr>
        <w:pStyle w:val="BodyText"/>
        <w:rPr>
          <w:rFonts w:asciiTheme="minorHAnsi" w:eastAsiaTheme="minorEastAsia" w:hAnsiTheme="minorHAnsi" w:cstheme="minorBidi"/>
          <w:b/>
          <w:i/>
          <w:iCs/>
          <w:color w:val="0000FF"/>
          <w:sz w:val="22"/>
        </w:rPr>
      </w:pPr>
      <w:r w:rsidRPr="008F21AE">
        <w:rPr>
          <w:rFonts w:asciiTheme="minorHAnsi" w:eastAsiaTheme="minorEastAsia" w:hAnsiTheme="minorHAnsi" w:cstheme="minorBidi"/>
          <w:b/>
          <w:i/>
          <w:iCs/>
          <w:color w:val="0000FF"/>
          <w:sz w:val="22"/>
        </w:rPr>
        <w:lastRenderedPageBreak/>
        <w:t>Risk Adjustor Selection – Conceptual Rationale and Statistical Testing</w:t>
      </w:r>
    </w:p>
    <w:p w14:paraId="1C08A0F7" w14:textId="77777777" w:rsidR="00B11E91" w:rsidRPr="008F21AE" w:rsidRDefault="00B11E91" w:rsidP="00B11E91">
      <w:pPr>
        <w:pStyle w:val="BodyText"/>
        <w:rPr>
          <w:rFonts w:asciiTheme="minorHAnsi" w:eastAsiaTheme="minorEastAsia" w:hAnsiTheme="minorHAnsi" w:cstheme="minorBidi"/>
          <w:iCs/>
          <w:color w:val="0000FF"/>
          <w:sz w:val="22"/>
        </w:rPr>
      </w:pPr>
      <w:r w:rsidRPr="008F21AE">
        <w:rPr>
          <w:rFonts w:asciiTheme="minorHAnsi" w:eastAsiaTheme="minorEastAsia" w:hAnsiTheme="minorHAnsi" w:cstheme="minorBidi"/>
          <w:iCs/>
          <w:color w:val="0000FF"/>
          <w:sz w:val="22"/>
        </w:rPr>
        <w:t xml:space="preserve">An initial, extensive set of risk adjustors was selected based on literature review, clinical relevance, and findings from the Post-Acute Care Payment Reform Demonstration analyses. This initial set of risk adjustors was refined based on input from a Technical Expert Panel convened by our measure development contractor. We also requested input on risk adjustors as part of the public comment process, and tested public suggestions as part of the risk adjustment model development. </w:t>
      </w:r>
    </w:p>
    <w:p w14:paraId="1213D530" w14:textId="6CF09E45" w:rsidR="00B11E91" w:rsidRPr="0071037F" w:rsidRDefault="00B11E91" w:rsidP="00743C44">
      <w:pPr>
        <w:pStyle w:val="BodyText"/>
        <w:rPr>
          <w:rFonts w:asciiTheme="minorHAnsi" w:eastAsiaTheme="minorEastAsia" w:hAnsiTheme="minorHAnsi" w:cstheme="minorBidi"/>
          <w:iCs/>
          <w:color w:val="0000FF"/>
          <w:sz w:val="22"/>
        </w:rPr>
      </w:pPr>
      <w:r w:rsidRPr="008F21AE">
        <w:rPr>
          <w:rFonts w:asciiTheme="minorHAnsi" w:eastAsiaTheme="minorEastAsia" w:hAnsiTheme="minorHAnsi" w:cstheme="minorBidi"/>
          <w:iCs/>
          <w:color w:val="0000FF"/>
          <w:sz w:val="22"/>
        </w:rPr>
        <w:t xml:space="preserve">We tested the risk adjustors and developed the risk adjustment model using multiple linear regression analyses. The dependent variable was the </w:t>
      </w:r>
      <w:r w:rsidR="00743C44" w:rsidRPr="008F21AE">
        <w:rPr>
          <w:rFonts w:asciiTheme="minorHAnsi" w:eastAsiaTheme="minorEastAsia" w:hAnsiTheme="minorHAnsi" w:cstheme="minorBidi"/>
          <w:iCs/>
          <w:color w:val="0000FF"/>
          <w:sz w:val="22"/>
        </w:rPr>
        <w:t>discharge</w:t>
      </w:r>
      <w:r w:rsidRPr="008F21AE">
        <w:rPr>
          <w:rFonts w:asciiTheme="minorHAnsi" w:eastAsiaTheme="minorEastAsia" w:hAnsiTheme="minorHAnsi" w:cstheme="minorBidi"/>
          <w:iCs/>
          <w:color w:val="0000FF"/>
          <w:sz w:val="22"/>
        </w:rPr>
        <w:t xml:space="preserve"> self-care score for each patient</w:t>
      </w:r>
      <w:r w:rsidR="006C0238" w:rsidRPr="008F21AE">
        <w:rPr>
          <w:rFonts w:asciiTheme="minorHAnsi" w:eastAsiaTheme="minorEastAsia" w:hAnsiTheme="minorHAnsi" w:cstheme="minorBidi"/>
          <w:iCs/>
          <w:color w:val="0000FF"/>
          <w:sz w:val="22"/>
        </w:rPr>
        <w:t xml:space="preserve">. </w:t>
      </w:r>
      <w:r w:rsidRPr="008F21AE">
        <w:rPr>
          <w:rFonts w:asciiTheme="minorHAnsi" w:eastAsiaTheme="minorEastAsia" w:hAnsiTheme="minorHAnsi" w:cstheme="minorBidi"/>
          <w:iCs/>
          <w:color w:val="0000FF"/>
          <w:sz w:val="22"/>
        </w:rPr>
        <w:t xml:space="preserve">We made decisions to retain or drop each risk adjustor based on its sample size, regression coefficient, significance level, and clinical relevance to self-care outcomes. </w:t>
      </w:r>
      <w:r w:rsidRPr="008F21AE">
        <w:rPr>
          <w:rFonts w:asciiTheme="minorHAnsi" w:hAnsiTheme="minorHAnsi"/>
          <w:color w:val="0000FF"/>
          <w:sz w:val="22"/>
        </w:rPr>
        <w:t>To strengthen sample sizes, when appropriate</w:t>
      </w:r>
      <w:r w:rsidRPr="005F748B">
        <w:rPr>
          <w:rFonts w:asciiTheme="minorHAnsi" w:hAnsiTheme="minorHAnsi"/>
          <w:color w:val="0000FF"/>
          <w:sz w:val="22"/>
        </w:rPr>
        <w:t xml:space="preserve">, we collapsed clinically similar risk adjustors that had low prevalence. </w:t>
      </w:r>
      <w:r w:rsidRPr="0071037F">
        <w:rPr>
          <w:rFonts w:asciiTheme="minorHAnsi" w:eastAsiaTheme="minorEastAsia" w:hAnsiTheme="minorHAnsi" w:cstheme="minorBidi"/>
          <w:iCs/>
          <w:color w:val="0000FF"/>
          <w:sz w:val="22"/>
        </w:rPr>
        <w:t xml:space="preserve">In general, a </w:t>
      </w:r>
      <w:r w:rsidRPr="0071037F">
        <w:rPr>
          <w:rFonts w:asciiTheme="minorHAnsi" w:eastAsiaTheme="minorEastAsia" w:hAnsiTheme="minorHAnsi" w:cstheme="minorBidi"/>
          <w:i/>
          <w:iCs/>
          <w:color w:val="0000FF"/>
          <w:sz w:val="22"/>
        </w:rPr>
        <w:t>p</w:t>
      </w:r>
      <w:r w:rsidRPr="0071037F">
        <w:rPr>
          <w:rFonts w:asciiTheme="minorHAnsi" w:eastAsiaTheme="minorEastAsia" w:hAnsiTheme="minorHAnsi" w:cstheme="minorBidi"/>
          <w:iCs/>
          <w:color w:val="0000FF"/>
          <w:sz w:val="22"/>
        </w:rPr>
        <w:t xml:space="preserve">-value of 0.10 was used to determine statistical significance. However, we retained variables that approached statistical significance or those that did not reach significance if they were clinically related to self-care outcomes, or had large </w:t>
      </w:r>
      <w:r>
        <w:rPr>
          <w:rFonts w:asciiTheme="minorHAnsi" w:eastAsiaTheme="minorEastAsia" w:hAnsiTheme="minorHAnsi" w:cstheme="minorBidi"/>
          <w:iCs/>
          <w:color w:val="0000FF"/>
          <w:sz w:val="22"/>
        </w:rPr>
        <w:t xml:space="preserve">regression </w:t>
      </w:r>
      <w:r w:rsidRPr="0071037F">
        <w:rPr>
          <w:rFonts w:asciiTheme="minorHAnsi" w:eastAsiaTheme="minorEastAsia" w:hAnsiTheme="minorHAnsi" w:cstheme="minorBidi"/>
          <w:iCs/>
          <w:color w:val="0000FF"/>
          <w:sz w:val="22"/>
        </w:rPr>
        <w:t xml:space="preserve">coefficients. Final risk adjustor selection was based on a combination of clinical reasoning and statistical findings. </w:t>
      </w:r>
    </w:p>
    <w:p w14:paraId="1DE6416C" w14:textId="4A66E0FB" w:rsidR="00B11E91" w:rsidRPr="00A11A8E" w:rsidRDefault="00B11E91" w:rsidP="00743C44">
      <w:pPr>
        <w:pStyle w:val="BodyText"/>
        <w:rPr>
          <w:rFonts w:asciiTheme="minorHAnsi" w:eastAsiaTheme="minorEastAsia" w:hAnsiTheme="minorHAnsi" w:cstheme="minorBidi"/>
          <w:iCs/>
          <w:color w:val="0000FF"/>
          <w:sz w:val="22"/>
        </w:rPr>
      </w:pPr>
      <w:r w:rsidRPr="0071037F">
        <w:rPr>
          <w:rFonts w:asciiTheme="minorHAnsi" w:eastAsiaTheme="minorEastAsia" w:hAnsiTheme="minorHAnsi" w:cstheme="minorBidi"/>
          <w:iCs/>
          <w:color w:val="0000FF"/>
          <w:sz w:val="22"/>
        </w:rPr>
        <w:t>Once we</w:t>
      </w:r>
      <w:r w:rsidRPr="00A11A8E">
        <w:rPr>
          <w:rFonts w:asciiTheme="minorHAnsi" w:eastAsiaTheme="minorEastAsia" w:hAnsiTheme="minorHAnsi" w:cstheme="minorBidi"/>
          <w:iCs/>
          <w:color w:val="0000FF"/>
          <w:sz w:val="22"/>
        </w:rPr>
        <w:t xml:space="preserve"> determined the final set of risk adjustors using ordinary least squares multiple linear regression, we ran a </w:t>
      </w:r>
      <w:r w:rsidRPr="00A11A8E">
        <w:rPr>
          <w:color w:val="0000FF"/>
          <w:sz w:val="22"/>
        </w:rPr>
        <w:t>generalized linear model using generalized estimation equations (</w:t>
      </w:r>
      <w:r w:rsidRPr="00181743">
        <w:rPr>
          <w:color w:val="0000FF"/>
          <w:sz w:val="22"/>
        </w:rPr>
        <w:t>GEE</w:t>
      </w:r>
      <w:r w:rsidRPr="00A11A8E">
        <w:rPr>
          <w:color w:val="0000FF"/>
          <w:sz w:val="22"/>
        </w:rPr>
        <w:t>) as the estimation method to account for clustering of data</w:t>
      </w:r>
      <w:r w:rsidRPr="00A11A8E">
        <w:rPr>
          <w:rFonts w:asciiTheme="minorHAnsi" w:eastAsiaTheme="minorEastAsia" w:hAnsiTheme="minorHAnsi" w:cstheme="minorBidi"/>
          <w:iCs/>
          <w:color w:val="0000FF"/>
          <w:sz w:val="22"/>
        </w:rPr>
        <w:t xml:space="preserve"> within each IRF. The </w:t>
      </w:r>
      <w:r w:rsidRPr="00A11A8E">
        <w:rPr>
          <w:color w:val="0000FF"/>
          <w:sz w:val="22"/>
        </w:rPr>
        <w:t xml:space="preserve">generalized estimation equations </w:t>
      </w:r>
      <w:r w:rsidRPr="00A11A8E">
        <w:rPr>
          <w:rFonts w:asciiTheme="minorHAnsi" w:eastAsiaTheme="minorEastAsia" w:hAnsiTheme="minorHAnsi" w:cstheme="minorBidi"/>
          <w:iCs/>
          <w:color w:val="0000FF"/>
          <w:sz w:val="22"/>
        </w:rPr>
        <w:t xml:space="preserve">method accounted for potentially correlated outcomes of patients within the same IRF, in addition to </w:t>
      </w:r>
      <w:r w:rsidR="00FC1CBF">
        <w:rPr>
          <w:rFonts w:asciiTheme="minorHAnsi" w:eastAsiaTheme="minorEastAsia" w:hAnsiTheme="minorHAnsi" w:cstheme="minorBidi"/>
          <w:iCs/>
          <w:color w:val="0000FF"/>
          <w:sz w:val="22"/>
        </w:rPr>
        <w:t>risk adjust</w:t>
      </w:r>
      <w:r w:rsidRPr="00A11A8E">
        <w:rPr>
          <w:rFonts w:asciiTheme="minorHAnsi" w:eastAsiaTheme="minorEastAsia" w:hAnsiTheme="minorHAnsi" w:cstheme="minorBidi"/>
          <w:iCs/>
          <w:color w:val="0000FF"/>
          <w:sz w:val="22"/>
        </w:rPr>
        <w:t xml:space="preserve">ing the </w:t>
      </w:r>
      <w:r w:rsidR="00743C44">
        <w:rPr>
          <w:rFonts w:asciiTheme="minorHAnsi" w:eastAsiaTheme="minorEastAsia" w:hAnsiTheme="minorHAnsi" w:cstheme="minorBidi"/>
          <w:iCs/>
          <w:color w:val="0000FF"/>
          <w:sz w:val="22"/>
        </w:rPr>
        <w:t>discharge</w:t>
      </w:r>
      <w:r w:rsidRPr="00A11A8E">
        <w:rPr>
          <w:rFonts w:asciiTheme="minorHAnsi" w:eastAsiaTheme="minorEastAsia" w:hAnsiTheme="minorHAnsi" w:cstheme="minorBidi"/>
          <w:iCs/>
          <w:color w:val="0000FF"/>
          <w:sz w:val="22"/>
        </w:rPr>
        <w:t xml:space="preserve"> self-care </w:t>
      </w:r>
      <w:r w:rsidR="00743C44">
        <w:rPr>
          <w:rFonts w:asciiTheme="minorHAnsi" w:eastAsiaTheme="minorEastAsia" w:hAnsiTheme="minorHAnsi" w:cstheme="minorBidi"/>
          <w:iCs/>
          <w:color w:val="0000FF"/>
          <w:sz w:val="22"/>
        </w:rPr>
        <w:t>score</w:t>
      </w:r>
      <w:r w:rsidRPr="00A11A8E">
        <w:rPr>
          <w:rFonts w:asciiTheme="minorHAnsi" w:eastAsiaTheme="minorEastAsia" w:hAnsiTheme="minorHAnsi" w:cstheme="minorBidi"/>
          <w:iCs/>
          <w:color w:val="0000FF"/>
          <w:sz w:val="22"/>
        </w:rPr>
        <w:t xml:space="preserve"> using the final set of risk adjustors. </w:t>
      </w:r>
    </w:p>
    <w:p w14:paraId="25687B71" w14:textId="01EE41BB" w:rsidR="00B11E91" w:rsidRPr="0014120C" w:rsidRDefault="00B11E91" w:rsidP="00B11E91">
      <w:pPr>
        <w:pStyle w:val="BodyText"/>
        <w:rPr>
          <w:rFonts w:asciiTheme="minorHAnsi" w:eastAsiaTheme="minorEastAsia" w:hAnsiTheme="minorHAnsi" w:cstheme="minorBidi"/>
          <w:iCs/>
          <w:color w:val="0000FF"/>
          <w:sz w:val="22"/>
        </w:rPr>
      </w:pPr>
      <w:r>
        <w:rPr>
          <w:rFonts w:asciiTheme="minorHAnsi" w:eastAsiaTheme="minorEastAsia" w:hAnsiTheme="minorHAnsi" w:cstheme="minorBidi"/>
          <w:iCs/>
          <w:color w:val="0000FF"/>
          <w:sz w:val="22"/>
        </w:rPr>
        <w:t xml:space="preserve">Risk adjustors included in the final model are </w:t>
      </w:r>
      <w:r w:rsidR="00FC1CBF">
        <w:rPr>
          <w:rFonts w:asciiTheme="minorHAnsi" w:eastAsiaTheme="minorEastAsia" w:hAnsiTheme="minorHAnsi" w:cstheme="minorBidi"/>
          <w:iCs/>
          <w:color w:val="0000FF"/>
          <w:sz w:val="22"/>
        </w:rPr>
        <w:t xml:space="preserve">described below, and </w:t>
      </w:r>
      <w:r>
        <w:rPr>
          <w:rFonts w:asciiTheme="minorHAnsi" w:eastAsiaTheme="minorEastAsia" w:hAnsiTheme="minorHAnsi" w:cstheme="minorBidi"/>
          <w:iCs/>
          <w:color w:val="0000FF"/>
          <w:sz w:val="22"/>
        </w:rPr>
        <w:t>also presented in Attachment 1.</w:t>
      </w:r>
    </w:p>
    <w:p w14:paraId="34546229" w14:textId="38262EBB" w:rsidR="00B11E91" w:rsidRPr="008F21AE" w:rsidRDefault="00B11E91" w:rsidP="00743C44">
      <w:pPr>
        <w:pStyle w:val="BodyText"/>
        <w:rPr>
          <w:iCs/>
          <w:color w:val="0000FF"/>
          <w:sz w:val="22"/>
        </w:rPr>
      </w:pPr>
      <w:r w:rsidRPr="0014120C">
        <w:rPr>
          <w:rFonts w:asciiTheme="minorHAnsi" w:eastAsiaTheme="minorEastAsia" w:hAnsiTheme="minorHAnsi" w:cstheme="minorBidi"/>
          <w:b/>
          <w:i/>
          <w:iCs/>
          <w:color w:val="0000FF"/>
          <w:sz w:val="22"/>
        </w:rPr>
        <w:t xml:space="preserve">Age </w:t>
      </w:r>
      <w:r>
        <w:rPr>
          <w:rFonts w:asciiTheme="minorHAnsi" w:eastAsiaTheme="minorEastAsia" w:hAnsiTheme="minorHAnsi" w:cstheme="minorBidi"/>
          <w:b/>
          <w:i/>
          <w:iCs/>
          <w:color w:val="0000FF"/>
          <w:sz w:val="22"/>
        </w:rPr>
        <w:t>G</w:t>
      </w:r>
      <w:r w:rsidRPr="0014120C">
        <w:rPr>
          <w:rFonts w:asciiTheme="minorHAnsi" w:eastAsiaTheme="minorEastAsia" w:hAnsiTheme="minorHAnsi" w:cstheme="minorBidi"/>
          <w:b/>
          <w:i/>
          <w:iCs/>
          <w:color w:val="0000FF"/>
          <w:sz w:val="22"/>
        </w:rPr>
        <w:t>roups:</w:t>
      </w:r>
      <w:r w:rsidRPr="0014120C">
        <w:rPr>
          <w:rFonts w:asciiTheme="minorHAnsi" w:eastAsiaTheme="minorEastAsia" w:hAnsiTheme="minorHAnsi" w:cstheme="minorBidi"/>
          <w:iCs/>
          <w:color w:val="0000FF"/>
          <w:sz w:val="22"/>
        </w:rPr>
        <w:t xml:space="preserve"> We </w:t>
      </w:r>
      <w:r w:rsidRPr="004B51D8">
        <w:rPr>
          <w:rFonts w:asciiTheme="minorHAnsi" w:eastAsiaTheme="minorEastAsia" w:hAnsiTheme="minorHAnsi" w:cstheme="minorBidi"/>
          <w:iCs/>
          <w:color w:val="0000FF"/>
          <w:sz w:val="22"/>
        </w:rPr>
        <w:t xml:space="preserve">included seven age groups in the risk adjustment model (&lt; 35 years, 35–44 years, 45–54 years, 55–64 years, </w:t>
      </w:r>
      <w:r w:rsidRPr="008F21AE">
        <w:rPr>
          <w:rFonts w:asciiTheme="minorHAnsi" w:eastAsiaTheme="minorEastAsia" w:hAnsiTheme="minorHAnsi" w:cstheme="minorBidi"/>
          <w:iCs/>
          <w:color w:val="0000FF"/>
          <w:sz w:val="22"/>
        </w:rPr>
        <w:t xml:space="preserve">75–84 years, 85–90 years, and ≥ 90 years). The age group 65–74 years formed the reference category. Age was not normally distributed in our sample, so it was more appropriate to use age groups in our analyses. </w:t>
      </w:r>
      <w:r w:rsidRPr="008F21AE">
        <w:rPr>
          <w:iCs/>
          <w:color w:val="0000FF"/>
          <w:sz w:val="22"/>
        </w:rPr>
        <w:t xml:space="preserve">When compared to the reference group (patients 65–74 years), patients younger than 35 years had significantly </w:t>
      </w:r>
      <w:r w:rsidR="00743C44" w:rsidRPr="008F21AE">
        <w:rPr>
          <w:iCs/>
          <w:color w:val="0000FF"/>
          <w:sz w:val="22"/>
        </w:rPr>
        <w:t>lower discharge</w:t>
      </w:r>
      <w:r w:rsidRPr="008F21AE">
        <w:rPr>
          <w:iCs/>
          <w:color w:val="0000FF"/>
          <w:sz w:val="22"/>
        </w:rPr>
        <w:t xml:space="preserve"> self-care scores (coefficient = -2.216, </w:t>
      </w:r>
      <w:r w:rsidRPr="008F21AE">
        <w:rPr>
          <w:i/>
          <w:iCs/>
          <w:color w:val="0000FF"/>
          <w:sz w:val="22"/>
        </w:rPr>
        <w:t>p</w:t>
      </w:r>
      <w:r w:rsidRPr="008F21AE">
        <w:rPr>
          <w:iCs/>
          <w:color w:val="0000FF"/>
          <w:sz w:val="22"/>
        </w:rPr>
        <w:t xml:space="preserve"> = 0.076). Patients 75–84 years (coefficient = -0.651, </w:t>
      </w:r>
      <w:r w:rsidRPr="008F21AE">
        <w:rPr>
          <w:i/>
          <w:iCs/>
          <w:color w:val="0000FF"/>
          <w:sz w:val="22"/>
        </w:rPr>
        <w:t>p</w:t>
      </w:r>
      <w:r w:rsidRPr="008F21AE">
        <w:rPr>
          <w:iCs/>
          <w:color w:val="0000FF"/>
          <w:sz w:val="22"/>
        </w:rPr>
        <w:t xml:space="preserve"> = 0.001</w:t>
      </w:r>
      <w:r w:rsidR="007E1891">
        <w:rPr>
          <w:iCs/>
          <w:color w:val="0000FF"/>
          <w:sz w:val="22"/>
        </w:rPr>
        <w:t>3</w:t>
      </w:r>
      <w:r w:rsidRPr="008F21AE">
        <w:rPr>
          <w:iCs/>
          <w:color w:val="0000FF"/>
          <w:sz w:val="22"/>
        </w:rPr>
        <w:t xml:space="preserve">), 85–90 years (coefficient = -1.528, </w:t>
      </w:r>
      <w:r w:rsidRPr="008F21AE">
        <w:rPr>
          <w:i/>
          <w:iCs/>
          <w:color w:val="0000FF"/>
          <w:sz w:val="22"/>
        </w:rPr>
        <w:t>p</w:t>
      </w:r>
      <w:r w:rsidRPr="008F21AE">
        <w:rPr>
          <w:iCs/>
          <w:color w:val="0000FF"/>
          <w:sz w:val="22"/>
        </w:rPr>
        <w:t xml:space="preserve"> &lt; 0.0001), and over 90 years (coefficient = -2.246, </w:t>
      </w:r>
      <w:r w:rsidRPr="008F21AE">
        <w:rPr>
          <w:i/>
          <w:iCs/>
          <w:color w:val="0000FF"/>
          <w:sz w:val="22"/>
        </w:rPr>
        <w:t>p</w:t>
      </w:r>
      <w:r w:rsidRPr="008F21AE">
        <w:rPr>
          <w:iCs/>
          <w:color w:val="0000FF"/>
          <w:sz w:val="22"/>
        </w:rPr>
        <w:t xml:space="preserve"> &lt; </w:t>
      </w:r>
      <w:r w:rsidR="00872F24" w:rsidRPr="008F21AE">
        <w:rPr>
          <w:iCs/>
          <w:color w:val="0000FF"/>
          <w:sz w:val="22"/>
        </w:rPr>
        <w:t>0</w:t>
      </w:r>
      <w:r w:rsidRPr="008F21AE">
        <w:rPr>
          <w:iCs/>
          <w:color w:val="0000FF"/>
          <w:sz w:val="22"/>
        </w:rPr>
        <w:t xml:space="preserve">.0001) also had significantly, and progressively, </w:t>
      </w:r>
      <w:r w:rsidR="00743C44" w:rsidRPr="008F21AE">
        <w:rPr>
          <w:iCs/>
          <w:color w:val="0000FF"/>
          <w:sz w:val="22"/>
        </w:rPr>
        <w:t>lower discharge</w:t>
      </w:r>
      <w:r w:rsidRPr="008F21AE">
        <w:rPr>
          <w:iCs/>
          <w:color w:val="0000FF"/>
          <w:sz w:val="22"/>
        </w:rPr>
        <w:t xml:space="preserve"> self-care scores than patients in the reference category. Patients 35–44 years, 45–54 years, and 55–64 years did not have significantly different </w:t>
      </w:r>
      <w:r w:rsidR="00743C44" w:rsidRPr="008F21AE">
        <w:rPr>
          <w:iCs/>
          <w:color w:val="0000FF"/>
          <w:sz w:val="22"/>
        </w:rPr>
        <w:t>discharge</w:t>
      </w:r>
      <w:r w:rsidRPr="008F21AE">
        <w:rPr>
          <w:iCs/>
          <w:color w:val="0000FF"/>
          <w:sz w:val="22"/>
        </w:rPr>
        <w:t xml:space="preserve"> scores compared with the reference category. Nevertheless, we chose not to collapse these groups based on public comment feedback regarding the clinical importance of maintaining fine discrimination among age groups.</w:t>
      </w:r>
    </w:p>
    <w:p w14:paraId="3C7099B4" w14:textId="2C5C41A8" w:rsidR="00450BC0" w:rsidRPr="0014120C" w:rsidRDefault="00450BC0" w:rsidP="00450BC0">
      <w:pPr>
        <w:pStyle w:val="BodyText"/>
        <w:rPr>
          <w:rFonts w:asciiTheme="minorHAnsi" w:eastAsiaTheme="minorEastAsia" w:hAnsiTheme="minorHAnsi" w:cstheme="minorBidi"/>
          <w:iCs/>
          <w:color w:val="0000FF"/>
          <w:sz w:val="22"/>
        </w:rPr>
      </w:pPr>
      <w:r w:rsidRPr="008F21AE">
        <w:rPr>
          <w:rFonts w:asciiTheme="minorHAnsi" w:eastAsiaTheme="minorEastAsia" w:hAnsiTheme="minorHAnsi" w:cstheme="minorBidi"/>
          <w:b/>
          <w:i/>
          <w:iCs/>
          <w:color w:val="0000FF"/>
          <w:sz w:val="22"/>
        </w:rPr>
        <w:t>Admission Self-Care Scores:</w:t>
      </w:r>
      <w:r w:rsidRPr="008F21AE">
        <w:rPr>
          <w:rFonts w:asciiTheme="minorHAnsi" w:eastAsiaTheme="minorEastAsia" w:hAnsiTheme="minorHAnsi" w:cstheme="minorBidi"/>
          <w:iCs/>
          <w:color w:val="0000FF"/>
          <w:sz w:val="22"/>
        </w:rPr>
        <w:t xml:space="preserve"> Since discharge self-care scores may vary based on admission self-care ability, we </w:t>
      </w:r>
      <w:r w:rsidR="00FC1CBF">
        <w:rPr>
          <w:rFonts w:asciiTheme="minorHAnsi" w:eastAsiaTheme="minorEastAsia" w:hAnsiTheme="minorHAnsi" w:cstheme="minorBidi"/>
          <w:iCs/>
          <w:color w:val="0000FF"/>
          <w:sz w:val="22"/>
        </w:rPr>
        <w:t>risk adjust</w:t>
      </w:r>
      <w:r w:rsidRPr="008F21AE">
        <w:rPr>
          <w:rFonts w:asciiTheme="minorHAnsi" w:eastAsiaTheme="minorEastAsia" w:hAnsiTheme="minorHAnsi" w:cstheme="minorBidi"/>
          <w:iCs/>
          <w:color w:val="0000FF"/>
          <w:sz w:val="22"/>
        </w:rPr>
        <w:t>ed for admission self-care scores in our regression model. We included admission self-care scores in continuous</w:t>
      </w:r>
      <w:r w:rsidR="00153BC1" w:rsidRPr="008F21AE">
        <w:rPr>
          <w:rFonts w:asciiTheme="minorHAnsi" w:eastAsiaTheme="minorEastAsia" w:hAnsiTheme="minorHAnsi" w:cstheme="minorBidi"/>
          <w:iCs/>
          <w:color w:val="0000FF"/>
          <w:sz w:val="22"/>
        </w:rPr>
        <w:t xml:space="preserve"> </w:t>
      </w:r>
      <w:r w:rsidRPr="008F21AE">
        <w:rPr>
          <w:rFonts w:asciiTheme="minorHAnsi" w:eastAsiaTheme="minorEastAsia" w:hAnsiTheme="minorHAnsi" w:cstheme="minorBidi"/>
          <w:iCs/>
          <w:color w:val="0000FF"/>
          <w:sz w:val="22"/>
        </w:rPr>
        <w:t xml:space="preserve">and squared </w:t>
      </w:r>
      <w:r w:rsidR="00153BC1" w:rsidRPr="008F21AE">
        <w:rPr>
          <w:rFonts w:asciiTheme="minorHAnsi" w:eastAsiaTheme="minorEastAsia" w:hAnsiTheme="minorHAnsi" w:cstheme="minorBidi"/>
          <w:iCs/>
          <w:color w:val="0000FF"/>
          <w:sz w:val="22"/>
        </w:rPr>
        <w:t>forms in the model</w:t>
      </w:r>
      <w:r w:rsidRPr="008F21AE">
        <w:rPr>
          <w:rFonts w:asciiTheme="minorHAnsi" w:eastAsiaTheme="minorEastAsia" w:hAnsiTheme="minorHAnsi" w:cstheme="minorBidi"/>
          <w:iCs/>
          <w:color w:val="0000FF"/>
          <w:sz w:val="22"/>
        </w:rPr>
        <w:t xml:space="preserve">. Both the continuous (coefficient = 1.044, </w:t>
      </w:r>
      <w:r w:rsidRPr="008F21AE">
        <w:rPr>
          <w:rFonts w:asciiTheme="minorHAnsi" w:eastAsiaTheme="minorEastAsia" w:hAnsiTheme="minorHAnsi" w:cstheme="minorBidi"/>
          <w:i/>
          <w:iCs/>
          <w:color w:val="0000FF"/>
          <w:sz w:val="22"/>
        </w:rPr>
        <w:t>p</w:t>
      </w:r>
      <w:r w:rsidRPr="008F21AE">
        <w:rPr>
          <w:rFonts w:asciiTheme="minorHAnsi" w:eastAsiaTheme="minorEastAsia" w:hAnsiTheme="minorHAnsi" w:cstheme="minorBidi"/>
          <w:iCs/>
          <w:color w:val="0000FF"/>
          <w:sz w:val="22"/>
        </w:rPr>
        <w:t xml:space="preserve"> &lt; 0.0001) and squared (coefficient = -0.016, </w:t>
      </w:r>
      <w:r w:rsidRPr="008F21AE">
        <w:rPr>
          <w:rFonts w:asciiTheme="minorHAnsi" w:eastAsiaTheme="minorEastAsia" w:hAnsiTheme="minorHAnsi" w:cstheme="minorBidi"/>
          <w:i/>
          <w:iCs/>
          <w:color w:val="0000FF"/>
          <w:sz w:val="22"/>
        </w:rPr>
        <w:t>p</w:t>
      </w:r>
      <w:r w:rsidRPr="008F21AE">
        <w:rPr>
          <w:rFonts w:asciiTheme="minorHAnsi" w:eastAsiaTheme="minorEastAsia" w:hAnsiTheme="minorHAnsi" w:cstheme="minorBidi"/>
          <w:iCs/>
          <w:color w:val="0000FF"/>
          <w:sz w:val="22"/>
        </w:rPr>
        <w:t xml:space="preserve"> &lt; 0.0001) forms of admission self-care scores were significant. Higher admission self-care scores predicted higher discharge self-care scores.</w:t>
      </w:r>
    </w:p>
    <w:p w14:paraId="42D4B676" w14:textId="289FFD2E" w:rsidR="008D65B0" w:rsidRPr="008F21AE" w:rsidRDefault="008D65B0" w:rsidP="00743C44">
      <w:pPr>
        <w:pStyle w:val="BodyText"/>
        <w:rPr>
          <w:rFonts w:asciiTheme="minorHAnsi" w:eastAsiaTheme="minorEastAsia" w:hAnsiTheme="minorHAnsi" w:cstheme="minorBidi"/>
          <w:iCs/>
          <w:color w:val="0000FF"/>
          <w:sz w:val="22"/>
        </w:rPr>
      </w:pPr>
      <w:r w:rsidRPr="0014120C">
        <w:rPr>
          <w:rFonts w:asciiTheme="minorHAnsi" w:eastAsiaTheme="minorEastAsia" w:hAnsiTheme="minorHAnsi" w:cstheme="minorBidi"/>
          <w:b/>
          <w:i/>
          <w:iCs/>
          <w:color w:val="0000FF"/>
          <w:sz w:val="22"/>
        </w:rPr>
        <w:t>Pri</w:t>
      </w:r>
      <w:r>
        <w:rPr>
          <w:rFonts w:asciiTheme="minorHAnsi" w:eastAsiaTheme="minorEastAsia" w:hAnsiTheme="minorHAnsi" w:cstheme="minorBidi"/>
          <w:b/>
          <w:i/>
          <w:iCs/>
          <w:color w:val="0000FF"/>
          <w:sz w:val="22"/>
        </w:rPr>
        <w:t>mary</w:t>
      </w:r>
      <w:r w:rsidRPr="0014120C">
        <w:rPr>
          <w:rFonts w:asciiTheme="minorHAnsi" w:eastAsiaTheme="minorEastAsia" w:hAnsiTheme="minorHAnsi" w:cstheme="minorBidi"/>
          <w:b/>
          <w:i/>
          <w:iCs/>
          <w:color w:val="0000FF"/>
          <w:sz w:val="22"/>
        </w:rPr>
        <w:t xml:space="preserve"> Diagnosis Groups </w:t>
      </w:r>
      <w:r>
        <w:rPr>
          <w:rFonts w:asciiTheme="minorHAnsi" w:eastAsiaTheme="minorEastAsia" w:hAnsiTheme="minorHAnsi" w:cstheme="minorBidi"/>
          <w:b/>
          <w:i/>
          <w:iCs/>
          <w:color w:val="0000FF"/>
          <w:sz w:val="22"/>
        </w:rPr>
        <w:t>B</w:t>
      </w:r>
      <w:r w:rsidRPr="0014120C">
        <w:rPr>
          <w:rFonts w:asciiTheme="minorHAnsi" w:eastAsiaTheme="minorEastAsia" w:hAnsiTheme="minorHAnsi" w:cstheme="minorBidi"/>
          <w:b/>
          <w:i/>
          <w:iCs/>
          <w:color w:val="0000FF"/>
          <w:sz w:val="22"/>
        </w:rPr>
        <w:t xml:space="preserve">ased on </w:t>
      </w:r>
      <w:r>
        <w:rPr>
          <w:rFonts w:asciiTheme="minorHAnsi" w:eastAsiaTheme="minorEastAsia" w:hAnsiTheme="minorHAnsi" w:cstheme="minorBidi"/>
          <w:b/>
          <w:i/>
          <w:iCs/>
          <w:color w:val="0000FF"/>
          <w:sz w:val="22"/>
        </w:rPr>
        <w:t>IRF</w:t>
      </w:r>
      <w:r w:rsidRPr="0014120C">
        <w:rPr>
          <w:rFonts w:asciiTheme="minorHAnsi" w:eastAsiaTheme="minorEastAsia" w:hAnsiTheme="minorHAnsi" w:cstheme="minorBidi"/>
          <w:b/>
          <w:i/>
          <w:iCs/>
          <w:color w:val="0000FF"/>
          <w:sz w:val="22"/>
        </w:rPr>
        <w:t xml:space="preserve"> </w:t>
      </w:r>
      <w:r w:rsidR="0047295A" w:rsidRPr="0014120C">
        <w:rPr>
          <w:rFonts w:asciiTheme="minorHAnsi" w:eastAsiaTheme="minorEastAsia" w:hAnsiTheme="minorHAnsi" w:cstheme="minorBidi"/>
          <w:b/>
          <w:i/>
          <w:iCs/>
          <w:color w:val="0000FF"/>
          <w:sz w:val="22"/>
        </w:rPr>
        <w:t>Pri</w:t>
      </w:r>
      <w:r w:rsidR="0047295A">
        <w:rPr>
          <w:rFonts w:asciiTheme="minorHAnsi" w:eastAsiaTheme="minorEastAsia" w:hAnsiTheme="minorHAnsi" w:cstheme="minorBidi"/>
          <w:b/>
          <w:i/>
          <w:iCs/>
          <w:color w:val="0000FF"/>
          <w:sz w:val="22"/>
        </w:rPr>
        <w:t>mary</w:t>
      </w:r>
      <w:r w:rsidR="0047295A" w:rsidRPr="0014120C">
        <w:rPr>
          <w:rFonts w:asciiTheme="minorHAnsi" w:eastAsiaTheme="minorEastAsia" w:hAnsiTheme="minorHAnsi" w:cstheme="minorBidi"/>
          <w:b/>
          <w:i/>
          <w:iCs/>
          <w:color w:val="0000FF"/>
          <w:sz w:val="22"/>
        </w:rPr>
        <w:t xml:space="preserve"> </w:t>
      </w:r>
      <w:r w:rsidRPr="0014120C">
        <w:rPr>
          <w:rFonts w:asciiTheme="minorHAnsi" w:eastAsiaTheme="minorEastAsia" w:hAnsiTheme="minorHAnsi" w:cstheme="minorBidi"/>
          <w:b/>
          <w:i/>
          <w:iCs/>
          <w:color w:val="0000FF"/>
          <w:sz w:val="22"/>
        </w:rPr>
        <w:t>Diagnosis:</w:t>
      </w:r>
      <w:r w:rsidRPr="0014120C">
        <w:rPr>
          <w:rFonts w:asciiTheme="minorHAnsi" w:eastAsiaTheme="minorEastAsia" w:hAnsiTheme="minorHAnsi" w:cstheme="minorBidi"/>
          <w:iCs/>
          <w:color w:val="0000FF"/>
          <w:sz w:val="22"/>
        </w:rPr>
        <w:t xml:space="preserve"> </w:t>
      </w:r>
      <w:r>
        <w:rPr>
          <w:rFonts w:asciiTheme="minorHAnsi" w:eastAsiaTheme="minorEastAsia" w:hAnsiTheme="minorHAnsi" w:cstheme="minorBidi"/>
          <w:iCs/>
          <w:color w:val="0000FF"/>
          <w:sz w:val="22"/>
        </w:rPr>
        <w:t xml:space="preserve">The expert panel members agreed that medical diagnosis was an </w:t>
      </w:r>
      <w:r w:rsidRPr="008F21AE">
        <w:rPr>
          <w:rFonts w:asciiTheme="minorHAnsi" w:eastAsiaTheme="minorEastAsia" w:hAnsiTheme="minorHAnsi" w:cstheme="minorBidi"/>
          <w:iCs/>
          <w:color w:val="0000FF"/>
          <w:sz w:val="22"/>
        </w:rPr>
        <w:t xml:space="preserve">important risk adjustor, and they unanimously recommended using the IRF primary diagnosis rather than the </w:t>
      </w:r>
      <w:r w:rsidR="0047295A">
        <w:rPr>
          <w:rFonts w:asciiTheme="minorHAnsi" w:eastAsiaTheme="minorEastAsia" w:hAnsiTheme="minorHAnsi" w:cstheme="minorBidi"/>
          <w:iCs/>
          <w:color w:val="0000FF"/>
          <w:sz w:val="22"/>
        </w:rPr>
        <w:t>primary</w:t>
      </w:r>
      <w:r w:rsidR="0047295A" w:rsidRPr="008F21AE">
        <w:rPr>
          <w:rFonts w:asciiTheme="minorHAnsi" w:eastAsiaTheme="minorEastAsia" w:hAnsiTheme="minorHAnsi" w:cstheme="minorBidi"/>
          <w:iCs/>
          <w:color w:val="0000FF"/>
          <w:sz w:val="22"/>
        </w:rPr>
        <w:t xml:space="preserve"> </w:t>
      </w:r>
      <w:r w:rsidRPr="008F21AE">
        <w:rPr>
          <w:rFonts w:asciiTheme="minorHAnsi" w:eastAsiaTheme="minorEastAsia" w:hAnsiTheme="minorHAnsi" w:cstheme="minorBidi"/>
          <w:iCs/>
          <w:color w:val="0000FF"/>
          <w:sz w:val="22"/>
        </w:rPr>
        <w:t xml:space="preserve">diagnosis from the prior acute care stay in the risk adjustment model. We used Impairment Group codes reported on the IRF-PAI (Item 21) to create the following 13 mutually-exclusive primary diagnosis groups: (1) stroke, (2) non-traumatic brain dysfunction, (3) traumatic brain dysfunction, (4) non-traumatic spinal cord dysfunction, (5) traumatic spinal cord dysfunction, (6) progressive neurological conditions, (7) other neurological conditions (for e.g., </w:t>
      </w:r>
      <w:r w:rsidRPr="008F21AE">
        <w:rPr>
          <w:rFonts w:asciiTheme="minorHAnsi" w:eastAsiaTheme="minorEastAsia" w:hAnsiTheme="minorHAnsi" w:cstheme="minorBidi"/>
          <w:iCs/>
          <w:color w:val="0000FF"/>
          <w:sz w:val="22"/>
        </w:rPr>
        <w:lastRenderedPageBreak/>
        <w:t xml:space="preserve">polyneuropathy), (8) fracture and other multiple trauma, (9) hip and knee replacements, (10) amputation, (11) other orthopedic conditions (for e.g., arthritis), (12) debility and cardiorespiratory conditions, and (13) medically complex conditions. </w:t>
      </w:r>
      <w:r w:rsidRPr="008F21AE">
        <w:rPr>
          <w:rFonts w:asciiTheme="minorHAnsi" w:hAnsiTheme="minorHAnsi"/>
          <w:color w:val="0000FF"/>
          <w:sz w:val="22"/>
        </w:rPr>
        <w:t xml:space="preserve">“Hip and knee replacements” formed the reference category, and the remaining 12 </w:t>
      </w:r>
      <w:r w:rsidR="0047295A">
        <w:rPr>
          <w:rFonts w:asciiTheme="minorHAnsi" w:hAnsiTheme="minorHAnsi"/>
          <w:color w:val="0000FF"/>
          <w:sz w:val="22"/>
        </w:rPr>
        <w:t>primary</w:t>
      </w:r>
      <w:r w:rsidR="0047295A" w:rsidRPr="008F21AE">
        <w:rPr>
          <w:rFonts w:asciiTheme="minorHAnsi" w:hAnsiTheme="minorHAnsi"/>
          <w:color w:val="0000FF"/>
          <w:sz w:val="22"/>
        </w:rPr>
        <w:t xml:space="preserve"> </w:t>
      </w:r>
      <w:r w:rsidRPr="008F21AE">
        <w:rPr>
          <w:rFonts w:asciiTheme="minorHAnsi" w:hAnsiTheme="minorHAnsi"/>
          <w:color w:val="0000FF"/>
          <w:sz w:val="22"/>
        </w:rPr>
        <w:t xml:space="preserve">diagnosis groups were risk adjustors in the model. </w:t>
      </w:r>
      <w:r w:rsidRPr="008F21AE">
        <w:rPr>
          <w:rFonts w:asciiTheme="minorHAnsi" w:eastAsiaTheme="minorEastAsia" w:hAnsiTheme="minorHAnsi" w:cstheme="minorBidi"/>
          <w:iCs/>
          <w:color w:val="0000FF"/>
          <w:sz w:val="22"/>
        </w:rPr>
        <w:t xml:space="preserve">When compared to the reference category, all diagnosis groups were significant predictors of </w:t>
      </w:r>
      <w:r w:rsidR="00743C44" w:rsidRPr="008F21AE">
        <w:rPr>
          <w:rFonts w:asciiTheme="minorHAnsi" w:eastAsiaTheme="minorEastAsia" w:hAnsiTheme="minorHAnsi" w:cstheme="minorBidi"/>
          <w:iCs/>
          <w:color w:val="0000FF"/>
          <w:sz w:val="22"/>
        </w:rPr>
        <w:t>discharge</w:t>
      </w:r>
      <w:r w:rsidRPr="008F21AE">
        <w:rPr>
          <w:rFonts w:asciiTheme="minorHAnsi" w:eastAsiaTheme="minorEastAsia" w:hAnsiTheme="minorHAnsi" w:cstheme="minorBidi"/>
          <w:iCs/>
          <w:color w:val="0000FF"/>
          <w:sz w:val="22"/>
        </w:rPr>
        <w:t xml:space="preserve"> self-care scores, with the exception of the “non-traumatic brain dysfunction” and “medically complex</w:t>
      </w:r>
      <w:r w:rsidR="00FC1CBF">
        <w:rPr>
          <w:rFonts w:asciiTheme="minorHAnsi" w:eastAsiaTheme="minorEastAsia" w:hAnsiTheme="minorHAnsi" w:cstheme="minorBidi"/>
          <w:iCs/>
          <w:color w:val="0000FF"/>
          <w:sz w:val="22"/>
        </w:rPr>
        <w:t xml:space="preserve"> conditions</w:t>
      </w:r>
      <w:r w:rsidRPr="008F21AE">
        <w:rPr>
          <w:rFonts w:asciiTheme="minorHAnsi" w:eastAsiaTheme="minorEastAsia" w:hAnsiTheme="minorHAnsi" w:cstheme="minorBidi"/>
          <w:iCs/>
          <w:color w:val="0000FF"/>
          <w:sz w:val="22"/>
        </w:rPr>
        <w:t xml:space="preserve">” groups. The remaining ten </w:t>
      </w:r>
      <w:r w:rsidR="0047295A">
        <w:rPr>
          <w:rFonts w:asciiTheme="minorHAnsi" w:eastAsiaTheme="minorEastAsia" w:hAnsiTheme="minorHAnsi" w:cstheme="minorBidi"/>
          <w:iCs/>
          <w:color w:val="0000FF"/>
          <w:sz w:val="22"/>
        </w:rPr>
        <w:t>primary</w:t>
      </w:r>
      <w:r w:rsidR="0047295A" w:rsidRPr="008F21AE">
        <w:rPr>
          <w:rFonts w:asciiTheme="minorHAnsi" w:eastAsiaTheme="minorEastAsia" w:hAnsiTheme="minorHAnsi" w:cstheme="minorBidi"/>
          <w:iCs/>
          <w:color w:val="0000FF"/>
          <w:sz w:val="22"/>
        </w:rPr>
        <w:t xml:space="preserve"> </w:t>
      </w:r>
      <w:r w:rsidRPr="008F21AE">
        <w:rPr>
          <w:rFonts w:asciiTheme="minorHAnsi" w:eastAsiaTheme="minorEastAsia" w:hAnsiTheme="minorHAnsi" w:cstheme="minorBidi"/>
          <w:iCs/>
          <w:color w:val="0000FF"/>
          <w:sz w:val="22"/>
        </w:rPr>
        <w:t xml:space="preserve">diagnosis groups had significantly </w:t>
      </w:r>
      <w:r w:rsidR="00743C44" w:rsidRPr="008F21AE">
        <w:rPr>
          <w:rFonts w:asciiTheme="minorHAnsi" w:eastAsiaTheme="minorEastAsia" w:hAnsiTheme="minorHAnsi" w:cstheme="minorBidi"/>
          <w:iCs/>
          <w:color w:val="0000FF"/>
          <w:sz w:val="22"/>
        </w:rPr>
        <w:t>lower discharge</w:t>
      </w:r>
      <w:r w:rsidRPr="008F21AE">
        <w:rPr>
          <w:rFonts w:asciiTheme="minorHAnsi" w:eastAsiaTheme="minorEastAsia" w:hAnsiTheme="minorHAnsi" w:cstheme="minorBidi"/>
          <w:iCs/>
          <w:color w:val="0000FF"/>
          <w:sz w:val="22"/>
        </w:rPr>
        <w:t xml:space="preserve"> self-care scores compared with the “hip and knee replacements” group. The “traumatic spinal cord dysfunction” group had the largest coefficient (-10.715, </w:t>
      </w:r>
      <w:r w:rsidRPr="008F21AE">
        <w:rPr>
          <w:rFonts w:asciiTheme="minorHAnsi" w:eastAsiaTheme="minorEastAsia" w:hAnsiTheme="minorHAnsi" w:cstheme="minorBidi"/>
          <w:i/>
          <w:iCs/>
          <w:color w:val="0000FF"/>
          <w:sz w:val="22"/>
        </w:rPr>
        <w:t>p</w:t>
      </w:r>
      <w:r w:rsidRPr="008F21AE">
        <w:rPr>
          <w:rFonts w:asciiTheme="minorHAnsi" w:eastAsiaTheme="minorEastAsia" w:hAnsiTheme="minorHAnsi" w:cstheme="minorBidi"/>
          <w:iCs/>
          <w:color w:val="0000FF"/>
          <w:sz w:val="22"/>
        </w:rPr>
        <w:t xml:space="preserve"> &lt; 0.0001</w:t>
      </w:r>
      <w:r w:rsidR="00193ACD">
        <w:rPr>
          <w:rFonts w:asciiTheme="minorHAnsi" w:eastAsiaTheme="minorEastAsia" w:hAnsiTheme="minorHAnsi" w:cstheme="minorBidi"/>
          <w:iCs/>
          <w:color w:val="0000FF"/>
          <w:sz w:val="22"/>
        </w:rPr>
        <w:t>)</w:t>
      </w:r>
      <w:r w:rsidRPr="008F21AE">
        <w:rPr>
          <w:rFonts w:asciiTheme="minorHAnsi" w:eastAsiaTheme="minorEastAsia" w:hAnsiTheme="minorHAnsi" w:cstheme="minorBidi"/>
          <w:iCs/>
          <w:color w:val="0000FF"/>
          <w:sz w:val="22"/>
        </w:rPr>
        <w:t>.</w:t>
      </w:r>
    </w:p>
    <w:p w14:paraId="7568B4B7" w14:textId="330206E4" w:rsidR="008D65B0" w:rsidRPr="0014120C" w:rsidRDefault="008D65B0" w:rsidP="00743C44">
      <w:pPr>
        <w:pStyle w:val="BodyText"/>
        <w:rPr>
          <w:rFonts w:asciiTheme="minorHAnsi" w:eastAsiaTheme="minorEastAsia" w:hAnsiTheme="minorHAnsi" w:cstheme="minorBidi"/>
          <w:iCs/>
          <w:color w:val="0000FF"/>
          <w:sz w:val="22"/>
        </w:rPr>
      </w:pPr>
      <w:r w:rsidRPr="008F21AE">
        <w:rPr>
          <w:rFonts w:asciiTheme="minorHAnsi" w:eastAsiaTheme="minorEastAsia" w:hAnsiTheme="minorHAnsi" w:cstheme="minorBidi"/>
          <w:b/>
          <w:i/>
          <w:iCs/>
          <w:color w:val="0000FF"/>
          <w:sz w:val="22"/>
        </w:rPr>
        <w:t xml:space="preserve">Interaction </w:t>
      </w:r>
      <w:r w:rsidR="00602A12" w:rsidRPr="008F21AE">
        <w:rPr>
          <w:rFonts w:asciiTheme="minorHAnsi" w:eastAsiaTheme="minorEastAsia" w:hAnsiTheme="minorHAnsi" w:cstheme="minorBidi"/>
          <w:b/>
          <w:i/>
          <w:iCs/>
          <w:color w:val="0000FF"/>
          <w:sz w:val="22"/>
        </w:rPr>
        <w:t>b</w:t>
      </w:r>
      <w:r w:rsidRPr="008F21AE">
        <w:rPr>
          <w:rFonts w:asciiTheme="minorHAnsi" w:eastAsiaTheme="minorEastAsia" w:hAnsiTheme="minorHAnsi" w:cstheme="minorBidi"/>
          <w:b/>
          <w:i/>
          <w:iCs/>
          <w:color w:val="0000FF"/>
          <w:sz w:val="22"/>
        </w:rPr>
        <w:t xml:space="preserve">etween </w:t>
      </w:r>
      <w:r w:rsidR="0047295A">
        <w:rPr>
          <w:rFonts w:asciiTheme="minorHAnsi" w:eastAsiaTheme="minorEastAsia" w:hAnsiTheme="minorHAnsi" w:cstheme="minorBidi"/>
          <w:b/>
          <w:i/>
          <w:iCs/>
          <w:color w:val="0000FF"/>
          <w:sz w:val="22"/>
        </w:rPr>
        <w:t>Primary</w:t>
      </w:r>
      <w:r w:rsidR="0047295A" w:rsidRPr="008F21AE">
        <w:rPr>
          <w:rFonts w:asciiTheme="minorHAnsi" w:eastAsiaTheme="minorEastAsia" w:hAnsiTheme="minorHAnsi" w:cstheme="minorBidi"/>
          <w:b/>
          <w:i/>
          <w:iCs/>
          <w:color w:val="0000FF"/>
          <w:sz w:val="22"/>
        </w:rPr>
        <w:t xml:space="preserve"> </w:t>
      </w:r>
      <w:r w:rsidRPr="008F21AE">
        <w:rPr>
          <w:rFonts w:asciiTheme="minorHAnsi" w:eastAsiaTheme="minorEastAsia" w:hAnsiTheme="minorHAnsi" w:cstheme="minorBidi"/>
          <w:b/>
          <w:i/>
          <w:iCs/>
          <w:color w:val="0000FF"/>
          <w:sz w:val="22"/>
        </w:rPr>
        <w:t>Diagnosis Groups and Admission Self-Care Scores:</w:t>
      </w:r>
      <w:r w:rsidRPr="008F21AE">
        <w:rPr>
          <w:rFonts w:asciiTheme="minorHAnsi" w:eastAsiaTheme="minorEastAsia" w:hAnsiTheme="minorHAnsi" w:cstheme="minorBidi"/>
          <w:iCs/>
          <w:color w:val="0000FF"/>
          <w:sz w:val="22"/>
        </w:rPr>
        <w:t xml:space="preserve"> To account for the possibility that the relationship between admission self-care and </w:t>
      </w:r>
      <w:r w:rsidR="00743C44" w:rsidRPr="008F21AE">
        <w:rPr>
          <w:rFonts w:asciiTheme="minorHAnsi" w:eastAsiaTheme="minorEastAsia" w:hAnsiTheme="minorHAnsi" w:cstheme="minorBidi"/>
          <w:iCs/>
          <w:color w:val="0000FF"/>
          <w:sz w:val="22"/>
        </w:rPr>
        <w:t>discharge</w:t>
      </w:r>
      <w:r w:rsidRPr="008F21AE">
        <w:rPr>
          <w:rFonts w:asciiTheme="minorHAnsi" w:eastAsiaTheme="minorEastAsia" w:hAnsiTheme="minorHAnsi" w:cstheme="minorBidi"/>
          <w:iCs/>
          <w:color w:val="0000FF"/>
          <w:sz w:val="22"/>
        </w:rPr>
        <w:t xml:space="preserve"> self-care scores may vary based on the patient’s diagnosis group, we tested interaction terms between admission self-care scores</w:t>
      </w:r>
      <w:r w:rsidRPr="0014120C">
        <w:rPr>
          <w:rFonts w:asciiTheme="minorHAnsi" w:eastAsiaTheme="minorEastAsia" w:hAnsiTheme="minorHAnsi" w:cstheme="minorBidi"/>
          <w:iCs/>
          <w:color w:val="0000FF"/>
          <w:sz w:val="22"/>
        </w:rPr>
        <w:t xml:space="preserve"> (continuous form) and each diagnosis group included in the model. Thus, 12 interaction terms for admission self-care by diagnosis group were tested. </w:t>
      </w:r>
      <w:r>
        <w:rPr>
          <w:rFonts w:asciiTheme="minorHAnsi" w:eastAsiaTheme="minorEastAsia" w:hAnsiTheme="minorHAnsi" w:cstheme="minorBidi"/>
          <w:iCs/>
          <w:color w:val="0000FF"/>
          <w:sz w:val="22"/>
        </w:rPr>
        <w:t>Nine</w:t>
      </w:r>
      <w:r w:rsidRPr="0014120C">
        <w:rPr>
          <w:rFonts w:asciiTheme="minorHAnsi" w:eastAsiaTheme="minorEastAsia" w:hAnsiTheme="minorHAnsi" w:cstheme="minorBidi"/>
          <w:iCs/>
          <w:color w:val="0000FF"/>
          <w:sz w:val="22"/>
        </w:rPr>
        <w:t xml:space="preserve"> interaction terms were significant, as shown in </w:t>
      </w:r>
      <w:r>
        <w:rPr>
          <w:rFonts w:asciiTheme="minorHAnsi" w:eastAsiaTheme="minorEastAsia" w:hAnsiTheme="minorHAnsi" w:cstheme="minorBidi"/>
          <w:iCs/>
          <w:color w:val="0000FF"/>
          <w:sz w:val="22"/>
        </w:rPr>
        <w:t>Attachment 1</w:t>
      </w:r>
      <w:r w:rsidRPr="0014120C">
        <w:rPr>
          <w:rFonts w:asciiTheme="minorHAnsi" w:eastAsiaTheme="minorEastAsia" w:hAnsiTheme="minorHAnsi" w:cstheme="minorBidi"/>
          <w:iCs/>
          <w:color w:val="0000FF"/>
          <w:sz w:val="22"/>
        </w:rPr>
        <w:t xml:space="preserve">. </w:t>
      </w:r>
      <w:r>
        <w:rPr>
          <w:rFonts w:asciiTheme="minorHAnsi" w:eastAsiaTheme="minorEastAsia" w:hAnsiTheme="minorHAnsi" w:cstheme="minorBidi"/>
          <w:iCs/>
          <w:color w:val="0000FF"/>
          <w:sz w:val="22"/>
        </w:rPr>
        <w:t xml:space="preserve">All </w:t>
      </w:r>
      <w:r w:rsidRPr="0014120C">
        <w:rPr>
          <w:rFonts w:asciiTheme="minorHAnsi" w:eastAsiaTheme="minorEastAsia" w:hAnsiTheme="minorHAnsi" w:cstheme="minorBidi"/>
          <w:iCs/>
          <w:color w:val="0000FF"/>
          <w:sz w:val="22"/>
        </w:rPr>
        <w:t>interaction terms were retained in the model.</w:t>
      </w:r>
    </w:p>
    <w:p w14:paraId="4CE9C73E" w14:textId="6A830CA4" w:rsidR="008D65B0" w:rsidRPr="008F21AE" w:rsidRDefault="008D65B0" w:rsidP="00743C44">
      <w:pPr>
        <w:pStyle w:val="BodyText"/>
        <w:rPr>
          <w:rFonts w:asciiTheme="minorHAnsi" w:eastAsiaTheme="minorEastAsia" w:hAnsiTheme="minorHAnsi" w:cstheme="minorBidi"/>
          <w:iCs/>
          <w:color w:val="0000FF"/>
          <w:sz w:val="22"/>
        </w:rPr>
      </w:pPr>
      <w:r w:rsidRPr="0014120C">
        <w:rPr>
          <w:rFonts w:asciiTheme="minorHAnsi" w:eastAsiaTheme="minorEastAsia" w:hAnsiTheme="minorHAnsi" w:cstheme="minorBidi"/>
          <w:b/>
          <w:i/>
          <w:iCs/>
          <w:color w:val="0000FF"/>
          <w:sz w:val="22"/>
        </w:rPr>
        <w:t>Prior Acute or Long-Term Care Hospital</w:t>
      </w:r>
      <w:r w:rsidR="00FC1CBF">
        <w:rPr>
          <w:rFonts w:asciiTheme="minorHAnsi" w:eastAsiaTheme="minorEastAsia" w:hAnsiTheme="minorHAnsi" w:cstheme="minorBidi"/>
          <w:b/>
          <w:i/>
          <w:iCs/>
          <w:color w:val="0000FF"/>
          <w:sz w:val="22"/>
        </w:rPr>
        <w:t xml:space="preserve"> Primary Diagnosis (</w:t>
      </w:r>
      <w:r w:rsidR="00FC1CBF" w:rsidRPr="0014120C">
        <w:rPr>
          <w:rFonts w:asciiTheme="minorHAnsi" w:eastAsiaTheme="minorEastAsia" w:hAnsiTheme="minorHAnsi" w:cstheme="minorBidi"/>
          <w:b/>
          <w:i/>
          <w:iCs/>
          <w:color w:val="0000FF"/>
          <w:sz w:val="22"/>
        </w:rPr>
        <w:t xml:space="preserve">Surgical </w:t>
      </w:r>
      <w:r w:rsidR="00FC1CBF">
        <w:rPr>
          <w:rFonts w:asciiTheme="minorHAnsi" w:eastAsiaTheme="minorEastAsia" w:hAnsiTheme="minorHAnsi" w:cstheme="minorBidi"/>
          <w:b/>
          <w:i/>
          <w:iCs/>
          <w:color w:val="0000FF"/>
          <w:sz w:val="22"/>
        </w:rPr>
        <w:t>or</w:t>
      </w:r>
      <w:r w:rsidR="00FC1CBF" w:rsidRPr="0014120C">
        <w:rPr>
          <w:rFonts w:asciiTheme="minorHAnsi" w:eastAsiaTheme="minorEastAsia" w:hAnsiTheme="minorHAnsi" w:cstheme="minorBidi"/>
          <w:b/>
          <w:i/>
          <w:iCs/>
          <w:color w:val="0000FF"/>
          <w:sz w:val="22"/>
        </w:rPr>
        <w:t xml:space="preserve"> Medical</w:t>
      </w:r>
      <w:r w:rsidR="00FC1CBF">
        <w:rPr>
          <w:rFonts w:asciiTheme="minorHAnsi" w:eastAsiaTheme="minorEastAsia" w:hAnsiTheme="minorHAnsi" w:cstheme="minorBidi"/>
          <w:b/>
          <w:i/>
          <w:iCs/>
          <w:color w:val="0000FF"/>
          <w:sz w:val="22"/>
        </w:rPr>
        <w:t>)</w:t>
      </w:r>
      <w:r w:rsidRPr="0014120C">
        <w:rPr>
          <w:rFonts w:asciiTheme="minorHAnsi" w:eastAsiaTheme="minorEastAsia" w:hAnsiTheme="minorHAnsi" w:cstheme="minorBidi"/>
          <w:b/>
          <w:i/>
          <w:iCs/>
          <w:color w:val="0000FF"/>
          <w:sz w:val="22"/>
        </w:rPr>
        <w:t>:</w:t>
      </w:r>
      <w:r w:rsidRPr="0014120C">
        <w:rPr>
          <w:rFonts w:asciiTheme="minorHAnsi" w:eastAsiaTheme="minorEastAsia" w:hAnsiTheme="minorHAnsi" w:cstheme="minorBidi"/>
          <w:iCs/>
          <w:color w:val="0000FF"/>
          <w:sz w:val="22"/>
        </w:rPr>
        <w:t xml:space="preserve"> We classified primary diagnosis from the </w:t>
      </w:r>
      <w:r w:rsidRPr="008F21AE">
        <w:rPr>
          <w:rFonts w:asciiTheme="minorHAnsi" w:eastAsiaTheme="minorEastAsia" w:hAnsiTheme="minorHAnsi" w:cstheme="minorBidi"/>
          <w:iCs/>
          <w:color w:val="0000FF"/>
          <w:sz w:val="22"/>
        </w:rPr>
        <w:t>prior acute or long-term care hospital stay as surgical or medical. We included this indicator of surgical or medical diagnosis in the model, with the surgical category being the risk adjustor and the medical category, the reference group. Patients with a surgical diagnosis in the prior acute or l</w:t>
      </w:r>
      <w:r w:rsidRPr="008F21AE">
        <w:rPr>
          <w:bCs/>
          <w:color w:val="0000FF"/>
          <w:sz w:val="22"/>
        </w:rPr>
        <w:t>ong-term care hospital</w:t>
      </w:r>
      <w:r w:rsidRPr="008F21AE">
        <w:rPr>
          <w:rFonts w:asciiTheme="minorHAnsi" w:eastAsiaTheme="minorEastAsia" w:hAnsiTheme="minorHAnsi" w:cstheme="minorBidi"/>
          <w:iCs/>
          <w:color w:val="0000FF"/>
          <w:sz w:val="22"/>
        </w:rPr>
        <w:t xml:space="preserve"> had significantly </w:t>
      </w:r>
      <w:r w:rsidR="00743C44" w:rsidRPr="008F21AE">
        <w:rPr>
          <w:rFonts w:asciiTheme="minorHAnsi" w:eastAsiaTheme="minorEastAsia" w:hAnsiTheme="minorHAnsi" w:cstheme="minorBidi"/>
          <w:iCs/>
          <w:color w:val="0000FF"/>
          <w:sz w:val="22"/>
        </w:rPr>
        <w:t>higher discharge</w:t>
      </w:r>
      <w:r w:rsidRPr="008F21AE">
        <w:rPr>
          <w:rFonts w:asciiTheme="minorHAnsi" w:eastAsiaTheme="minorEastAsia" w:hAnsiTheme="minorHAnsi" w:cstheme="minorBidi"/>
          <w:iCs/>
          <w:color w:val="0000FF"/>
          <w:sz w:val="22"/>
        </w:rPr>
        <w:t xml:space="preserve"> self-care scores (coefficient = 0.755, </w:t>
      </w:r>
      <w:r w:rsidRPr="008F21AE">
        <w:rPr>
          <w:rFonts w:asciiTheme="minorHAnsi" w:eastAsiaTheme="minorEastAsia" w:hAnsiTheme="minorHAnsi" w:cstheme="minorBidi"/>
          <w:i/>
          <w:iCs/>
          <w:color w:val="0000FF"/>
          <w:sz w:val="22"/>
        </w:rPr>
        <w:t>p</w:t>
      </w:r>
      <w:r w:rsidRPr="008F21AE">
        <w:rPr>
          <w:rFonts w:asciiTheme="minorHAnsi" w:eastAsiaTheme="minorEastAsia" w:hAnsiTheme="minorHAnsi" w:cstheme="minorBidi"/>
          <w:iCs/>
          <w:color w:val="0000FF"/>
          <w:sz w:val="22"/>
        </w:rPr>
        <w:t xml:space="preserve"> = 0.0002) compared with the reference group.</w:t>
      </w:r>
    </w:p>
    <w:p w14:paraId="3F8D6B9E" w14:textId="27D81065" w:rsidR="008D65B0" w:rsidRPr="008F21AE" w:rsidRDefault="008D65B0" w:rsidP="00ED6191">
      <w:pPr>
        <w:pStyle w:val="BodyText"/>
        <w:rPr>
          <w:rFonts w:asciiTheme="minorHAnsi" w:hAnsiTheme="minorHAnsi"/>
          <w:sz w:val="22"/>
        </w:rPr>
      </w:pPr>
      <w:r w:rsidRPr="008F21AE">
        <w:rPr>
          <w:rFonts w:asciiTheme="minorHAnsi" w:eastAsiaTheme="minorEastAsia" w:hAnsiTheme="minorHAnsi" w:cstheme="minorBidi"/>
          <w:b/>
          <w:i/>
          <w:iCs/>
          <w:color w:val="0000FF"/>
          <w:sz w:val="22"/>
        </w:rPr>
        <w:t>Prior Functioning - Self-Care:</w:t>
      </w:r>
      <w:r w:rsidRPr="008F21AE">
        <w:rPr>
          <w:rFonts w:asciiTheme="minorHAnsi" w:eastAsiaTheme="minorEastAsia" w:hAnsiTheme="minorHAnsi" w:cstheme="minorBidi"/>
          <w:iCs/>
          <w:color w:val="0000FF"/>
          <w:sz w:val="22"/>
        </w:rPr>
        <w:t xml:space="preserve"> We included patients’ functional ability in self-care before onset of their current illness, injury or exacerbation, as a risk adjustor in the model. We included separate categories for patients who were </w:t>
      </w:r>
      <w:r w:rsidR="00E037C1">
        <w:rPr>
          <w:rFonts w:asciiTheme="minorHAnsi" w:eastAsiaTheme="minorEastAsia" w:hAnsiTheme="minorHAnsi" w:cstheme="minorBidi"/>
          <w:iCs/>
          <w:color w:val="0000FF"/>
          <w:sz w:val="22"/>
        </w:rPr>
        <w:t>“</w:t>
      </w:r>
      <w:r w:rsidRPr="008F21AE">
        <w:rPr>
          <w:rFonts w:asciiTheme="minorHAnsi" w:eastAsiaTheme="minorEastAsia" w:hAnsiTheme="minorHAnsi" w:cstheme="minorBidi"/>
          <w:iCs/>
          <w:color w:val="0000FF"/>
          <w:sz w:val="22"/>
        </w:rPr>
        <w:t>dependent</w:t>
      </w:r>
      <w:r w:rsidR="00E037C1">
        <w:rPr>
          <w:rFonts w:asciiTheme="minorHAnsi" w:eastAsiaTheme="minorEastAsia" w:hAnsiTheme="minorHAnsi" w:cstheme="minorBidi"/>
          <w:iCs/>
          <w:color w:val="0000FF"/>
          <w:sz w:val="22"/>
        </w:rPr>
        <w:t>”</w:t>
      </w:r>
      <w:r w:rsidRPr="008F21AE">
        <w:rPr>
          <w:rFonts w:asciiTheme="minorHAnsi" w:eastAsiaTheme="minorEastAsia" w:hAnsiTheme="minorHAnsi" w:cstheme="minorBidi"/>
          <w:iCs/>
          <w:color w:val="0000FF"/>
          <w:sz w:val="22"/>
        </w:rPr>
        <w:t xml:space="preserve">, and those who needed </w:t>
      </w:r>
      <w:r w:rsidR="00E037C1">
        <w:rPr>
          <w:rFonts w:asciiTheme="minorHAnsi" w:eastAsiaTheme="minorEastAsia" w:hAnsiTheme="minorHAnsi" w:cstheme="minorBidi"/>
          <w:iCs/>
          <w:color w:val="0000FF"/>
          <w:sz w:val="22"/>
        </w:rPr>
        <w:t>“</w:t>
      </w:r>
      <w:r w:rsidRPr="008F21AE">
        <w:rPr>
          <w:rFonts w:asciiTheme="minorHAnsi" w:eastAsiaTheme="minorEastAsia" w:hAnsiTheme="minorHAnsi" w:cstheme="minorBidi"/>
          <w:iCs/>
          <w:color w:val="0000FF"/>
          <w:sz w:val="22"/>
        </w:rPr>
        <w:t>some help</w:t>
      </w:r>
      <w:r w:rsidR="00E037C1">
        <w:rPr>
          <w:rFonts w:asciiTheme="minorHAnsi" w:eastAsiaTheme="minorEastAsia" w:hAnsiTheme="minorHAnsi" w:cstheme="minorBidi"/>
          <w:iCs/>
          <w:color w:val="0000FF"/>
          <w:sz w:val="22"/>
        </w:rPr>
        <w:t>”</w:t>
      </w:r>
      <w:r w:rsidRPr="008F21AE">
        <w:rPr>
          <w:rFonts w:asciiTheme="minorHAnsi" w:eastAsiaTheme="minorEastAsia" w:hAnsiTheme="minorHAnsi" w:cstheme="minorBidi"/>
          <w:iCs/>
          <w:color w:val="0000FF"/>
          <w:sz w:val="22"/>
        </w:rPr>
        <w:t xml:space="preserve"> in self-care before their current illness. Patients who were previously </w:t>
      </w:r>
      <w:r w:rsidR="00E037C1">
        <w:rPr>
          <w:rFonts w:asciiTheme="minorHAnsi" w:eastAsiaTheme="minorEastAsia" w:hAnsiTheme="minorHAnsi" w:cstheme="minorBidi"/>
          <w:iCs/>
          <w:color w:val="0000FF"/>
          <w:sz w:val="22"/>
        </w:rPr>
        <w:t>“</w:t>
      </w:r>
      <w:r w:rsidRPr="008F21AE">
        <w:rPr>
          <w:rFonts w:asciiTheme="minorHAnsi" w:eastAsiaTheme="minorEastAsia" w:hAnsiTheme="minorHAnsi" w:cstheme="minorBidi"/>
          <w:iCs/>
          <w:color w:val="0000FF"/>
          <w:sz w:val="22"/>
        </w:rPr>
        <w:t>independent</w:t>
      </w:r>
      <w:r w:rsidR="00E037C1">
        <w:rPr>
          <w:rFonts w:asciiTheme="minorHAnsi" w:eastAsiaTheme="minorEastAsia" w:hAnsiTheme="minorHAnsi" w:cstheme="minorBidi"/>
          <w:iCs/>
          <w:color w:val="0000FF"/>
          <w:sz w:val="22"/>
        </w:rPr>
        <w:t>”</w:t>
      </w:r>
      <w:r w:rsidRPr="008F21AE">
        <w:rPr>
          <w:rFonts w:asciiTheme="minorHAnsi" w:eastAsiaTheme="minorEastAsia" w:hAnsiTheme="minorHAnsi" w:cstheme="minorBidi"/>
          <w:iCs/>
          <w:color w:val="0000FF"/>
          <w:sz w:val="22"/>
        </w:rPr>
        <w:t xml:space="preserve"> in self-care formed the reference category.</w:t>
      </w:r>
      <w:r w:rsidRPr="008F21AE">
        <w:rPr>
          <w:rFonts w:asciiTheme="minorHAnsi" w:hAnsiTheme="minorHAnsi"/>
          <w:color w:val="FF0000"/>
          <w:sz w:val="22"/>
        </w:rPr>
        <w:t xml:space="preserve"> </w:t>
      </w:r>
      <w:r w:rsidRPr="008F21AE">
        <w:rPr>
          <w:rFonts w:asciiTheme="minorHAnsi" w:hAnsiTheme="minorHAnsi"/>
          <w:color w:val="0000FF"/>
          <w:sz w:val="22"/>
        </w:rPr>
        <w:t>P</w:t>
      </w:r>
      <w:r w:rsidRPr="008F21AE">
        <w:rPr>
          <w:rFonts w:asciiTheme="minorHAnsi" w:eastAsiaTheme="minorEastAsia" w:hAnsiTheme="minorHAnsi" w:cstheme="minorBidi"/>
          <w:iCs/>
          <w:color w:val="0000FF"/>
          <w:sz w:val="22"/>
        </w:rPr>
        <w:t xml:space="preserve">atients who were previously dependent in self-care and those who needed some help had significantly </w:t>
      </w:r>
      <w:r w:rsidR="00ED6191" w:rsidRPr="008F21AE">
        <w:rPr>
          <w:rFonts w:asciiTheme="minorHAnsi" w:eastAsiaTheme="minorEastAsia" w:hAnsiTheme="minorHAnsi" w:cstheme="minorBidi"/>
          <w:iCs/>
          <w:color w:val="0000FF"/>
          <w:sz w:val="22"/>
        </w:rPr>
        <w:t>lower discharge</w:t>
      </w:r>
      <w:r w:rsidRPr="008F21AE">
        <w:rPr>
          <w:rFonts w:asciiTheme="minorHAnsi" w:eastAsiaTheme="minorEastAsia" w:hAnsiTheme="minorHAnsi" w:cstheme="minorBidi"/>
          <w:iCs/>
          <w:color w:val="0000FF"/>
          <w:sz w:val="22"/>
        </w:rPr>
        <w:t xml:space="preserve"> scores compared with the reference category. The negative coefficient for the “dependent” category (-1.894, </w:t>
      </w:r>
      <w:r w:rsidRPr="008F21AE">
        <w:rPr>
          <w:rFonts w:asciiTheme="minorHAnsi" w:eastAsiaTheme="minorEastAsia" w:hAnsiTheme="minorHAnsi" w:cstheme="minorBidi"/>
          <w:i/>
          <w:iCs/>
          <w:color w:val="0000FF"/>
          <w:sz w:val="22"/>
        </w:rPr>
        <w:t>p</w:t>
      </w:r>
      <w:r w:rsidRPr="008F21AE">
        <w:rPr>
          <w:rFonts w:asciiTheme="minorHAnsi" w:eastAsiaTheme="minorEastAsia" w:hAnsiTheme="minorHAnsi" w:cstheme="minorBidi"/>
          <w:iCs/>
          <w:color w:val="0000FF"/>
          <w:sz w:val="22"/>
        </w:rPr>
        <w:t xml:space="preserve"> = 0.0032) was larger than that for the “some help” (-0.668, </w:t>
      </w:r>
      <w:r w:rsidRPr="008F21AE">
        <w:rPr>
          <w:rFonts w:asciiTheme="minorHAnsi" w:eastAsiaTheme="minorEastAsia" w:hAnsiTheme="minorHAnsi" w:cstheme="minorBidi"/>
          <w:i/>
          <w:iCs/>
          <w:color w:val="0000FF"/>
          <w:sz w:val="22"/>
        </w:rPr>
        <w:t>p</w:t>
      </w:r>
      <w:r w:rsidRPr="008F21AE">
        <w:rPr>
          <w:rFonts w:asciiTheme="minorHAnsi" w:eastAsiaTheme="minorEastAsia" w:hAnsiTheme="minorHAnsi" w:cstheme="minorBidi"/>
          <w:iCs/>
          <w:color w:val="0000FF"/>
          <w:sz w:val="22"/>
        </w:rPr>
        <w:t xml:space="preserve"> = 0.0117) category.</w:t>
      </w:r>
      <w:r w:rsidRPr="008F21AE">
        <w:rPr>
          <w:rFonts w:asciiTheme="minorHAnsi" w:hAnsiTheme="minorHAnsi"/>
          <w:sz w:val="22"/>
        </w:rPr>
        <w:t xml:space="preserve"> </w:t>
      </w:r>
    </w:p>
    <w:p w14:paraId="2F665AED" w14:textId="2BB011F8" w:rsidR="008D65B0" w:rsidRPr="008F21AE" w:rsidRDefault="008D65B0" w:rsidP="00ED6191">
      <w:pPr>
        <w:pStyle w:val="BodyText"/>
        <w:rPr>
          <w:rFonts w:asciiTheme="minorHAnsi" w:eastAsiaTheme="minorEastAsia" w:hAnsiTheme="minorHAnsi" w:cstheme="minorBidi"/>
          <w:iCs/>
          <w:color w:val="0000FF"/>
          <w:sz w:val="22"/>
        </w:rPr>
      </w:pPr>
      <w:r w:rsidRPr="008F21AE">
        <w:rPr>
          <w:rFonts w:asciiTheme="minorHAnsi" w:eastAsiaTheme="minorEastAsia" w:hAnsiTheme="minorHAnsi" w:cstheme="minorBidi"/>
          <w:b/>
          <w:i/>
          <w:iCs/>
          <w:color w:val="0000FF"/>
          <w:sz w:val="22"/>
        </w:rPr>
        <w:t>Prior Functioning - Indoor Ambulation:</w:t>
      </w:r>
      <w:r w:rsidRPr="008F21AE">
        <w:rPr>
          <w:rFonts w:asciiTheme="minorHAnsi" w:eastAsiaTheme="minorEastAsia" w:hAnsiTheme="minorHAnsi" w:cstheme="minorBidi"/>
          <w:iCs/>
          <w:color w:val="0000FF"/>
          <w:sz w:val="22"/>
        </w:rPr>
        <w:t xml:space="preserve"> We included patients’ functional ability in indoor ambulation before onset of their current illness, injury or exacerbation, as a risk adjustor in the model. We combined the “dependent” and “some help” categories into one group, and patients who were previously </w:t>
      </w:r>
      <w:r w:rsidR="00E037C1">
        <w:rPr>
          <w:rFonts w:asciiTheme="minorHAnsi" w:eastAsiaTheme="minorEastAsia" w:hAnsiTheme="minorHAnsi" w:cstheme="minorBidi"/>
          <w:iCs/>
          <w:color w:val="0000FF"/>
          <w:sz w:val="22"/>
        </w:rPr>
        <w:t>“</w:t>
      </w:r>
      <w:r w:rsidRPr="008F21AE">
        <w:rPr>
          <w:rFonts w:asciiTheme="minorHAnsi" w:eastAsiaTheme="minorEastAsia" w:hAnsiTheme="minorHAnsi" w:cstheme="minorBidi"/>
          <w:iCs/>
          <w:color w:val="0000FF"/>
          <w:sz w:val="22"/>
        </w:rPr>
        <w:t>independent</w:t>
      </w:r>
      <w:r w:rsidR="00E037C1">
        <w:rPr>
          <w:rFonts w:asciiTheme="minorHAnsi" w:eastAsiaTheme="minorEastAsia" w:hAnsiTheme="minorHAnsi" w:cstheme="minorBidi"/>
          <w:iCs/>
          <w:color w:val="0000FF"/>
          <w:sz w:val="22"/>
        </w:rPr>
        <w:t>”</w:t>
      </w:r>
      <w:r w:rsidRPr="008F21AE">
        <w:rPr>
          <w:rFonts w:asciiTheme="minorHAnsi" w:eastAsiaTheme="minorEastAsia" w:hAnsiTheme="minorHAnsi" w:cstheme="minorBidi"/>
          <w:iCs/>
          <w:color w:val="0000FF"/>
          <w:sz w:val="22"/>
        </w:rPr>
        <w:t xml:space="preserve"> in indoor ambulation formed the reference category.</w:t>
      </w:r>
      <w:r w:rsidRPr="008F21AE">
        <w:rPr>
          <w:rFonts w:asciiTheme="minorHAnsi" w:hAnsiTheme="minorHAnsi"/>
          <w:color w:val="FF0000"/>
          <w:sz w:val="22"/>
        </w:rPr>
        <w:t xml:space="preserve"> </w:t>
      </w:r>
      <w:r w:rsidRPr="008F21AE">
        <w:rPr>
          <w:rFonts w:asciiTheme="minorHAnsi" w:hAnsiTheme="minorHAnsi"/>
          <w:color w:val="0000FF"/>
          <w:sz w:val="22"/>
        </w:rPr>
        <w:t>P</w:t>
      </w:r>
      <w:r w:rsidRPr="008F21AE">
        <w:rPr>
          <w:rFonts w:asciiTheme="minorHAnsi" w:eastAsiaTheme="minorEastAsia" w:hAnsiTheme="minorHAnsi" w:cstheme="minorBidi"/>
          <w:iCs/>
          <w:color w:val="0000FF"/>
          <w:sz w:val="22"/>
        </w:rPr>
        <w:t xml:space="preserve">atients who were previously dependent and those who needed some help in indoor ambulation had significantly </w:t>
      </w:r>
      <w:r w:rsidR="00ED6191" w:rsidRPr="008F21AE">
        <w:rPr>
          <w:rFonts w:asciiTheme="minorHAnsi" w:eastAsiaTheme="minorEastAsia" w:hAnsiTheme="minorHAnsi" w:cstheme="minorBidi"/>
          <w:iCs/>
          <w:color w:val="0000FF"/>
          <w:sz w:val="22"/>
        </w:rPr>
        <w:t>lower discharge</w:t>
      </w:r>
      <w:r w:rsidRPr="008F21AE">
        <w:rPr>
          <w:rFonts w:asciiTheme="minorHAnsi" w:eastAsiaTheme="minorEastAsia" w:hAnsiTheme="minorHAnsi" w:cstheme="minorBidi"/>
          <w:iCs/>
          <w:color w:val="0000FF"/>
          <w:sz w:val="22"/>
        </w:rPr>
        <w:t xml:space="preserve"> self-care scores (coefficient = -1.026, </w:t>
      </w:r>
      <w:r w:rsidRPr="008F21AE">
        <w:rPr>
          <w:rFonts w:asciiTheme="minorHAnsi" w:eastAsiaTheme="minorEastAsia" w:hAnsiTheme="minorHAnsi" w:cstheme="minorBidi"/>
          <w:i/>
          <w:iCs/>
          <w:color w:val="0000FF"/>
          <w:sz w:val="22"/>
        </w:rPr>
        <w:t>p</w:t>
      </w:r>
      <w:r w:rsidRPr="008F21AE">
        <w:rPr>
          <w:rFonts w:asciiTheme="minorHAnsi" w:eastAsiaTheme="minorEastAsia" w:hAnsiTheme="minorHAnsi" w:cstheme="minorBidi"/>
          <w:iCs/>
          <w:color w:val="0000FF"/>
          <w:sz w:val="22"/>
        </w:rPr>
        <w:t xml:space="preserve"> = 0.0008) compared with the reference category. </w:t>
      </w:r>
    </w:p>
    <w:p w14:paraId="04BAF75D" w14:textId="4088D974" w:rsidR="008D65B0" w:rsidRPr="008F21AE" w:rsidRDefault="008D65B0" w:rsidP="00ED6191">
      <w:pPr>
        <w:pStyle w:val="BodyText"/>
        <w:rPr>
          <w:rFonts w:asciiTheme="minorHAnsi" w:eastAsiaTheme="minorEastAsia" w:hAnsiTheme="minorHAnsi" w:cstheme="minorBidi"/>
          <w:iCs/>
          <w:color w:val="0000FF"/>
          <w:sz w:val="22"/>
        </w:rPr>
      </w:pPr>
      <w:r w:rsidRPr="008F21AE">
        <w:rPr>
          <w:rFonts w:asciiTheme="minorHAnsi" w:eastAsiaTheme="minorEastAsia" w:hAnsiTheme="minorHAnsi" w:cstheme="minorBidi"/>
          <w:b/>
          <w:i/>
          <w:iCs/>
          <w:color w:val="0000FF"/>
          <w:sz w:val="22"/>
        </w:rPr>
        <w:t>Prior Mobility Devices/Aids:</w:t>
      </w:r>
      <w:r w:rsidRPr="008F21AE">
        <w:rPr>
          <w:rFonts w:asciiTheme="minorHAnsi" w:eastAsiaTheme="minorEastAsia" w:hAnsiTheme="minorHAnsi" w:cstheme="minorBidi"/>
          <w:iCs/>
          <w:color w:val="0000FF"/>
          <w:sz w:val="22"/>
        </w:rPr>
        <w:t xml:space="preserve"> We </w:t>
      </w:r>
      <w:r w:rsidR="00FC1CBF">
        <w:rPr>
          <w:rFonts w:asciiTheme="minorHAnsi" w:eastAsiaTheme="minorEastAsia" w:hAnsiTheme="minorHAnsi" w:cstheme="minorBidi"/>
          <w:iCs/>
          <w:color w:val="0000FF"/>
          <w:sz w:val="22"/>
        </w:rPr>
        <w:t>risk adjust</w:t>
      </w:r>
      <w:r w:rsidRPr="008F21AE">
        <w:rPr>
          <w:rFonts w:asciiTheme="minorHAnsi" w:eastAsiaTheme="minorEastAsia" w:hAnsiTheme="minorHAnsi" w:cstheme="minorBidi"/>
          <w:iCs/>
          <w:color w:val="0000FF"/>
          <w:sz w:val="22"/>
        </w:rPr>
        <w:t xml:space="preserve">ed for use of four types of mobility devices or aids before the current illness, injury, or exacerbation, including walker, wheelchair/scooter, mechanical lift, and orthotics or prosthetics. Prior use of each of these mobility devices or aids was associated with significantly </w:t>
      </w:r>
      <w:r w:rsidR="00ED6191" w:rsidRPr="008F21AE">
        <w:rPr>
          <w:rFonts w:asciiTheme="minorHAnsi" w:eastAsiaTheme="minorEastAsia" w:hAnsiTheme="minorHAnsi" w:cstheme="minorBidi"/>
          <w:iCs/>
          <w:color w:val="0000FF"/>
          <w:sz w:val="22"/>
        </w:rPr>
        <w:t xml:space="preserve">lower discharge </w:t>
      </w:r>
      <w:r w:rsidRPr="008F21AE">
        <w:rPr>
          <w:rFonts w:asciiTheme="minorHAnsi" w:eastAsiaTheme="minorEastAsia" w:hAnsiTheme="minorHAnsi" w:cstheme="minorBidi"/>
          <w:iCs/>
          <w:color w:val="0000FF"/>
          <w:sz w:val="22"/>
        </w:rPr>
        <w:t xml:space="preserve">self-care scores, with prior use of a mechanical lift having the largest coefficient (-4.307, </w:t>
      </w:r>
      <w:r w:rsidRPr="008F21AE">
        <w:rPr>
          <w:rFonts w:asciiTheme="minorHAnsi" w:eastAsiaTheme="minorEastAsia" w:hAnsiTheme="minorHAnsi" w:cstheme="minorBidi"/>
          <w:i/>
          <w:iCs/>
          <w:color w:val="0000FF"/>
          <w:sz w:val="22"/>
        </w:rPr>
        <w:t>p</w:t>
      </w:r>
      <w:r w:rsidRPr="008F21AE">
        <w:rPr>
          <w:rFonts w:asciiTheme="minorHAnsi" w:eastAsiaTheme="minorEastAsia" w:hAnsiTheme="minorHAnsi" w:cstheme="minorBidi"/>
          <w:iCs/>
          <w:color w:val="0000FF"/>
          <w:sz w:val="22"/>
        </w:rPr>
        <w:t xml:space="preserve"> = 0.0001), followed by prior use of orthotics or prosthetics (coefficient = -1.673, </w:t>
      </w:r>
      <w:r w:rsidRPr="008F21AE">
        <w:rPr>
          <w:rFonts w:asciiTheme="minorHAnsi" w:eastAsiaTheme="minorEastAsia" w:hAnsiTheme="minorHAnsi" w:cstheme="minorBidi"/>
          <w:i/>
          <w:iCs/>
          <w:color w:val="0000FF"/>
          <w:sz w:val="22"/>
        </w:rPr>
        <w:t>p</w:t>
      </w:r>
      <w:r w:rsidRPr="008F21AE">
        <w:rPr>
          <w:rFonts w:asciiTheme="minorHAnsi" w:eastAsiaTheme="minorEastAsia" w:hAnsiTheme="minorHAnsi" w:cstheme="minorBidi"/>
          <w:iCs/>
          <w:color w:val="0000FF"/>
          <w:sz w:val="22"/>
        </w:rPr>
        <w:t xml:space="preserve"> = 0.0809). </w:t>
      </w:r>
    </w:p>
    <w:p w14:paraId="13B06648" w14:textId="3CE8C6A5" w:rsidR="008D65B0" w:rsidRPr="008F21AE" w:rsidRDefault="008D65B0" w:rsidP="00ED6191">
      <w:pPr>
        <w:pStyle w:val="BodyText"/>
        <w:rPr>
          <w:rFonts w:asciiTheme="minorHAnsi" w:hAnsiTheme="minorHAnsi"/>
          <w:sz w:val="22"/>
        </w:rPr>
      </w:pPr>
      <w:r w:rsidRPr="008F21AE">
        <w:rPr>
          <w:rFonts w:asciiTheme="minorHAnsi" w:eastAsiaTheme="minorEastAsia" w:hAnsiTheme="minorHAnsi" w:cstheme="minorBidi"/>
          <w:b/>
          <w:i/>
          <w:iCs/>
          <w:color w:val="0000FF"/>
          <w:sz w:val="22"/>
        </w:rPr>
        <w:t>Stage 2 Pressure Ulcer</w:t>
      </w:r>
      <w:r w:rsidRPr="008F21AE">
        <w:rPr>
          <w:rFonts w:asciiTheme="minorHAnsi" w:eastAsiaTheme="minorEastAsia" w:hAnsiTheme="minorHAnsi" w:cstheme="minorBidi"/>
          <w:i/>
          <w:iCs/>
          <w:color w:val="0000FF"/>
          <w:sz w:val="22"/>
        </w:rPr>
        <w:t>:</w:t>
      </w:r>
      <w:r w:rsidRPr="008F21AE">
        <w:rPr>
          <w:rFonts w:asciiTheme="minorHAnsi" w:eastAsiaTheme="minorEastAsia" w:hAnsiTheme="minorHAnsi" w:cstheme="minorBidi"/>
          <w:iCs/>
          <w:color w:val="0000FF"/>
          <w:sz w:val="22"/>
        </w:rPr>
        <w:t xml:space="preserve"> Our risk adjustment model included an indicator variable for the presence of one or more stage 2 pressure ulcers on admission, with the reference category being patients who did </w:t>
      </w:r>
      <w:r w:rsidRPr="008F21AE">
        <w:rPr>
          <w:rFonts w:asciiTheme="minorHAnsi" w:eastAsiaTheme="minorEastAsia" w:hAnsiTheme="minorHAnsi" w:cstheme="minorBidi"/>
          <w:iCs/>
          <w:color w:val="0000FF"/>
          <w:sz w:val="22"/>
        </w:rPr>
        <w:lastRenderedPageBreak/>
        <w:t xml:space="preserve">not have a stage 2 pressure ulcer. Patients with stage 2 pressure ulcers had a significantly </w:t>
      </w:r>
      <w:r w:rsidR="00ED6191" w:rsidRPr="008F21AE">
        <w:rPr>
          <w:rFonts w:asciiTheme="minorHAnsi" w:eastAsiaTheme="minorEastAsia" w:hAnsiTheme="minorHAnsi" w:cstheme="minorBidi"/>
          <w:iCs/>
          <w:color w:val="0000FF"/>
          <w:sz w:val="22"/>
        </w:rPr>
        <w:t xml:space="preserve">lower discharge self-care scores </w:t>
      </w:r>
      <w:r w:rsidRPr="008F21AE">
        <w:rPr>
          <w:rFonts w:asciiTheme="minorHAnsi" w:eastAsiaTheme="minorEastAsia" w:hAnsiTheme="minorHAnsi" w:cstheme="minorBidi"/>
          <w:iCs/>
          <w:color w:val="0000FF"/>
          <w:sz w:val="22"/>
        </w:rPr>
        <w:t xml:space="preserve">(coefficient = -1.200, </w:t>
      </w:r>
      <w:r w:rsidRPr="008F21AE">
        <w:rPr>
          <w:rFonts w:asciiTheme="minorHAnsi" w:eastAsiaTheme="minorEastAsia" w:hAnsiTheme="minorHAnsi" w:cstheme="minorBidi"/>
          <w:i/>
          <w:iCs/>
          <w:color w:val="0000FF"/>
          <w:sz w:val="22"/>
        </w:rPr>
        <w:t>p</w:t>
      </w:r>
      <w:r w:rsidRPr="008F21AE">
        <w:rPr>
          <w:rFonts w:asciiTheme="minorHAnsi" w:eastAsiaTheme="minorEastAsia" w:hAnsiTheme="minorHAnsi" w:cstheme="minorBidi"/>
          <w:iCs/>
          <w:color w:val="0000FF"/>
          <w:sz w:val="22"/>
        </w:rPr>
        <w:t xml:space="preserve"> = 0.0003) compared with the reference category.</w:t>
      </w:r>
    </w:p>
    <w:p w14:paraId="7150942C" w14:textId="712BDE8F" w:rsidR="008D65B0" w:rsidRPr="008F21AE" w:rsidRDefault="008D65B0" w:rsidP="00ED6191">
      <w:pPr>
        <w:pStyle w:val="BodyText"/>
        <w:rPr>
          <w:rFonts w:asciiTheme="minorHAnsi" w:hAnsiTheme="minorHAnsi"/>
          <w:sz w:val="22"/>
        </w:rPr>
      </w:pPr>
      <w:r w:rsidRPr="008F21AE">
        <w:rPr>
          <w:rFonts w:asciiTheme="minorHAnsi" w:eastAsiaTheme="minorEastAsia" w:hAnsiTheme="minorHAnsi" w:cstheme="minorBidi"/>
          <w:b/>
          <w:i/>
          <w:iCs/>
          <w:color w:val="0000FF"/>
          <w:sz w:val="22"/>
        </w:rPr>
        <w:t>Stage 3, 4, or Unstageable Pressure Ulcers:</w:t>
      </w:r>
      <w:r w:rsidRPr="008F21AE">
        <w:rPr>
          <w:rFonts w:asciiTheme="minorHAnsi" w:hAnsiTheme="minorHAnsi"/>
          <w:b/>
          <w:i/>
          <w:sz w:val="22"/>
        </w:rPr>
        <w:t xml:space="preserve"> </w:t>
      </w:r>
      <w:r w:rsidRPr="008F21AE">
        <w:rPr>
          <w:rFonts w:asciiTheme="minorHAnsi" w:eastAsiaTheme="minorEastAsia" w:hAnsiTheme="minorHAnsi" w:cstheme="minorBidi"/>
          <w:iCs/>
          <w:color w:val="0000FF"/>
          <w:sz w:val="22"/>
        </w:rPr>
        <w:t xml:space="preserve">We included an indicator variable for the presence of one or more stage 3, 4, or unstageable pressure ulcers, with the reference category being patients who did not have such ulcers. Patients with stage 3, 4, or unstageable pressure ulcers had significantly </w:t>
      </w:r>
      <w:r w:rsidR="00ED6191" w:rsidRPr="008F21AE">
        <w:rPr>
          <w:rFonts w:asciiTheme="minorHAnsi" w:eastAsiaTheme="minorEastAsia" w:hAnsiTheme="minorHAnsi" w:cstheme="minorBidi"/>
          <w:iCs/>
          <w:color w:val="0000FF"/>
          <w:sz w:val="22"/>
        </w:rPr>
        <w:t>lower discharge self-care scores</w:t>
      </w:r>
      <w:r w:rsidRPr="008F21AE">
        <w:rPr>
          <w:rFonts w:asciiTheme="minorHAnsi" w:eastAsiaTheme="minorEastAsia" w:hAnsiTheme="minorHAnsi" w:cstheme="minorBidi"/>
          <w:iCs/>
          <w:color w:val="0000FF"/>
          <w:sz w:val="22"/>
        </w:rPr>
        <w:t xml:space="preserve"> (coefficient = -1.230, </w:t>
      </w:r>
      <w:r w:rsidRPr="008F21AE">
        <w:rPr>
          <w:rFonts w:asciiTheme="minorHAnsi" w:eastAsiaTheme="minorEastAsia" w:hAnsiTheme="minorHAnsi" w:cstheme="minorBidi"/>
          <w:i/>
          <w:iCs/>
          <w:color w:val="0000FF"/>
          <w:sz w:val="22"/>
        </w:rPr>
        <w:t>p</w:t>
      </w:r>
      <w:r w:rsidRPr="008F21AE">
        <w:rPr>
          <w:rFonts w:asciiTheme="minorHAnsi" w:eastAsiaTheme="minorEastAsia" w:hAnsiTheme="minorHAnsi" w:cstheme="minorBidi"/>
          <w:iCs/>
          <w:color w:val="0000FF"/>
          <w:sz w:val="22"/>
        </w:rPr>
        <w:t xml:space="preserve"> = 0.056</w:t>
      </w:r>
      <w:r w:rsidR="00C01B73">
        <w:rPr>
          <w:rFonts w:asciiTheme="minorHAnsi" w:eastAsiaTheme="minorEastAsia" w:hAnsiTheme="minorHAnsi" w:cstheme="minorBidi"/>
          <w:iCs/>
          <w:color w:val="0000FF"/>
          <w:sz w:val="22"/>
        </w:rPr>
        <w:t>1</w:t>
      </w:r>
      <w:r w:rsidRPr="008F21AE">
        <w:rPr>
          <w:rFonts w:asciiTheme="minorHAnsi" w:eastAsiaTheme="minorEastAsia" w:hAnsiTheme="minorHAnsi" w:cstheme="minorBidi"/>
          <w:iCs/>
          <w:color w:val="0000FF"/>
          <w:sz w:val="22"/>
        </w:rPr>
        <w:t>) compared with the reference category.</w:t>
      </w:r>
      <w:r w:rsidRPr="008F21AE">
        <w:rPr>
          <w:rFonts w:asciiTheme="minorHAnsi" w:hAnsiTheme="minorHAnsi"/>
          <w:sz w:val="22"/>
        </w:rPr>
        <w:t xml:space="preserve"> </w:t>
      </w:r>
    </w:p>
    <w:p w14:paraId="3B5148C8" w14:textId="007E8E7C" w:rsidR="008D65B0" w:rsidRPr="007E58F8" w:rsidRDefault="008D65B0" w:rsidP="00ED6191">
      <w:pPr>
        <w:pStyle w:val="BodyText"/>
        <w:rPr>
          <w:rFonts w:asciiTheme="minorHAnsi" w:hAnsiTheme="minorHAnsi"/>
          <w:color w:val="FF0000"/>
          <w:sz w:val="22"/>
        </w:rPr>
      </w:pPr>
      <w:r w:rsidRPr="008F21AE">
        <w:rPr>
          <w:rFonts w:asciiTheme="minorHAnsi" w:eastAsiaTheme="minorEastAsia" w:hAnsiTheme="minorHAnsi" w:cstheme="minorBidi"/>
          <w:b/>
          <w:i/>
          <w:iCs/>
          <w:color w:val="0000FF"/>
          <w:sz w:val="22"/>
        </w:rPr>
        <w:t>Cognitive Function Assessed by the Brief Interview for Mental Status:</w:t>
      </w:r>
      <w:r w:rsidRPr="008F21AE">
        <w:rPr>
          <w:rFonts w:asciiTheme="minorHAnsi" w:hAnsiTheme="minorHAnsi"/>
          <w:b/>
          <w:i/>
          <w:sz w:val="22"/>
        </w:rPr>
        <w:t xml:space="preserve"> </w:t>
      </w:r>
      <w:r w:rsidRPr="008F21AE">
        <w:rPr>
          <w:rFonts w:asciiTheme="minorHAnsi" w:eastAsiaTheme="minorEastAsia" w:hAnsiTheme="minorHAnsi" w:cstheme="minorBidi"/>
          <w:iCs/>
          <w:color w:val="0000FF"/>
          <w:sz w:val="22"/>
        </w:rPr>
        <w:t xml:space="preserve">Based on Brief Interview for Mental Status scores, patients’ cognitive function was classified as intact or borderline, moderately impaired, or severely impaired. </w:t>
      </w:r>
      <w:r w:rsidR="00E037C1">
        <w:rPr>
          <w:rFonts w:asciiTheme="minorHAnsi" w:eastAsiaTheme="minorEastAsia" w:hAnsiTheme="minorHAnsi" w:cstheme="minorBidi"/>
          <w:iCs/>
          <w:color w:val="0000FF"/>
          <w:sz w:val="22"/>
        </w:rPr>
        <w:t>“</w:t>
      </w:r>
      <w:r w:rsidRPr="008F21AE">
        <w:rPr>
          <w:rFonts w:asciiTheme="minorHAnsi" w:eastAsiaTheme="minorEastAsia" w:hAnsiTheme="minorHAnsi" w:cstheme="minorBidi"/>
          <w:iCs/>
          <w:color w:val="0000FF"/>
          <w:sz w:val="22"/>
        </w:rPr>
        <w:t>Moderately impaired</w:t>
      </w:r>
      <w:r w:rsidR="00E037C1">
        <w:rPr>
          <w:rFonts w:asciiTheme="minorHAnsi" w:eastAsiaTheme="minorEastAsia" w:hAnsiTheme="minorHAnsi" w:cstheme="minorBidi"/>
          <w:iCs/>
          <w:color w:val="0000FF"/>
          <w:sz w:val="22"/>
        </w:rPr>
        <w:t>”</w:t>
      </w:r>
      <w:r w:rsidRPr="008F21AE">
        <w:rPr>
          <w:rFonts w:asciiTheme="minorHAnsi" w:eastAsiaTheme="minorEastAsia" w:hAnsiTheme="minorHAnsi" w:cstheme="minorBidi"/>
          <w:iCs/>
          <w:color w:val="0000FF"/>
          <w:sz w:val="22"/>
        </w:rPr>
        <w:t xml:space="preserve"> and </w:t>
      </w:r>
      <w:r w:rsidR="00E037C1">
        <w:rPr>
          <w:rFonts w:asciiTheme="minorHAnsi" w:eastAsiaTheme="minorEastAsia" w:hAnsiTheme="minorHAnsi" w:cstheme="minorBidi"/>
          <w:iCs/>
          <w:color w:val="0000FF"/>
          <w:sz w:val="22"/>
        </w:rPr>
        <w:t>“</w:t>
      </w:r>
      <w:r w:rsidRPr="008F21AE">
        <w:rPr>
          <w:rFonts w:asciiTheme="minorHAnsi" w:eastAsiaTheme="minorEastAsia" w:hAnsiTheme="minorHAnsi" w:cstheme="minorBidi"/>
          <w:iCs/>
          <w:color w:val="0000FF"/>
          <w:sz w:val="22"/>
        </w:rPr>
        <w:t>severely impaired</w:t>
      </w:r>
      <w:r w:rsidR="00E037C1">
        <w:rPr>
          <w:rFonts w:asciiTheme="minorHAnsi" w:eastAsiaTheme="minorEastAsia" w:hAnsiTheme="minorHAnsi" w:cstheme="minorBidi"/>
          <w:iCs/>
          <w:color w:val="0000FF"/>
          <w:sz w:val="22"/>
        </w:rPr>
        <w:t>”</w:t>
      </w:r>
      <w:r w:rsidRPr="008F21AE">
        <w:rPr>
          <w:rFonts w:asciiTheme="minorHAnsi" w:eastAsiaTheme="minorEastAsia" w:hAnsiTheme="minorHAnsi" w:cstheme="minorBidi"/>
          <w:iCs/>
          <w:color w:val="0000FF"/>
          <w:sz w:val="22"/>
        </w:rPr>
        <w:t xml:space="preserve"> cognitive function were included as two separate risk adjustors in the model, while </w:t>
      </w:r>
      <w:r w:rsidR="00E037C1">
        <w:rPr>
          <w:rFonts w:asciiTheme="minorHAnsi" w:eastAsiaTheme="minorEastAsia" w:hAnsiTheme="minorHAnsi" w:cstheme="minorBidi"/>
          <w:iCs/>
          <w:color w:val="0000FF"/>
          <w:sz w:val="22"/>
        </w:rPr>
        <w:t>“</w:t>
      </w:r>
      <w:r w:rsidRPr="008F21AE">
        <w:rPr>
          <w:rFonts w:asciiTheme="minorHAnsi" w:eastAsiaTheme="minorEastAsia" w:hAnsiTheme="minorHAnsi" w:cstheme="minorBidi"/>
          <w:iCs/>
          <w:color w:val="0000FF"/>
          <w:sz w:val="22"/>
        </w:rPr>
        <w:t>intact or borderline</w:t>
      </w:r>
      <w:r w:rsidR="00E037C1">
        <w:rPr>
          <w:rFonts w:asciiTheme="minorHAnsi" w:eastAsiaTheme="minorEastAsia" w:hAnsiTheme="minorHAnsi" w:cstheme="minorBidi"/>
          <w:iCs/>
          <w:color w:val="0000FF"/>
          <w:sz w:val="22"/>
        </w:rPr>
        <w:t>”</w:t>
      </w:r>
      <w:r w:rsidRPr="008F21AE">
        <w:rPr>
          <w:rFonts w:asciiTheme="minorHAnsi" w:eastAsiaTheme="minorEastAsia" w:hAnsiTheme="minorHAnsi" w:cstheme="minorBidi"/>
          <w:iCs/>
          <w:color w:val="0000FF"/>
          <w:sz w:val="22"/>
        </w:rPr>
        <w:t xml:space="preserve"> cognitive function formed the reference category. Patients with moderately impaired cognitive function (coefficient = -0.809, </w:t>
      </w:r>
      <w:r w:rsidRPr="008F21AE">
        <w:rPr>
          <w:rFonts w:asciiTheme="minorHAnsi" w:eastAsiaTheme="minorEastAsia" w:hAnsiTheme="minorHAnsi" w:cstheme="minorBidi"/>
          <w:i/>
          <w:iCs/>
          <w:color w:val="0000FF"/>
          <w:sz w:val="22"/>
        </w:rPr>
        <w:t>p</w:t>
      </w:r>
      <w:r w:rsidRPr="008F21AE">
        <w:rPr>
          <w:rFonts w:asciiTheme="minorHAnsi" w:eastAsiaTheme="minorEastAsia" w:hAnsiTheme="minorHAnsi" w:cstheme="minorBidi"/>
          <w:iCs/>
          <w:color w:val="0000FF"/>
          <w:sz w:val="22"/>
        </w:rPr>
        <w:t xml:space="preserve"> = 0.0002) and those with severely impaired cognitive function (coefficient = -2.179, </w:t>
      </w:r>
      <w:r w:rsidRPr="008F21AE">
        <w:rPr>
          <w:rFonts w:asciiTheme="minorHAnsi" w:eastAsiaTheme="minorEastAsia" w:hAnsiTheme="minorHAnsi" w:cstheme="minorBidi"/>
          <w:i/>
          <w:iCs/>
          <w:color w:val="0000FF"/>
          <w:sz w:val="22"/>
        </w:rPr>
        <w:t>p</w:t>
      </w:r>
      <w:r w:rsidRPr="008F21AE">
        <w:t xml:space="preserve"> </w:t>
      </w:r>
      <w:r w:rsidRPr="008F21AE">
        <w:rPr>
          <w:rFonts w:asciiTheme="minorHAnsi" w:eastAsiaTheme="minorEastAsia" w:hAnsiTheme="minorHAnsi" w:cstheme="minorBidi"/>
          <w:iCs/>
          <w:color w:val="0000FF"/>
          <w:sz w:val="22"/>
        </w:rPr>
        <w:t xml:space="preserve">&lt; 0.0001) had significantly </w:t>
      </w:r>
      <w:r w:rsidR="00ED6191" w:rsidRPr="008F21AE">
        <w:rPr>
          <w:rFonts w:asciiTheme="minorHAnsi" w:eastAsiaTheme="minorEastAsia" w:hAnsiTheme="minorHAnsi" w:cstheme="minorBidi"/>
          <w:iCs/>
          <w:color w:val="0000FF"/>
          <w:sz w:val="22"/>
        </w:rPr>
        <w:t xml:space="preserve">lower discharge self-care scores </w:t>
      </w:r>
      <w:r w:rsidRPr="008F21AE">
        <w:rPr>
          <w:rFonts w:asciiTheme="minorHAnsi" w:eastAsiaTheme="minorEastAsia" w:hAnsiTheme="minorHAnsi" w:cstheme="minorBidi"/>
          <w:iCs/>
          <w:color w:val="0000FF"/>
          <w:sz w:val="22"/>
        </w:rPr>
        <w:t>compared</w:t>
      </w:r>
      <w:r w:rsidRPr="0014120C">
        <w:rPr>
          <w:rFonts w:asciiTheme="minorHAnsi" w:eastAsiaTheme="minorEastAsia" w:hAnsiTheme="minorHAnsi" w:cstheme="minorBidi"/>
          <w:iCs/>
          <w:color w:val="0000FF"/>
          <w:sz w:val="22"/>
        </w:rPr>
        <w:t xml:space="preserve"> with the reference category. </w:t>
      </w:r>
    </w:p>
    <w:p w14:paraId="3861F09B" w14:textId="3B61C2C3" w:rsidR="008D65B0" w:rsidRPr="00B96D9E" w:rsidRDefault="008D65B0" w:rsidP="00ED6191">
      <w:pPr>
        <w:pStyle w:val="BodyText"/>
        <w:rPr>
          <w:rFonts w:asciiTheme="minorHAnsi" w:eastAsiaTheme="minorEastAsia" w:hAnsiTheme="minorHAnsi" w:cstheme="minorBidi"/>
          <w:iCs/>
          <w:color w:val="0000FF"/>
          <w:sz w:val="22"/>
        </w:rPr>
      </w:pPr>
      <w:r w:rsidRPr="0014120C">
        <w:rPr>
          <w:rFonts w:asciiTheme="minorHAnsi" w:eastAsiaTheme="minorEastAsia" w:hAnsiTheme="minorHAnsi" w:cstheme="minorBidi"/>
          <w:b/>
          <w:i/>
          <w:iCs/>
          <w:color w:val="0000FF"/>
          <w:sz w:val="22"/>
        </w:rPr>
        <w:t>Communication Impairment:</w:t>
      </w:r>
      <w:r w:rsidRPr="0014120C">
        <w:rPr>
          <w:rFonts w:asciiTheme="minorHAnsi" w:eastAsiaTheme="minorEastAsia" w:hAnsiTheme="minorHAnsi" w:cstheme="minorBidi"/>
          <w:iCs/>
          <w:color w:val="0000FF"/>
          <w:sz w:val="22"/>
        </w:rPr>
        <w:t xml:space="preserve"> Communication impairment includes both expression (expression of ideas and wants) and comprehension (</w:t>
      </w:r>
      <w:r w:rsidRPr="008F21AE">
        <w:rPr>
          <w:rFonts w:asciiTheme="minorHAnsi" w:eastAsiaTheme="minorEastAsia" w:hAnsiTheme="minorHAnsi" w:cstheme="minorBidi"/>
          <w:iCs/>
          <w:color w:val="0000FF"/>
          <w:sz w:val="22"/>
        </w:rPr>
        <w:t xml:space="preserve">understanding verbal content) abilities. While expression and comprehension abilities are separate assessment items, we combined them into a single communication impairment risk adjustor given these two variables were correlated, with considerable overlap in patients who had expression and comprehension impairment and based on input from the expert panel. The final risk adjustment model included “moderate to severe communication impairment” as a risk adjustor, with this group having significantly </w:t>
      </w:r>
      <w:r w:rsidR="00ED6191" w:rsidRPr="008F21AE">
        <w:rPr>
          <w:rFonts w:asciiTheme="minorHAnsi" w:eastAsiaTheme="minorEastAsia" w:hAnsiTheme="minorHAnsi" w:cstheme="minorBidi"/>
          <w:iCs/>
          <w:color w:val="0000FF"/>
          <w:sz w:val="22"/>
        </w:rPr>
        <w:t xml:space="preserve">lower discharge self-care scores </w:t>
      </w:r>
      <w:r w:rsidRPr="008F21AE">
        <w:rPr>
          <w:rFonts w:asciiTheme="minorHAnsi" w:eastAsiaTheme="minorEastAsia" w:hAnsiTheme="minorHAnsi" w:cstheme="minorBidi"/>
          <w:iCs/>
          <w:color w:val="0000FF"/>
          <w:sz w:val="22"/>
        </w:rPr>
        <w:t xml:space="preserve">(coefficient = -1.449, </w:t>
      </w:r>
      <w:r w:rsidRPr="008F21AE">
        <w:rPr>
          <w:rFonts w:asciiTheme="minorHAnsi" w:eastAsiaTheme="minorEastAsia" w:hAnsiTheme="minorHAnsi" w:cstheme="minorBidi"/>
          <w:i/>
          <w:iCs/>
          <w:color w:val="0000FF"/>
          <w:sz w:val="22"/>
        </w:rPr>
        <w:t>p</w:t>
      </w:r>
      <w:r w:rsidRPr="008F21AE">
        <w:rPr>
          <w:rFonts w:asciiTheme="minorHAnsi" w:eastAsiaTheme="minorEastAsia" w:hAnsiTheme="minorHAnsi" w:cstheme="minorBidi"/>
          <w:iCs/>
          <w:color w:val="0000FF"/>
          <w:sz w:val="22"/>
        </w:rPr>
        <w:t xml:space="preserve"> &lt; 0.0001) compared with the reference category</w:t>
      </w:r>
      <w:r w:rsidR="00E037C1">
        <w:rPr>
          <w:rFonts w:asciiTheme="minorHAnsi" w:eastAsiaTheme="minorEastAsia" w:hAnsiTheme="minorHAnsi" w:cstheme="minorBidi"/>
          <w:iCs/>
          <w:color w:val="0000FF"/>
          <w:sz w:val="22"/>
        </w:rPr>
        <w:t xml:space="preserve"> of “mild or no communication impairment”</w:t>
      </w:r>
      <w:r w:rsidRPr="008F21AE">
        <w:rPr>
          <w:rFonts w:asciiTheme="minorHAnsi" w:eastAsiaTheme="minorEastAsia" w:hAnsiTheme="minorHAnsi" w:cstheme="minorBidi"/>
          <w:iCs/>
          <w:color w:val="0000FF"/>
          <w:sz w:val="22"/>
        </w:rPr>
        <w:t>.</w:t>
      </w:r>
    </w:p>
    <w:p w14:paraId="20583CE2" w14:textId="724CD9E5" w:rsidR="008D65B0" w:rsidRPr="008F21AE" w:rsidRDefault="008D65B0" w:rsidP="00A429AE">
      <w:pPr>
        <w:pStyle w:val="BodyText"/>
        <w:rPr>
          <w:rFonts w:asciiTheme="minorHAnsi" w:eastAsiaTheme="minorEastAsia" w:hAnsiTheme="minorHAnsi" w:cstheme="minorBidi"/>
          <w:iCs/>
          <w:color w:val="0000FF"/>
          <w:sz w:val="22"/>
        </w:rPr>
      </w:pPr>
      <w:r w:rsidRPr="00B96D9E">
        <w:rPr>
          <w:rFonts w:asciiTheme="minorHAnsi" w:eastAsiaTheme="minorEastAsia" w:hAnsiTheme="minorHAnsi" w:cstheme="minorBidi"/>
          <w:b/>
          <w:i/>
          <w:iCs/>
          <w:color w:val="0000FF"/>
          <w:sz w:val="22"/>
        </w:rPr>
        <w:t>Bladder Incontinence:</w:t>
      </w:r>
      <w:r w:rsidRPr="00B96D9E">
        <w:rPr>
          <w:rFonts w:asciiTheme="minorHAnsi" w:eastAsiaTheme="minorEastAsia" w:hAnsiTheme="minorHAnsi" w:cstheme="minorBidi"/>
          <w:iCs/>
          <w:color w:val="0000FF"/>
          <w:sz w:val="22"/>
        </w:rPr>
        <w:t xml:space="preserve"> We included a </w:t>
      </w:r>
      <w:r>
        <w:rPr>
          <w:rFonts w:asciiTheme="minorHAnsi" w:eastAsiaTheme="minorEastAsia" w:hAnsiTheme="minorHAnsi" w:cstheme="minorBidi"/>
          <w:iCs/>
          <w:color w:val="0000FF"/>
          <w:sz w:val="22"/>
        </w:rPr>
        <w:t>risk adjustor</w:t>
      </w:r>
      <w:r w:rsidRPr="00B96D9E">
        <w:rPr>
          <w:rFonts w:asciiTheme="minorHAnsi" w:eastAsiaTheme="minorEastAsia" w:hAnsiTheme="minorHAnsi" w:cstheme="minorBidi"/>
          <w:iCs/>
          <w:color w:val="0000FF"/>
          <w:sz w:val="22"/>
        </w:rPr>
        <w:t xml:space="preserve"> for </w:t>
      </w:r>
      <w:r w:rsidR="00E037C1">
        <w:rPr>
          <w:rFonts w:asciiTheme="minorHAnsi" w:eastAsiaTheme="minorEastAsia" w:hAnsiTheme="minorHAnsi" w:cstheme="minorBidi"/>
          <w:iCs/>
          <w:color w:val="0000FF"/>
          <w:sz w:val="22"/>
        </w:rPr>
        <w:t>b</w:t>
      </w:r>
      <w:r w:rsidRPr="00B96D9E">
        <w:rPr>
          <w:rFonts w:asciiTheme="minorHAnsi" w:eastAsiaTheme="minorEastAsia" w:hAnsiTheme="minorHAnsi" w:cstheme="minorBidi"/>
          <w:iCs/>
          <w:color w:val="0000FF"/>
          <w:sz w:val="22"/>
        </w:rPr>
        <w:t>ladder incontinence</w:t>
      </w:r>
      <w:r>
        <w:rPr>
          <w:rFonts w:asciiTheme="minorHAnsi" w:eastAsiaTheme="minorEastAsia" w:hAnsiTheme="minorHAnsi" w:cstheme="minorBidi"/>
          <w:iCs/>
          <w:color w:val="0000FF"/>
          <w:sz w:val="22"/>
        </w:rPr>
        <w:t>,</w:t>
      </w:r>
      <w:r w:rsidRPr="00B96D9E">
        <w:rPr>
          <w:rFonts w:asciiTheme="minorHAnsi" w:eastAsiaTheme="minorEastAsia" w:hAnsiTheme="minorHAnsi" w:cstheme="minorBidi"/>
          <w:iCs/>
          <w:color w:val="0000FF"/>
          <w:sz w:val="22"/>
        </w:rPr>
        <w:t xml:space="preserve"> which comprises patients with bladder incontinence </w:t>
      </w:r>
      <w:r w:rsidR="00E037C1">
        <w:rPr>
          <w:rFonts w:asciiTheme="minorHAnsi" w:eastAsiaTheme="minorEastAsia" w:hAnsiTheme="minorHAnsi" w:cstheme="minorBidi"/>
          <w:iCs/>
          <w:color w:val="0000FF"/>
          <w:sz w:val="22"/>
        </w:rPr>
        <w:t>“</w:t>
      </w:r>
      <w:r w:rsidRPr="00B96D9E">
        <w:rPr>
          <w:rFonts w:asciiTheme="minorHAnsi" w:eastAsiaTheme="minorEastAsia" w:hAnsiTheme="minorHAnsi" w:cstheme="minorBidi"/>
          <w:iCs/>
          <w:color w:val="0000FF"/>
          <w:sz w:val="22"/>
        </w:rPr>
        <w:t>less than daily,</w:t>
      </w:r>
      <w:r w:rsidR="00A429AE">
        <w:rPr>
          <w:rFonts w:asciiTheme="minorHAnsi" w:eastAsiaTheme="minorEastAsia" w:hAnsiTheme="minorHAnsi" w:cstheme="minorBidi"/>
          <w:iCs/>
          <w:color w:val="0000FF"/>
          <w:sz w:val="22"/>
        </w:rPr>
        <w:t>”</w:t>
      </w:r>
      <w:r w:rsidRPr="00B96D9E">
        <w:rPr>
          <w:rFonts w:asciiTheme="minorHAnsi" w:eastAsiaTheme="minorEastAsia" w:hAnsiTheme="minorHAnsi" w:cstheme="minorBidi"/>
          <w:iCs/>
          <w:color w:val="0000FF"/>
          <w:sz w:val="22"/>
        </w:rPr>
        <w:t xml:space="preserve"> </w:t>
      </w:r>
      <w:r w:rsidR="00A429AE">
        <w:rPr>
          <w:rFonts w:asciiTheme="minorHAnsi" w:eastAsiaTheme="minorEastAsia" w:hAnsiTheme="minorHAnsi" w:cstheme="minorBidi"/>
          <w:iCs/>
          <w:color w:val="0000FF"/>
          <w:sz w:val="22"/>
        </w:rPr>
        <w:t>“</w:t>
      </w:r>
      <w:r>
        <w:rPr>
          <w:rFonts w:asciiTheme="minorHAnsi" w:eastAsiaTheme="minorEastAsia" w:hAnsiTheme="minorHAnsi" w:cstheme="minorBidi"/>
          <w:iCs/>
          <w:color w:val="0000FF"/>
          <w:sz w:val="22"/>
        </w:rPr>
        <w:t>daily,</w:t>
      </w:r>
      <w:r w:rsidR="00A429AE">
        <w:rPr>
          <w:rFonts w:asciiTheme="minorHAnsi" w:eastAsiaTheme="minorEastAsia" w:hAnsiTheme="minorHAnsi" w:cstheme="minorBidi"/>
          <w:iCs/>
          <w:color w:val="0000FF"/>
          <w:sz w:val="22"/>
        </w:rPr>
        <w:t>”</w:t>
      </w:r>
      <w:r>
        <w:rPr>
          <w:rFonts w:asciiTheme="minorHAnsi" w:eastAsiaTheme="minorEastAsia" w:hAnsiTheme="minorHAnsi" w:cstheme="minorBidi"/>
          <w:iCs/>
          <w:color w:val="0000FF"/>
          <w:sz w:val="22"/>
        </w:rPr>
        <w:t xml:space="preserve"> </w:t>
      </w:r>
      <w:r w:rsidRPr="00B96D9E">
        <w:rPr>
          <w:rFonts w:asciiTheme="minorHAnsi" w:eastAsiaTheme="minorEastAsia" w:hAnsiTheme="minorHAnsi" w:cstheme="minorBidi"/>
          <w:iCs/>
          <w:color w:val="0000FF"/>
          <w:sz w:val="22"/>
        </w:rPr>
        <w:t xml:space="preserve">or </w:t>
      </w:r>
      <w:r w:rsidR="00A429AE">
        <w:rPr>
          <w:rFonts w:asciiTheme="minorHAnsi" w:eastAsiaTheme="minorEastAsia" w:hAnsiTheme="minorHAnsi" w:cstheme="minorBidi"/>
          <w:iCs/>
          <w:color w:val="0000FF"/>
          <w:sz w:val="22"/>
        </w:rPr>
        <w:t>“</w:t>
      </w:r>
      <w:r w:rsidRPr="00B96D9E">
        <w:rPr>
          <w:rFonts w:asciiTheme="minorHAnsi" w:eastAsiaTheme="minorEastAsia" w:hAnsiTheme="minorHAnsi" w:cstheme="minorBidi"/>
          <w:iCs/>
          <w:color w:val="0000FF"/>
          <w:sz w:val="22"/>
        </w:rPr>
        <w:t>always</w:t>
      </w:r>
      <w:r w:rsidR="00A429AE">
        <w:rPr>
          <w:rFonts w:asciiTheme="minorHAnsi" w:eastAsiaTheme="minorEastAsia" w:hAnsiTheme="minorHAnsi" w:cstheme="minorBidi"/>
          <w:iCs/>
          <w:color w:val="0000FF"/>
          <w:sz w:val="22"/>
        </w:rPr>
        <w:t>.</w:t>
      </w:r>
      <w:r w:rsidR="00E037C1">
        <w:rPr>
          <w:rFonts w:asciiTheme="minorHAnsi" w:eastAsiaTheme="minorEastAsia" w:hAnsiTheme="minorHAnsi" w:cstheme="minorBidi"/>
          <w:iCs/>
          <w:color w:val="0000FF"/>
          <w:sz w:val="22"/>
        </w:rPr>
        <w:t>”</w:t>
      </w:r>
      <w:r w:rsidRPr="00B96D9E">
        <w:rPr>
          <w:rFonts w:asciiTheme="minorHAnsi" w:eastAsiaTheme="minorEastAsia" w:hAnsiTheme="minorHAnsi" w:cstheme="minorBidi"/>
          <w:iCs/>
          <w:color w:val="0000FF"/>
          <w:sz w:val="22"/>
        </w:rPr>
        <w:t xml:space="preserve"> </w:t>
      </w:r>
      <w:r w:rsidR="00E037C1">
        <w:rPr>
          <w:rFonts w:asciiTheme="minorHAnsi" w:eastAsiaTheme="minorEastAsia" w:hAnsiTheme="minorHAnsi" w:cstheme="minorBidi"/>
          <w:iCs/>
          <w:color w:val="0000FF"/>
          <w:sz w:val="22"/>
        </w:rPr>
        <w:t>T</w:t>
      </w:r>
      <w:r w:rsidRPr="00B96D9E">
        <w:rPr>
          <w:rFonts w:asciiTheme="minorHAnsi" w:eastAsiaTheme="minorEastAsia" w:hAnsiTheme="minorHAnsi" w:cstheme="minorBidi"/>
          <w:iCs/>
          <w:color w:val="0000FF"/>
          <w:sz w:val="22"/>
        </w:rPr>
        <w:t xml:space="preserve">he reference category included patients who had </w:t>
      </w:r>
      <w:r w:rsidR="00E037C1">
        <w:rPr>
          <w:rFonts w:asciiTheme="minorHAnsi" w:eastAsiaTheme="minorEastAsia" w:hAnsiTheme="minorHAnsi" w:cstheme="minorBidi"/>
          <w:iCs/>
          <w:color w:val="0000FF"/>
          <w:sz w:val="22"/>
        </w:rPr>
        <w:t>“</w:t>
      </w:r>
      <w:r w:rsidRPr="00B96D9E">
        <w:rPr>
          <w:rFonts w:asciiTheme="minorHAnsi" w:eastAsiaTheme="minorEastAsia" w:hAnsiTheme="minorHAnsi" w:cstheme="minorBidi"/>
          <w:iCs/>
          <w:color w:val="0000FF"/>
          <w:sz w:val="22"/>
        </w:rPr>
        <w:t>stress incontinence only,</w:t>
      </w:r>
      <w:r w:rsidR="00A429AE">
        <w:rPr>
          <w:rFonts w:asciiTheme="minorHAnsi" w:eastAsiaTheme="minorEastAsia" w:hAnsiTheme="minorHAnsi" w:cstheme="minorBidi"/>
          <w:iCs/>
          <w:color w:val="0000FF"/>
          <w:sz w:val="22"/>
        </w:rPr>
        <w:t>”</w:t>
      </w:r>
      <w:r w:rsidRPr="00B96D9E">
        <w:rPr>
          <w:rFonts w:asciiTheme="minorHAnsi" w:eastAsiaTheme="minorEastAsia" w:hAnsiTheme="minorHAnsi" w:cstheme="minorBidi"/>
          <w:iCs/>
          <w:color w:val="0000FF"/>
          <w:sz w:val="22"/>
        </w:rPr>
        <w:t xml:space="preserve"> were </w:t>
      </w:r>
      <w:r w:rsidR="00A429AE">
        <w:rPr>
          <w:rFonts w:asciiTheme="minorHAnsi" w:eastAsiaTheme="minorEastAsia" w:hAnsiTheme="minorHAnsi" w:cstheme="minorBidi"/>
          <w:iCs/>
          <w:color w:val="0000FF"/>
          <w:sz w:val="22"/>
        </w:rPr>
        <w:t>“</w:t>
      </w:r>
      <w:r w:rsidRPr="00B96D9E">
        <w:rPr>
          <w:rFonts w:asciiTheme="minorHAnsi" w:eastAsiaTheme="minorEastAsia" w:hAnsiTheme="minorHAnsi" w:cstheme="minorBidi"/>
          <w:iCs/>
          <w:color w:val="0000FF"/>
          <w:sz w:val="22"/>
        </w:rPr>
        <w:t>always continent,</w:t>
      </w:r>
      <w:r w:rsidR="00A429AE">
        <w:rPr>
          <w:rFonts w:asciiTheme="minorHAnsi" w:eastAsiaTheme="minorEastAsia" w:hAnsiTheme="minorHAnsi" w:cstheme="minorBidi"/>
          <w:iCs/>
          <w:color w:val="0000FF"/>
          <w:sz w:val="22"/>
        </w:rPr>
        <w:t>”</w:t>
      </w:r>
      <w:r w:rsidRPr="00B96D9E">
        <w:rPr>
          <w:rFonts w:asciiTheme="minorHAnsi" w:eastAsiaTheme="minorEastAsia" w:hAnsiTheme="minorHAnsi" w:cstheme="minorBidi"/>
          <w:iCs/>
          <w:color w:val="0000FF"/>
          <w:sz w:val="22"/>
        </w:rPr>
        <w:t xml:space="preserve"> or had </w:t>
      </w:r>
      <w:r w:rsidR="00A429AE">
        <w:rPr>
          <w:rFonts w:asciiTheme="minorHAnsi" w:eastAsiaTheme="minorEastAsia" w:hAnsiTheme="minorHAnsi" w:cstheme="minorBidi"/>
          <w:iCs/>
          <w:color w:val="0000FF"/>
          <w:sz w:val="22"/>
        </w:rPr>
        <w:t>“</w:t>
      </w:r>
      <w:r w:rsidRPr="00B96D9E">
        <w:rPr>
          <w:rFonts w:asciiTheme="minorHAnsi" w:eastAsiaTheme="minorEastAsia" w:hAnsiTheme="minorHAnsi" w:cstheme="minorBidi"/>
          <w:iCs/>
          <w:color w:val="0000FF"/>
          <w:sz w:val="22"/>
        </w:rPr>
        <w:t xml:space="preserve">no urine </w:t>
      </w:r>
      <w:r w:rsidRPr="002D6BEE">
        <w:rPr>
          <w:rFonts w:asciiTheme="minorHAnsi" w:eastAsiaTheme="minorEastAsia" w:hAnsiTheme="minorHAnsi" w:cstheme="minorBidi"/>
          <w:iCs/>
          <w:color w:val="0000FF"/>
          <w:sz w:val="22"/>
        </w:rPr>
        <w:t>output</w:t>
      </w:r>
      <w:r w:rsidR="00A429AE">
        <w:rPr>
          <w:rFonts w:asciiTheme="minorHAnsi" w:eastAsiaTheme="minorEastAsia" w:hAnsiTheme="minorHAnsi" w:cstheme="minorBidi"/>
          <w:iCs/>
          <w:color w:val="0000FF"/>
          <w:sz w:val="22"/>
        </w:rPr>
        <w:t>.</w:t>
      </w:r>
      <w:r w:rsidR="00E037C1">
        <w:rPr>
          <w:rFonts w:asciiTheme="minorHAnsi" w:eastAsiaTheme="minorEastAsia" w:hAnsiTheme="minorHAnsi" w:cstheme="minorBidi"/>
          <w:iCs/>
          <w:color w:val="0000FF"/>
          <w:sz w:val="22"/>
        </w:rPr>
        <w:t>”</w:t>
      </w:r>
      <w:r w:rsidRPr="002D6BEE">
        <w:rPr>
          <w:rFonts w:asciiTheme="minorHAnsi" w:eastAsia="Times New Roman" w:hAnsiTheme="minorHAnsi"/>
          <w:sz w:val="22"/>
        </w:rPr>
        <w:t xml:space="preserve"> </w:t>
      </w:r>
      <w:r w:rsidRPr="00B96D9E">
        <w:rPr>
          <w:rFonts w:asciiTheme="minorHAnsi" w:eastAsiaTheme="minorEastAsia" w:hAnsiTheme="minorHAnsi" w:cstheme="minorBidi"/>
          <w:iCs/>
          <w:color w:val="0000FF"/>
          <w:sz w:val="22"/>
        </w:rPr>
        <w:t>Patients with bladder incontinence (</w:t>
      </w:r>
      <w:r>
        <w:rPr>
          <w:rFonts w:asciiTheme="minorHAnsi" w:eastAsiaTheme="minorEastAsia" w:hAnsiTheme="minorHAnsi" w:cstheme="minorBidi"/>
          <w:iCs/>
          <w:color w:val="0000FF"/>
          <w:sz w:val="22"/>
        </w:rPr>
        <w:t>coefficient</w:t>
      </w:r>
      <w:r w:rsidRPr="00B96D9E">
        <w:rPr>
          <w:rFonts w:asciiTheme="minorHAnsi" w:eastAsiaTheme="minorEastAsia" w:hAnsiTheme="minorHAnsi" w:cstheme="minorBidi"/>
          <w:iCs/>
          <w:color w:val="0000FF"/>
          <w:sz w:val="22"/>
        </w:rPr>
        <w:t xml:space="preserve"> </w:t>
      </w:r>
      <w:r>
        <w:rPr>
          <w:rFonts w:asciiTheme="minorHAnsi" w:eastAsiaTheme="minorEastAsia" w:hAnsiTheme="minorHAnsi" w:cstheme="minorBidi"/>
          <w:iCs/>
          <w:color w:val="0000FF"/>
          <w:sz w:val="22"/>
        </w:rPr>
        <w:t>= -0.923</w:t>
      </w:r>
      <w:r w:rsidRPr="00B96D9E">
        <w:rPr>
          <w:rFonts w:asciiTheme="minorHAnsi" w:eastAsiaTheme="minorEastAsia" w:hAnsiTheme="minorHAnsi" w:cstheme="minorBidi"/>
          <w:iCs/>
          <w:color w:val="0000FF"/>
          <w:sz w:val="22"/>
        </w:rPr>
        <w:t xml:space="preserve">, </w:t>
      </w:r>
      <w:r>
        <w:rPr>
          <w:rFonts w:asciiTheme="minorHAnsi" w:eastAsiaTheme="minorEastAsia" w:hAnsiTheme="minorHAnsi" w:cstheme="minorBidi"/>
          <w:i/>
          <w:iCs/>
          <w:color w:val="0000FF"/>
          <w:sz w:val="22"/>
        </w:rPr>
        <w:t>p</w:t>
      </w:r>
      <w:r w:rsidRPr="00B96D9E">
        <w:rPr>
          <w:rFonts w:asciiTheme="minorHAnsi" w:eastAsiaTheme="minorEastAsia" w:hAnsiTheme="minorHAnsi" w:cstheme="minorBidi"/>
          <w:iCs/>
          <w:color w:val="0000FF"/>
          <w:sz w:val="22"/>
        </w:rPr>
        <w:t xml:space="preserve"> </w:t>
      </w:r>
      <w:r>
        <w:rPr>
          <w:rFonts w:asciiTheme="minorHAnsi" w:eastAsiaTheme="minorEastAsia" w:hAnsiTheme="minorHAnsi" w:cstheme="minorBidi"/>
          <w:iCs/>
          <w:color w:val="0000FF"/>
          <w:sz w:val="22"/>
        </w:rPr>
        <w:t>= 0.0002</w:t>
      </w:r>
      <w:r w:rsidRPr="00B96D9E">
        <w:rPr>
          <w:rFonts w:asciiTheme="minorHAnsi" w:eastAsiaTheme="minorEastAsia" w:hAnsiTheme="minorHAnsi" w:cstheme="minorBidi"/>
          <w:iCs/>
          <w:color w:val="0000FF"/>
          <w:sz w:val="22"/>
        </w:rPr>
        <w:t xml:space="preserve">) had </w:t>
      </w:r>
      <w:r w:rsidRPr="008F21AE">
        <w:rPr>
          <w:rFonts w:asciiTheme="minorHAnsi" w:eastAsiaTheme="minorEastAsia" w:hAnsiTheme="minorHAnsi" w:cstheme="minorBidi"/>
          <w:iCs/>
          <w:color w:val="0000FF"/>
          <w:sz w:val="22"/>
        </w:rPr>
        <w:t xml:space="preserve">significantly </w:t>
      </w:r>
      <w:r w:rsidR="00ED6191" w:rsidRPr="008F21AE">
        <w:rPr>
          <w:rFonts w:asciiTheme="minorHAnsi" w:eastAsiaTheme="minorEastAsia" w:hAnsiTheme="minorHAnsi" w:cstheme="minorBidi"/>
          <w:iCs/>
          <w:color w:val="0000FF"/>
          <w:sz w:val="22"/>
        </w:rPr>
        <w:t xml:space="preserve">lower discharge self-care scores </w:t>
      </w:r>
      <w:r w:rsidRPr="008F21AE">
        <w:rPr>
          <w:rFonts w:asciiTheme="minorHAnsi" w:eastAsiaTheme="minorEastAsia" w:hAnsiTheme="minorHAnsi" w:cstheme="minorBidi"/>
          <w:iCs/>
          <w:color w:val="0000FF"/>
          <w:sz w:val="22"/>
        </w:rPr>
        <w:t xml:space="preserve">compared with the reference category. We also included a risk adjustor for patients with an indwelling urinary catheter (coefficient = -0.731, </w:t>
      </w:r>
      <w:r w:rsidRPr="008F21AE">
        <w:rPr>
          <w:rFonts w:asciiTheme="minorHAnsi" w:eastAsiaTheme="minorEastAsia" w:hAnsiTheme="minorHAnsi" w:cstheme="minorBidi"/>
          <w:i/>
          <w:iCs/>
          <w:color w:val="0000FF"/>
          <w:sz w:val="22"/>
        </w:rPr>
        <w:t>p</w:t>
      </w:r>
      <w:r w:rsidRPr="008F21AE">
        <w:rPr>
          <w:rFonts w:asciiTheme="minorHAnsi" w:eastAsiaTheme="minorEastAsia" w:hAnsiTheme="minorHAnsi" w:cstheme="minorBidi"/>
          <w:iCs/>
          <w:color w:val="0000FF"/>
          <w:sz w:val="22"/>
        </w:rPr>
        <w:t xml:space="preserve"> = 0.0027)</w:t>
      </w:r>
      <w:r w:rsidR="00E037C1">
        <w:rPr>
          <w:rFonts w:asciiTheme="minorHAnsi" w:eastAsiaTheme="minorEastAsia" w:hAnsiTheme="minorHAnsi" w:cstheme="minorBidi"/>
          <w:iCs/>
          <w:color w:val="0000FF"/>
          <w:sz w:val="22"/>
        </w:rPr>
        <w:t>.</w:t>
      </w:r>
    </w:p>
    <w:p w14:paraId="74246405" w14:textId="3144DA23" w:rsidR="008D65B0" w:rsidRPr="008F21AE" w:rsidRDefault="008D65B0" w:rsidP="00A429AE">
      <w:pPr>
        <w:pStyle w:val="BodyText"/>
        <w:rPr>
          <w:rFonts w:asciiTheme="minorHAnsi" w:eastAsiaTheme="minorEastAsia" w:hAnsiTheme="minorHAnsi" w:cstheme="minorBidi"/>
          <w:iCs/>
          <w:color w:val="0000FF"/>
          <w:sz w:val="22"/>
        </w:rPr>
      </w:pPr>
      <w:r w:rsidRPr="008F21AE">
        <w:rPr>
          <w:rFonts w:asciiTheme="minorHAnsi" w:eastAsiaTheme="minorEastAsia" w:hAnsiTheme="minorHAnsi" w:cstheme="minorBidi"/>
          <w:b/>
          <w:i/>
          <w:iCs/>
          <w:color w:val="0000FF"/>
          <w:sz w:val="22"/>
        </w:rPr>
        <w:t>Bowel Incontinence:</w:t>
      </w:r>
      <w:r w:rsidRPr="008F21AE">
        <w:rPr>
          <w:rFonts w:asciiTheme="minorHAnsi" w:eastAsiaTheme="minorEastAsia" w:hAnsiTheme="minorHAnsi" w:cstheme="minorBidi"/>
          <w:iCs/>
          <w:color w:val="0000FF"/>
          <w:sz w:val="22"/>
        </w:rPr>
        <w:t xml:space="preserve"> We included two separate risk adjustors related to bowel incontinence: “always incontinent” and “less than daily or daily incontinence.” The reference category included patients who were </w:t>
      </w:r>
      <w:r w:rsidR="00FE690C">
        <w:rPr>
          <w:rFonts w:asciiTheme="minorHAnsi" w:eastAsiaTheme="minorEastAsia" w:hAnsiTheme="minorHAnsi" w:cstheme="minorBidi"/>
          <w:iCs/>
          <w:color w:val="0000FF"/>
          <w:sz w:val="22"/>
        </w:rPr>
        <w:t>“</w:t>
      </w:r>
      <w:r w:rsidRPr="008F21AE">
        <w:rPr>
          <w:rFonts w:asciiTheme="minorHAnsi" w:eastAsiaTheme="minorEastAsia" w:hAnsiTheme="minorHAnsi" w:cstheme="minorBidi"/>
          <w:iCs/>
          <w:color w:val="0000FF"/>
          <w:sz w:val="22"/>
        </w:rPr>
        <w:t>always continent, had no bowel output during the assessment period, or had a bowel catheter management system</w:t>
      </w:r>
      <w:r w:rsidR="00A429AE">
        <w:rPr>
          <w:rFonts w:asciiTheme="minorHAnsi" w:eastAsiaTheme="minorEastAsia" w:hAnsiTheme="minorHAnsi" w:cstheme="minorBidi"/>
          <w:iCs/>
          <w:color w:val="0000FF"/>
          <w:sz w:val="22"/>
        </w:rPr>
        <w:t>.</w:t>
      </w:r>
      <w:r w:rsidR="00FE690C">
        <w:rPr>
          <w:rFonts w:asciiTheme="minorHAnsi" w:eastAsiaTheme="minorEastAsia" w:hAnsiTheme="minorHAnsi" w:cstheme="minorBidi"/>
          <w:iCs/>
          <w:color w:val="0000FF"/>
          <w:sz w:val="22"/>
        </w:rPr>
        <w:t>”</w:t>
      </w:r>
      <w:r w:rsidRPr="008F21AE">
        <w:rPr>
          <w:rFonts w:asciiTheme="minorHAnsi" w:eastAsia="Times New Roman" w:hAnsiTheme="minorHAnsi"/>
          <w:sz w:val="22"/>
        </w:rPr>
        <w:t xml:space="preserve"> </w:t>
      </w:r>
      <w:r w:rsidRPr="008F21AE">
        <w:rPr>
          <w:rFonts w:asciiTheme="minorHAnsi" w:eastAsiaTheme="minorEastAsia" w:hAnsiTheme="minorHAnsi" w:cstheme="minorBidi"/>
          <w:iCs/>
          <w:color w:val="0000FF"/>
          <w:sz w:val="22"/>
        </w:rPr>
        <w:t xml:space="preserve">Patients with bowel incontinence had significantly </w:t>
      </w:r>
      <w:r w:rsidR="00ED6191" w:rsidRPr="008F21AE">
        <w:rPr>
          <w:rFonts w:asciiTheme="minorHAnsi" w:eastAsiaTheme="minorEastAsia" w:hAnsiTheme="minorHAnsi" w:cstheme="minorBidi"/>
          <w:iCs/>
          <w:color w:val="0000FF"/>
          <w:sz w:val="22"/>
        </w:rPr>
        <w:t>lower discharge self-care scores</w:t>
      </w:r>
      <w:r w:rsidRPr="008F21AE">
        <w:rPr>
          <w:rFonts w:asciiTheme="minorHAnsi" w:eastAsiaTheme="minorEastAsia" w:hAnsiTheme="minorHAnsi" w:cstheme="minorBidi"/>
          <w:iCs/>
          <w:color w:val="0000FF"/>
          <w:sz w:val="22"/>
        </w:rPr>
        <w:t xml:space="preserve"> compared with the reference group, with the “always incontinent” category (coefficient = -1.582, </w:t>
      </w:r>
      <w:r w:rsidRPr="008F21AE">
        <w:rPr>
          <w:rFonts w:asciiTheme="minorHAnsi" w:eastAsiaTheme="minorEastAsia" w:hAnsiTheme="minorHAnsi" w:cstheme="minorBidi"/>
          <w:i/>
          <w:iCs/>
          <w:color w:val="0000FF"/>
          <w:sz w:val="22"/>
        </w:rPr>
        <w:t>p</w:t>
      </w:r>
      <w:r w:rsidRPr="008F21AE">
        <w:rPr>
          <w:rFonts w:asciiTheme="minorHAnsi" w:eastAsiaTheme="minorEastAsia" w:hAnsiTheme="minorHAnsi" w:cstheme="minorBidi"/>
          <w:iCs/>
          <w:color w:val="0000FF"/>
          <w:sz w:val="22"/>
        </w:rPr>
        <w:t xml:space="preserve"> = 0.0021) having a larger negative coefficient compared with the “less than daily</w:t>
      </w:r>
      <w:r w:rsidR="00A429AE">
        <w:rPr>
          <w:rFonts w:asciiTheme="minorHAnsi" w:eastAsiaTheme="minorEastAsia" w:hAnsiTheme="minorHAnsi" w:cstheme="minorBidi"/>
          <w:iCs/>
          <w:color w:val="0000FF"/>
          <w:sz w:val="22"/>
        </w:rPr>
        <w:t>”</w:t>
      </w:r>
      <w:r w:rsidRPr="008F21AE">
        <w:rPr>
          <w:rFonts w:asciiTheme="minorHAnsi" w:eastAsiaTheme="minorEastAsia" w:hAnsiTheme="minorHAnsi" w:cstheme="minorBidi"/>
          <w:iCs/>
          <w:color w:val="0000FF"/>
          <w:sz w:val="22"/>
        </w:rPr>
        <w:t xml:space="preserve"> </w:t>
      </w:r>
      <w:r w:rsidR="00FE690C">
        <w:rPr>
          <w:rFonts w:asciiTheme="minorHAnsi" w:eastAsiaTheme="minorEastAsia" w:hAnsiTheme="minorHAnsi" w:cstheme="minorBidi"/>
          <w:iCs/>
          <w:color w:val="0000FF"/>
          <w:sz w:val="22"/>
        </w:rPr>
        <w:t xml:space="preserve">or </w:t>
      </w:r>
      <w:r w:rsidR="00A429AE">
        <w:rPr>
          <w:rFonts w:asciiTheme="minorHAnsi" w:eastAsiaTheme="minorEastAsia" w:hAnsiTheme="minorHAnsi" w:cstheme="minorBidi"/>
          <w:iCs/>
          <w:color w:val="0000FF"/>
          <w:sz w:val="22"/>
        </w:rPr>
        <w:t>“</w:t>
      </w:r>
      <w:r w:rsidRPr="008F21AE">
        <w:rPr>
          <w:rFonts w:asciiTheme="minorHAnsi" w:eastAsiaTheme="minorEastAsia" w:hAnsiTheme="minorHAnsi" w:cstheme="minorBidi"/>
          <w:iCs/>
          <w:color w:val="0000FF"/>
          <w:sz w:val="22"/>
        </w:rPr>
        <w:t>daily</w:t>
      </w:r>
      <w:r w:rsidR="00FE690C">
        <w:rPr>
          <w:rFonts w:asciiTheme="minorHAnsi" w:eastAsiaTheme="minorEastAsia" w:hAnsiTheme="minorHAnsi" w:cstheme="minorBidi"/>
          <w:iCs/>
          <w:color w:val="0000FF"/>
          <w:sz w:val="22"/>
        </w:rPr>
        <w:t xml:space="preserve"> incontinence</w:t>
      </w:r>
      <w:r w:rsidRPr="008F21AE">
        <w:rPr>
          <w:rFonts w:asciiTheme="minorHAnsi" w:eastAsiaTheme="minorEastAsia" w:hAnsiTheme="minorHAnsi" w:cstheme="minorBidi"/>
          <w:iCs/>
          <w:color w:val="0000FF"/>
          <w:sz w:val="22"/>
        </w:rPr>
        <w:t xml:space="preserve">” category (coefficient = -0.635, </w:t>
      </w:r>
      <w:r w:rsidRPr="008F21AE">
        <w:rPr>
          <w:rFonts w:asciiTheme="minorHAnsi" w:eastAsiaTheme="minorEastAsia" w:hAnsiTheme="minorHAnsi" w:cstheme="minorBidi"/>
          <w:i/>
          <w:iCs/>
          <w:color w:val="0000FF"/>
          <w:sz w:val="22"/>
        </w:rPr>
        <w:t>p</w:t>
      </w:r>
      <w:r w:rsidRPr="008F21AE">
        <w:rPr>
          <w:rFonts w:asciiTheme="minorHAnsi" w:eastAsiaTheme="minorEastAsia" w:hAnsiTheme="minorHAnsi" w:cstheme="minorBidi"/>
          <w:iCs/>
          <w:color w:val="0000FF"/>
          <w:sz w:val="22"/>
        </w:rPr>
        <w:t xml:space="preserve"> = 0.024).</w:t>
      </w:r>
    </w:p>
    <w:p w14:paraId="331DFD51" w14:textId="5A4129B8" w:rsidR="008D65B0" w:rsidRDefault="008D65B0" w:rsidP="00A429AE">
      <w:pPr>
        <w:pStyle w:val="Heading5"/>
        <w:keepNext w:val="0"/>
        <w:ind w:firstLine="0"/>
        <w:rPr>
          <w:rFonts w:asciiTheme="minorHAnsi" w:eastAsiaTheme="minorEastAsia" w:hAnsiTheme="minorHAnsi" w:cstheme="minorBidi"/>
          <w:b w:val="0"/>
          <w:bCs w:val="0"/>
          <w:iCs/>
          <w:color w:val="0000FF"/>
        </w:rPr>
      </w:pPr>
      <w:r w:rsidRPr="008F21AE">
        <w:rPr>
          <w:rFonts w:asciiTheme="minorHAnsi" w:eastAsiaTheme="minorEastAsia" w:hAnsiTheme="minorHAnsi" w:cstheme="minorBidi"/>
          <w:bCs w:val="0"/>
          <w:i/>
          <w:iCs/>
          <w:color w:val="0000FF"/>
        </w:rPr>
        <w:t>Swallowing Ability:</w:t>
      </w:r>
      <w:r w:rsidRPr="008F21AE">
        <w:rPr>
          <w:rFonts w:asciiTheme="minorHAnsi" w:eastAsiaTheme="minorEastAsia" w:hAnsiTheme="minorHAnsi" w:cstheme="minorBidi"/>
          <w:b w:val="0"/>
          <w:bCs w:val="0"/>
          <w:iCs/>
          <w:color w:val="0000FF"/>
        </w:rPr>
        <w:t xml:space="preserve"> Our model included two separate risk adjustors related to patients’ swallowing ability: (1) need for modified food consistency</w:t>
      </w:r>
      <w:r w:rsidR="00FE690C">
        <w:rPr>
          <w:rFonts w:asciiTheme="minorHAnsi" w:eastAsiaTheme="minorEastAsia" w:hAnsiTheme="minorHAnsi" w:cstheme="minorBidi"/>
          <w:b w:val="0"/>
          <w:bCs w:val="0"/>
          <w:iCs/>
          <w:color w:val="0000FF"/>
        </w:rPr>
        <w:t xml:space="preserve"> or </w:t>
      </w:r>
      <w:r w:rsidRPr="008F21AE">
        <w:rPr>
          <w:rFonts w:asciiTheme="minorHAnsi" w:eastAsiaTheme="minorEastAsia" w:hAnsiTheme="minorHAnsi" w:cstheme="minorBidi"/>
          <w:b w:val="0"/>
          <w:bCs w:val="0"/>
          <w:iCs/>
          <w:color w:val="0000FF"/>
        </w:rPr>
        <w:t xml:space="preserve">supervision, and (2) need for tube or parenteral feeding. Both risk adjustors were significantly predictive of </w:t>
      </w:r>
      <w:r w:rsidR="00ED6191" w:rsidRPr="008F21AE">
        <w:rPr>
          <w:rFonts w:asciiTheme="minorHAnsi" w:eastAsiaTheme="minorEastAsia" w:hAnsiTheme="minorHAnsi" w:cstheme="minorBidi"/>
          <w:b w:val="0"/>
          <w:bCs w:val="0"/>
          <w:iCs/>
          <w:color w:val="0000FF"/>
        </w:rPr>
        <w:t>lower discharge self-care scores</w:t>
      </w:r>
      <w:r w:rsidRPr="008F21AE">
        <w:rPr>
          <w:rFonts w:asciiTheme="minorHAnsi" w:eastAsiaTheme="minorEastAsia" w:hAnsiTheme="minorHAnsi" w:cstheme="minorBidi"/>
          <w:b w:val="0"/>
          <w:bCs w:val="0"/>
          <w:iCs/>
          <w:color w:val="0000FF"/>
        </w:rPr>
        <w:t xml:space="preserve">, with the tube or parenteral feeding group (coefficient = -1.056, </w:t>
      </w:r>
      <w:r w:rsidRPr="008F21AE">
        <w:rPr>
          <w:rFonts w:asciiTheme="minorHAnsi" w:eastAsiaTheme="minorEastAsia" w:hAnsiTheme="minorHAnsi" w:cstheme="minorBidi"/>
          <w:b w:val="0"/>
          <w:bCs w:val="0"/>
          <w:i/>
          <w:iCs/>
          <w:color w:val="0000FF"/>
        </w:rPr>
        <w:t>p</w:t>
      </w:r>
      <w:r w:rsidRPr="008F21AE">
        <w:rPr>
          <w:rFonts w:asciiTheme="minorHAnsi" w:eastAsiaTheme="minorEastAsia" w:hAnsiTheme="minorHAnsi" w:cstheme="minorBidi"/>
          <w:b w:val="0"/>
          <w:bCs w:val="0"/>
          <w:iCs/>
          <w:color w:val="0000FF"/>
        </w:rPr>
        <w:t xml:space="preserve"> = 0.086</w:t>
      </w:r>
      <w:r w:rsidR="00C01B73">
        <w:rPr>
          <w:rFonts w:asciiTheme="minorHAnsi" w:eastAsiaTheme="minorEastAsia" w:hAnsiTheme="minorHAnsi" w:cstheme="minorBidi"/>
          <w:b w:val="0"/>
          <w:bCs w:val="0"/>
          <w:iCs/>
          <w:color w:val="0000FF"/>
        </w:rPr>
        <w:t>4</w:t>
      </w:r>
      <w:r w:rsidRPr="008F21AE">
        <w:rPr>
          <w:rFonts w:asciiTheme="minorHAnsi" w:eastAsiaTheme="minorEastAsia" w:hAnsiTheme="minorHAnsi" w:cstheme="minorBidi"/>
          <w:b w:val="0"/>
          <w:bCs w:val="0"/>
          <w:iCs/>
          <w:color w:val="0000FF"/>
        </w:rPr>
        <w:t>) having a larger coefficient than the modified food consistency</w:t>
      </w:r>
      <w:r w:rsidR="00FE690C">
        <w:rPr>
          <w:rFonts w:asciiTheme="minorHAnsi" w:eastAsiaTheme="minorEastAsia" w:hAnsiTheme="minorHAnsi" w:cstheme="minorBidi"/>
          <w:b w:val="0"/>
          <w:bCs w:val="0"/>
          <w:iCs/>
          <w:color w:val="0000FF"/>
        </w:rPr>
        <w:t xml:space="preserve"> or </w:t>
      </w:r>
      <w:r w:rsidRPr="008F21AE">
        <w:rPr>
          <w:rFonts w:asciiTheme="minorHAnsi" w:eastAsiaTheme="minorEastAsia" w:hAnsiTheme="minorHAnsi" w:cstheme="minorBidi"/>
          <w:b w:val="0"/>
          <w:bCs w:val="0"/>
          <w:iCs/>
          <w:color w:val="0000FF"/>
        </w:rPr>
        <w:t xml:space="preserve">supervision group (coefficient = -0.562, </w:t>
      </w:r>
      <w:r w:rsidRPr="008F21AE">
        <w:rPr>
          <w:rFonts w:asciiTheme="minorHAnsi" w:eastAsiaTheme="minorEastAsia" w:hAnsiTheme="minorHAnsi" w:cstheme="minorBidi"/>
          <w:b w:val="0"/>
          <w:bCs w:val="0"/>
          <w:i/>
          <w:iCs/>
          <w:color w:val="0000FF"/>
        </w:rPr>
        <w:t>p</w:t>
      </w:r>
      <w:r w:rsidRPr="008F21AE">
        <w:rPr>
          <w:rFonts w:asciiTheme="minorHAnsi" w:eastAsiaTheme="minorEastAsia" w:hAnsiTheme="minorHAnsi" w:cstheme="minorBidi"/>
          <w:b w:val="0"/>
          <w:bCs w:val="0"/>
          <w:iCs/>
          <w:color w:val="0000FF"/>
        </w:rPr>
        <w:t xml:space="preserve"> = 0.058</w:t>
      </w:r>
      <w:r w:rsidR="00C01B73">
        <w:rPr>
          <w:rFonts w:asciiTheme="minorHAnsi" w:eastAsiaTheme="minorEastAsia" w:hAnsiTheme="minorHAnsi" w:cstheme="minorBidi"/>
          <w:b w:val="0"/>
          <w:bCs w:val="0"/>
          <w:iCs/>
          <w:color w:val="0000FF"/>
        </w:rPr>
        <w:t>4</w:t>
      </w:r>
      <w:r w:rsidRPr="008F21AE">
        <w:rPr>
          <w:rFonts w:asciiTheme="minorHAnsi" w:eastAsiaTheme="minorEastAsia" w:hAnsiTheme="minorHAnsi" w:cstheme="minorBidi"/>
          <w:b w:val="0"/>
          <w:bCs w:val="0"/>
          <w:iCs/>
          <w:color w:val="0000FF"/>
        </w:rPr>
        <w:t>).</w:t>
      </w:r>
      <w:r>
        <w:rPr>
          <w:rFonts w:asciiTheme="minorHAnsi" w:eastAsiaTheme="minorEastAsia" w:hAnsiTheme="minorHAnsi" w:cstheme="minorBidi"/>
          <w:b w:val="0"/>
          <w:bCs w:val="0"/>
          <w:iCs/>
          <w:color w:val="0000FF"/>
        </w:rPr>
        <w:t xml:space="preserve"> </w:t>
      </w:r>
    </w:p>
    <w:p w14:paraId="208BDCAD" w14:textId="10EA7115" w:rsidR="008D65B0" w:rsidRPr="0014120C" w:rsidRDefault="008D65B0" w:rsidP="008D65B0">
      <w:pPr>
        <w:pStyle w:val="BodyText"/>
        <w:rPr>
          <w:rFonts w:asciiTheme="minorHAnsi" w:eastAsiaTheme="minorEastAsia" w:hAnsiTheme="minorHAnsi" w:cstheme="minorBidi"/>
          <w:iCs/>
          <w:color w:val="0000FF"/>
          <w:sz w:val="22"/>
        </w:rPr>
      </w:pPr>
      <w:r w:rsidRPr="005F6978">
        <w:rPr>
          <w:rFonts w:asciiTheme="minorHAnsi" w:eastAsiaTheme="minorEastAsia" w:hAnsiTheme="minorHAnsi" w:cstheme="minorBidi"/>
          <w:b/>
          <w:i/>
          <w:iCs/>
          <w:color w:val="0000FF"/>
          <w:sz w:val="22"/>
        </w:rPr>
        <w:t>Comorbidities:</w:t>
      </w:r>
      <w:r w:rsidRPr="0014120C">
        <w:rPr>
          <w:rFonts w:asciiTheme="minorHAnsi" w:eastAsiaTheme="minorEastAsia" w:hAnsiTheme="minorHAnsi" w:cstheme="minorBidi"/>
          <w:iCs/>
          <w:color w:val="0000FF"/>
          <w:sz w:val="22"/>
        </w:rPr>
        <w:t xml:space="preserve"> We used </w:t>
      </w:r>
      <w:r w:rsidRPr="00324E8F">
        <w:rPr>
          <w:rFonts w:asciiTheme="minorHAnsi" w:eastAsiaTheme="minorEastAsia" w:hAnsiTheme="minorHAnsi" w:cstheme="minorBidi"/>
          <w:iCs/>
          <w:color w:val="0000FF"/>
          <w:sz w:val="22"/>
        </w:rPr>
        <w:t>all the International Classification of Diseases, Ninth Revision, Clinical Modification (ICD-9-CM) codes reported on the IRF-PAI (Item 24 - Comorbid</w:t>
      </w:r>
      <w:r w:rsidRPr="0014120C">
        <w:rPr>
          <w:rFonts w:asciiTheme="minorHAnsi" w:eastAsiaTheme="minorEastAsia" w:hAnsiTheme="minorHAnsi" w:cstheme="minorBidi"/>
          <w:iCs/>
          <w:color w:val="0000FF"/>
          <w:sz w:val="22"/>
        </w:rPr>
        <w:t xml:space="preserve"> Conditions), and on prior acute claims within the past 100 days to identify patient comorbidities. </w:t>
      </w:r>
      <w:r>
        <w:rPr>
          <w:rFonts w:asciiTheme="minorHAnsi" w:eastAsiaTheme="minorEastAsia" w:hAnsiTheme="minorHAnsi" w:cstheme="minorBidi"/>
          <w:iCs/>
          <w:color w:val="0000FF"/>
          <w:sz w:val="22"/>
        </w:rPr>
        <w:t>ICD-9-CM</w:t>
      </w:r>
      <w:r w:rsidRPr="0014120C">
        <w:rPr>
          <w:rFonts w:asciiTheme="minorHAnsi" w:eastAsiaTheme="minorEastAsia" w:hAnsiTheme="minorHAnsi" w:cstheme="minorBidi"/>
          <w:iCs/>
          <w:color w:val="0000FF"/>
          <w:sz w:val="22"/>
        </w:rPr>
        <w:t xml:space="preserve"> codes </w:t>
      </w:r>
      <w:r>
        <w:rPr>
          <w:rFonts w:asciiTheme="minorHAnsi" w:eastAsiaTheme="minorEastAsia" w:hAnsiTheme="minorHAnsi" w:cstheme="minorBidi"/>
          <w:iCs/>
          <w:color w:val="0000FF"/>
          <w:sz w:val="22"/>
        </w:rPr>
        <w:t xml:space="preserve">were used to assign patients into one or more of the 201 </w:t>
      </w:r>
      <w:r w:rsidRPr="0014120C">
        <w:rPr>
          <w:rFonts w:asciiTheme="minorHAnsi" w:eastAsiaTheme="minorEastAsia" w:hAnsiTheme="minorHAnsi" w:cstheme="minorBidi"/>
          <w:iCs/>
          <w:color w:val="0000FF"/>
          <w:sz w:val="22"/>
        </w:rPr>
        <w:t>Hi</w:t>
      </w:r>
      <w:r>
        <w:rPr>
          <w:rFonts w:asciiTheme="minorHAnsi" w:eastAsiaTheme="minorEastAsia" w:hAnsiTheme="minorHAnsi" w:cstheme="minorBidi"/>
          <w:iCs/>
          <w:color w:val="0000FF"/>
          <w:sz w:val="22"/>
        </w:rPr>
        <w:t xml:space="preserve">erarchical Condition Categories. We </w:t>
      </w:r>
      <w:r w:rsidRPr="005F6978">
        <w:rPr>
          <w:rFonts w:asciiTheme="minorHAnsi" w:eastAsiaTheme="minorEastAsia" w:hAnsiTheme="minorHAnsi" w:cstheme="minorBidi"/>
          <w:iCs/>
          <w:color w:val="0000FF"/>
          <w:sz w:val="22"/>
        </w:rPr>
        <w:t xml:space="preserve">tested approximately </w:t>
      </w:r>
      <w:r w:rsidRPr="005F6978">
        <w:rPr>
          <w:rFonts w:asciiTheme="minorHAnsi" w:eastAsiaTheme="minorEastAsia" w:hAnsiTheme="minorHAnsi" w:cstheme="minorBidi"/>
          <w:iCs/>
          <w:color w:val="0000FF"/>
          <w:sz w:val="22"/>
        </w:rPr>
        <w:lastRenderedPageBreak/>
        <w:t xml:space="preserve">120 </w:t>
      </w:r>
      <w:r>
        <w:rPr>
          <w:rFonts w:asciiTheme="minorHAnsi" w:eastAsiaTheme="minorEastAsia" w:hAnsiTheme="minorHAnsi" w:cstheme="minorBidi"/>
          <w:iCs/>
          <w:color w:val="0000FF"/>
          <w:sz w:val="22"/>
        </w:rPr>
        <w:t xml:space="preserve">of the </w:t>
      </w:r>
      <w:r w:rsidRPr="0014120C">
        <w:rPr>
          <w:rFonts w:asciiTheme="minorHAnsi" w:eastAsiaTheme="minorEastAsia" w:hAnsiTheme="minorHAnsi" w:cstheme="minorBidi"/>
          <w:iCs/>
          <w:color w:val="0000FF"/>
          <w:sz w:val="22"/>
        </w:rPr>
        <w:t>Hi</w:t>
      </w:r>
      <w:r>
        <w:rPr>
          <w:rFonts w:asciiTheme="minorHAnsi" w:eastAsiaTheme="minorEastAsia" w:hAnsiTheme="minorHAnsi" w:cstheme="minorBidi"/>
          <w:iCs/>
          <w:color w:val="0000FF"/>
          <w:sz w:val="22"/>
        </w:rPr>
        <w:t>erarchical Condition Categories</w:t>
      </w:r>
      <w:r w:rsidRPr="005F6978">
        <w:rPr>
          <w:rFonts w:asciiTheme="minorHAnsi" w:eastAsiaTheme="minorEastAsia" w:hAnsiTheme="minorHAnsi" w:cstheme="minorBidi"/>
          <w:iCs/>
          <w:color w:val="0000FF"/>
          <w:sz w:val="22"/>
        </w:rPr>
        <w:t xml:space="preserve"> that</w:t>
      </w:r>
      <w:r w:rsidRPr="0014120C">
        <w:rPr>
          <w:rFonts w:asciiTheme="minorHAnsi" w:eastAsiaTheme="minorEastAsia" w:hAnsiTheme="minorHAnsi" w:cstheme="minorBidi"/>
          <w:iCs/>
          <w:color w:val="0000FF"/>
          <w:sz w:val="22"/>
        </w:rPr>
        <w:t xml:space="preserve"> were determined to be clinically relevant to self-care outcomes. </w:t>
      </w:r>
      <w:r>
        <w:rPr>
          <w:rFonts w:asciiTheme="minorHAnsi" w:eastAsiaTheme="minorEastAsia" w:hAnsiTheme="minorHAnsi" w:cstheme="minorBidi"/>
          <w:iCs/>
          <w:color w:val="0000FF"/>
          <w:sz w:val="22"/>
        </w:rPr>
        <w:t>W</w:t>
      </w:r>
      <w:r w:rsidRPr="0014120C">
        <w:rPr>
          <w:rFonts w:asciiTheme="minorHAnsi" w:eastAsiaTheme="minorEastAsia" w:hAnsiTheme="minorHAnsi" w:cstheme="minorBidi"/>
          <w:iCs/>
          <w:color w:val="0000FF"/>
          <w:sz w:val="22"/>
        </w:rPr>
        <w:t>e collapsed several similar Hi</w:t>
      </w:r>
      <w:r>
        <w:rPr>
          <w:rFonts w:asciiTheme="minorHAnsi" w:eastAsiaTheme="minorEastAsia" w:hAnsiTheme="minorHAnsi" w:cstheme="minorBidi"/>
          <w:iCs/>
          <w:color w:val="0000FF"/>
          <w:sz w:val="22"/>
        </w:rPr>
        <w:t>erarchical Condition Categories</w:t>
      </w:r>
      <w:r w:rsidRPr="0014120C">
        <w:rPr>
          <w:rFonts w:asciiTheme="minorHAnsi" w:eastAsiaTheme="minorEastAsia" w:hAnsiTheme="minorHAnsi" w:cstheme="minorBidi"/>
          <w:iCs/>
          <w:color w:val="0000FF"/>
          <w:sz w:val="22"/>
        </w:rPr>
        <w:t xml:space="preserve"> into groups during model </w:t>
      </w:r>
      <w:r>
        <w:rPr>
          <w:rFonts w:asciiTheme="minorHAnsi" w:eastAsiaTheme="minorEastAsia" w:hAnsiTheme="minorHAnsi" w:cstheme="minorBidi"/>
          <w:iCs/>
          <w:color w:val="0000FF"/>
          <w:sz w:val="22"/>
        </w:rPr>
        <w:t>development</w:t>
      </w:r>
      <w:r w:rsidRPr="0014120C">
        <w:rPr>
          <w:rFonts w:asciiTheme="minorHAnsi" w:eastAsiaTheme="minorEastAsia" w:hAnsiTheme="minorHAnsi" w:cstheme="minorBidi"/>
          <w:iCs/>
          <w:color w:val="0000FF"/>
          <w:sz w:val="22"/>
        </w:rPr>
        <w:t xml:space="preserve"> due to the low prevalence </w:t>
      </w:r>
      <w:r>
        <w:rPr>
          <w:rFonts w:asciiTheme="minorHAnsi" w:eastAsiaTheme="minorEastAsia" w:hAnsiTheme="minorHAnsi" w:cstheme="minorBidi"/>
          <w:iCs/>
          <w:color w:val="0000FF"/>
          <w:sz w:val="22"/>
        </w:rPr>
        <w:t xml:space="preserve">of some conditions </w:t>
      </w:r>
      <w:r w:rsidRPr="0014120C">
        <w:rPr>
          <w:rFonts w:asciiTheme="minorHAnsi" w:eastAsiaTheme="minorEastAsia" w:hAnsiTheme="minorHAnsi" w:cstheme="minorBidi"/>
          <w:iCs/>
          <w:color w:val="0000FF"/>
          <w:sz w:val="22"/>
        </w:rPr>
        <w:t>in the sample. Grouping of Hi</w:t>
      </w:r>
      <w:r>
        <w:rPr>
          <w:rFonts w:asciiTheme="minorHAnsi" w:eastAsiaTheme="minorEastAsia" w:hAnsiTheme="minorHAnsi" w:cstheme="minorBidi"/>
          <w:iCs/>
          <w:color w:val="0000FF"/>
          <w:sz w:val="22"/>
        </w:rPr>
        <w:t>erarchical Condition Categories</w:t>
      </w:r>
      <w:r w:rsidRPr="0014120C">
        <w:rPr>
          <w:rFonts w:asciiTheme="minorHAnsi" w:eastAsiaTheme="minorEastAsia" w:hAnsiTheme="minorHAnsi" w:cstheme="minorBidi"/>
          <w:iCs/>
          <w:color w:val="0000FF"/>
          <w:sz w:val="22"/>
        </w:rPr>
        <w:t xml:space="preserve"> was based on clinical similarity as well as similarity of regression </w:t>
      </w:r>
      <w:r w:rsidR="00D77485">
        <w:rPr>
          <w:rFonts w:asciiTheme="minorHAnsi" w:eastAsiaTheme="minorEastAsia" w:hAnsiTheme="minorHAnsi" w:cstheme="minorBidi"/>
          <w:iCs/>
          <w:color w:val="0000FF"/>
          <w:sz w:val="22"/>
        </w:rPr>
        <w:t>coefficients</w:t>
      </w:r>
      <w:r w:rsidRPr="0014120C">
        <w:rPr>
          <w:rFonts w:asciiTheme="minorHAnsi" w:eastAsiaTheme="minorEastAsia" w:hAnsiTheme="minorHAnsi" w:cstheme="minorBidi"/>
          <w:iCs/>
          <w:color w:val="0000FF"/>
          <w:sz w:val="22"/>
        </w:rPr>
        <w:t xml:space="preserve">. </w:t>
      </w:r>
    </w:p>
    <w:p w14:paraId="309DA0EE" w14:textId="2F901696" w:rsidR="008D65B0" w:rsidRPr="0014120C" w:rsidRDefault="008D65B0" w:rsidP="008D65B0">
      <w:pPr>
        <w:pStyle w:val="BodyText"/>
        <w:rPr>
          <w:rFonts w:asciiTheme="minorHAnsi" w:eastAsiaTheme="minorEastAsia" w:hAnsiTheme="minorHAnsi" w:cstheme="minorBidi"/>
          <w:iCs/>
          <w:color w:val="0000FF"/>
          <w:sz w:val="22"/>
        </w:rPr>
      </w:pPr>
      <w:r w:rsidRPr="0014120C">
        <w:rPr>
          <w:rFonts w:asciiTheme="minorHAnsi" w:eastAsiaTheme="minorEastAsia" w:hAnsiTheme="minorHAnsi" w:cstheme="minorBidi"/>
          <w:iCs/>
          <w:color w:val="0000FF"/>
          <w:sz w:val="22"/>
        </w:rPr>
        <w:t>To ensure that the same diagnoses or conditions were not represented in both the pri</w:t>
      </w:r>
      <w:r>
        <w:rPr>
          <w:rFonts w:asciiTheme="minorHAnsi" w:eastAsiaTheme="minorEastAsia" w:hAnsiTheme="minorHAnsi" w:cstheme="minorBidi"/>
          <w:iCs/>
          <w:color w:val="0000FF"/>
          <w:sz w:val="22"/>
        </w:rPr>
        <w:t>mary</w:t>
      </w:r>
      <w:r w:rsidRPr="0014120C">
        <w:rPr>
          <w:rFonts w:asciiTheme="minorHAnsi" w:eastAsiaTheme="minorEastAsia" w:hAnsiTheme="minorHAnsi" w:cstheme="minorBidi"/>
          <w:iCs/>
          <w:color w:val="0000FF"/>
          <w:sz w:val="22"/>
        </w:rPr>
        <w:t xml:space="preserve"> diagnosis groups and comorbidities, we applied exclusion criteria such that certain comorbidities were excluded if they were also present as </w:t>
      </w:r>
      <w:r>
        <w:rPr>
          <w:rFonts w:asciiTheme="minorHAnsi" w:eastAsiaTheme="minorEastAsia" w:hAnsiTheme="minorHAnsi" w:cstheme="minorBidi"/>
          <w:iCs/>
          <w:color w:val="0000FF"/>
          <w:sz w:val="22"/>
        </w:rPr>
        <w:t>primary</w:t>
      </w:r>
      <w:r w:rsidRPr="0014120C">
        <w:rPr>
          <w:rFonts w:asciiTheme="minorHAnsi" w:eastAsiaTheme="minorEastAsia" w:hAnsiTheme="minorHAnsi" w:cstheme="minorBidi"/>
          <w:iCs/>
          <w:color w:val="0000FF"/>
          <w:sz w:val="22"/>
        </w:rPr>
        <w:t xml:space="preserve"> diagnoses. For example, </w:t>
      </w:r>
      <w:r>
        <w:rPr>
          <w:rFonts w:asciiTheme="minorHAnsi" w:eastAsiaTheme="minorEastAsia" w:hAnsiTheme="minorHAnsi" w:cstheme="minorBidi"/>
          <w:iCs/>
          <w:color w:val="0000FF"/>
          <w:sz w:val="22"/>
        </w:rPr>
        <w:t>tetra</w:t>
      </w:r>
      <w:r w:rsidRPr="0014120C">
        <w:rPr>
          <w:rFonts w:asciiTheme="minorHAnsi" w:eastAsiaTheme="minorEastAsia" w:hAnsiTheme="minorHAnsi" w:cstheme="minorBidi"/>
          <w:iCs/>
          <w:color w:val="0000FF"/>
          <w:sz w:val="22"/>
        </w:rPr>
        <w:t xml:space="preserve">plegia and paraplegia were excluded as comorbidities if the patient’s </w:t>
      </w:r>
      <w:r w:rsidR="0047295A">
        <w:rPr>
          <w:rFonts w:asciiTheme="minorHAnsi" w:eastAsiaTheme="minorEastAsia" w:hAnsiTheme="minorHAnsi" w:cstheme="minorBidi"/>
          <w:iCs/>
          <w:color w:val="0000FF"/>
          <w:sz w:val="22"/>
        </w:rPr>
        <w:t xml:space="preserve">primary </w:t>
      </w:r>
      <w:r w:rsidRPr="0014120C">
        <w:rPr>
          <w:rFonts w:asciiTheme="minorHAnsi" w:eastAsiaTheme="minorEastAsia" w:hAnsiTheme="minorHAnsi" w:cstheme="minorBidi"/>
          <w:iCs/>
          <w:color w:val="0000FF"/>
          <w:sz w:val="22"/>
        </w:rPr>
        <w:t xml:space="preserve">diagnosis group was </w:t>
      </w:r>
      <w:r>
        <w:rPr>
          <w:rFonts w:asciiTheme="minorHAnsi" w:eastAsiaTheme="minorEastAsia" w:hAnsiTheme="minorHAnsi" w:cstheme="minorBidi"/>
          <w:iCs/>
          <w:color w:val="0000FF"/>
          <w:sz w:val="22"/>
        </w:rPr>
        <w:t>“</w:t>
      </w:r>
      <w:r w:rsidRPr="0014120C">
        <w:rPr>
          <w:rFonts w:asciiTheme="minorHAnsi" w:eastAsiaTheme="minorEastAsia" w:hAnsiTheme="minorHAnsi" w:cstheme="minorBidi"/>
          <w:iCs/>
          <w:color w:val="0000FF"/>
          <w:sz w:val="22"/>
        </w:rPr>
        <w:t>non-traumatic spinal cord dysfunction</w:t>
      </w:r>
      <w:r>
        <w:rPr>
          <w:rFonts w:asciiTheme="minorHAnsi" w:eastAsiaTheme="minorEastAsia" w:hAnsiTheme="minorHAnsi" w:cstheme="minorBidi"/>
          <w:iCs/>
          <w:color w:val="0000FF"/>
          <w:sz w:val="22"/>
        </w:rPr>
        <w:t>”</w:t>
      </w:r>
      <w:r w:rsidRPr="0014120C">
        <w:rPr>
          <w:rFonts w:asciiTheme="minorHAnsi" w:eastAsiaTheme="minorEastAsia" w:hAnsiTheme="minorHAnsi" w:cstheme="minorBidi"/>
          <w:iCs/>
          <w:color w:val="0000FF"/>
          <w:sz w:val="22"/>
        </w:rPr>
        <w:t xml:space="preserve"> or </w:t>
      </w:r>
      <w:r>
        <w:rPr>
          <w:rFonts w:asciiTheme="minorHAnsi" w:eastAsiaTheme="minorEastAsia" w:hAnsiTheme="minorHAnsi" w:cstheme="minorBidi"/>
          <w:iCs/>
          <w:color w:val="0000FF"/>
          <w:sz w:val="22"/>
        </w:rPr>
        <w:t>“</w:t>
      </w:r>
      <w:r w:rsidRPr="0014120C">
        <w:rPr>
          <w:rFonts w:asciiTheme="minorHAnsi" w:eastAsiaTheme="minorEastAsia" w:hAnsiTheme="minorHAnsi" w:cstheme="minorBidi"/>
          <w:iCs/>
          <w:color w:val="0000FF"/>
          <w:sz w:val="22"/>
        </w:rPr>
        <w:t>traumatic spinal cord dysfunction</w:t>
      </w:r>
      <w:r>
        <w:rPr>
          <w:rFonts w:asciiTheme="minorHAnsi" w:eastAsiaTheme="minorEastAsia" w:hAnsiTheme="minorHAnsi" w:cstheme="minorBidi"/>
          <w:iCs/>
          <w:color w:val="0000FF"/>
          <w:sz w:val="22"/>
        </w:rPr>
        <w:t>”</w:t>
      </w:r>
      <w:r w:rsidRPr="0014120C">
        <w:rPr>
          <w:rFonts w:asciiTheme="minorHAnsi" w:eastAsiaTheme="minorEastAsia" w:hAnsiTheme="minorHAnsi" w:cstheme="minorBidi"/>
          <w:iCs/>
          <w:color w:val="0000FF"/>
          <w:sz w:val="22"/>
        </w:rPr>
        <w:t xml:space="preserve">; amputation was excluded as a comorbidity if the patient’s </w:t>
      </w:r>
      <w:r w:rsidR="0047295A">
        <w:rPr>
          <w:rFonts w:asciiTheme="minorHAnsi" w:eastAsiaTheme="minorEastAsia" w:hAnsiTheme="minorHAnsi" w:cstheme="minorBidi"/>
          <w:iCs/>
          <w:color w:val="0000FF"/>
          <w:sz w:val="22"/>
        </w:rPr>
        <w:t xml:space="preserve">primary </w:t>
      </w:r>
      <w:r w:rsidRPr="0014120C">
        <w:rPr>
          <w:rFonts w:asciiTheme="minorHAnsi" w:eastAsiaTheme="minorEastAsia" w:hAnsiTheme="minorHAnsi" w:cstheme="minorBidi"/>
          <w:iCs/>
          <w:color w:val="0000FF"/>
          <w:sz w:val="22"/>
        </w:rPr>
        <w:t xml:space="preserve">diagnosis group was </w:t>
      </w:r>
      <w:r>
        <w:rPr>
          <w:rFonts w:asciiTheme="minorHAnsi" w:eastAsiaTheme="minorEastAsia" w:hAnsiTheme="minorHAnsi" w:cstheme="minorBidi"/>
          <w:iCs/>
          <w:color w:val="0000FF"/>
          <w:sz w:val="22"/>
        </w:rPr>
        <w:t>“</w:t>
      </w:r>
      <w:r w:rsidRPr="0014120C">
        <w:rPr>
          <w:rFonts w:asciiTheme="minorHAnsi" w:eastAsiaTheme="minorEastAsia" w:hAnsiTheme="minorHAnsi" w:cstheme="minorBidi"/>
          <w:iCs/>
          <w:color w:val="0000FF"/>
          <w:sz w:val="22"/>
        </w:rPr>
        <w:t>amputation</w:t>
      </w:r>
      <w:r>
        <w:rPr>
          <w:rFonts w:asciiTheme="minorHAnsi" w:eastAsiaTheme="minorEastAsia" w:hAnsiTheme="minorHAnsi" w:cstheme="minorBidi"/>
          <w:iCs/>
          <w:color w:val="0000FF"/>
          <w:sz w:val="22"/>
        </w:rPr>
        <w:t>.”</w:t>
      </w:r>
      <w:r w:rsidRPr="0014120C">
        <w:rPr>
          <w:rFonts w:asciiTheme="minorHAnsi" w:eastAsiaTheme="minorEastAsia" w:hAnsiTheme="minorHAnsi" w:cstheme="minorBidi"/>
          <w:iCs/>
          <w:color w:val="0000FF"/>
          <w:sz w:val="22"/>
        </w:rPr>
        <w:t xml:space="preserve"> </w:t>
      </w:r>
    </w:p>
    <w:p w14:paraId="7644F8FB" w14:textId="0416DDC8" w:rsidR="008D65B0" w:rsidRPr="008F21AE" w:rsidRDefault="008D65B0" w:rsidP="00ED6191">
      <w:pPr>
        <w:pStyle w:val="BodyText"/>
        <w:rPr>
          <w:rFonts w:asciiTheme="minorHAnsi" w:eastAsiaTheme="minorEastAsia" w:hAnsiTheme="minorHAnsi" w:cstheme="minorBidi"/>
          <w:iCs/>
          <w:color w:val="0000FF"/>
          <w:sz w:val="22"/>
        </w:rPr>
      </w:pPr>
      <w:r>
        <w:rPr>
          <w:rFonts w:asciiTheme="minorHAnsi" w:eastAsiaTheme="minorEastAsia" w:hAnsiTheme="minorHAnsi" w:cstheme="minorBidi"/>
          <w:iCs/>
          <w:color w:val="0000FF"/>
          <w:sz w:val="22"/>
        </w:rPr>
        <w:t>Attachment 1</w:t>
      </w:r>
      <w:r w:rsidRPr="0014120C">
        <w:rPr>
          <w:rFonts w:asciiTheme="minorHAnsi" w:eastAsiaTheme="minorEastAsia" w:hAnsiTheme="minorHAnsi" w:cstheme="minorBidi"/>
          <w:iCs/>
          <w:color w:val="0000FF"/>
          <w:sz w:val="22"/>
        </w:rPr>
        <w:t xml:space="preserve"> shows the regression coefficients and significance values for all comorbidities in the final risk adjustment model. We retained comorbidities that were</w:t>
      </w:r>
      <w:r w:rsidRPr="001510BB">
        <w:rPr>
          <w:rFonts w:asciiTheme="minorHAnsi" w:eastAsiaTheme="minorEastAsia" w:hAnsiTheme="minorHAnsi" w:cstheme="minorBidi"/>
          <w:iCs/>
          <w:color w:val="0000FF"/>
          <w:sz w:val="22"/>
        </w:rPr>
        <w:t xml:space="preserve"> </w:t>
      </w:r>
      <w:r w:rsidRPr="0014120C">
        <w:rPr>
          <w:rFonts w:asciiTheme="minorHAnsi" w:eastAsiaTheme="minorEastAsia" w:hAnsiTheme="minorHAnsi" w:cstheme="minorBidi"/>
          <w:iCs/>
          <w:color w:val="0000FF"/>
          <w:sz w:val="22"/>
        </w:rPr>
        <w:t>clinically important or had large coefficients</w:t>
      </w:r>
      <w:r>
        <w:rPr>
          <w:rFonts w:asciiTheme="minorHAnsi" w:eastAsiaTheme="minorEastAsia" w:hAnsiTheme="minorHAnsi" w:cstheme="minorBidi"/>
          <w:iCs/>
          <w:color w:val="0000FF"/>
          <w:sz w:val="22"/>
        </w:rPr>
        <w:t>, even when they were</w:t>
      </w:r>
      <w:r w:rsidRPr="0014120C">
        <w:rPr>
          <w:rFonts w:asciiTheme="minorHAnsi" w:eastAsiaTheme="minorEastAsia" w:hAnsiTheme="minorHAnsi" w:cstheme="minorBidi"/>
          <w:iCs/>
          <w:color w:val="0000FF"/>
          <w:sz w:val="22"/>
        </w:rPr>
        <w:t xml:space="preserve"> not statistically significant. Comorbidities with the largest negative </w:t>
      </w:r>
      <w:r w:rsidRPr="00A11A8E">
        <w:rPr>
          <w:rFonts w:asciiTheme="minorHAnsi" w:eastAsiaTheme="minorEastAsia" w:hAnsiTheme="minorHAnsi" w:cstheme="minorBidi"/>
          <w:iCs/>
          <w:color w:val="0000FF"/>
          <w:sz w:val="22"/>
        </w:rPr>
        <w:t xml:space="preserve">coefficients, </w:t>
      </w:r>
      <w:r w:rsidRPr="008F21AE">
        <w:rPr>
          <w:rFonts w:asciiTheme="minorHAnsi" w:eastAsiaTheme="minorEastAsia" w:hAnsiTheme="minorHAnsi" w:cstheme="minorBidi"/>
          <w:iCs/>
          <w:color w:val="0000FF"/>
          <w:sz w:val="22"/>
        </w:rPr>
        <w:t xml:space="preserve">indicating </w:t>
      </w:r>
      <w:r w:rsidR="00ED6191" w:rsidRPr="008F21AE">
        <w:rPr>
          <w:rFonts w:asciiTheme="minorHAnsi" w:eastAsiaTheme="minorEastAsia" w:hAnsiTheme="minorHAnsi" w:cstheme="minorBidi"/>
          <w:iCs/>
          <w:color w:val="0000FF"/>
          <w:sz w:val="22"/>
        </w:rPr>
        <w:t>lower discharge self-care scores</w:t>
      </w:r>
      <w:r w:rsidRPr="008F21AE">
        <w:rPr>
          <w:rFonts w:asciiTheme="minorHAnsi" w:eastAsiaTheme="minorEastAsia" w:hAnsiTheme="minorHAnsi" w:cstheme="minorBidi"/>
          <w:iCs/>
          <w:color w:val="0000FF"/>
          <w:sz w:val="22"/>
        </w:rPr>
        <w:t>, include central nervous system infections; certain cancers; dementia; tetraplegia; multiple sclerosis; angina pectoris; hypertensive heart disease; kidney transplant status; and dialysis and stage 5 chronic kidney disease.</w:t>
      </w:r>
    </w:p>
    <w:p w14:paraId="2FA296D4" w14:textId="26F4502B" w:rsidR="008D65B0" w:rsidRPr="008F21AE" w:rsidRDefault="000E1334" w:rsidP="008D65B0">
      <w:pPr>
        <w:pStyle w:val="BodyText"/>
        <w:rPr>
          <w:rFonts w:asciiTheme="minorHAnsi" w:eastAsiaTheme="minorEastAsia" w:hAnsiTheme="minorHAnsi" w:cstheme="minorBidi"/>
          <w:b/>
          <w:bCs/>
          <w:i/>
          <w:iCs/>
          <w:color w:val="0000FF"/>
          <w:sz w:val="22"/>
        </w:rPr>
      </w:pPr>
      <w:r w:rsidRPr="008F21AE">
        <w:rPr>
          <w:rFonts w:asciiTheme="minorHAnsi" w:eastAsiaTheme="minorEastAsia" w:hAnsiTheme="minorHAnsi" w:cstheme="minorBidi"/>
          <w:b/>
          <w:bCs/>
          <w:i/>
          <w:iCs/>
          <w:color w:val="0000FF"/>
          <w:sz w:val="22"/>
        </w:rPr>
        <w:t xml:space="preserve">Model </w:t>
      </w:r>
      <w:r w:rsidR="000C5AF7" w:rsidRPr="008F21AE">
        <w:rPr>
          <w:rFonts w:asciiTheme="minorHAnsi" w:eastAsiaTheme="minorEastAsia" w:hAnsiTheme="minorHAnsi" w:cstheme="minorBidi"/>
          <w:b/>
          <w:bCs/>
          <w:i/>
          <w:iCs/>
          <w:color w:val="0000FF"/>
          <w:sz w:val="22"/>
        </w:rPr>
        <w:t>f</w:t>
      </w:r>
      <w:r w:rsidR="008D65B0" w:rsidRPr="008F21AE">
        <w:rPr>
          <w:rFonts w:asciiTheme="minorHAnsi" w:eastAsiaTheme="minorEastAsia" w:hAnsiTheme="minorHAnsi" w:cstheme="minorBidi"/>
          <w:b/>
          <w:bCs/>
          <w:i/>
          <w:iCs/>
          <w:color w:val="0000FF"/>
          <w:sz w:val="22"/>
        </w:rPr>
        <w:t>or Individual Patient’s Expected Discharge Self-Care Score</w:t>
      </w:r>
    </w:p>
    <w:p w14:paraId="482001DA" w14:textId="77777777" w:rsidR="000C5AF7" w:rsidRPr="008F21AE" w:rsidRDefault="000E1334" w:rsidP="000C5AF7">
      <w:pPr>
        <w:pStyle w:val="BodyText"/>
        <w:rPr>
          <w:rFonts w:asciiTheme="minorHAnsi" w:eastAsiaTheme="minorEastAsia" w:hAnsiTheme="minorHAnsi" w:cstheme="minorBidi"/>
          <w:iCs/>
          <w:color w:val="0000FF"/>
          <w:sz w:val="22"/>
        </w:rPr>
      </w:pPr>
      <w:r w:rsidRPr="008F21AE">
        <w:rPr>
          <w:rFonts w:asciiTheme="minorHAnsi" w:eastAsiaTheme="minorEastAsia" w:hAnsiTheme="minorHAnsi" w:cstheme="minorBidi"/>
          <w:iCs/>
          <w:color w:val="0000FF"/>
          <w:sz w:val="22"/>
        </w:rPr>
        <w:t xml:space="preserve">We used results from the </w:t>
      </w:r>
      <w:r w:rsidR="00E858BF" w:rsidRPr="008F21AE">
        <w:rPr>
          <w:color w:val="0000FF"/>
          <w:sz w:val="22"/>
        </w:rPr>
        <w:t>generalized linear model</w:t>
      </w:r>
      <w:r w:rsidR="00E858BF" w:rsidRPr="008F21AE">
        <w:rPr>
          <w:rFonts w:asciiTheme="minorHAnsi" w:eastAsiaTheme="minorEastAsia" w:hAnsiTheme="minorHAnsi" w:cstheme="minorBidi"/>
          <w:iCs/>
          <w:color w:val="0000FF"/>
          <w:sz w:val="22"/>
        </w:rPr>
        <w:t xml:space="preserve"> </w:t>
      </w:r>
      <w:r w:rsidRPr="008F21AE">
        <w:rPr>
          <w:rFonts w:asciiTheme="minorHAnsi" w:eastAsiaTheme="minorEastAsia" w:hAnsiTheme="minorHAnsi" w:cstheme="minorBidi"/>
          <w:iCs/>
          <w:color w:val="0000FF"/>
          <w:sz w:val="22"/>
        </w:rPr>
        <w:t xml:space="preserve">to calculate the expected </w:t>
      </w:r>
      <w:r w:rsidR="000B29F7" w:rsidRPr="008F21AE">
        <w:rPr>
          <w:rFonts w:asciiTheme="minorHAnsi" w:eastAsiaTheme="minorEastAsia" w:hAnsiTheme="minorHAnsi" w:cstheme="minorBidi"/>
          <w:iCs/>
          <w:color w:val="0000FF"/>
          <w:sz w:val="22"/>
        </w:rPr>
        <w:t>discharge</w:t>
      </w:r>
      <w:r w:rsidRPr="008F21AE">
        <w:rPr>
          <w:rFonts w:asciiTheme="minorHAnsi" w:eastAsiaTheme="minorEastAsia" w:hAnsiTheme="minorHAnsi" w:cstheme="minorBidi"/>
          <w:iCs/>
          <w:color w:val="0000FF"/>
          <w:sz w:val="22"/>
        </w:rPr>
        <w:t xml:space="preserve"> self-care score for each patient using the formula below:</w:t>
      </w:r>
    </w:p>
    <w:p w14:paraId="270BDFD9" w14:textId="79EE9171" w:rsidR="0048019C" w:rsidRPr="004422A5" w:rsidRDefault="000E1334" w:rsidP="000C5AF7">
      <w:pPr>
        <w:pStyle w:val="BodyText"/>
        <w:rPr>
          <w:rFonts w:asciiTheme="minorHAnsi" w:eastAsiaTheme="minorEastAsia" w:hAnsiTheme="minorHAnsi" w:cstheme="minorBidi"/>
          <w:b/>
          <w:bCs/>
          <w:i/>
          <w:iCs/>
          <w:color w:val="0000FF"/>
          <w:sz w:val="22"/>
        </w:rPr>
      </w:pPr>
      <w:r w:rsidRPr="008F21AE">
        <w:rPr>
          <w:rFonts w:asciiTheme="minorHAnsi" w:eastAsiaTheme="minorEastAsia" w:hAnsiTheme="minorHAnsi" w:cstheme="minorBidi"/>
          <w:b/>
          <w:bCs/>
          <w:i/>
          <w:iCs/>
          <w:color w:val="0000FF"/>
          <w:sz w:val="22"/>
        </w:rPr>
        <w:t xml:space="preserve">Expected </w:t>
      </w:r>
      <w:r w:rsidR="000B29F7" w:rsidRPr="008F21AE">
        <w:rPr>
          <w:rFonts w:asciiTheme="minorHAnsi" w:eastAsiaTheme="minorEastAsia" w:hAnsiTheme="minorHAnsi" w:cstheme="minorBidi"/>
          <w:b/>
          <w:bCs/>
          <w:i/>
          <w:iCs/>
          <w:color w:val="0000FF"/>
          <w:sz w:val="22"/>
        </w:rPr>
        <w:t>discharge</w:t>
      </w:r>
      <w:r w:rsidR="000C5AF7" w:rsidRPr="008F21AE">
        <w:rPr>
          <w:rFonts w:asciiTheme="minorHAnsi" w:eastAsiaTheme="minorEastAsia" w:hAnsiTheme="minorHAnsi" w:cstheme="minorBidi"/>
          <w:b/>
          <w:bCs/>
          <w:i/>
          <w:iCs/>
          <w:color w:val="0000FF"/>
          <w:sz w:val="22"/>
        </w:rPr>
        <w:t xml:space="preserve"> self-care score =</w:t>
      </w:r>
    </w:p>
    <w:p w14:paraId="0D09E8D1" w14:textId="754F5657" w:rsidR="0047295A" w:rsidRPr="001B4B1B" w:rsidRDefault="0047295A" w:rsidP="0047295A">
      <w:pPr>
        <w:pStyle w:val="BodyText"/>
        <w:ind w:left="360" w:right="540"/>
        <w:rPr>
          <w:rFonts w:asciiTheme="minorHAnsi" w:hAnsiTheme="minorHAnsi"/>
          <w:color w:val="0000FF"/>
          <w:sz w:val="22"/>
        </w:rPr>
      </w:pPr>
      <w:r w:rsidRPr="00114E0E">
        <w:rPr>
          <w:rFonts w:asciiTheme="minorHAnsi" w:hAnsiTheme="minorHAnsi"/>
          <w:color w:val="0000FF"/>
          <w:sz w:val="22"/>
        </w:rPr>
        <w:t xml:space="preserve">intercept + (age group * coefficient) + (admission self-care * coefficient) + (squared admission self-care * </w:t>
      </w:r>
      <w:r w:rsidRPr="00CC08DA">
        <w:rPr>
          <w:rFonts w:asciiTheme="minorHAnsi" w:hAnsiTheme="minorHAnsi"/>
          <w:color w:val="0000FF"/>
          <w:sz w:val="22"/>
        </w:rPr>
        <w:t>coefficient) + (</w:t>
      </w:r>
      <w:r w:rsidR="00D77485">
        <w:rPr>
          <w:rFonts w:asciiTheme="minorHAnsi" w:hAnsiTheme="minorHAnsi"/>
          <w:color w:val="0000FF"/>
          <w:sz w:val="22"/>
        </w:rPr>
        <w:t>primary</w:t>
      </w:r>
      <w:r w:rsidR="00D77485" w:rsidRPr="00CC08DA">
        <w:rPr>
          <w:rFonts w:asciiTheme="minorHAnsi" w:hAnsiTheme="minorHAnsi"/>
          <w:color w:val="0000FF"/>
          <w:sz w:val="22"/>
        </w:rPr>
        <w:t xml:space="preserve"> </w:t>
      </w:r>
      <w:r w:rsidRPr="00CC08DA">
        <w:rPr>
          <w:rFonts w:asciiTheme="minorHAnsi" w:hAnsiTheme="minorHAnsi"/>
          <w:color w:val="0000FF"/>
          <w:sz w:val="22"/>
        </w:rPr>
        <w:t>diagnosis</w:t>
      </w:r>
      <w:r w:rsidRPr="00114E0E">
        <w:rPr>
          <w:rFonts w:asciiTheme="minorHAnsi" w:hAnsiTheme="minorHAnsi"/>
          <w:color w:val="0000FF"/>
          <w:sz w:val="22"/>
        </w:rPr>
        <w:t xml:space="preserve"> group * coefficient) + (interaction term coefficient for admission self-care and </w:t>
      </w:r>
      <w:r w:rsidR="00D77485">
        <w:rPr>
          <w:rFonts w:asciiTheme="minorHAnsi" w:hAnsiTheme="minorHAnsi"/>
          <w:color w:val="0000FF"/>
          <w:sz w:val="22"/>
        </w:rPr>
        <w:t>primary</w:t>
      </w:r>
      <w:r w:rsidR="00D77485" w:rsidRPr="00114E0E" w:rsidDel="00D77485">
        <w:rPr>
          <w:rFonts w:asciiTheme="minorHAnsi" w:hAnsiTheme="minorHAnsi"/>
          <w:color w:val="0000FF"/>
          <w:sz w:val="22"/>
        </w:rPr>
        <w:t xml:space="preserve"> </w:t>
      </w:r>
      <w:r w:rsidRPr="00114E0E">
        <w:rPr>
          <w:rFonts w:asciiTheme="minorHAnsi" w:hAnsiTheme="minorHAnsi"/>
          <w:color w:val="0000FF"/>
          <w:sz w:val="22"/>
        </w:rPr>
        <w:t>diagnosis group) + (</w:t>
      </w:r>
      <w:r w:rsidR="00D77485">
        <w:rPr>
          <w:rFonts w:asciiTheme="minorHAnsi" w:hAnsiTheme="minorHAnsi"/>
          <w:color w:val="0000FF"/>
          <w:sz w:val="22"/>
        </w:rPr>
        <w:t>surgical or</w:t>
      </w:r>
      <w:r w:rsidR="00D77485" w:rsidRPr="009A0D41">
        <w:rPr>
          <w:rFonts w:asciiTheme="minorHAnsi" w:hAnsiTheme="minorHAnsi"/>
          <w:color w:val="0000FF"/>
          <w:sz w:val="22"/>
        </w:rPr>
        <w:t xml:space="preserve"> medical </w:t>
      </w:r>
      <w:r w:rsidR="00D77485" w:rsidRPr="008E4D2D">
        <w:rPr>
          <w:rFonts w:asciiTheme="minorHAnsi" w:hAnsiTheme="minorHAnsi"/>
          <w:color w:val="0000FF"/>
          <w:sz w:val="22"/>
        </w:rPr>
        <w:t>prior acute or LTCH primary</w:t>
      </w:r>
      <w:r w:rsidR="00D77485">
        <w:rPr>
          <w:rFonts w:asciiTheme="minorHAnsi" w:hAnsiTheme="minorHAnsi"/>
          <w:color w:val="0000FF"/>
        </w:rPr>
        <w:t xml:space="preserve"> </w:t>
      </w:r>
      <w:r w:rsidR="00D77485" w:rsidRPr="009A0D41">
        <w:rPr>
          <w:rFonts w:asciiTheme="minorHAnsi" w:hAnsiTheme="minorHAnsi"/>
          <w:color w:val="0000FF"/>
          <w:sz w:val="22"/>
        </w:rPr>
        <w:t xml:space="preserve">diagnosis </w:t>
      </w:r>
      <w:r w:rsidRPr="00114E0E">
        <w:rPr>
          <w:rFonts w:asciiTheme="minorHAnsi" w:hAnsiTheme="minorHAnsi"/>
          <w:color w:val="0000FF"/>
          <w:sz w:val="22"/>
        </w:rPr>
        <w:t>* coefficient) + (prior functioning</w:t>
      </w:r>
      <w:r w:rsidR="00D77485">
        <w:rPr>
          <w:rFonts w:asciiTheme="minorHAnsi" w:hAnsiTheme="minorHAnsi"/>
          <w:color w:val="0000FF"/>
          <w:sz w:val="22"/>
        </w:rPr>
        <w:t xml:space="preserve"> -</w:t>
      </w:r>
      <w:r w:rsidRPr="00114E0E">
        <w:rPr>
          <w:rFonts w:asciiTheme="minorHAnsi" w:hAnsiTheme="minorHAnsi"/>
          <w:color w:val="0000FF"/>
          <w:sz w:val="22"/>
        </w:rPr>
        <w:t xml:space="preserve"> self-care * coefficient) + (prior functioning</w:t>
      </w:r>
      <w:r w:rsidR="00D77485">
        <w:rPr>
          <w:rFonts w:asciiTheme="minorHAnsi" w:hAnsiTheme="minorHAnsi"/>
          <w:color w:val="0000FF"/>
          <w:sz w:val="22"/>
        </w:rPr>
        <w:t xml:space="preserve"> -</w:t>
      </w:r>
      <w:r w:rsidRPr="00114E0E">
        <w:rPr>
          <w:rFonts w:asciiTheme="minorHAnsi" w:hAnsiTheme="minorHAnsi"/>
          <w:color w:val="0000FF"/>
          <w:sz w:val="22"/>
        </w:rPr>
        <w:t xml:space="preserve"> indoor ambulation * coefficient) + (prior </w:t>
      </w:r>
      <w:r w:rsidRPr="001B4B1B">
        <w:rPr>
          <w:rFonts w:asciiTheme="minorHAnsi" w:hAnsiTheme="minorHAnsi"/>
          <w:color w:val="0000FF"/>
          <w:sz w:val="22"/>
        </w:rPr>
        <w:t xml:space="preserve">use of walker * coefficient) + (prior use of wheelchair * coefficient) + (prior use of </w:t>
      </w:r>
      <w:r w:rsidRPr="00CC08DA">
        <w:rPr>
          <w:rFonts w:asciiTheme="minorHAnsi" w:hAnsiTheme="minorHAnsi"/>
          <w:color w:val="0000FF"/>
          <w:sz w:val="22"/>
        </w:rPr>
        <w:t>mechanical lift * coefficient) +  (prior use of orthotics/prosthetics * coefficient) + (stage 2 pressure ulcer * coefficient) + (stage 3, 4 or unstageable pressure ulcer * coefficient) +  (cognitive function</w:t>
      </w:r>
      <w:r w:rsidRPr="00CC08DA">
        <w:rPr>
          <w:rFonts w:asciiTheme="minorHAnsi" w:hAnsiTheme="minorHAnsi"/>
          <w:color w:val="0000FF"/>
          <w:sz w:val="22"/>
          <w:vertAlign w:val="superscript"/>
        </w:rPr>
        <w:t xml:space="preserve"> </w:t>
      </w:r>
      <w:r w:rsidRPr="00CC08DA">
        <w:rPr>
          <w:rFonts w:asciiTheme="minorHAnsi" w:hAnsiTheme="minorHAnsi"/>
          <w:color w:val="0000FF"/>
          <w:sz w:val="22"/>
        </w:rPr>
        <w:t xml:space="preserve">* coefficient) </w:t>
      </w:r>
      <w:r>
        <w:rPr>
          <w:rFonts w:asciiTheme="minorHAnsi" w:hAnsiTheme="minorHAnsi"/>
          <w:color w:val="0000FF"/>
          <w:sz w:val="22"/>
        </w:rPr>
        <w:t xml:space="preserve">+ </w:t>
      </w:r>
      <w:r w:rsidRPr="00CC08DA">
        <w:rPr>
          <w:rFonts w:asciiTheme="minorHAnsi" w:hAnsiTheme="minorHAnsi"/>
          <w:color w:val="0000FF"/>
          <w:sz w:val="22"/>
        </w:rPr>
        <w:t>(communication impairment * coefficient) + (bladder incontinence * coefficient) + (bowel incontinence * coefficient) + (swallowing ability: modified foo</w:t>
      </w:r>
      <w:r w:rsidR="00D77485">
        <w:rPr>
          <w:rFonts w:asciiTheme="minorHAnsi" w:hAnsiTheme="minorHAnsi"/>
          <w:color w:val="0000FF"/>
          <w:sz w:val="22"/>
        </w:rPr>
        <w:t>d</w:t>
      </w:r>
      <w:r w:rsidRPr="00CC08DA">
        <w:rPr>
          <w:rFonts w:asciiTheme="minorHAnsi" w:hAnsiTheme="minorHAnsi"/>
          <w:color w:val="0000FF"/>
          <w:sz w:val="22"/>
        </w:rPr>
        <w:t xml:space="preserve"> consistency</w:t>
      </w:r>
      <w:r w:rsidR="00D77485">
        <w:rPr>
          <w:rFonts w:asciiTheme="minorHAnsi" w:hAnsiTheme="minorHAnsi"/>
          <w:color w:val="0000FF"/>
          <w:sz w:val="22"/>
        </w:rPr>
        <w:t xml:space="preserve"> or </w:t>
      </w:r>
      <w:r w:rsidRPr="00CC08DA">
        <w:rPr>
          <w:rFonts w:asciiTheme="minorHAnsi" w:hAnsiTheme="minorHAnsi"/>
          <w:color w:val="0000FF"/>
          <w:sz w:val="22"/>
        </w:rPr>
        <w:t>supervision * coefficient</w:t>
      </w:r>
      <w:r w:rsidRPr="001B4B1B">
        <w:rPr>
          <w:rFonts w:asciiTheme="minorHAnsi" w:hAnsiTheme="minorHAnsi"/>
          <w:color w:val="0000FF"/>
          <w:sz w:val="22"/>
        </w:rPr>
        <w:t xml:space="preserve"> + (swallowing ability: tube</w:t>
      </w:r>
      <w:r w:rsidR="00D77485">
        <w:rPr>
          <w:rFonts w:asciiTheme="minorHAnsi" w:hAnsiTheme="minorHAnsi"/>
          <w:color w:val="0000FF"/>
          <w:sz w:val="22"/>
        </w:rPr>
        <w:t>/parenteral</w:t>
      </w:r>
      <w:r w:rsidRPr="001B4B1B">
        <w:rPr>
          <w:rFonts w:asciiTheme="minorHAnsi" w:hAnsiTheme="minorHAnsi"/>
          <w:color w:val="0000FF"/>
          <w:sz w:val="22"/>
        </w:rPr>
        <w:t xml:space="preserve"> feeding * coefficient) + (comorbidity * coefficient)</w:t>
      </w:r>
    </w:p>
    <w:p w14:paraId="1425C260" w14:textId="53589467" w:rsidR="00D051C0" w:rsidRPr="00D77485" w:rsidRDefault="000E1334" w:rsidP="00D051C0">
      <w:pPr>
        <w:pStyle w:val="Heading5"/>
        <w:ind w:firstLine="0"/>
        <w:rPr>
          <w:rFonts w:asciiTheme="minorHAnsi" w:eastAsiaTheme="minorEastAsia" w:hAnsiTheme="minorHAnsi" w:cstheme="minorBidi"/>
          <w:b w:val="0"/>
          <w:bCs w:val="0"/>
          <w:iCs/>
          <w:color w:val="0000FF"/>
        </w:rPr>
      </w:pPr>
      <w:r w:rsidRPr="008F21AE">
        <w:rPr>
          <w:rFonts w:asciiTheme="minorHAnsi" w:eastAsiaTheme="minorEastAsia" w:hAnsiTheme="minorHAnsi" w:cstheme="minorBidi"/>
          <w:b w:val="0"/>
          <w:bCs w:val="0"/>
          <w:iCs/>
          <w:color w:val="0000FF"/>
        </w:rPr>
        <w:t xml:space="preserve">In the equation above, the intercept and coefficient values were constant for each patient, while </w:t>
      </w:r>
      <w:r w:rsidR="00C30621" w:rsidRPr="008F21AE">
        <w:rPr>
          <w:rFonts w:asciiTheme="minorHAnsi" w:eastAsiaTheme="minorEastAsia" w:hAnsiTheme="minorHAnsi" w:cstheme="minorBidi"/>
          <w:b w:val="0"/>
          <w:bCs w:val="0"/>
          <w:iCs/>
          <w:color w:val="0000FF"/>
        </w:rPr>
        <w:t>risk adjustor</w:t>
      </w:r>
      <w:r w:rsidRPr="008F21AE">
        <w:rPr>
          <w:rFonts w:asciiTheme="minorHAnsi" w:eastAsiaTheme="minorEastAsia" w:hAnsiTheme="minorHAnsi" w:cstheme="minorBidi"/>
          <w:b w:val="0"/>
          <w:bCs w:val="0"/>
          <w:iCs/>
          <w:color w:val="0000FF"/>
        </w:rPr>
        <w:t xml:space="preserve"> values were specific to the patient. </w:t>
      </w:r>
      <w:r w:rsidR="00D77485" w:rsidRPr="00D77485">
        <w:rPr>
          <w:rFonts w:asciiTheme="minorHAnsi" w:hAnsiTheme="minorHAnsi"/>
          <w:b w:val="0"/>
          <w:color w:val="0000FF"/>
        </w:rPr>
        <w:t>For patients with multiple comorbidities, each comorbidity was included in the equation.</w:t>
      </w:r>
    </w:p>
    <w:p w14:paraId="691DA25A" w14:textId="22C5CCA5" w:rsidR="00D051C0" w:rsidRPr="008F21AE" w:rsidRDefault="00D051C0" w:rsidP="00813D13">
      <w:pPr>
        <w:pStyle w:val="Heading5"/>
        <w:ind w:firstLine="0"/>
        <w:rPr>
          <w:rFonts w:asciiTheme="minorHAnsi" w:eastAsiaTheme="minorEastAsia" w:hAnsiTheme="minorHAnsi" w:cstheme="minorBidi"/>
          <w:b w:val="0"/>
          <w:bCs w:val="0"/>
          <w:iCs/>
          <w:color w:val="0000FF"/>
        </w:rPr>
      </w:pPr>
      <w:r w:rsidRPr="008F21AE">
        <w:rPr>
          <w:rFonts w:asciiTheme="minorHAnsi" w:hAnsiTheme="minorHAnsi"/>
          <w:i/>
          <w:color w:val="0000FF"/>
        </w:rPr>
        <w:t xml:space="preserve">Proportion of patients with discharge self-care scores that meet or exceed the </w:t>
      </w:r>
      <w:r w:rsidR="00813D13">
        <w:rPr>
          <w:rFonts w:asciiTheme="minorHAnsi" w:hAnsiTheme="minorHAnsi"/>
          <w:i/>
          <w:color w:val="0000FF"/>
        </w:rPr>
        <w:t xml:space="preserve">calculated </w:t>
      </w:r>
      <w:r w:rsidRPr="008F21AE">
        <w:rPr>
          <w:rFonts w:asciiTheme="minorHAnsi" w:hAnsiTheme="minorHAnsi"/>
          <w:i/>
          <w:color w:val="0000FF"/>
        </w:rPr>
        <w:t xml:space="preserve">expected </w:t>
      </w:r>
      <w:r w:rsidR="00813D13">
        <w:rPr>
          <w:rFonts w:asciiTheme="minorHAnsi" w:hAnsiTheme="minorHAnsi"/>
          <w:i/>
          <w:color w:val="0000FF"/>
        </w:rPr>
        <w:t>score</w:t>
      </w:r>
    </w:p>
    <w:p w14:paraId="30EA3D59" w14:textId="250B0C59" w:rsidR="00D051C0" w:rsidRPr="008F21AE" w:rsidRDefault="00813D13" w:rsidP="00813D13">
      <w:pPr>
        <w:pStyle w:val="Heading5"/>
        <w:ind w:firstLine="0"/>
        <w:rPr>
          <w:rFonts w:asciiTheme="minorHAnsi" w:hAnsiTheme="minorHAnsi"/>
          <w:b w:val="0"/>
          <w:color w:val="0000FF"/>
        </w:rPr>
      </w:pPr>
      <w:r>
        <w:rPr>
          <w:rFonts w:asciiTheme="minorHAnsi" w:hAnsiTheme="minorHAnsi"/>
          <w:b w:val="0"/>
          <w:color w:val="0000FF"/>
        </w:rPr>
        <w:t>For each IRF, w</w:t>
      </w:r>
      <w:r w:rsidR="00D051C0" w:rsidRPr="008F21AE">
        <w:rPr>
          <w:rFonts w:asciiTheme="minorHAnsi" w:hAnsiTheme="minorHAnsi"/>
          <w:b w:val="0"/>
          <w:color w:val="0000FF"/>
        </w:rPr>
        <w:t>e calculated</w:t>
      </w:r>
      <w:r w:rsidR="00D051C0" w:rsidRPr="008F21AE">
        <w:rPr>
          <w:rFonts w:asciiTheme="minorHAnsi" w:hAnsiTheme="minorHAnsi"/>
          <w:b w:val="0"/>
          <w:i/>
          <w:color w:val="0000FF"/>
        </w:rPr>
        <w:t xml:space="preserve"> </w:t>
      </w:r>
      <w:r w:rsidR="00D051C0" w:rsidRPr="008F21AE">
        <w:rPr>
          <w:rFonts w:asciiTheme="minorHAnsi" w:hAnsiTheme="minorHAnsi"/>
          <w:b w:val="0"/>
          <w:color w:val="0000FF"/>
        </w:rPr>
        <w:t xml:space="preserve">the proportion of patients with discharge self-care scores that meet or exceed the </w:t>
      </w:r>
      <w:r>
        <w:rPr>
          <w:rFonts w:asciiTheme="minorHAnsi" w:hAnsiTheme="minorHAnsi"/>
          <w:b w:val="0"/>
          <w:bCs w:val="0"/>
          <w:iCs/>
          <w:color w:val="0000FF"/>
        </w:rPr>
        <w:t>calculated expected score</w:t>
      </w:r>
      <w:r w:rsidR="00D051C0" w:rsidRPr="008F21AE">
        <w:rPr>
          <w:rFonts w:asciiTheme="minorHAnsi" w:hAnsiTheme="minorHAnsi"/>
          <w:b w:val="0"/>
          <w:color w:val="0000FF"/>
        </w:rPr>
        <w:t xml:space="preserve"> as follows:  </w:t>
      </w:r>
    </w:p>
    <w:p w14:paraId="25405354" w14:textId="77777777" w:rsidR="00D051C0" w:rsidRPr="008F21AE" w:rsidRDefault="00D051C0" w:rsidP="00813D13">
      <w:pPr>
        <w:pStyle w:val="Heading5"/>
        <w:numPr>
          <w:ilvl w:val="0"/>
          <w:numId w:val="40"/>
        </w:numPr>
        <w:spacing w:before="0" w:after="0"/>
        <w:rPr>
          <w:rFonts w:asciiTheme="minorHAnsi" w:hAnsiTheme="minorHAnsi"/>
          <w:b w:val="0"/>
          <w:color w:val="0000FF"/>
        </w:rPr>
      </w:pPr>
      <w:r w:rsidRPr="008F21AE">
        <w:rPr>
          <w:rFonts w:asciiTheme="minorHAnsi" w:hAnsiTheme="minorHAnsi"/>
          <w:b w:val="0"/>
          <w:color w:val="0000FF"/>
        </w:rPr>
        <w:t xml:space="preserve">For each patient, we created a variable indicating whether:  </w:t>
      </w:r>
    </w:p>
    <w:p w14:paraId="2FC988BF" w14:textId="14C0234A" w:rsidR="00D051C0" w:rsidRPr="008F21AE" w:rsidRDefault="00D051C0" w:rsidP="00813D13">
      <w:pPr>
        <w:pStyle w:val="ListParagraph"/>
        <w:numPr>
          <w:ilvl w:val="1"/>
          <w:numId w:val="40"/>
        </w:numPr>
        <w:autoSpaceDE w:val="0"/>
        <w:autoSpaceDN w:val="0"/>
        <w:adjustRightInd w:val="0"/>
        <w:spacing w:after="0" w:line="240" w:lineRule="auto"/>
        <w:ind w:left="1170" w:hanging="270"/>
        <w:rPr>
          <w:rFonts w:cs="Times New Roman"/>
          <w:color w:val="0000FF"/>
        </w:rPr>
      </w:pPr>
      <w:r w:rsidRPr="008F21AE">
        <w:rPr>
          <w:rFonts w:cs="Times New Roman"/>
          <w:color w:val="0000FF"/>
        </w:rPr>
        <w:t xml:space="preserve">the observed discharge score was equal to or higher than the expected discharge score, </w:t>
      </w:r>
      <w:r w:rsidR="004422A5" w:rsidRPr="008F21AE">
        <w:rPr>
          <w:rFonts w:cs="Times New Roman"/>
          <w:color w:val="0000FF"/>
        </w:rPr>
        <w:t>or</w:t>
      </w:r>
      <w:r w:rsidRPr="008F21AE">
        <w:rPr>
          <w:rFonts w:cs="Times New Roman"/>
          <w:color w:val="0000FF"/>
        </w:rPr>
        <w:t xml:space="preserve"> </w:t>
      </w:r>
    </w:p>
    <w:p w14:paraId="641CE9A4" w14:textId="77777777" w:rsidR="00D051C0" w:rsidRPr="008F21AE" w:rsidRDefault="00D051C0" w:rsidP="00813D13">
      <w:pPr>
        <w:pStyle w:val="ListParagraph"/>
        <w:numPr>
          <w:ilvl w:val="1"/>
          <w:numId w:val="40"/>
        </w:numPr>
        <w:autoSpaceDE w:val="0"/>
        <w:autoSpaceDN w:val="0"/>
        <w:adjustRightInd w:val="0"/>
        <w:spacing w:after="0" w:line="240" w:lineRule="auto"/>
        <w:ind w:left="1170" w:hanging="270"/>
        <w:rPr>
          <w:rFonts w:cs="Times New Roman"/>
          <w:color w:val="0000FF"/>
        </w:rPr>
      </w:pPr>
      <w:proofErr w:type="gramStart"/>
      <w:r w:rsidRPr="008F21AE">
        <w:rPr>
          <w:rFonts w:cs="Times New Roman"/>
          <w:color w:val="0000FF"/>
        </w:rPr>
        <w:t>the</w:t>
      </w:r>
      <w:proofErr w:type="gramEnd"/>
      <w:r w:rsidRPr="008F21AE">
        <w:rPr>
          <w:rFonts w:cs="Times New Roman"/>
          <w:color w:val="0000FF"/>
        </w:rPr>
        <w:t xml:space="preserve"> observed discharge score was lower than the expected discharge score. </w:t>
      </w:r>
    </w:p>
    <w:p w14:paraId="443C30D7" w14:textId="61766AF8" w:rsidR="00D051C0" w:rsidRPr="008F21AE" w:rsidRDefault="00D051C0" w:rsidP="00813D13">
      <w:pPr>
        <w:pStyle w:val="ListParagraph"/>
        <w:numPr>
          <w:ilvl w:val="0"/>
          <w:numId w:val="40"/>
        </w:numPr>
        <w:spacing w:line="240" w:lineRule="auto"/>
        <w:rPr>
          <w:color w:val="0000FF"/>
        </w:rPr>
      </w:pPr>
      <w:r w:rsidRPr="008F21AE">
        <w:rPr>
          <w:color w:val="0000FF"/>
        </w:rPr>
        <w:lastRenderedPageBreak/>
        <w:t xml:space="preserve">The numerator for the measure was defined as the number of patients in each IRF whose observed discharge self-care score was equal to or greater than the expected discharge score. </w:t>
      </w:r>
    </w:p>
    <w:p w14:paraId="542A7009" w14:textId="77777777" w:rsidR="00D051C0" w:rsidRPr="008F21AE" w:rsidRDefault="00D051C0" w:rsidP="00813D13">
      <w:pPr>
        <w:pStyle w:val="ListParagraph"/>
        <w:numPr>
          <w:ilvl w:val="0"/>
          <w:numId w:val="40"/>
        </w:numPr>
        <w:spacing w:line="240" w:lineRule="auto"/>
        <w:rPr>
          <w:color w:val="0000FF"/>
        </w:rPr>
      </w:pPr>
      <w:r w:rsidRPr="008F21AE">
        <w:rPr>
          <w:color w:val="0000FF"/>
        </w:rPr>
        <w:t>The denominator for the measure was defined as the total number of patients in the IRF.</w:t>
      </w:r>
    </w:p>
    <w:p w14:paraId="7B18F17E" w14:textId="1A75ED9A" w:rsidR="00D051C0" w:rsidRPr="008F21AE" w:rsidRDefault="00D051C0" w:rsidP="00813D13">
      <w:pPr>
        <w:pStyle w:val="ListParagraph"/>
        <w:numPr>
          <w:ilvl w:val="0"/>
          <w:numId w:val="40"/>
        </w:numPr>
        <w:spacing w:line="240" w:lineRule="auto"/>
        <w:rPr>
          <w:color w:val="0000FF"/>
        </w:rPr>
      </w:pPr>
      <w:r w:rsidRPr="008F21AE">
        <w:rPr>
          <w:color w:val="0000FF"/>
        </w:rPr>
        <w:t xml:space="preserve">We then calculated the discharge self-care quality measure for each IRF using the formula: </w:t>
      </w:r>
    </w:p>
    <w:p w14:paraId="2F1F0E52" w14:textId="675E1FD3" w:rsidR="004A0F33" w:rsidRPr="008F21AE" w:rsidRDefault="00D051C0" w:rsidP="00F263FF">
      <w:pPr>
        <w:pStyle w:val="Heading5"/>
        <w:spacing w:after="0"/>
        <w:ind w:left="720" w:firstLine="0"/>
        <w:rPr>
          <w:rFonts w:asciiTheme="minorHAnsi" w:hAnsiTheme="minorHAnsi"/>
          <w:b w:val="0"/>
          <w:bCs w:val="0"/>
          <w:color w:val="0000FF"/>
        </w:rPr>
      </w:pPr>
      <w:r w:rsidRPr="008F21AE">
        <w:rPr>
          <w:rFonts w:asciiTheme="minorHAnsi" w:hAnsiTheme="minorHAnsi"/>
          <w:b w:val="0"/>
          <w:i/>
          <w:color w:val="0000FF"/>
        </w:rPr>
        <w:t xml:space="preserve">Proportion of patients with discharge </w:t>
      </w:r>
      <w:r w:rsidR="00ED6191" w:rsidRPr="008F21AE">
        <w:rPr>
          <w:rFonts w:asciiTheme="minorHAnsi" w:hAnsiTheme="minorHAnsi"/>
          <w:b w:val="0"/>
          <w:i/>
          <w:color w:val="0000FF"/>
        </w:rPr>
        <w:t>self-care</w:t>
      </w:r>
      <w:r w:rsidRPr="008F21AE">
        <w:rPr>
          <w:rFonts w:asciiTheme="minorHAnsi" w:hAnsiTheme="minorHAnsi"/>
          <w:b w:val="0"/>
          <w:i/>
          <w:color w:val="0000FF"/>
        </w:rPr>
        <w:t xml:space="preserve"> scores that meet or exceed the </w:t>
      </w:r>
      <w:r w:rsidR="00813D13">
        <w:rPr>
          <w:rFonts w:asciiTheme="minorHAnsi" w:hAnsiTheme="minorHAnsi"/>
          <w:b w:val="0"/>
          <w:i/>
          <w:color w:val="0000FF"/>
        </w:rPr>
        <w:t xml:space="preserve">calculated </w:t>
      </w:r>
      <w:r w:rsidRPr="008F21AE">
        <w:rPr>
          <w:rFonts w:asciiTheme="minorHAnsi" w:hAnsiTheme="minorHAnsi"/>
          <w:b w:val="0"/>
          <w:i/>
          <w:color w:val="0000FF"/>
        </w:rPr>
        <w:t xml:space="preserve">expected </w:t>
      </w:r>
      <w:r w:rsidR="00813D13">
        <w:rPr>
          <w:rFonts w:asciiTheme="minorHAnsi" w:hAnsiTheme="minorHAnsi"/>
          <w:b w:val="0"/>
          <w:bCs w:val="0"/>
          <w:i/>
          <w:color w:val="0000FF"/>
        </w:rPr>
        <w:t>score</w:t>
      </w:r>
      <w:r w:rsidRPr="008F21AE">
        <w:rPr>
          <w:rFonts w:asciiTheme="minorHAnsi" w:hAnsiTheme="minorHAnsi"/>
          <w:b w:val="0"/>
          <w:bCs w:val="0"/>
          <w:color w:val="0000FF"/>
        </w:rPr>
        <w:t xml:space="preserve"> =  </w:t>
      </w:r>
    </w:p>
    <w:p w14:paraId="43D267AB" w14:textId="2568BE12" w:rsidR="004A0F33" w:rsidRPr="004A0F33" w:rsidRDefault="00A2496B" w:rsidP="00F263FF">
      <w:pPr>
        <w:pStyle w:val="Heading5"/>
        <w:spacing w:after="0"/>
        <w:ind w:left="360" w:firstLine="0"/>
        <w:rPr>
          <w:rFonts w:asciiTheme="minorHAnsi" w:eastAsiaTheme="minorEastAsia" w:hAnsiTheme="minorHAnsi"/>
          <w:color w:val="0000FF"/>
        </w:rPr>
      </w:pPr>
      <m:oMathPara>
        <m:oMath>
          <m:f>
            <m:fPr>
              <m:ctrlPr>
                <w:rPr>
                  <w:rFonts w:ascii="Cambria Math" w:hAnsi="Cambria Math" w:cs="TTE2603740t00"/>
                  <w:b w:val="0"/>
                  <w:bCs w:val="0"/>
                  <w:color w:val="0000FF"/>
                  <w:sz w:val="20"/>
                  <w:szCs w:val="20"/>
                </w:rPr>
              </m:ctrlPr>
            </m:fPr>
            <m:num>
              <m:r>
                <m:rPr>
                  <m:sty m:val="b"/>
                </m:rPr>
                <w:rPr>
                  <w:rFonts w:ascii="Cambria Math" w:hAnsi="Cambria Math" w:cs="TTE2603740t00"/>
                  <w:color w:val="0000FF"/>
                  <w:sz w:val="20"/>
                  <w:szCs w:val="20"/>
                </w:rPr>
                <m:t>Number of patients in the IRF with observed discharge score≥expected discharge score</m:t>
              </m:r>
            </m:num>
            <m:den>
              <m:r>
                <m:rPr>
                  <m:sty m:val="b"/>
                </m:rPr>
                <w:rPr>
                  <w:rFonts w:ascii="Cambria Math" w:hAnsi="Cambria Math" w:cs="TTE2603740t00"/>
                  <w:color w:val="0000FF"/>
                  <w:sz w:val="20"/>
                  <w:szCs w:val="20"/>
                </w:rPr>
                <m:t>Total number of patients in the IRF</m:t>
              </m:r>
            </m:den>
          </m:f>
          <m:r>
            <m:rPr>
              <m:sty m:val="b"/>
            </m:rPr>
            <w:rPr>
              <w:rFonts w:ascii="Cambria Math" w:hAnsi="Cambria Math" w:cs="TTE2603740t00"/>
              <w:color w:val="0000FF"/>
              <w:sz w:val="20"/>
              <w:szCs w:val="20"/>
            </w:rPr>
            <m:t>*100</m:t>
          </m:r>
        </m:oMath>
      </m:oMathPara>
    </w:p>
    <w:p w14:paraId="1A8843C3" w14:textId="77777777" w:rsidR="004A0F33" w:rsidRDefault="004A0F33" w:rsidP="004A0F33">
      <w:pPr>
        <w:pStyle w:val="ListParagraph"/>
        <w:ind w:left="360"/>
      </w:pPr>
    </w:p>
    <w:p w14:paraId="73D28F7F" w14:textId="12CE52FD" w:rsidR="00EE099E" w:rsidRPr="002F5D63" w:rsidRDefault="00EE099E" w:rsidP="00903D96">
      <w:pPr>
        <w:pStyle w:val="AppTableTitle"/>
        <w:spacing w:after="120"/>
        <w:jc w:val="left"/>
        <w:rPr>
          <w:b w:val="0"/>
          <w:bCs w:val="0"/>
          <w:color w:val="0000FF"/>
          <w:sz w:val="22"/>
        </w:rPr>
      </w:pPr>
      <w:r w:rsidRPr="002F5D63">
        <w:rPr>
          <w:color w:val="0000FF"/>
          <w:sz w:val="22"/>
        </w:rPr>
        <w:t>ICD-10 coding:</w:t>
      </w:r>
      <w:r>
        <w:rPr>
          <w:b w:val="0"/>
          <w:bCs w:val="0"/>
          <w:color w:val="0000FF"/>
          <w:sz w:val="22"/>
        </w:rPr>
        <w:t xml:space="preserve"> For this quality measure, we use ICD-9-CM codes to identify patients with comorbidities. More specifically, we use the ICD codes to assign patients into Hierarchical Condition Categories. RTI International has a draft crosswalk of ICD-10 codes </w:t>
      </w:r>
      <w:r w:rsidR="00903D96">
        <w:rPr>
          <w:b w:val="0"/>
          <w:bCs w:val="0"/>
          <w:color w:val="0000FF"/>
          <w:sz w:val="22"/>
        </w:rPr>
        <w:t xml:space="preserve">that map </w:t>
      </w:r>
      <w:r>
        <w:rPr>
          <w:b w:val="0"/>
          <w:bCs w:val="0"/>
          <w:color w:val="0000FF"/>
          <w:sz w:val="22"/>
        </w:rPr>
        <w:t xml:space="preserve">to </w:t>
      </w:r>
      <w:r w:rsidR="00903D96">
        <w:rPr>
          <w:b w:val="0"/>
          <w:bCs w:val="0"/>
          <w:color w:val="0000FF"/>
          <w:sz w:val="22"/>
        </w:rPr>
        <w:t xml:space="preserve">the </w:t>
      </w:r>
      <w:r>
        <w:rPr>
          <w:b w:val="0"/>
          <w:bCs w:val="0"/>
          <w:color w:val="0000FF"/>
          <w:sz w:val="22"/>
        </w:rPr>
        <w:t xml:space="preserve">Hierarchical Condition Categories, which can be used for this quality measure when ICD-10 codes are </w:t>
      </w:r>
      <w:r w:rsidR="00903D96">
        <w:rPr>
          <w:b w:val="0"/>
          <w:bCs w:val="0"/>
          <w:color w:val="0000FF"/>
          <w:sz w:val="22"/>
        </w:rPr>
        <w:t>implemented</w:t>
      </w:r>
      <w:r>
        <w:rPr>
          <w:b w:val="0"/>
          <w:bCs w:val="0"/>
          <w:color w:val="0000FF"/>
          <w:sz w:val="22"/>
        </w:rPr>
        <w:t>.</w:t>
      </w:r>
    </w:p>
    <w:p w14:paraId="1EC680FA" w14:textId="77777777" w:rsidR="004A0F33" w:rsidRPr="004A0F33" w:rsidRDefault="00092566" w:rsidP="00EE099E">
      <w:pPr>
        <w:pStyle w:val="ListParagraph"/>
        <w:ind w:left="0"/>
        <w:rPr>
          <w:b/>
          <w:bCs/>
        </w:rPr>
      </w:pPr>
      <w:r w:rsidRPr="004A0F33">
        <w:rPr>
          <w:b/>
          <w:bCs/>
        </w:rPr>
        <w:t xml:space="preserve">2b4.4. </w:t>
      </w:r>
      <w:proofErr w:type="gramStart"/>
      <w:r w:rsidRPr="004A0F33">
        <w:rPr>
          <w:b/>
          <w:bCs/>
        </w:rPr>
        <w:t>What</w:t>
      </w:r>
      <w:proofErr w:type="gramEnd"/>
      <w:r w:rsidRPr="004A0F33">
        <w:rPr>
          <w:b/>
          <w:bCs/>
        </w:rPr>
        <w:t xml:space="preserve"> were the statistical results of the analyses used to select risk factors?</w:t>
      </w:r>
    </w:p>
    <w:p w14:paraId="2937C59F" w14:textId="77777777" w:rsidR="004A0F33" w:rsidRDefault="004A0F33" w:rsidP="00EE099E">
      <w:pPr>
        <w:pStyle w:val="ListParagraph"/>
        <w:ind w:left="0"/>
      </w:pPr>
    </w:p>
    <w:p w14:paraId="4D1407BC" w14:textId="06B876F8" w:rsidR="000E1334" w:rsidRPr="008F21AE" w:rsidRDefault="000E1334" w:rsidP="00EE099E">
      <w:pPr>
        <w:pStyle w:val="ListParagraph"/>
        <w:ind w:left="0"/>
        <w:rPr>
          <w:iCs/>
          <w:color w:val="0000FF"/>
        </w:rPr>
      </w:pPr>
      <w:r w:rsidRPr="004A0F33">
        <w:rPr>
          <w:iCs/>
          <w:color w:val="0000FF"/>
        </w:rPr>
        <w:t xml:space="preserve">Results of the final risk adjustment model are shown in </w:t>
      </w:r>
      <w:r w:rsidR="00A5062D" w:rsidRPr="004A0F33">
        <w:rPr>
          <w:iCs/>
          <w:color w:val="0000FF"/>
        </w:rPr>
        <w:t>Attachment 1</w:t>
      </w:r>
      <w:r w:rsidRPr="004A0F33">
        <w:rPr>
          <w:iCs/>
          <w:color w:val="0000FF"/>
        </w:rPr>
        <w:t xml:space="preserve">, along with regression </w:t>
      </w:r>
      <w:r w:rsidRPr="008F21AE">
        <w:rPr>
          <w:iCs/>
          <w:color w:val="0000FF"/>
        </w:rPr>
        <w:t xml:space="preserve">coefficients and significance values of the final set of </w:t>
      </w:r>
      <w:r w:rsidR="00C30621" w:rsidRPr="008F21AE">
        <w:rPr>
          <w:iCs/>
          <w:color w:val="0000FF"/>
        </w:rPr>
        <w:t>risk adjustor</w:t>
      </w:r>
      <w:r w:rsidR="00A25CF4" w:rsidRPr="008F21AE">
        <w:rPr>
          <w:iCs/>
          <w:color w:val="0000FF"/>
        </w:rPr>
        <w:t>s</w:t>
      </w:r>
      <w:r w:rsidRPr="008F21AE">
        <w:rPr>
          <w:iCs/>
          <w:color w:val="0000FF"/>
        </w:rPr>
        <w:t xml:space="preserve">. The overall model was a significant predictor of </w:t>
      </w:r>
      <w:r w:rsidR="000B29F7" w:rsidRPr="008F21AE">
        <w:rPr>
          <w:iCs/>
          <w:color w:val="0000FF"/>
        </w:rPr>
        <w:t>discharge</w:t>
      </w:r>
      <w:r w:rsidRPr="008F21AE">
        <w:rPr>
          <w:iCs/>
          <w:color w:val="0000FF"/>
        </w:rPr>
        <w:t xml:space="preserve"> self-care scores, with a </w:t>
      </w:r>
      <w:r w:rsidRPr="008F21AE">
        <w:rPr>
          <w:i/>
          <w:iCs/>
          <w:color w:val="0000FF"/>
        </w:rPr>
        <w:t>p</w:t>
      </w:r>
      <w:r w:rsidRPr="008F21AE">
        <w:rPr>
          <w:iCs/>
          <w:color w:val="0000FF"/>
        </w:rPr>
        <w:t xml:space="preserve">-value </w:t>
      </w:r>
      <w:r w:rsidR="002944EC" w:rsidRPr="008F21AE">
        <w:rPr>
          <w:iCs/>
          <w:color w:val="0000FF"/>
        </w:rPr>
        <w:t>less than</w:t>
      </w:r>
      <w:r w:rsidR="00AE1044" w:rsidRPr="008F21AE">
        <w:rPr>
          <w:iCs/>
          <w:color w:val="0000FF"/>
        </w:rPr>
        <w:t xml:space="preserve"> </w:t>
      </w:r>
      <w:r w:rsidR="00A5062D" w:rsidRPr="008F21AE">
        <w:rPr>
          <w:iCs/>
          <w:color w:val="0000FF"/>
        </w:rPr>
        <w:t>0.0001</w:t>
      </w:r>
      <w:r w:rsidRPr="008F21AE">
        <w:rPr>
          <w:iCs/>
          <w:color w:val="0000FF"/>
        </w:rPr>
        <w:t xml:space="preserve">. The overall model R-square was </w:t>
      </w:r>
      <w:r w:rsidR="00A5062D" w:rsidRPr="008F21AE">
        <w:rPr>
          <w:iCs/>
          <w:color w:val="0000FF"/>
        </w:rPr>
        <w:t>0.</w:t>
      </w:r>
      <w:r w:rsidR="00CA6FCD" w:rsidRPr="008F21AE">
        <w:rPr>
          <w:iCs/>
          <w:color w:val="0000FF"/>
        </w:rPr>
        <w:t>5374</w:t>
      </w:r>
      <w:r w:rsidRPr="008F21AE">
        <w:rPr>
          <w:iCs/>
          <w:color w:val="0000FF"/>
        </w:rPr>
        <w:t xml:space="preserve">, indicating that </w:t>
      </w:r>
      <w:r w:rsidR="00A5062D" w:rsidRPr="008F21AE">
        <w:rPr>
          <w:iCs/>
          <w:color w:val="0000FF"/>
        </w:rPr>
        <w:t>5</w:t>
      </w:r>
      <w:r w:rsidR="00CA6FCD" w:rsidRPr="008F21AE">
        <w:rPr>
          <w:iCs/>
          <w:color w:val="0000FF"/>
        </w:rPr>
        <w:t>3</w:t>
      </w:r>
      <w:r w:rsidR="00A5062D" w:rsidRPr="008F21AE">
        <w:rPr>
          <w:iCs/>
          <w:color w:val="0000FF"/>
        </w:rPr>
        <w:t>.7</w:t>
      </w:r>
      <w:r w:rsidR="00CA6FCD" w:rsidRPr="008F21AE">
        <w:rPr>
          <w:iCs/>
          <w:color w:val="0000FF"/>
        </w:rPr>
        <w:t>4</w:t>
      </w:r>
      <w:r w:rsidRPr="008F21AE">
        <w:rPr>
          <w:iCs/>
          <w:color w:val="0000FF"/>
        </w:rPr>
        <w:t xml:space="preserve">% of the variance in </w:t>
      </w:r>
      <w:r w:rsidR="000B29F7" w:rsidRPr="008F21AE">
        <w:rPr>
          <w:iCs/>
          <w:color w:val="0000FF"/>
        </w:rPr>
        <w:t>discharge</w:t>
      </w:r>
      <w:r w:rsidRPr="008F21AE">
        <w:rPr>
          <w:iCs/>
          <w:color w:val="0000FF"/>
        </w:rPr>
        <w:t xml:space="preserve"> self-care</w:t>
      </w:r>
      <w:r w:rsidR="00D77485">
        <w:rPr>
          <w:iCs/>
          <w:color w:val="0000FF"/>
        </w:rPr>
        <w:t xml:space="preserve"> scores</w:t>
      </w:r>
      <w:r w:rsidRPr="008F21AE">
        <w:rPr>
          <w:iCs/>
          <w:color w:val="0000FF"/>
        </w:rPr>
        <w:t xml:space="preserve"> was explained by the model. In general, regression coefficients of individual </w:t>
      </w:r>
      <w:r w:rsidR="00C30621" w:rsidRPr="008F21AE">
        <w:rPr>
          <w:iCs/>
          <w:color w:val="0000FF"/>
        </w:rPr>
        <w:t>risk adjustor</w:t>
      </w:r>
      <w:r w:rsidR="00A25CF4" w:rsidRPr="008F21AE">
        <w:rPr>
          <w:iCs/>
          <w:color w:val="0000FF"/>
        </w:rPr>
        <w:t>s</w:t>
      </w:r>
      <w:r w:rsidRPr="008F21AE">
        <w:rPr>
          <w:iCs/>
          <w:color w:val="0000FF"/>
        </w:rPr>
        <w:t xml:space="preserve"> demonstrated that the predictive ability of risk adjustors was as clinically expected. Examination of Type II semi-partial correlation coefficients indicated that</w:t>
      </w:r>
      <w:r w:rsidR="004B7D2C" w:rsidRPr="008F21AE">
        <w:rPr>
          <w:iCs/>
          <w:color w:val="0000FF"/>
        </w:rPr>
        <w:t xml:space="preserve"> </w:t>
      </w:r>
      <w:r w:rsidR="00CA6FCD" w:rsidRPr="008F21AE">
        <w:rPr>
          <w:iCs/>
          <w:color w:val="0000FF"/>
        </w:rPr>
        <w:t>admission self-care score was</w:t>
      </w:r>
      <w:r w:rsidRPr="008F21AE">
        <w:rPr>
          <w:iCs/>
          <w:color w:val="0000FF"/>
        </w:rPr>
        <w:t xml:space="preserve"> the strongest predictor, explaining </w:t>
      </w:r>
      <w:r w:rsidR="00CA6FCD" w:rsidRPr="008F21AE">
        <w:rPr>
          <w:iCs/>
          <w:color w:val="0000FF"/>
        </w:rPr>
        <w:t>3.32</w:t>
      </w:r>
      <w:r w:rsidRPr="008F21AE">
        <w:rPr>
          <w:iCs/>
          <w:color w:val="0000FF"/>
        </w:rPr>
        <w:t xml:space="preserve">% of </w:t>
      </w:r>
      <w:r w:rsidR="004B7D2C" w:rsidRPr="008F21AE">
        <w:rPr>
          <w:iCs/>
          <w:color w:val="0000FF"/>
        </w:rPr>
        <w:t xml:space="preserve">the </w:t>
      </w:r>
      <w:r w:rsidRPr="008F21AE">
        <w:rPr>
          <w:iCs/>
          <w:color w:val="0000FF"/>
        </w:rPr>
        <w:t xml:space="preserve">variance in </w:t>
      </w:r>
      <w:r w:rsidR="000B29F7" w:rsidRPr="008F21AE">
        <w:rPr>
          <w:iCs/>
          <w:color w:val="0000FF"/>
        </w:rPr>
        <w:t>discharge</w:t>
      </w:r>
      <w:r w:rsidRPr="008F21AE">
        <w:rPr>
          <w:iCs/>
          <w:color w:val="0000FF"/>
        </w:rPr>
        <w:t xml:space="preserve"> self-care</w:t>
      </w:r>
      <w:r w:rsidR="00D77485">
        <w:rPr>
          <w:iCs/>
          <w:color w:val="0000FF"/>
        </w:rPr>
        <w:t xml:space="preserve"> scores</w:t>
      </w:r>
      <w:r w:rsidR="004B7D2C" w:rsidRPr="008F21AE">
        <w:rPr>
          <w:iCs/>
          <w:color w:val="0000FF"/>
        </w:rPr>
        <w:t>.</w:t>
      </w:r>
    </w:p>
    <w:p w14:paraId="15CF553F" w14:textId="273E697C" w:rsidR="005C499B" w:rsidRPr="008F21AE" w:rsidRDefault="009F5B53" w:rsidP="0056684E">
      <w:pPr>
        <w:spacing w:after="240"/>
        <w:rPr>
          <w:b/>
          <w:iCs/>
          <w:color w:val="0000FF"/>
        </w:rPr>
      </w:pPr>
      <w:r w:rsidRPr="008F21AE">
        <w:rPr>
          <w:bCs/>
          <w:iCs/>
          <w:color w:val="0000FF"/>
        </w:rPr>
        <w:t>The d</w:t>
      </w:r>
      <w:r w:rsidR="005C499B" w:rsidRPr="008F21AE">
        <w:rPr>
          <w:bCs/>
          <w:iCs/>
          <w:color w:val="0000FF"/>
        </w:rPr>
        <w:t xml:space="preserve">istribution of the </w:t>
      </w:r>
      <w:r w:rsidR="004F58DF" w:rsidRPr="008F21AE">
        <w:rPr>
          <w:bCs/>
          <w:iCs/>
          <w:color w:val="0000FF"/>
        </w:rPr>
        <w:t xml:space="preserve">quality </w:t>
      </w:r>
      <w:r w:rsidR="005C499B" w:rsidRPr="008F21AE">
        <w:rPr>
          <w:bCs/>
          <w:iCs/>
          <w:color w:val="0000FF"/>
        </w:rPr>
        <w:t xml:space="preserve">measure, proportion of patients who meet or exceed the </w:t>
      </w:r>
      <w:r w:rsidR="00B86D57">
        <w:rPr>
          <w:bCs/>
          <w:iCs/>
          <w:color w:val="0000FF"/>
        </w:rPr>
        <w:t>calculated expected score</w:t>
      </w:r>
      <w:r w:rsidR="005C499B" w:rsidRPr="008F21AE">
        <w:rPr>
          <w:bCs/>
          <w:iCs/>
          <w:color w:val="0000FF"/>
        </w:rPr>
        <w:t xml:space="preserve">, is shown in </w:t>
      </w:r>
      <w:r w:rsidR="005C499B" w:rsidRPr="008F21AE">
        <w:rPr>
          <w:b/>
          <w:iCs/>
          <w:color w:val="0000FF"/>
        </w:rPr>
        <w:t xml:space="preserve">Table </w:t>
      </w:r>
      <w:r w:rsidR="00224F76" w:rsidRPr="00430CFC">
        <w:rPr>
          <w:b/>
          <w:iCs/>
          <w:color w:val="0000FF"/>
        </w:rPr>
        <w:t>6</w:t>
      </w:r>
      <w:r w:rsidR="005C499B" w:rsidRPr="00430CFC">
        <w:rPr>
          <w:bCs/>
          <w:iCs/>
          <w:color w:val="0000FF"/>
        </w:rPr>
        <w:t xml:space="preserve"> and </w:t>
      </w:r>
      <w:r w:rsidR="005C499B" w:rsidRPr="00430CFC">
        <w:rPr>
          <w:b/>
          <w:iCs/>
          <w:color w:val="0000FF"/>
        </w:rPr>
        <w:t xml:space="preserve">Figure </w:t>
      </w:r>
      <w:r w:rsidR="0056684E">
        <w:rPr>
          <w:b/>
          <w:iCs/>
          <w:color w:val="0000FF"/>
        </w:rPr>
        <w:t>2</w:t>
      </w:r>
      <w:r w:rsidR="005C499B" w:rsidRPr="00430CFC">
        <w:rPr>
          <w:bCs/>
          <w:iCs/>
          <w:color w:val="0000FF"/>
        </w:rPr>
        <w:t>. The</w:t>
      </w:r>
      <w:r w:rsidR="005C499B" w:rsidRPr="008F21AE">
        <w:rPr>
          <w:bCs/>
          <w:iCs/>
          <w:color w:val="0000FF"/>
        </w:rPr>
        <w:t xml:space="preserve"> measure has a wide range (</w:t>
      </w:r>
      <w:r w:rsidR="004576EB" w:rsidRPr="008F21AE">
        <w:rPr>
          <w:bCs/>
          <w:iCs/>
          <w:color w:val="0000FF"/>
        </w:rPr>
        <w:t>25.74</w:t>
      </w:r>
      <w:r w:rsidR="005C499B" w:rsidRPr="008F21AE">
        <w:rPr>
          <w:bCs/>
          <w:iCs/>
          <w:color w:val="0000FF"/>
        </w:rPr>
        <w:t>-</w:t>
      </w:r>
      <w:r w:rsidR="004576EB" w:rsidRPr="008F21AE">
        <w:rPr>
          <w:bCs/>
          <w:iCs/>
          <w:color w:val="0000FF"/>
        </w:rPr>
        <w:t>100</w:t>
      </w:r>
      <w:r w:rsidR="005C499B" w:rsidRPr="008F21AE">
        <w:rPr>
          <w:bCs/>
          <w:iCs/>
          <w:color w:val="0000FF"/>
        </w:rPr>
        <w:t>), wide interquartile range (20.</w:t>
      </w:r>
      <w:r w:rsidR="004576EB" w:rsidRPr="008F21AE">
        <w:rPr>
          <w:bCs/>
          <w:iCs/>
          <w:color w:val="0000FF"/>
        </w:rPr>
        <w:t>2</w:t>
      </w:r>
      <w:r w:rsidR="005C499B" w:rsidRPr="008F21AE">
        <w:rPr>
          <w:bCs/>
          <w:iCs/>
          <w:color w:val="0000FF"/>
        </w:rPr>
        <w:t>7), and a normal distribution.</w:t>
      </w:r>
    </w:p>
    <w:p w14:paraId="21532282" w14:textId="133B88B0" w:rsidR="00964CAD" w:rsidRPr="008F21AE" w:rsidRDefault="00964CAD" w:rsidP="00EE099E">
      <w:pPr>
        <w:spacing w:after="240"/>
        <w:rPr>
          <w:b/>
          <w:iCs/>
          <w:color w:val="0000FF"/>
        </w:rPr>
      </w:pPr>
      <w:r w:rsidRPr="008F21AE">
        <w:rPr>
          <w:b/>
          <w:iCs/>
          <w:color w:val="0000FF"/>
        </w:rPr>
        <w:t xml:space="preserve">Table </w:t>
      </w:r>
      <w:r w:rsidR="00224F76">
        <w:rPr>
          <w:b/>
          <w:iCs/>
          <w:color w:val="0000FF"/>
        </w:rPr>
        <w:t>6</w:t>
      </w:r>
      <w:r w:rsidRPr="008F21AE">
        <w:rPr>
          <w:b/>
          <w:iCs/>
          <w:color w:val="0000FF"/>
        </w:rPr>
        <w:t xml:space="preserve">. Distribution of Proportion of Patients who Meet or Exceed the </w:t>
      </w:r>
      <w:r w:rsidR="00EE099E">
        <w:rPr>
          <w:b/>
          <w:iCs/>
          <w:color w:val="0000FF"/>
        </w:rPr>
        <w:t>Calculated Expected Score</w:t>
      </w:r>
      <w:r w:rsidRPr="008F21AE">
        <w:rPr>
          <w:b/>
          <w:iCs/>
          <w:color w:val="0000FF"/>
        </w:rPr>
        <w:t xml:space="preserve"> </w:t>
      </w:r>
    </w:p>
    <w:tbl>
      <w:tblPr>
        <w:tblStyle w:val="TableGrid"/>
        <w:tblW w:w="1172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42"/>
        <w:gridCol w:w="810"/>
        <w:gridCol w:w="900"/>
        <w:gridCol w:w="618"/>
        <w:gridCol w:w="720"/>
        <w:gridCol w:w="882"/>
        <w:gridCol w:w="900"/>
        <w:gridCol w:w="942"/>
        <w:gridCol w:w="720"/>
        <w:gridCol w:w="720"/>
        <w:gridCol w:w="810"/>
        <w:gridCol w:w="1170"/>
        <w:gridCol w:w="990"/>
      </w:tblGrid>
      <w:tr w:rsidR="00964CAD" w:rsidRPr="008F21AE" w14:paraId="0DA24999" w14:textId="77777777" w:rsidTr="00634FF4">
        <w:trPr>
          <w:trHeight w:val="786"/>
          <w:jc w:val="center"/>
        </w:trPr>
        <w:tc>
          <w:tcPr>
            <w:tcW w:w="1542" w:type="dxa"/>
            <w:tcBorders>
              <w:top w:val="single" w:sz="4" w:space="0" w:color="auto"/>
              <w:bottom w:val="single" w:sz="4" w:space="0" w:color="auto"/>
            </w:tcBorders>
            <w:vAlign w:val="center"/>
          </w:tcPr>
          <w:p w14:paraId="0D5F93A5" w14:textId="77777777" w:rsidR="00964CAD" w:rsidRPr="008F21AE" w:rsidRDefault="00964CAD" w:rsidP="009F5B53">
            <w:pPr>
              <w:spacing w:after="240"/>
              <w:jc w:val="center"/>
              <w:rPr>
                <w:b/>
                <w:iCs/>
                <w:color w:val="0000FF"/>
              </w:rPr>
            </w:pPr>
          </w:p>
        </w:tc>
        <w:tc>
          <w:tcPr>
            <w:tcW w:w="810" w:type="dxa"/>
            <w:tcBorders>
              <w:top w:val="single" w:sz="4" w:space="0" w:color="auto"/>
              <w:bottom w:val="single" w:sz="4" w:space="0" w:color="auto"/>
            </w:tcBorders>
            <w:vAlign w:val="center"/>
          </w:tcPr>
          <w:p w14:paraId="26AFE02F" w14:textId="77777777" w:rsidR="00964CAD" w:rsidRPr="008F21AE" w:rsidRDefault="00964CAD" w:rsidP="009F5B53">
            <w:pPr>
              <w:spacing w:after="240"/>
              <w:jc w:val="center"/>
              <w:rPr>
                <w:b/>
                <w:iCs/>
                <w:color w:val="0000FF"/>
              </w:rPr>
            </w:pPr>
            <w:r w:rsidRPr="008F21AE">
              <w:rPr>
                <w:b/>
                <w:iCs/>
                <w:color w:val="0000FF"/>
              </w:rPr>
              <w:t>N (IRFs)</w:t>
            </w:r>
          </w:p>
        </w:tc>
        <w:tc>
          <w:tcPr>
            <w:tcW w:w="900" w:type="dxa"/>
            <w:tcBorders>
              <w:top w:val="single" w:sz="4" w:space="0" w:color="auto"/>
              <w:bottom w:val="single" w:sz="4" w:space="0" w:color="auto"/>
            </w:tcBorders>
            <w:vAlign w:val="center"/>
          </w:tcPr>
          <w:p w14:paraId="44382A3D" w14:textId="77777777" w:rsidR="00964CAD" w:rsidRPr="008F21AE" w:rsidRDefault="00964CAD" w:rsidP="009F5B53">
            <w:pPr>
              <w:spacing w:after="240"/>
              <w:jc w:val="center"/>
              <w:rPr>
                <w:b/>
                <w:iCs/>
                <w:color w:val="0000FF"/>
              </w:rPr>
            </w:pPr>
            <w:r w:rsidRPr="008F21AE">
              <w:rPr>
                <w:b/>
                <w:iCs/>
                <w:color w:val="0000FF"/>
              </w:rPr>
              <w:t>Mean (SD)</w:t>
            </w:r>
          </w:p>
        </w:tc>
        <w:tc>
          <w:tcPr>
            <w:tcW w:w="618" w:type="dxa"/>
            <w:tcBorders>
              <w:top w:val="single" w:sz="4" w:space="0" w:color="auto"/>
              <w:bottom w:val="single" w:sz="4" w:space="0" w:color="auto"/>
            </w:tcBorders>
            <w:vAlign w:val="center"/>
          </w:tcPr>
          <w:p w14:paraId="39B944B8" w14:textId="77777777" w:rsidR="00964CAD" w:rsidRPr="008F21AE" w:rsidRDefault="00964CAD" w:rsidP="009F5B53">
            <w:pPr>
              <w:spacing w:after="240"/>
              <w:jc w:val="center"/>
              <w:rPr>
                <w:b/>
                <w:iCs/>
                <w:color w:val="0000FF"/>
              </w:rPr>
            </w:pPr>
            <w:r w:rsidRPr="008F21AE">
              <w:rPr>
                <w:b/>
                <w:iCs/>
                <w:color w:val="0000FF"/>
              </w:rPr>
              <w:t>SE</w:t>
            </w:r>
          </w:p>
        </w:tc>
        <w:tc>
          <w:tcPr>
            <w:tcW w:w="720" w:type="dxa"/>
            <w:tcBorders>
              <w:top w:val="single" w:sz="4" w:space="0" w:color="auto"/>
              <w:bottom w:val="single" w:sz="4" w:space="0" w:color="auto"/>
            </w:tcBorders>
            <w:vAlign w:val="center"/>
          </w:tcPr>
          <w:p w14:paraId="138E2987" w14:textId="77777777" w:rsidR="00964CAD" w:rsidRPr="008F21AE" w:rsidRDefault="00964CAD" w:rsidP="009F5B53">
            <w:pPr>
              <w:spacing w:after="240"/>
              <w:jc w:val="center"/>
              <w:rPr>
                <w:b/>
                <w:iCs/>
                <w:color w:val="0000FF"/>
              </w:rPr>
            </w:pPr>
            <w:r w:rsidRPr="008F21AE">
              <w:rPr>
                <w:b/>
                <w:iCs/>
                <w:color w:val="0000FF"/>
              </w:rPr>
              <w:t>Min</w:t>
            </w:r>
          </w:p>
        </w:tc>
        <w:tc>
          <w:tcPr>
            <w:tcW w:w="882" w:type="dxa"/>
            <w:tcBorders>
              <w:top w:val="single" w:sz="4" w:space="0" w:color="auto"/>
              <w:bottom w:val="single" w:sz="4" w:space="0" w:color="auto"/>
            </w:tcBorders>
            <w:vAlign w:val="center"/>
          </w:tcPr>
          <w:p w14:paraId="4FDBDBFC" w14:textId="77777777" w:rsidR="00964CAD" w:rsidRPr="008F21AE" w:rsidRDefault="00964CAD" w:rsidP="009F5B53">
            <w:pPr>
              <w:spacing w:after="240"/>
              <w:jc w:val="center"/>
              <w:rPr>
                <w:b/>
                <w:iCs/>
                <w:color w:val="0000FF"/>
              </w:rPr>
            </w:pPr>
            <w:r w:rsidRPr="008F21AE">
              <w:rPr>
                <w:b/>
                <w:iCs/>
                <w:color w:val="0000FF"/>
              </w:rPr>
              <w:t>10</w:t>
            </w:r>
            <w:r w:rsidRPr="008F21AE">
              <w:rPr>
                <w:b/>
                <w:iCs/>
                <w:color w:val="0000FF"/>
                <w:vertAlign w:val="superscript"/>
              </w:rPr>
              <w:t>th</w:t>
            </w:r>
            <w:r w:rsidRPr="008F21AE">
              <w:rPr>
                <w:b/>
                <w:iCs/>
                <w:color w:val="0000FF"/>
              </w:rPr>
              <w:t xml:space="preserve"> </w:t>
            </w:r>
            <w:proofErr w:type="spellStart"/>
            <w:r w:rsidRPr="008F21AE">
              <w:rPr>
                <w:b/>
                <w:iCs/>
                <w:color w:val="0000FF"/>
              </w:rPr>
              <w:t>Pctl</w:t>
            </w:r>
            <w:proofErr w:type="spellEnd"/>
          </w:p>
        </w:tc>
        <w:tc>
          <w:tcPr>
            <w:tcW w:w="900" w:type="dxa"/>
            <w:tcBorders>
              <w:top w:val="single" w:sz="4" w:space="0" w:color="auto"/>
              <w:bottom w:val="single" w:sz="4" w:space="0" w:color="auto"/>
            </w:tcBorders>
            <w:vAlign w:val="center"/>
          </w:tcPr>
          <w:p w14:paraId="40933860" w14:textId="77777777" w:rsidR="00964CAD" w:rsidRPr="008F21AE" w:rsidRDefault="00964CAD" w:rsidP="009F5B53">
            <w:pPr>
              <w:spacing w:after="240"/>
              <w:jc w:val="center"/>
              <w:rPr>
                <w:b/>
                <w:iCs/>
                <w:color w:val="0000FF"/>
              </w:rPr>
            </w:pPr>
            <w:r w:rsidRPr="008F21AE">
              <w:rPr>
                <w:b/>
                <w:iCs/>
                <w:color w:val="0000FF"/>
              </w:rPr>
              <w:t>25</w:t>
            </w:r>
            <w:r w:rsidRPr="008F21AE">
              <w:rPr>
                <w:b/>
                <w:iCs/>
                <w:color w:val="0000FF"/>
                <w:vertAlign w:val="superscript"/>
              </w:rPr>
              <w:t>th</w:t>
            </w:r>
            <w:r w:rsidRPr="008F21AE">
              <w:rPr>
                <w:b/>
                <w:iCs/>
                <w:color w:val="0000FF"/>
              </w:rPr>
              <w:t xml:space="preserve"> </w:t>
            </w:r>
            <w:proofErr w:type="spellStart"/>
            <w:r w:rsidRPr="008F21AE">
              <w:rPr>
                <w:b/>
                <w:iCs/>
                <w:color w:val="0000FF"/>
              </w:rPr>
              <w:t>Pctl</w:t>
            </w:r>
            <w:proofErr w:type="spellEnd"/>
          </w:p>
        </w:tc>
        <w:tc>
          <w:tcPr>
            <w:tcW w:w="942" w:type="dxa"/>
            <w:tcBorders>
              <w:top w:val="single" w:sz="4" w:space="0" w:color="auto"/>
              <w:bottom w:val="single" w:sz="4" w:space="0" w:color="auto"/>
            </w:tcBorders>
            <w:vAlign w:val="center"/>
          </w:tcPr>
          <w:p w14:paraId="6AE68EF1" w14:textId="77777777" w:rsidR="00964CAD" w:rsidRPr="008F21AE" w:rsidRDefault="00964CAD" w:rsidP="009F5B53">
            <w:pPr>
              <w:spacing w:after="240"/>
              <w:jc w:val="center"/>
              <w:rPr>
                <w:b/>
                <w:iCs/>
                <w:color w:val="0000FF"/>
              </w:rPr>
            </w:pPr>
            <w:r w:rsidRPr="008F21AE">
              <w:rPr>
                <w:b/>
                <w:iCs/>
                <w:color w:val="0000FF"/>
              </w:rPr>
              <w:t>Median</w:t>
            </w:r>
          </w:p>
        </w:tc>
        <w:tc>
          <w:tcPr>
            <w:tcW w:w="720" w:type="dxa"/>
            <w:tcBorders>
              <w:top w:val="single" w:sz="4" w:space="0" w:color="auto"/>
              <w:bottom w:val="single" w:sz="4" w:space="0" w:color="auto"/>
            </w:tcBorders>
            <w:vAlign w:val="center"/>
          </w:tcPr>
          <w:p w14:paraId="2A06AC1D" w14:textId="77777777" w:rsidR="00964CAD" w:rsidRPr="008F21AE" w:rsidRDefault="00964CAD" w:rsidP="009F5B53">
            <w:pPr>
              <w:spacing w:after="240"/>
              <w:jc w:val="center"/>
              <w:rPr>
                <w:b/>
                <w:iCs/>
                <w:color w:val="0000FF"/>
              </w:rPr>
            </w:pPr>
            <w:r w:rsidRPr="008F21AE">
              <w:rPr>
                <w:b/>
                <w:iCs/>
                <w:color w:val="0000FF"/>
              </w:rPr>
              <w:t>75</w:t>
            </w:r>
            <w:r w:rsidRPr="008F21AE">
              <w:rPr>
                <w:b/>
                <w:iCs/>
                <w:color w:val="0000FF"/>
                <w:vertAlign w:val="superscript"/>
              </w:rPr>
              <w:t>th</w:t>
            </w:r>
            <w:r w:rsidRPr="008F21AE">
              <w:rPr>
                <w:b/>
                <w:iCs/>
                <w:color w:val="0000FF"/>
              </w:rPr>
              <w:t xml:space="preserve"> </w:t>
            </w:r>
            <w:proofErr w:type="spellStart"/>
            <w:r w:rsidRPr="008F21AE">
              <w:rPr>
                <w:b/>
                <w:iCs/>
                <w:color w:val="0000FF"/>
              </w:rPr>
              <w:t>Pctl</w:t>
            </w:r>
            <w:proofErr w:type="spellEnd"/>
          </w:p>
        </w:tc>
        <w:tc>
          <w:tcPr>
            <w:tcW w:w="720" w:type="dxa"/>
            <w:tcBorders>
              <w:top w:val="single" w:sz="4" w:space="0" w:color="auto"/>
              <w:bottom w:val="single" w:sz="4" w:space="0" w:color="auto"/>
            </w:tcBorders>
            <w:vAlign w:val="center"/>
          </w:tcPr>
          <w:p w14:paraId="5D05920D" w14:textId="77777777" w:rsidR="00964CAD" w:rsidRPr="008F21AE" w:rsidRDefault="00964CAD" w:rsidP="009F5B53">
            <w:pPr>
              <w:spacing w:after="240"/>
              <w:jc w:val="center"/>
              <w:rPr>
                <w:b/>
                <w:iCs/>
                <w:color w:val="0000FF"/>
              </w:rPr>
            </w:pPr>
            <w:r w:rsidRPr="008F21AE">
              <w:rPr>
                <w:b/>
                <w:iCs/>
                <w:color w:val="0000FF"/>
              </w:rPr>
              <w:t>90</w:t>
            </w:r>
            <w:r w:rsidRPr="008F21AE">
              <w:rPr>
                <w:b/>
                <w:iCs/>
                <w:color w:val="0000FF"/>
                <w:vertAlign w:val="superscript"/>
              </w:rPr>
              <w:t>th</w:t>
            </w:r>
            <w:r w:rsidRPr="008F21AE">
              <w:rPr>
                <w:b/>
                <w:iCs/>
                <w:color w:val="0000FF"/>
              </w:rPr>
              <w:t xml:space="preserve"> </w:t>
            </w:r>
            <w:proofErr w:type="spellStart"/>
            <w:r w:rsidRPr="008F21AE">
              <w:rPr>
                <w:b/>
                <w:iCs/>
                <w:color w:val="0000FF"/>
              </w:rPr>
              <w:t>Pctl</w:t>
            </w:r>
            <w:proofErr w:type="spellEnd"/>
          </w:p>
        </w:tc>
        <w:tc>
          <w:tcPr>
            <w:tcW w:w="810" w:type="dxa"/>
            <w:tcBorders>
              <w:top w:val="single" w:sz="4" w:space="0" w:color="auto"/>
              <w:bottom w:val="single" w:sz="4" w:space="0" w:color="auto"/>
            </w:tcBorders>
            <w:vAlign w:val="center"/>
          </w:tcPr>
          <w:p w14:paraId="39C0DB6F" w14:textId="77777777" w:rsidR="00964CAD" w:rsidRPr="008F21AE" w:rsidRDefault="00964CAD" w:rsidP="009F5B53">
            <w:pPr>
              <w:spacing w:after="240"/>
              <w:jc w:val="center"/>
              <w:rPr>
                <w:b/>
                <w:iCs/>
                <w:color w:val="0000FF"/>
              </w:rPr>
            </w:pPr>
            <w:r w:rsidRPr="008F21AE">
              <w:rPr>
                <w:b/>
                <w:iCs/>
                <w:color w:val="0000FF"/>
              </w:rPr>
              <w:t>Max</w:t>
            </w:r>
          </w:p>
        </w:tc>
        <w:tc>
          <w:tcPr>
            <w:tcW w:w="1170" w:type="dxa"/>
            <w:tcBorders>
              <w:top w:val="single" w:sz="4" w:space="0" w:color="auto"/>
              <w:bottom w:val="single" w:sz="4" w:space="0" w:color="auto"/>
            </w:tcBorders>
            <w:vAlign w:val="center"/>
          </w:tcPr>
          <w:p w14:paraId="36AEFB94" w14:textId="77777777" w:rsidR="00964CAD" w:rsidRPr="008F21AE" w:rsidRDefault="00964CAD" w:rsidP="009F5B53">
            <w:pPr>
              <w:spacing w:after="240"/>
              <w:jc w:val="center"/>
              <w:rPr>
                <w:b/>
                <w:iCs/>
                <w:color w:val="0000FF"/>
              </w:rPr>
            </w:pPr>
            <w:proofErr w:type="spellStart"/>
            <w:r w:rsidRPr="008F21AE">
              <w:rPr>
                <w:b/>
                <w:iCs/>
                <w:color w:val="0000FF"/>
              </w:rPr>
              <w:t>Skewness</w:t>
            </w:r>
            <w:proofErr w:type="spellEnd"/>
          </w:p>
        </w:tc>
        <w:tc>
          <w:tcPr>
            <w:tcW w:w="990" w:type="dxa"/>
            <w:tcBorders>
              <w:top w:val="single" w:sz="4" w:space="0" w:color="auto"/>
              <w:bottom w:val="single" w:sz="4" w:space="0" w:color="auto"/>
            </w:tcBorders>
            <w:vAlign w:val="center"/>
          </w:tcPr>
          <w:p w14:paraId="71F636D4" w14:textId="77777777" w:rsidR="00964CAD" w:rsidRPr="008F21AE" w:rsidRDefault="00964CAD" w:rsidP="009F5B53">
            <w:pPr>
              <w:spacing w:after="240"/>
              <w:jc w:val="center"/>
              <w:rPr>
                <w:b/>
                <w:iCs/>
                <w:color w:val="0000FF"/>
              </w:rPr>
            </w:pPr>
            <w:r w:rsidRPr="008F21AE">
              <w:rPr>
                <w:b/>
                <w:iCs/>
                <w:color w:val="0000FF"/>
              </w:rPr>
              <w:t>Kurtosis</w:t>
            </w:r>
          </w:p>
        </w:tc>
      </w:tr>
      <w:tr w:rsidR="00964CAD" w:rsidRPr="008F21AE" w14:paraId="18CEAD9A" w14:textId="77777777" w:rsidTr="00634FF4">
        <w:trPr>
          <w:trHeight w:val="786"/>
          <w:jc w:val="center"/>
        </w:trPr>
        <w:tc>
          <w:tcPr>
            <w:tcW w:w="1542" w:type="dxa"/>
            <w:tcBorders>
              <w:top w:val="single" w:sz="4" w:space="0" w:color="auto"/>
              <w:bottom w:val="single" w:sz="4" w:space="0" w:color="auto"/>
            </w:tcBorders>
            <w:vAlign w:val="center"/>
          </w:tcPr>
          <w:p w14:paraId="25EE1952" w14:textId="5F9478D2" w:rsidR="00964CAD" w:rsidRPr="008F21AE" w:rsidRDefault="00964CAD" w:rsidP="00B86D57">
            <w:pPr>
              <w:spacing w:after="240"/>
              <w:rPr>
                <w:iCs/>
                <w:color w:val="0000FF"/>
              </w:rPr>
            </w:pPr>
            <w:r w:rsidRPr="008F21AE">
              <w:rPr>
                <w:iCs/>
                <w:color w:val="0000FF"/>
              </w:rPr>
              <w:t xml:space="preserve">Proportion who meet or exceed the </w:t>
            </w:r>
            <w:r w:rsidR="00B86D57">
              <w:rPr>
                <w:iCs/>
                <w:color w:val="0000FF"/>
              </w:rPr>
              <w:t>calculated expected score</w:t>
            </w:r>
          </w:p>
        </w:tc>
        <w:tc>
          <w:tcPr>
            <w:tcW w:w="810" w:type="dxa"/>
            <w:tcBorders>
              <w:top w:val="single" w:sz="4" w:space="0" w:color="auto"/>
              <w:bottom w:val="single" w:sz="4" w:space="0" w:color="auto"/>
            </w:tcBorders>
            <w:vAlign w:val="center"/>
          </w:tcPr>
          <w:p w14:paraId="3A4E351B" w14:textId="77777777" w:rsidR="00964CAD" w:rsidRPr="008F21AE" w:rsidRDefault="00964CAD" w:rsidP="009F5B53">
            <w:pPr>
              <w:spacing w:after="240"/>
              <w:jc w:val="center"/>
              <w:rPr>
                <w:iCs/>
                <w:color w:val="0000FF"/>
              </w:rPr>
            </w:pPr>
            <w:r w:rsidRPr="008F21AE">
              <w:rPr>
                <w:iCs/>
                <w:color w:val="0000FF"/>
              </w:rPr>
              <w:t>38</w:t>
            </w:r>
          </w:p>
        </w:tc>
        <w:tc>
          <w:tcPr>
            <w:tcW w:w="900" w:type="dxa"/>
            <w:tcBorders>
              <w:top w:val="single" w:sz="4" w:space="0" w:color="auto"/>
              <w:bottom w:val="single" w:sz="4" w:space="0" w:color="auto"/>
            </w:tcBorders>
            <w:vAlign w:val="center"/>
          </w:tcPr>
          <w:p w14:paraId="033F6F6D" w14:textId="40B2AE95" w:rsidR="00964CAD" w:rsidRPr="008F21AE" w:rsidRDefault="00964CAD" w:rsidP="009F5B53">
            <w:pPr>
              <w:jc w:val="center"/>
              <w:rPr>
                <w:iCs/>
                <w:color w:val="0000FF"/>
              </w:rPr>
            </w:pPr>
            <w:r w:rsidRPr="008F21AE">
              <w:rPr>
                <w:iCs/>
                <w:color w:val="0000FF"/>
              </w:rPr>
              <w:t>54.86 (16.60)</w:t>
            </w:r>
          </w:p>
        </w:tc>
        <w:tc>
          <w:tcPr>
            <w:tcW w:w="618" w:type="dxa"/>
            <w:tcBorders>
              <w:top w:val="single" w:sz="4" w:space="0" w:color="auto"/>
              <w:bottom w:val="single" w:sz="4" w:space="0" w:color="auto"/>
            </w:tcBorders>
            <w:vAlign w:val="center"/>
          </w:tcPr>
          <w:p w14:paraId="33A26537" w14:textId="21E06E3C" w:rsidR="00964CAD" w:rsidRPr="008F21AE" w:rsidRDefault="00964CAD" w:rsidP="009F5B53">
            <w:pPr>
              <w:jc w:val="center"/>
              <w:rPr>
                <w:rFonts w:ascii="Calibri" w:hAnsi="Calibri"/>
                <w:color w:val="0000FF"/>
              </w:rPr>
            </w:pPr>
            <w:r w:rsidRPr="008F21AE">
              <w:rPr>
                <w:rFonts w:ascii="Calibri" w:hAnsi="Calibri"/>
                <w:color w:val="0000FF"/>
              </w:rPr>
              <w:t>2.69</w:t>
            </w:r>
          </w:p>
        </w:tc>
        <w:tc>
          <w:tcPr>
            <w:tcW w:w="720" w:type="dxa"/>
            <w:tcBorders>
              <w:top w:val="single" w:sz="4" w:space="0" w:color="auto"/>
              <w:bottom w:val="single" w:sz="4" w:space="0" w:color="auto"/>
            </w:tcBorders>
            <w:vAlign w:val="center"/>
          </w:tcPr>
          <w:p w14:paraId="7811C6CC" w14:textId="39F1C10C" w:rsidR="00964CAD" w:rsidRPr="008F21AE" w:rsidRDefault="00964CAD" w:rsidP="009F5B53">
            <w:pPr>
              <w:jc w:val="center"/>
              <w:rPr>
                <w:rFonts w:ascii="Calibri" w:hAnsi="Calibri"/>
                <w:color w:val="0000FF"/>
              </w:rPr>
            </w:pPr>
            <w:r w:rsidRPr="008F21AE">
              <w:rPr>
                <w:rFonts w:ascii="Calibri" w:hAnsi="Calibri"/>
                <w:color w:val="0000FF"/>
              </w:rPr>
              <w:t>25.74</w:t>
            </w:r>
          </w:p>
        </w:tc>
        <w:tc>
          <w:tcPr>
            <w:tcW w:w="882" w:type="dxa"/>
            <w:tcBorders>
              <w:top w:val="single" w:sz="4" w:space="0" w:color="auto"/>
              <w:bottom w:val="single" w:sz="4" w:space="0" w:color="auto"/>
            </w:tcBorders>
            <w:vAlign w:val="center"/>
          </w:tcPr>
          <w:p w14:paraId="0DC19129" w14:textId="046A439E" w:rsidR="00964CAD" w:rsidRPr="008F21AE" w:rsidRDefault="005C499B" w:rsidP="009F5B53">
            <w:pPr>
              <w:jc w:val="center"/>
              <w:rPr>
                <w:iCs/>
                <w:color w:val="0000FF"/>
              </w:rPr>
            </w:pPr>
            <w:r w:rsidRPr="008F21AE">
              <w:rPr>
                <w:iCs/>
                <w:color w:val="0000FF"/>
              </w:rPr>
              <w:t>33.39</w:t>
            </w:r>
          </w:p>
        </w:tc>
        <w:tc>
          <w:tcPr>
            <w:tcW w:w="900" w:type="dxa"/>
            <w:tcBorders>
              <w:top w:val="single" w:sz="4" w:space="0" w:color="auto"/>
              <w:bottom w:val="single" w:sz="4" w:space="0" w:color="auto"/>
            </w:tcBorders>
            <w:vAlign w:val="center"/>
          </w:tcPr>
          <w:p w14:paraId="55EA7E67" w14:textId="7BB0B76C" w:rsidR="00964CAD" w:rsidRPr="008F21AE" w:rsidRDefault="005C499B" w:rsidP="009F5B53">
            <w:pPr>
              <w:jc w:val="center"/>
              <w:rPr>
                <w:rFonts w:ascii="Calibri" w:hAnsi="Calibri"/>
                <w:color w:val="0000FF"/>
              </w:rPr>
            </w:pPr>
            <w:r w:rsidRPr="008F21AE">
              <w:rPr>
                <w:rFonts w:ascii="Calibri" w:hAnsi="Calibri"/>
                <w:color w:val="0000FF"/>
              </w:rPr>
              <w:t>43.47</w:t>
            </w:r>
          </w:p>
        </w:tc>
        <w:tc>
          <w:tcPr>
            <w:tcW w:w="942" w:type="dxa"/>
            <w:tcBorders>
              <w:top w:val="single" w:sz="4" w:space="0" w:color="auto"/>
              <w:bottom w:val="single" w:sz="4" w:space="0" w:color="auto"/>
            </w:tcBorders>
            <w:vAlign w:val="center"/>
          </w:tcPr>
          <w:p w14:paraId="3CBAEFA2" w14:textId="0A87CD9E" w:rsidR="00964CAD" w:rsidRPr="008F21AE" w:rsidRDefault="00964CAD" w:rsidP="009F5B53">
            <w:pPr>
              <w:jc w:val="center"/>
              <w:rPr>
                <w:iCs/>
                <w:color w:val="0000FF"/>
              </w:rPr>
            </w:pPr>
            <w:r w:rsidRPr="008F21AE">
              <w:rPr>
                <w:iCs/>
                <w:color w:val="0000FF"/>
              </w:rPr>
              <w:t>54.67</w:t>
            </w:r>
          </w:p>
        </w:tc>
        <w:tc>
          <w:tcPr>
            <w:tcW w:w="720" w:type="dxa"/>
            <w:tcBorders>
              <w:top w:val="single" w:sz="4" w:space="0" w:color="auto"/>
              <w:bottom w:val="single" w:sz="4" w:space="0" w:color="auto"/>
            </w:tcBorders>
            <w:vAlign w:val="center"/>
          </w:tcPr>
          <w:p w14:paraId="7B662CF0" w14:textId="45799ED3" w:rsidR="00964CAD" w:rsidRPr="008F21AE" w:rsidRDefault="005C499B" w:rsidP="009F5B53">
            <w:pPr>
              <w:jc w:val="center"/>
              <w:rPr>
                <w:iCs/>
                <w:color w:val="0000FF"/>
              </w:rPr>
            </w:pPr>
            <w:r w:rsidRPr="008F21AE">
              <w:rPr>
                <w:iCs/>
                <w:color w:val="0000FF"/>
              </w:rPr>
              <w:t>63.74</w:t>
            </w:r>
          </w:p>
        </w:tc>
        <w:tc>
          <w:tcPr>
            <w:tcW w:w="720" w:type="dxa"/>
            <w:tcBorders>
              <w:top w:val="single" w:sz="4" w:space="0" w:color="auto"/>
              <w:bottom w:val="single" w:sz="4" w:space="0" w:color="auto"/>
            </w:tcBorders>
            <w:vAlign w:val="center"/>
          </w:tcPr>
          <w:p w14:paraId="63E8703B" w14:textId="65CED067" w:rsidR="00964CAD" w:rsidRPr="008F21AE" w:rsidRDefault="005C499B" w:rsidP="009F5B53">
            <w:pPr>
              <w:jc w:val="center"/>
              <w:rPr>
                <w:iCs/>
                <w:color w:val="0000FF"/>
              </w:rPr>
            </w:pPr>
            <w:r w:rsidRPr="008F21AE">
              <w:rPr>
                <w:iCs/>
                <w:color w:val="0000FF"/>
              </w:rPr>
              <w:t>73.19</w:t>
            </w:r>
          </w:p>
        </w:tc>
        <w:tc>
          <w:tcPr>
            <w:tcW w:w="810" w:type="dxa"/>
            <w:tcBorders>
              <w:top w:val="single" w:sz="4" w:space="0" w:color="auto"/>
              <w:bottom w:val="single" w:sz="4" w:space="0" w:color="auto"/>
            </w:tcBorders>
            <w:vAlign w:val="center"/>
          </w:tcPr>
          <w:p w14:paraId="67267D38" w14:textId="16E7DB3A" w:rsidR="00964CAD" w:rsidRPr="008F21AE" w:rsidRDefault="00964CAD" w:rsidP="009F5B53">
            <w:pPr>
              <w:jc w:val="center"/>
              <w:rPr>
                <w:iCs/>
                <w:color w:val="0000FF"/>
              </w:rPr>
            </w:pPr>
            <w:r w:rsidRPr="008F21AE">
              <w:rPr>
                <w:iCs/>
                <w:color w:val="0000FF"/>
              </w:rPr>
              <w:t>100</w:t>
            </w:r>
          </w:p>
        </w:tc>
        <w:tc>
          <w:tcPr>
            <w:tcW w:w="1170" w:type="dxa"/>
            <w:tcBorders>
              <w:top w:val="single" w:sz="4" w:space="0" w:color="auto"/>
              <w:bottom w:val="single" w:sz="4" w:space="0" w:color="auto"/>
            </w:tcBorders>
            <w:vAlign w:val="center"/>
          </w:tcPr>
          <w:p w14:paraId="4A9EBBDD" w14:textId="57D1F5B8" w:rsidR="00964CAD" w:rsidRPr="008F21AE" w:rsidRDefault="00964CAD" w:rsidP="009F5B53">
            <w:pPr>
              <w:jc w:val="center"/>
              <w:rPr>
                <w:rFonts w:ascii="Calibri" w:hAnsi="Calibri"/>
                <w:color w:val="0000FF"/>
              </w:rPr>
            </w:pPr>
            <w:r w:rsidRPr="008F21AE">
              <w:rPr>
                <w:rFonts w:ascii="Calibri" w:hAnsi="Calibri"/>
                <w:color w:val="0000FF"/>
              </w:rPr>
              <w:t>0.56</w:t>
            </w:r>
          </w:p>
        </w:tc>
        <w:tc>
          <w:tcPr>
            <w:tcW w:w="990" w:type="dxa"/>
            <w:tcBorders>
              <w:top w:val="single" w:sz="4" w:space="0" w:color="auto"/>
              <w:bottom w:val="single" w:sz="4" w:space="0" w:color="auto"/>
            </w:tcBorders>
            <w:vAlign w:val="center"/>
          </w:tcPr>
          <w:p w14:paraId="4699E40D" w14:textId="2CCC6FC8" w:rsidR="00964CAD" w:rsidRPr="008F21AE" w:rsidRDefault="00964CAD" w:rsidP="009F5B53">
            <w:pPr>
              <w:jc w:val="center"/>
              <w:rPr>
                <w:rFonts w:ascii="Calibri" w:hAnsi="Calibri"/>
                <w:color w:val="0000FF"/>
              </w:rPr>
            </w:pPr>
            <w:r w:rsidRPr="008F21AE">
              <w:rPr>
                <w:rFonts w:ascii="Calibri" w:hAnsi="Calibri"/>
                <w:color w:val="0000FF"/>
              </w:rPr>
              <w:t>0.46</w:t>
            </w:r>
          </w:p>
        </w:tc>
      </w:tr>
    </w:tbl>
    <w:p w14:paraId="7FA7BC2C" w14:textId="37666614" w:rsidR="005144A3" w:rsidRDefault="005144A3" w:rsidP="00E170B1">
      <w:pPr>
        <w:autoSpaceDE w:val="0"/>
        <w:autoSpaceDN w:val="0"/>
        <w:adjustRightInd w:val="0"/>
        <w:spacing w:after="0" w:line="240" w:lineRule="auto"/>
        <w:rPr>
          <w:rFonts w:cstheme="minorHAnsi"/>
          <w:bCs/>
          <w:color w:val="0000FF"/>
        </w:rPr>
      </w:pPr>
      <w:r w:rsidRPr="008F21AE">
        <w:rPr>
          <w:rFonts w:cstheme="minorHAnsi"/>
          <w:bCs/>
          <w:color w:val="0000FF"/>
        </w:rPr>
        <w:t xml:space="preserve">N = </w:t>
      </w:r>
      <w:r w:rsidR="009C5373">
        <w:rPr>
          <w:rFonts w:cstheme="minorHAnsi"/>
          <w:bCs/>
          <w:color w:val="0000FF"/>
        </w:rPr>
        <w:t>N</w:t>
      </w:r>
      <w:r w:rsidRPr="008F21AE">
        <w:rPr>
          <w:rFonts w:cstheme="minorHAnsi"/>
          <w:bCs/>
          <w:color w:val="0000FF"/>
        </w:rPr>
        <w:t xml:space="preserve">umber; </w:t>
      </w:r>
      <w:r w:rsidR="009F5B53" w:rsidRPr="008F21AE">
        <w:rPr>
          <w:rFonts w:cstheme="minorHAnsi"/>
          <w:bCs/>
          <w:color w:val="0000FF"/>
        </w:rPr>
        <w:t xml:space="preserve">IRF = Inpatient Rehabilitation Facility; </w:t>
      </w:r>
      <w:r w:rsidRPr="008F21AE">
        <w:rPr>
          <w:rFonts w:cstheme="minorHAnsi"/>
          <w:bCs/>
          <w:color w:val="0000FF"/>
        </w:rPr>
        <w:t xml:space="preserve">SD = </w:t>
      </w:r>
      <w:r w:rsidR="00E170B1">
        <w:rPr>
          <w:rFonts w:cstheme="minorHAnsi"/>
          <w:bCs/>
          <w:color w:val="0000FF"/>
        </w:rPr>
        <w:t>S</w:t>
      </w:r>
      <w:r w:rsidRPr="008F21AE">
        <w:rPr>
          <w:rFonts w:cstheme="minorHAnsi"/>
          <w:bCs/>
          <w:color w:val="0000FF"/>
        </w:rPr>
        <w:t xml:space="preserve">tandard deviation; </w:t>
      </w:r>
      <w:r w:rsidR="00D77485" w:rsidRPr="008F21AE">
        <w:rPr>
          <w:rFonts w:cstheme="minorHAnsi"/>
          <w:bCs/>
          <w:color w:val="0000FF"/>
        </w:rPr>
        <w:t xml:space="preserve">SE = </w:t>
      </w:r>
      <w:r w:rsidR="00E170B1">
        <w:rPr>
          <w:rFonts w:cstheme="minorHAnsi"/>
          <w:bCs/>
          <w:color w:val="0000FF"/>
        </w:rPr>
        <w:t>S</w:t>
      </w:r>
      <w:r w:rsidR="00D77485" w:rsidRPr="008F21AE">
        <w:rPr>
          <w:rFonts w:cstheme="minorHAnsi"/>
          <w:bCs/>
          <w:color w:val="0000FF"/>
        </w:rPr>
        <w:t xml:space="preserve">tandard </w:t>
      </w:r>
      <w:r w:rsidR="00D77485">
        <w:rPr>
          <w:rFonts w:cstheme="minorHAnsi"/>
          <w:bCs/>
          <w:color w:val="0000FF"/>
        </w:rPr>
        <w:t>error</w:t>
      </w:r>
      <w:r w:rsidR="00D77485" w:rsidRPr="008F21AE">
        <w:rPr>
          <w:rFonts w:cstheme="minorHAnsi"/>
          <w:bCs/>
          <w:color w:val="0000FF"/>
        </w:rPr>
        <w:t xml:space="preserve">; </w:t>
      </w:r>
      <w:r w:rsidR="004422A5" w:rsidRPr="008F21AE">
        <w:rPr>
          <w:rFonts w:cstheme="minorHAnsi"/>
          <w:bCs/>
          <w:color w:val="0000FF"/>
        </w:rPr>
        <w:t xml:space="preserve">Min = </w:t>
      </w:r>
      <w:r w:rsidR="00CA1FF6" w:rsidRPr="008F21AE">
        <w:rPr>
          <w:rFonts w:cstheme="minorHAnsi"/>
          <w:bCs/>
          <w:color w:val="0000FF"/>
        </w:rPr>
        <w:t>M</w:t>
      </w:r>
      <w:r w:rsidR="004422A5" w:rsidRPr="008F21AE">
        <w:rPr>
          <w:rFonts w:cstheme="minorHAnsi"/>
          <w:bCs/>
          <w:color w:val="0000FF"/>
        </w:rPr>
        <w:t xml:space="preserve">inimum; </w:t>
      </w:r>
      <w:proofErr w:type="spellStart"/>
      <w:r w:rsidRPr="008F21AE">
        <w:rPr>
          <w:rFonts w:cstheme="minorHAnsi"/>
          <w:bCs/>
          <w:color w:val="0000FF"/>
        </w:rPr>
        <w:t>Pctl</w:t>
      </w:r>
      <w:proofErr w:type="spellEnd"/>
      <w:r w:rsidRPr="008F21AE">
        <w:rPr>
          <w:rFonts w:cstheme="minorHAnsi"/>
          <w:bCs/>
          <w:color w:val="0000FF"/>
        </w:rPr>
        <w:t xml:space="preserve"> = </w:t>
      </w:r>
      <w:r w:rsidR="00CA1FF6" w:rsidRPr="008F21AE">
        <w:rPr>
          <w:rFonts w:cstheme="minorHAnsi"/>
          <w:bCs/>
          <w:color w:val="0000FF"/>
        </w:rPr>
        <w:t>P</w:t>
      </w:r>
      <w:r w:rsidRPr="008F21AE">
        <w:rPr>
          <w:rFonts w:cstheme="minorHAnsi"/>
          <w:bCs/>
          <w:color w:val="0000FF"/>
        </w:rPr>
        <w:t xml:space="preserve">ercentile; Max = </w:t>
      </w:r>
      <w:r w:rsidR="00CA1FF6" w:rsidRPr="008F21AE">
        <w:rPr>
          <w:rFonts w:cstheme="minorHAnsi"/>
          <w:bCs/>
          <w:color w:val="0000FF"/>
        </w:rPr>
        <w:t>M</w:t>
      </w:r>
      <w:r w:rsidRPr="008F21AE">
        <w:rPr>
          <w:rFonts w:cstheme="minorHAnsi"/>
          <w:bCs/>
          <w:color w:val="0000FF"/>
        </w:rPr>
        <w:t>aximum</w:t>
      </w:r>
    </w:p>
    <w:p w14:paraId="54835088" w14:textId="77777777" w:rsidR="00634FF4" w:rsidRPr="008D76B2" w:rsidRDefault="00634FF4" w:rsidP="004A0F33">
      <w:pPr>
        <w:autoSpaceDE w:val="0"/>
        <w:autoSpaceDN w:val="0"/>
        <w:adjustRightInd w:val="0"/>
        <w:spacing w:before="240" w:after="0" w:line="240" w:lineRule="auto"/>
        <w:rPr>
          <w:rFonts w:cstheme="minorHAnsi"/>
          <w:bCs/>
          <w:color w:val="0000FF"/>
        </w:rPr>
      </w:pPr>
    </w:p>
    <w:p w14:paraId="4E0605A9" w14:textId="3549CCDF" w:rsidR="005C499B" w:rsidRDefault="005C499B" w:rsidP="004422A5">
      <w:pPr>
        <w:spacing w:after="240"/>
        <w:ind w:firstLine="1440"/>
        <w:rPr>
          <w:iCs/>
          <w:color w:val="0000FF"/>
        </w:rPr>
      </w:pPr>
      <w:r>
        <w:rPr>
          <w:noProof/>
        </w:rPr>
        <w:drawing>
          <wp:inline distT="0" distB="0" distL="0" distR="0" wp14:anchorId="6B455AC7" wp14:editId="084DEE1F">
            <wp:extent cx="4080294" cy="2277374"/>
            <wp:effectExtent l="0" t="0" r="15875" b="889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52FE064" w14:textId="57D85B24" w:rsidR="004422A5" w:rsidRDefault="005C499B" w:rsidP="0056684E">
      <w:pPr>
        <w:jc w:val="center"/>
        <w:rPr>
          <w:rFonts w:cstheme="minorHAnsi"/>
          <w:b/>
          <w:bCs/>
          <w:color w:val="0000FF"/>
        </w:rPr>
      </w:pPr>
      <w:r w:rsidRPr="004422A5">
        <w:rPr>
          <w:rFonts w:cstheme="minorHAnsi"/>
          <w:b/>
          <w:bCs/>
          <w:color w:val="0000FF"/>
        </w:rPr>
        <w:t xml:space="preserve">Figure </w:t>
      </w:r>
      <w:r w:rsidR="0056684E">
        <w:rPr>
          <w:rFonts w:cstheme="minorHAnsi"/>
          <w:b/>
          <w:bCs/>
          <w:color w:val="0000FF"/>
        </w:rPr>
        <w:t>2</w:t>
      </w:r>
      <w:r w:rsidRPr="004422A5">
        <w:rPr>
          <w:rFonts w:cstheme="minorHAnsi"/>
          <w:b/>
          <w:bCs/>
          <w:color w:val="0000FF"/>
        </w:rPr>
        <w:t xml:space="preserve">. Distribution of Proportion of Patients who Meet or </w:t>
      </w:r>
      <w:r w:rsidRPr="00B86D57">
        <w:rPr>
          <w:rFonts w:cstheme="minorHAnsi"/>
          <w:b/>
          <w:bCs/>
          <w:color w:val="0000FF"/>
        </w:rPr>
        <w:t xml:space="preserve">Exceed the </w:t>
      </w:r>
      <w:r w:rsidR="00B86D57" w:rsidRPr="00B86D57">
        <w:rPr>
          <w:rFonts w:cstheme="minorHAnsi"/>
          <w:b/>
          <w:bCs/>
          <w:color w:val="0000FF"/>
        </w:rPr>
        <w:t>Calculated Expected</w:t>
      </w:r>
      <w:r w:rsidR="00B86D57">
        <w:rPr>
          <w:rFonts w:cstheme="minorHAnsi"/>
          <w:b/>
          <w:bCs/>
          <w:color w:val="0000FF"/>
        </w:rPr>
        <w:t xml:space="preserve"> Score</w:t>
      </w:r>
    </w:p>
    <w:p w14:paraId="6DA62FB5" w14:textId="50C86F03" w:rsidR="00E1508F" w:rsidRDefault="00E1508F" w:rsidP="00DD1CF6">
      <w:pPr>
        <w:rPr>
          <w:rFonts w:cstheme="minorHAnsi"/>
          <w:b/>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proofErr w:type="gramStart"/>
      <w:r w:rsidR="00092566" w:rsidRPr="00A25024">
        <w:rPr>
          <w:rFonts w:cstheme="minorHAnsi"/>
          <w:bCs/>
        </w:rPr>
        <w:t>)</w:t>
      </w:r>
      <w:proofErr w:type="gramEnd"/>
      <w:r w:rsidR="00092566" w:rsidRPr="00A25024">
        <w:rPr>
          <w:rFonts w:cstheme="minorHAnsi"/>
          <w:bCs/>
        </w:rPr>
        <w:br/>
      </w:r>
      <w:r w:rsidR="00001D73"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00001D73" w:rsidRPr="00001D73">
        <w:rPr>
          <w:rFonts w:cstheme="minorHAnsi"/>
          <w:bCs/>
          <w:i/>
        </w:rPr>
        <w:t xml:space="preserve"> below</w:t>
      </w:r>
      <w:r w:rsidR="00001D73">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14:paraId="5F71A37C" w14:textId="69567308" w:rsidR="000E1334" w:rsidRPr="00B96D9E" w:rsidRDefault="00D20EEB" w:rsidP="008C5A03">
      <w:pPr>
        <w:spacing w:after="240" w:line="240" w:lineRule="auto"/>
        <w:rPr>
          <w:iCs/>
          <w:color w:val="0000FF"/>
        </w:rPr>
      </w:pPr>
      <w:r w:rsidRPr="008F21AE">
        <w:rPr>
          <w:iCs/>
          <w:color w:val="0000FF"/>
        </w:rPr>
        <w:t>O</w:t>
      </w:r>
      <w:r w:rsidR="000E1334" w:rsidRPr="008F21AE">
        <w:rPr>
          <w:iCs/>
          <w:color w:val="0000FF"/>
        </w:rPr>
        <w:t xml:space="preserve">ur risk adjustment model demonstrates reasonable predictive validity </w:t>
      </w:r>
      <w:r w:rsidR="008C5A03">
        <w:rPr>
          <w:iCs/>
          <w:color w:val="0000FF"/>
        </w:rPr>
        <w:t>for</w:t>
      </w:r>
      <w:r w:rsidR="000E1334" w:rsidRPr="008F21AE">
        <w:rPr>
          <w:iCs/>
          <w:color w:val="0000FF"/>
        </w:rPr>
        <w:t xml:space="preserve"> </w:t>
      </w:r>
      <w:r w:rsidR="00C53A54" w:rsidRPr="008F21AE">
        <w:rPr>
          <w:iCs/>
          <w:color w:val="0000FF"/>
        </w:rPr>
        <w:t>IRF</w:t>
      </w:r>
      <w:r w:rsidR="000E1334" w:rsidRPr="008F21AE">
        <w:rPr>
          <w:iCs/>
          <w:color w:val="0000FF"/>
        </w:rPr>
        <w:t xml:space="preserve"> </w:t>
      </w:r>
      <w:r w:rsidR="000B29F7" w:rsidRPr="008F21AE">
        <w:rPr>
          <w:iCs/>
          <w:color w:val="0000FF"/>
        </w:rPr>
        <w:t>discharge</w:t>
      </w:r>
      <w:r w:rsidR="000E1334" w:rsidRPr="008F21AE">
        <w:rPr>
          <w:iCs/>
          <w:color w:val="0000FF"/>
        </w:rPr>
        <w:t xml:space="preserve"> self-care score</w:t>
      </w:r>
      <w:r w:rsidR="00AE1044" w:rsidRPr="008F21AE">
        <w:rPr>
          <w:iCs/>
          <w:color w:val="0000FF"/>
        </w:rPr>
        <w:t>s</w:t>
      </w:r>
      <w:r w:rsidR="000E1334" w:rsidRPr="008F21AE">
        <w:rPr>
          <w:iCs/>
          <w:color w:val="0000FF"/>
        </w:rPr>
        <w:t>. Using</w:t>
      </w:r>
      <w:r w:rsidR="00E858BF" w:rsidRPr="008F21AE">
        <w:rPr>
          <w:iCs/>
          <w:color w:val="0000FF"/>
        </w:rPr>
        <w:t xml:space="preserve"> </w:t>
      </w:r>
      <w:r w:rsidR="00AE1044" w:rsidRPr="008F21AE">
        <w:rPr>
          <w:iCs/>
          <w:color w:val="0000FF"/>
        </w:rPr>
        <w:t xml:space="preserve">multiple </w:t>
      </w:r>
      <w:r w:rsidR="000E1334" w:rsidRPr="008F21AE">
        <w:rPr>
          <w:iCs/>
          <w:color w:val="0000FF"/>
        </w:rPr>
        <w:t xml:space="preserve">linear regression, we conducted regression diagnostics to assess model performance, </w:t>
      </w:r>
      <w:r w:rsidR="00AE1044" w:rsidRPr="008F21AE">
        <w:rPr>
          <w:iCs/>
          <w:color w:val="0000FF"/>
        </w:rPr>
        <w:t xml:space="preserve">examining </w:t>
      </w:r>
      <w:r w:rsidR="000E1334" w:rsidRPr="008F21AE">
        <w:rPr>
          <w:iCs/>
          <w:color w:val="0000FF"/>
        </w:rPr>
        <w:t xml:space="preserve">predictive ability, </w:t>
      </w:r>
      <w:proofErr w:type="spellStart"/>
      <w:r w:rsidR="000E1334" w:rsidRPr="008F21AE">
        <w:rPr>
          <w:iCs/>
          <w:color w:val="0000FF"/>
        </w:rPr>
        <w:t>multicollinearity</w:t>
      </w:r>
      <w:proofErr w:type="spellEnd"/>
      <w:r w:rsidR="00AE1044" w:rsidRPr="008F21AE">
        <w:rPr>
          <w:iCs/>
          <w:color w:val="0000FF"/>
        </w:rPr>
        <w:t>, and outlier influence</w:t>
      </w:r>
      <w:r w:rsidR="000E1334" w:rsidRPr="008F21AE">
        <w:rPr>
          <w:iCs/>
          <w:color w:val="0000FF"/>
        </w:rPr>
        <w:t>.</w:t>
      </w:r>
      <w:r w:rsidR="000E1334" w:rsidRPr="008F21AE">
        <w:t xml:space="preserve"> </w:t>
      </w:r>
      <w:r w:rsidRPr="008F21AE">
        <w:rPr>
          <w:color w:val="0000FF"/>
        </w:rPr>
        <w:t xml:space="preserve">Overall, the </w:t>
      </w:r>
      <w:r w:rsidR="000E1334" w:rsidRPr="008F21AE">
        <w:rPr>
          <w:iCs/>
          <w:color w:val="0000FF"/>
        </w:rPr>
        <w:t xml:space="preserve">model explained </w:t>
      </w:r>
      <w:r w:rsidR="00472D5A" w:rsidRPr="008F21AE">
        <w:rPr>
          <w:iCs/>
          <w:color w:val="0000FF"/>
        </w:rPr>
        <w:t>53</w:t>
      </w:r>
      <w:r w:rsidR="00AE1044" w:rsidRPr="008F21AE">
        <w:rPr>
          <w:iCs/>
          <w:color w:val="0000FF"/>
        </w:rPr>
        <w:t>.7</w:t>
      </w:r>
      <w:r w:rsidR="00472D5A" w:rsidRPr="008F21AE">
        <w:rPr>
          <w:iCs/>
          <w:color w:val="0000FF"/>
        </w:rPr>
        <w:t>4</w:t>
      </w:r>
      <w:r w:rsidR="000E1334" w:rsidRPr="008F21AE">
        <w:rPr>
          <w:iCs/>
          <w:color w:val="0000FF"/>
        </w:rPr>
        <w:t xml:space="preserve">% of variance in </w:t>
      </w:r>
      <w:r w:rsidR="000B29F7" w:rsidRPr="008F21AE">
        <w:rPr>
          <w:iCs/>
          <w:color w:val="0000FF"/>
        </w:rPr>
        <w:t>discharge</w:t>
      </w:r>
      <w:r w:rsidR="000E1334" w:rsidRPr="008F21AE">
        <w:rPr>
          <w:iCs/>
          <w:color w:val="0000FF"/>
        </w:rPr>
        <w:t xml:space="preserve"> self-care</w:t>
      </w:r>
      <w:r w:rsidR="00AB3AF4">
        <w:rPr>
          <w:iCs/>
          <w:color w:val="0000FF"/>
        </w:rPr>
        <w:t xml:space="preserve"> scores</w:t>
      </w:r>
      <w:r w:rsidR="000E1334" w:rsidRPr="008F21AE">
        <w:rPr>
          <w:iCs/>
          <w:color w:val="0000FF"/>
        </w:rPr>
        <w:t>. The unexplained variance may be attributed to variation in facility characteristics</w:t>
      </w:r>
      <w:r w:rsidR="00AE1044" w:rsidRPr="008F21AE">
        <w:rPr>
          <w:iCs/>
          <w:color w:val="0000FF"/>
        </w:rPr>
        <w:t xml:space="preserve"> or quality of care</w:t>
      </w:r>
      <w:r w:rsidR="000E1334" w:rsidRPr="008F21AE">
        <w:rPr>
          <w:iCs/>
          <w:color w:val="0000FF"/>
        </w:rPr>
        <w:t>, or to patient characteristics not included in the model</w:t>
      </w:r>
      <w:r w:rsidR="00472D5A" w:rsidRPr="008F21AE">
        <w:rPr>
          <w:iCs/>
          <w:color w:val="0000FF"/>
        </w:rPr>
        <w:t>.</w:t>
      </w:r>
    </w:p>
    <w:p w14:paraId="3728D074" w14:textId="1529640C" w:rsidR="000E1334" w:rsidRPr="008F21AE" w:rsidRDefault="000E1334" w:rsidP="00F263FF">
      <w:pPr>
        <w:spacing w:after="240" w:line="240" w:lineRule="auto"/>
        <w:rPr>
          <w:iCs/>
          <w:color w:val="0000FF"/>
        </w:rPr>
      </w:pPr>
      <w:r w:rsidRPr="00B96D9E">
        <w:rPr>
          <w:iCs/>
          <w:color w:val="0000FF"/>
        </w:rPr>
        <w:t xml:space="preserve">We assessed for </w:t>
      </w:r>
      <w:proofErr w:type="spellStart"/>
      <w:r w:rsidRPr="00B96D9E">
        <w:rPr>
          <w:iCs/>
          <w:color w:val="0000FF"/>
        </w:rPr>
        <w:t>multicollinearity</w:t>
      </w:r>
      <w:proofErr w:type="spellEnd"/>
      <w:r w:rsidRPr="00B96D9E">
        <w:rPr>
          <w:iCs/>
          <w:color w:val="0000FF"/>
        </w:rPr>
        <w:t xml:space="preserve"> in the final risk adjustment model based on variance inflation factor values, with values </w:t>
      </w:r>
      <w:r w:rsidRPr="005144A3">
        <w:rPr>
          <w:iCs/>
          <w:color w:val="0000FF"/>
        </w:rPr>
        <w:t xml:space="preserve">of </w:t>
      </w:r>
      <w:r w:rsidR="00AE1044" w:rsidRPr="005144A3">
        <w:rPr>
          <w:iCs/>
          <w:color w:val="0000FF"/>
        </w:rPr>
        <w:t>10</w:t>
      </w:r>
      <w:r w:rsidRPr="005144A3">
        <w:rPr>
          <w:iCs/>
          <w:color w:val="0000FF"/>
        </w:rPr>
        <w:t xml:space="preserve"> </w:t>
      </w:r>
      <w:r w:rsidR="00990427" w:rsidRPr="005144A3">
        <w:rPr>
          <w:iCs/>
          <w:color w:val="0000FF"/>
        </w:rPr>
        <w:t>or</w:t>
      </w:r>
      <w:r w:rsidR="00990427">
        <w:rPr>
          <w:iCs/>
          <w:color w:val="0000FF"/>
        </w:rPr>
        <w:t xml:space="preserve"> higher </w:t>
      </w:r>
      <w:r w:rsidRPr="00B96D9E">
        <w:rPr>
          <w:iCs/>
          <w:color w:val="0000FF"/>
        </w:rPr>
        <w:t xml:space="preserve">suggesting </w:t>
      </w:r>
      <w:proofErr w:type="spellStart"/>
      <w:r w:rsidRPr="00B96D9E">
        <w:rPr>
          <w:iCs/>
          <w:color w:val="0000FF"/>
        </w:rPr>
        <w:t>multicollinearity</w:t>
      </w:r>
      <w:proofErr w:type="spellEnd"/>
      <w:r w:rsidRPr="00B96D9E">
        <w:rPr>
          <w:iCs/>
          <w:color w:val="0000FF"/>
        </w:rPr>
        <w:t xml:space="preserve">. A high degree of </w:t>
      </w:r>
      <w:proofErr w:type="spellStart"/>
      <w:r w:rsidRPr="00B96D9E">
        <w:rPr>
          <w:iCs/>
          <w:color w:val="0000FF"/>
        </w:rPr>
        <w:t>multicollinearity</w:t>
      </w:r>
      <w:proofErr w:type="spellEnd"/>
      <w:r w:rsidRPr="00B96D9E">
        <w:rPr>
          <w:iCs/>
          <w:color w:val="0000FF"/>
        </w:rPr>
        <w:t xml:space="preserve"> indicates that the </w:t>
      </w:r>
      <w:r w:rsidR="00C30621">
        <w:rPr>
          <w:iCs/>
          <w:color w:val="0000FF"/>
        </w:rPr>
        <w:t>risk adjustor</w:t>
      </w:r>
      <w:r w:rsidR="00A25CF4">
        <w:rPr>
          <w:iCs/>
          <w:color w:val="0000FF"/>
        </w:rPr>
        <w:t>s</w:t>
      </w:r>
      <w:r w:rsidRPr="00B96D9E">
        <w:rPr>
          <w:iCs/>
          <w:color w:val="0000FF"/>
        </w:rPr>
        <w:t xml:space="preserve"> are highly associated with each other, and threatens the accuracy of individual </w:t>
      </w:r>
      <w:r w:rsidR="00C30621">
        <w:rPr>
          <w:iCs/>
          <w:color w:val="0000FF"/>
        </w:rPr>
        <w:t>risk adjustor</w:t>
      </w:r>
      <w:r w:rsidR="00750988">
        <w:rPr>
          <w:iCs/>
          <w:color w:val="0000FF"/>
        </w:rPr>
        <w:t xml:space="preserve"> coefficients</w:t>
      </w:r>
      <w:r w:rsidRPr="00B96D9E">
        <w:rPr>
          <w:iCs/>
          <w:color w:val="0000FF"/>
        </w:rPr>
        <w:t xml:space="preserve">. </w:t>
      </w:r>
      <w:r w:rsidR="00DC3CF6">
        <w:rPr>
          <w:iCs/>
          <w:color w:val="0000FF"/>
        </w:rPr>
        <w:t xml:space="preserve">All </w:t>
      </w:r>
      <w:r w:rsidR="005144A3" w:rsidRPr="00B96D9E">
        <w:rPr>
          <w:iCs/>
          <w:color w:val="0000FF"/>
        </w:rPr>
        <w:t>variance inflation factor</w:t>
      </w:r>
      <w:r w:rsidRPr="00B96D9E">
        <w:rPr>
          <w:iCs/>
          <w:color w:val="0000FF"/>
        </w:rPr>
        <w:t xml:space="preserve"> values in our model </w:t>
      </w:r>
      <w:r w:rsidR="00AE1044">
        <w:rPr>
          <w:iCs/>
          <w:color w:val="0000FF"/>
        </w:rPr>
        <w:t xml:space="preserve">were well below 10 (range = </w:t>
      </w:r>
      <w:r w:rsidR="00DE6979">
        <w:rPr>
          <w:iCs/>
          <w:color w:val="0000FF"/>
        </w:rPr>
        <w:t>1.012</w:t>
      </w:r>
      <w:r w:rsidR="00AE1044">
        <w:rPr>
          <w:iCs/>
          <w:color w:val="0000FF"/>
        </w:rPr>
        <w:t xml:space="preserve"> to </w:t>
      </w:r>
      <w:r w:rsidR="00CA6FCD">
        <w:rPr>
          <w:iCs/>
          <w:color w:val="0000FF"/>
        </w:rPr>
        <w:t>1.959</w:t>
      </w:r>
      <w:r w:rsidR="00AE1044">
        <w:rPr>
          <w:iCs/>
          <w:color w:val="0000FF"/>
        </w:rPr>
        <w:t>)</w:t>
      </w:r>
      <w:r w:rsidR="00080F02">
        <w:rPr>
          <w:iCs/>
          <w:color w:val="0000FF"/>
        </w:rPr>
        <w:t>,</w:t>
      </w:r>
      <w:r w:rsidRPr="00B96D9E">
        <w:rPr>
          <w:iCs/>
          <w:color w:val="0000FF"/>
        </w:rPr>
        <w:t xml:space="preserve"> indicating that </w:t>
      </w:r>
      <w:proofErr w:type="spellStart"/>
      <w:r w:rsidRPr="00B96D9E">
        <w:rPr>
          <w:iCs/>
          <w:color w:val="0000FF"/>
        </w:rPr>
        <w:t>multicollinearity</w:t>
      </w:r>
      <w:proofErr w:type="spellEnd"/>
      <w:r w:rsidRPr="00B96D9E">
        <w:rPr>
          <w:iCs/>
          <w:color w:val="0000FF"/>
        </w:rPr>
        <w:t xml:space="preserve"> was not a concern.</w:t>
      </w:r>
      <w:r w:rsidR="00CA6FCD">
        <w:rPr>
          <w:iCs/>
          <w:color w:val="0000FF"/>
        </w:rPr>
        <w:t xml:space="preserve"> </w:t>
      </w:r>
      <w:r w:rsidR="00990427" w:rsidRPr="00B96D9E">
        <w:rPr>
          <w:iCs/>
          <w:color w:val="0000FF"/>
        </w:rPr>
        <w:t>W</w:t>
      </w:r>
      <w:r w:rsidRPr="00B96D9E">
        <w:rPr>
          <w:iCs/>
          <w:color w:val="0000FF"/>
        </w:rPr>
        <w:t>e</w:t>
      </w:r>
      <w:r w:rsidR="00990427">
        <w:rPr>
          <w:iCs/>
          <w:color w:val="0000FF"/>
        </w:rPr>
        <w:t xml:space="preserve"> </w:t>
      </w:r>
      <w:r w:rsidRPr="00B96D9E">
        <w:rPr>
          <w:iCs/>
          <w:color w:val="0000FF"/>
        </w:rPr>
        <w:t xml:space="preserve">conducted outlier influence analysis to assess for any outlying observations that may have large or extreme effects on the </w:t>
      </w:r>
      <w:r w:rsidR="000B29F7" w:rsidRPr="008F21AE">
        <w:rPr>
          <w:iCs/>
          <w:color w:val="0000FF"/>
        </w:rPr>
        <w:t>discharge</w:t>
      </w:r>
      <w:r w:rsidRPr="008F21AE">
        <w:rPr>
          <w:iCs/>
          <w:color w:val="0000FF"/>
        </w:rPr>
        <w:t xml:space="preserve"> self-care outcome, with a Cook’s D score of 1.0 or </w:t>
      </w:r>
      <w:r w:rsidR="00990427" w:rsidRPr="008F21AE">
        <w:rPr>
          <w:iCs/>
          <w:color w:val="0000FF"/>
        </w:rPr>
        <w:t xml:space="preserve">higher </w:t>
      </w:r>
      <w:r w:rsidRPr="008F21AE">
        <w:rPr>
          <w:iCs/>
          <w:color w:val="0000FF"/>
        </w:rPr>
        <w:t xml:space="preserve">suggesting a potentially influential observation. All Cook’s D scores were </w:t>
      </w:r>
      <w:r w:rsidR="00990427" w:rsidRPr="008F21AE">
        <w:rPr>
          <w:iCs/>
          <w:color w:val="0000FF"/>
        </w:rPr>
        <w:t>less than</w:t>
      </w:r>
      <w:r w:rsidRPr="008F21AE">
        <w:rPr>
          <w:iCs/>
          <w:color w:val="0000FF"/>
        </w:rPr>
        <w:t xml:space="preserve"> 1.0, with the maximum score being</w:t>
      </w:r>
      <w:r w:rsidR="00DC3CF6" w:rsidRPr="008F21AE">
        <w:rPr>
          <w:iCs/>
          <w:color w:val="0000FF"/>
        </w:rPr>
        <w:t xml:space="preserve"> 0.014.</w:t>
      </w:r>
    </w:p>
    <w:p w14:paraId="06120980" w14:textId="313E81FA" w:rsidR="004A0F33" w:rsidRDefault="00DE5636" w:rsidP="00F263FF">
      <w:pPr>
        <w:spacing w:line="240" w:lineRule="auto"/>
        <w:rPr>
          <w:b/>
          <w:color w:val="0000FF"/>
        </w:rPr>
      </w:pPr>
      <w:r w:rsidRPr="008F21AE">
        <w:rPr>
          <w:color w:val="0000FF"/>
        </w:rPr>
        <w:t>To</w:t>
      </w:r>
      <w:r w:rsidR="00067DC2" w:rsidRPr="008F21AE">
        <w:rPr>
          <w:color w:val="0000FF"/>
        </w:rPr>
        <w:t xml:space="preserve"> assess model performance</w:t>
      </w:r>
      <w:r w:rsidR="008D00CB" w:rsidRPr="008F21AE">
        <w:rPr>
          <w:color w:val="0000FF"/>
        </w:rPr>
        <w:t xml:space="preserve"> and stability</w:t>
      </w:r>
      <w:r w:rsidR="00990427" w:rsidRPr="008F21AE">
        <w:rPr>
          <w:color w:val="0000FF"/>
        </w:rPr>
        <w:t xml:space="preserve"> across the sample</w:t>
      </w:r>
      <w:r w:rsidR="00067DC2" w:rsidRPr="008F21AE">
        <w:rPr>
          <w:color w:val="0000FF"/>
        </w:rPr>
        <w:t xml:space="preserve">, we divided our dataset </w:t>
      </w:r>
      <w:r w:rsidR="008D00CB" w:rsidRPr="008F21AE">
        <w:rPr>
          <w:color w:val="0000FF"/>
        </w:rPr>
        <w:t xml:space="preserve">into </w:t>
      </w:r>
      <w:proofErr w:type="spellStart"/>
      <w:r w:rsidR="008D00CB" w:rsidRPr="008F21AE">
        <w:rPr>
          <w:color w:val="0000FF"/>
        </w:rPr>
        <w:t>deciles</w:t>
      </w:r>
      <w:proofErr w:type="spellEnd"/>
      <w:r w:rsidR="008D00CB" w:rsidRPr="008F21AE">
        <w:rPr>
          <w:color w:val="0000FF"/>
        </w:rPr>
        <w:t xml:space="preserve"> of predicted values and calculated the ratio of average predicted </w:t>
      </w:r>
      <w:r w:rsidR="000F1D9D" w:rsidRPr="008F21AE">
        <w:rPr>
          <w:color w:val="0000FF"/>
        </w:rPr>
        <w:t>discharge</w:t>
      </w:r>
      <w:r w:rsidR="008D00CB" w:rsidRPr="008F21AE">
        <w:rPr>
          <w:color w:val="0000FF"/>
        </w:rPr>
        <w:t xml:space="preserve"> score to average observed </w:t>
      </w:r>
      <w:r w:rsidR="000F1D9D" w:rsidRPr="008F21AE">
        <w:rPr>
          <w:color w:val="0000FF"/>
        </w:rPr>
        <w:t>discharge</w:t>
      </w:r>
      <w:r w:rsidR="008D00CB" w:rsidRPr="008F21AE">
        <w:rPr>
          <w:color w:val="0000FF"/>
        </w:rPr>
        <w:t xml:space="preserve"> score </w:t>
      </w:r>
      <w:r w:rsidR="00990427" w:rsidRPr="008F21AE">
        <w:rPr>
          <w:color w:val="0000FF"/>
        </w:rPr>
        <w:t>within</w:t>
      </w:r>
      <w:r w:rsidR="008D00CB" w:rsidRPr="008F21AE">
        <w:rPr>
          <w:color w:val="0000FF"/>
        </w:rPr>
        <w:t xml:space="preserve"> each decile. A ratio of 1 would indicate perfect agreement between </w:t>
      </w:r>
      <w:proofErr w:type="gramStart"/>
      <w:r w:rsidR="008D00CB" w:rsidRPr="008F21AE">
        <w:rPr>
          <w:color w:val="0000FF"/>
        </w:rPr>
        <w:t>average</w:t>
      </w:r>
      <w:proofErr w:type="gramEnd"/>
      <w:r w:rsidR="008D00CB" w:rsidRPr="008F21AE">
        <w:rPr>
          <w:color w:val="0000FF"/>
        </w:rPr>
        <w:t xml:space="preserve"> predicted and observed </w:t>
      </w:r>
      <w:r w:rsidR="000F1D9D" w:rsidRPr="008F21AE">
        <w:rPr>
          <w:color w:val="0000FF"/>
        </w:rPr>
        <w:t>discharge</w:t>
      </w:r>
      <w:r w:rsidR="008D00CB" w:rsidRPr="008F21AE">
        <w:rPr>
          <w:color w:val="0000FF"/>
        </w:rPr>
        <w:t xml:space="preserve"> scores. </w:t>
      </w:r>
      <w:r w:rsidR="00990427" w:rsidRPr="008F21AE">
        <w:rPr>
          <w:color w:val="0000FF"/>
        </w:rPr>
        <w:t xml:space="preserve">As seen </w:t>
      </w:r>
      <w:r w:rsidR="008D00CB" w:rsidRPr="008F21AE">
        <w:rPr>
          <w:color w:val="0000FF"/>
        </w:rPr>
        <w:t xml:space="preserve">in </w:t>
      </w:r>
      <w:r w:rsidR="008D00CB" w:rsidRPr="008F21AE">
        <w:rPr>
          <w:b/>
          <w:bCs/>
          <w:color w:val="0000FF"/>
        </w:rPr>
        <w:t xml:space="preserve">Table </w:t>
      </w:r>
      <w:r w:rsidR="00224F76">
        <w:rPr>
          <w:b/>
          <w:bCs/>
          <w:color w:val="0000FF"/>
        </w:rPr>
        <w:t>7</w:t>
      </w:r>
      <w:r w:rsidR="008D00CB" w:rsidRPr="008F21AE">
        <w:rPr>
          <w:color w:val="0000FF"/>
        </w:rPr>
        <w:t xml:space="preserve">, </w:t>
      </w:r>
      <w:r w:rsidR="00990427" w:rsidRPr="008F21AE">
        <w:rPr>
          <w:color w:val="0000FF"/>
        </w:rPr>
        <w:t xml:space="preserve">the average predicted to </w:t>
      </w:r>
      <w:proofErr w:type="gramStart"/>
      <w:r w:rsidR="00990427" w:rsidRPr="008F21AE">
        <w:rPr>
          <w:color w:val="0000FF"/>
        </w:rPr>
        <w:t>observed</w:t>
      </w:r>
      <w:proofErr w:type="gramEnd"/>
      <w:r w:rsidR="00990427" w:rsidRPr="008F21AE">
        <w:rPr>
          <w:color w:val="0000FF"/>
        </w:rPr>
        <w:t xml:space="preserve"> </w:t>
      </w:r>
      <w:r w:rsidR="000F1D9D" w:rsidRPr="008F21AE">
        <w:rPr>
          <w:color w:val="0000FF"/>
        </w:rPr>
        <w:t>discharge</w:t>
      </w:r>
      <w:r w:rsidR="00990427" w:rsidRPr="008F21AE">
        <w:rPr>
          <w:color w:val="0000FF"/>
        </w:rPr>
        <w:t xml:space="preserve"> score ratios within each decile approx</w:t>
      </w:r>
      <w:r w:rsidR="00472D5A" w:rsidRPr="008F21AE">
        <w:rPr>
          <w:color w:val="0000FF"/>
        </w:rPr>
        <w:t>imated 1.0, with a range of 0.992 and 1.01</w:t>
      </w:r>
      <w:r w:rsidR="00D20EEB" w:rsidRPr="008F21AE">
        <w:rPr>
          <w:color w:val="0000FF"/>
        </w:rPr>
        <w:t>7</w:t>
      </w:r>
      <w:r w:rsidR="00990427" w:rsidRPr="008F21AE">
        <w:rPr>
          <w:color w:val="0000FF"/>
        </w:rPr>
        <w:t>, validating</w:t>
      </w:r>
      <w:r w:rsidR="00990427">
        <w:rPr>
          <w:color w:val="0000FF"/>
        </w:rPr>
        <w:t xml:space="preserve"> model performance. Additionally, there was </w:t>
      </w:r>
      <w:r w:rsidR="008D00CB">
        <w:rPr>
          <w:color w:val="0000FF"/>
        </w:rPr>
        <w:t xml:space="preserve">little variability in </w:t>
      </w:r>
      <w:r w:rsidR="00990427">
        <w:rPr>
          <w:color w:val="0000FF"/>
        </w:rPr>
        <w:t xml:space="preserve">average </w:t>
      </w:r>
      <w:r w:rsidR="008D00CB">
        <w:rPr>
          <w:color w:val="0000FF"/>
        </w:rPr>
        <w:t xml:space="preserve">predicted to </w:t>
      </w:r>
      <w:proofErr w:type="gramStart"/>
      <w:r w:rsidR="008D00CB">
        <w:rPr>
          <w:color w:val="0000FF"/>
        </w:rPr>
        <w:t>observed</w:t>
      </w:r>
      <w:proofErr w:type="gramEnd"/>
      <w:r w:rsidR="008D00CB">
        <w:rPr>
          <w:color w:val="0000FF"/>
        </w:rPr>
        <w:t xml:space="preserve"> </w:t>
      </w:r>
      <w:r w:rsidR="000F1D9D">
        <w:rPr>
          <w:color w:val="0000FF"/>
        </w:rPr>
        <w:t>discharge</w:t>
      </w:r>
      <w:r w:rsidR="00990427">
        <w:rPr>
          <w:color w:val="0000FF"/>
        </w:rPr>
        <w:t xml:space="preserve"> </w:t>
      </w:r>
      <w:r w:rsidR="00990427">
        <w:rPr>
          <w:color w:val="0000FF"/>
        </w:rPr>
        <w:lastRenderedPageBreak/>
        <w:t xml:space="preserve">score </w:t>
      </w:r>
      <w:r w:rsidR="008D00CB">
        <w:rPr>
          <w:color w:val="0000FF"/>
        </w:rPr>
        <w:t xml:space="preserve">ratios across </w:t>
      </w:r>
      <w:proofErr w:type="spellStart"/>
      <w:r w:rsidR="008D00CB">
        <w:rPr>
          <w:color w:val="0000FF"/>
        </w:rPr>
        <w:t>deciles</w:t>
      </w:r>
      <w:proofErr w:type="spellEnd"/>
      <w:r w:rsidR="00990427">
        <w:rPr>
          <w:color w:val="0000FF"/>
        </w:rPr>
        <w:t>,</w:t>
      </w:r>
      <w:r w:rsidR="008D00CB">
        <w:rPr>
          <w:color w:val="0000FF"/>
        </w:rPr>
        <w:t xml:space="preserve"> supporting model stability across the range of predicted </w:t>
      </w:r>
      <w:r w:rsidR="000F1D9D">
        <w:rPr>
          <w:color w:val="0000FF"/>
        </w:rPr>
        <w:t>discharge</w:t>
      </w:r>
      <w:r w:rsidR="008D00CB">
        <w:rPr>
          <w:color w:val="0000FF"/>
        </w:rPr>
        <w:t xml:space="preserve"> scores</w:t>
      </w:r>
      <w:r w:rsidR="00990427">
        <w:rPr>
          <w:color w:val="0000FF"/>
        </w:rPr>
        <w:t xml:space="preserve"> and across the sample</w:t>
      </w:r>
      <w:r w:rsidR="008D00CB">
        <w:rPr>
          <w:color w:val="0000FF"/>
        </w:rPr>
        <w:t xml:space="preserve">. </w:t>
      </w:r>
    </w:p>
    <w:p w14:paraId="484F601D" w14:textId="0B9DF05D" w:rsidR="007B49E3" w:rsidRPr="008F21AE" w:rsidRDefault="007B49E3" w:rsidP="009F5B53">
      <w:pPr>
        <w:ind w:left="432"/>
        <w:rPr>
          <w:b/>
          <w:color w:val="0000FF"/>
        </w:rPr>
      </w:pPr>
      <w:r w:rsidRPr="008F21AE">
        <w:rPr>
          <w:b/>
          <w:color w:val="0000FF"/>
        </w:rPr>
        <w:t>Table</w:t>
      </w:r>
      <w:r w:rsidR="00224F76">
        <w:rPr>
          <w:b/>
          <w:color w:val="0000FF"/>
        </w:rPr>
        <w:t xml:space="preserve"> 7</w:t>
      </w:r>
      <w:r w:rsidRPr="008F21AE">
        <w:rPr>
          <w:b/>
          <w:color w:val="0000FF"/>
        </w:rPr>
        <w:t xml:space="preserve">. Ratio of Average Predicted to </w:t>
      </w:r>
      <w:r w:rsidR="00C4531F" w:rsidRPr="008F21AE">
        <w:rPr>
          <w:b/>
          <w:color w:val="0000FF"/>
        </w:rPr>
        <w:t xml:space="preserve">Average </w:t>
      </w:r>
      <w:r w:rsidRPr="008F21AE">
        <w:rPr>
          <w:b/>
          <w:color w:val="0000FF"/>
        </w:rPr>
        <w:t xml:space="preserve">Observed </w:t>
      </w:r>
      <w:r w:rsidR="000B29F7" w:rsidRPr="008F21AE">
        <w:rPr>
          <w:b/>
          <w:color w:val="0000FF"/>
        </w:rPr>
        <w:t>Discharge</w:t>
      </w:r>
      <w:r w:rsidRPr="008F21AE">
        <w:rPr>
          <w:b/>
          <w:color w:val="0000FF"/>
        </w:rPr>
        <w:t xml:space="preserve"> Self-Care Scores across </w:t>
      </w:r>
      <w:proofErr w:type="spellStart"/>
      <w:r w:rsidRPr="008F21AE">
        <w:rPr>
          <w:b/>
          <w:color w:val="0000FF"/>
        </w:rPr>
        <w:t>Deciles</w:t>
      </w:r>
      <w:proofErr w:type="spellEnd"/>
      <w:r w:rsidRPr="008F21AE">
        <w:rPr>
          <w:b/>
          <w:color w:val="0000FF"/>
        </w:rPr>
        <w:t xml:space="preserve"> of Predicted </w:t>
      </w:r>
      <w:r w:rsidR="000F1D9D" w:rsidRPr="008F21AE">
        <w:rPr>
          <w:b/>
          <w:color w:val="0000FF"/>
        </w:rPr>
        <w:t>Discharge</w:t>
      </w:r>
      <w:r w:rsidRPr="008F21AE">
        <w:rPr>
          <w:b/>
          <w:color w:val="0000FF"/>
        </w:rPr>
        <w:t xml:space="preserve"> Scores</w:t>
      </w:r>
    </w:p>
    <w:tbl>
      <w:tblPr>
        <w:tblW w:w="8960" w:type="dxa"/>
        <w:jc w:val="center"/>
        <w:tblLook w:val="04A0" w:firstRow="1" w:lastRow="0" w:firstColumn="1" w:lastColumn="0" w:noHBand="0" w:noVBand="1"/>
        <w:tblDescription w:val="Page Layout"/>
      </w:tblPr>
      <w:tblGrid>
        <w:gridCol w:w="2062"/>
        <w:gridCol w:w="891"/>
        <w:gridCol w:w="1929"/>
        <w:gridCol w:w="1938"/>
        <w:gridCol w:w="2140"/>
      </w:tblGrid>
      <w:tr w:rsidR="00FB4A9B" w:rsidRPr="008F21AE" w14:paraId="58EBC190" w14:textId="0E5AA46C" w:rsidTr="00D20EEB">
        <w:trPr>
          <w:trHeight w:val="844"/>
          <w:jc w:val="center"/>
        </w:trPr>
        <w:tc>
          <w:tcPr>
            <w:tcW w:w="2062" w:type="dxa"/>
            <w:tcBorders>
              <w:top w:val="single" w:sz="4" w:space="0" w:color="auto"/>
              <w:bottom w:val="single" w:sz="4" w:space="0" w:color="auto"/>
            </w:tcBorders>
            <w:shd w:val="clear" w:color="auto" w:fill="auto"/>
            <w:vAlign w:val="center"/>
            <w:hideMark/>
          </w:tcPr>
          <w:p w14:paraId="250408C8" w14:textId="0C669D68" w:rsidR="00FB4A9B" w:rsidRPr="008F21AE" w:rsidRDefault="00FB4A9B" w:rsidP="00D20EEB">
            <w:pPr>
              <w:spacing w:after="0" w:line="240" w:lineRule="auto"/>
              <w:jc w:val="center"/>
              <w:rPr>
                <w:rFonts w:ascii="Calibri" w:eastAsia="Times New Roman" w:hAnsi="Calibri" w:cs="Times New Roman"/>
                <w:b/>
                <w:bCs/>
                <w:color w:val="0000FF"/>
              </w:rPr>
            </w:pPr>
            <w:proofErr w:type="spellStart"/>
            <w:r w:rsidRPr="008F21AE">
              <w:rPr>
                <w:rFonts w:ascii="Calibri" w:eastAsia="Times New Roman" w:hAnsi="Calibri" w:cs="Times New Roman"/>
                <w:b/>
                <w:bCs/>
                <w:color w:val="0000FF"/>
              </w:rPr>
              <w:t>Deciles</w:t>
            </w:r>
            <w:proofErr w:type="spellEnd"/>
            <w:r w:rsidRPr="008F21AE">
              <w:rPr>
                <w:rFonts w:ascii="Calibri" w:eastAsia="Times New Roman" w:hAnsi="Calibri" w:cs="Times New Roman"/>
                <w:b/>
                <w:bCs/>
                <w:color w:val="0000FF"/>
              </w:rPr>
              <w:t xml:space="preserve"> of Predicted </w:t>
            </w:r>
            <w:r w:rsidR="000F1D9D" w:rsidRPr="008F21AE">
              <w:rPr>
                <w:rFonts w:ascii="Calibri" w:eastAsia="Times New Roman" w:hAnsi="Calibri" w:cs="Times New Roman"/>
                <w:b/>
                <w:bCs/>
                <w:color w:val="0000FF"/>
              </w:rPr>
              <w:t>Discharge</w:t>
            </w:r>
            <w:r w:rsidRPr="008F21AE">
              <w:rPr>
                <w:rFonts w:ascii="Calibri" w:eastAsia="Times New Roman" w:hAnsi="Calibri" w:cs="Times New Roman"/>
                <w:b/>
                <w:bCs/>
                <w:color w:val="0000FF"/>
              </w:rPr>
              <w:t xml:space="preserve"> Scores</w:t>
            </w:r>
          </w:p>
        </w:tc>
        <w:tc>
          <w:tcPr>
            <w:tcW w:w="891" w:type="dxa"/>
            <w:tcBorders>
              <w:top w:val="single" w:sz="4" w:space="0" w:color="auto"/>
              <w:bottom w:val="single" w:sz="4" w:space="0" w:color="auto"/>
            </w:tcBorders>
            <w:shd w:val="clear" w:color="auto" w:fill="auto"/>
            <w:vAlign w:val="center"/>
            <w:hideMark/>
          </w:tcPr>
          <w:p w14:paraId="26D1B6AD" w14:textId="13584A8A" w:rsidR="00FB4A9B" w:rsidRPr="008F21AE" w:rsidRDefault="00FB4A9B" w:rsidP="00CA1FF6">
            <w:pPr>
              <w:spacing w:after="0" w:line="240" w:lineRule="auto"/>
              <w:jc w:val="center"/>
              <w:rPr>
                <w:rFonts w:ascii="Calibri" w:eastAsia="Times New Roman" w:hAnsi="Calibri" w:cs="Times New Roman"/>
                <w:b/>
                <w:bCs/>
                <w:color w:val="0000FF"/>
              </w:rPr>
            </w:pPr>
            <w:r w:rsidRPr="008F21AE">
              <w:rPr>
                <w:rFonts w:ascii="Calibri" w:eastAsia="Times New Roman" w:hAnsi="Calibri" w:cs="Times New Roman"/>
                <w:b/>
                <w:bCs/>
                <w:color w:val="0000FF"/>
              </w:rPr>
              <w:t xml:space="preserve">Sample </w:t>
            </w:r>
            <w:r w:rsidR="00CA1FF6" w:rsidRPr="008F21AE">
              <w:rPr>
                <w:rFonts w:ascii="Calibri" w:eastAsia="Times New Roman" w:hAnsi="Calibri" w:cs="Times New Roman"/>
                <w:b/>
                <w:bCs/>
                <w:color w:val="0000FF"/>
              </w:rPr>
              <w:t>S</w:t>
            </w:r>
            <w:r w:rsidRPr="008F21AE">
              <w:rPr>
                <w:rFonts w:ascii="Calibri" w:eastAsia="Times New Roman" w:hAnsi="Calibri" w:cs="Times New Roman"/>
                <w:b/>
                <w:bCs/>
                <w:color w:val="0000FF"/>
              </w:rPr>
              <w:t>ize</w:t>
            </w:r>
          </w:p>
        </w:tc>
        <w:tc>
          <w:tcPr>
            <w:tcW w:w="1929" w:type="dxa"/>
            <w:tcBorders>
              <w:top w:val="single" w:sz="4" w:space="0" w:color="auto"/>
              <w:bottom w:val="single" w:sz="4" w:space="0" w:color="auto"/>
            </w:tcBorders>
            <w:shd w:val="clear" w:color="auto" w:fill="auto"/>
            <w:vAlign w:val="center"/>
            <w:hideMark/>
          </w:tcPr>
          <w:p w14:paraId="4EE9A52A" w14:textId="103AA0B6" w:rsidR="00FB4A9B" w:rsidRPr="008F21AE" w:rsidRDefault="00FB4A9B" w:rsidP="00D20EEB">
            <w:pPr>
              <w:spacing w:after="0" w:line="240" w:lineRule="auto"/>
              <w:jc w:val="center"/>
              <w:rPr>
                <w:rFonts w:ascii="Calibri" w:eastAsia="Times New Roman" w:hAnsi="Calibri" w:cs="Times New Roman"/>
                <w:b/>
                <w:bCs/>
                <w:color w:val="0000FF"/>
              </w:rPr>
            </w:pPr>
            <w:r w:rsidRPr="008F21AE">
              <w:rPr>
                <w:rFonts w:ascii="Calibri" w:eastAsia="Times New Roman" w:hAnsi="Calibri" w:cs="Times New Roman"/>
                <w:b/>
                <w:bCs/>
                <w:color w:val="0000FF"/>
              </w:rPr>
              <w:t xml:space="preserve">Average Predicted </w:t>
            </w:r>
            <w:r w:rsidR="000F1D9D" w:rsidRPr="008F21AE">
              <w:rPr>
                <w:rFonts w:ascii="Calibri" w:eastAsia="Times New Roman" w:hAnsi="Calibri" w:cs="Times New Roman"/>
                <w:b/>
                <w:bCs/>
                <w:color w:val="0000FF"/>
              </w:rPr>
              <w:t>Discharge</w:t>
            </w:r>
            <w:r w:rsidRPr="008F21AE">
              <w:rPr>
                <w:rFonts w:ascii="Calibri" w:eastAsia="Times New Roman" w:hAnsi="Calibri" w:cs="Times New Roman"/>
                <w:b/>
                <w:bCs/>
                <w:color w:val="0000FF"/>
              </w:rPr>
              <w:t xml:space="preserve"> Score</w:t>
            </w:r>
          </w:p>
        </w:tc>
        <w:tc>
          <w:tcPr>
            <w:tcW w:w="1938" w:type="dxa"/>
            <w:tcBorders>
              <w:top w:val="single" w:sz="4" w:space="0" w:color="auto"/>
              <w:bottom w:val="single" w:sz="4" w:space="0" w:color="auto"/>
            </w:tcBorders>
            <w:shd w:val="clear" w:color="auto" w:fill="auto"/>
            <w:vAlign w:val="center"/>
            <w:hideMark/>
          </w:tcPr>
          <w:p w14:paraId="74721DBD" w14:textId="42C38309" w:rsidR="00FB4A9B" w:rsidRPr="008F21AE" w:rsidRDefault="00FB4A9B" w:rsidP="00D20EEB">
            <w:pPr>
              <w:spacing w:after="0" w:line="240" w:lineRule="auto"/>
              <w:jc w:val="center"/>
              <w:rPr>
                <w:rFonts w:ascii="Calibri" w:eastAsia="Times New Roman" w:hAnsi="Calibri" w:cs="Times New Roman"/>
                <w:b/>
                <w:bCs/>
                <w:color w:val="0000FF"/>
              </w:rPr>
            </w:pPr>
            <w:r w:rsidRPr="008F21AE">
              <w:rPr>
                <w:rFonts w:ascii="Calibri" w:eastAsia="Times New Roman" w:hAnsi="Calibri" w:cs="Times New Roman"/>
                <w:b/>
                <w:bCs/>
                <w:color w:val="0000FF"/>
              </w:rPr>
              <w:t xml:space="preserve">Average Observed </w:t>
            </w:r>
            <w:r w:rsidR="000F1D9D" w:rsidRPr="008F21AE">
              <w:rPr>
                <w:rFonts w:ascii="Calibri" w:eastAsia="Times New Roman" w:hAnsi="Calibri" w:cs="Times New Roman"/>
                <w:b/>
                <w:bCs/>
                <w:color w:val="0000FF"/>
              </w:rPr>
              <w:t>Discharge</w:t>
            </w:r>
            <w:r w:rsidRPr="008F21AE">
              <w:rPr>
                <w:rFonts w:ascii="Calibri" w:eastAsia="Times New Roman" w:hAnsi="Calibri" w:cs="Times New Roman"/>
                <w:b/>
                <w:bCs/>
                <w:color w:val="0000FF"/>
              </w:rPr>
              <w:t xml:space="preserve"> Score</w:t>
            </w:r>
          </w:p>
        </w:tc>
        <w:tc>
          <w:tcPr>
            <w:tcW w:w="2140" w:type="dxa"/>
            <w:tcBorders>
              <w:top w:val="single" w:sz="4" w:space="0" w:color="auto"/>
              <w:bottom w:val="single" w:sz="4" w:space="0" w:color="auto"/>
            </w:tcBorders>
            <w:vAlign w:val="center"/>
          </w:tcPr>
          <w:p w14:paraId="466280AD" w14:textId="71ECF2A5" w:rsidR="00FB4A9B" w:rsidRPr="008F21AE" w:rsidRDefault="00FB4A9B" w:rsidP="00D20EEB">
            <w:pPr>
              <w:spacing w:after="0" w:line="240" w:lineRule="auto"/>
              <w:jc w:val="center"/>
              <w:rPr>
                <w:rFonts w:ascii="Calibri" w:eastAsia="Times New Roman" w:hAnsi="Calibri" w:cs="Times New Roman"/>
                <w:b/>
                <w:bCs/>
                <w:color w:val="0000FF"/>
              </w:rPr>
            </w:pPr>
            <w:r w:rsidRPr="008F21AE">
              <w:rPr>
                <w:rFonts w:ascii="Calibri" w:eastAsia="Times New Roman" w:hAnsi="Calibri" w:cs="Times New Roman"/>
                <w:b/>
                <w:bCs/>
                <w:color w:val="0000FF"/>
              </w:rPr>
              <w:t>Average Predicted to Observed Ratio</w:t>
            </w:r>
          </w:p>
        </w:tc>
      </w:tr>
      <w:tr w:rsidR="00472D5A" w:rsidRPr="008F21AE" w14:paraId="08959B5A" w14:textId="4BEF4497" w:rsidTr="00D20EEB">
        <w:trPr>
          <w:trHeight w:val="300"/>
          <w:jc w:val="center"/>
        </w:trPr>
        <w:tc>
          <w:tcPr>
            <w:tcW w:w="2062" w:type="dxa"/>
            <w:tcBorders>
              <w:top w:val="single" w:sz="4" w:space="0" w:color="auto"/>
            </w:tcBorders>
            <w:shd w:val="clear" w:color="auto" w:fill="auto"/>
            <w:hideMark/>
          </w:tcPr>
          <w:p w14:paraId="4C74C5CA" w14:textId="7A8BE15B"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eastAsia="Times New Roman" w:hAnsi="Calibri" w:cs="Times New Roman"/>
                <w:color w:val="0000FF"/>
              </w:rPr>
              <w:t>1</w:t>
            </w:r>
          </w:p>
        </w:tc>
        <w:tc>
          <w:tcPr>
            <w:tcW w:w="891" w:type="dxa"/>
            <w:tcBorders>
              <w:top w:val="single" w:sz="4" w:space="0" w:color="auto"/>
            </w:tcBorders>
            <w:shd w:val="clear" w:color="auto" w:fill="auto"/>
          </w:tcPr>
          <w:p w14:paraId="36D4C62D" w14:textId="0F2653C4"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hAnsi="Calibri"/>
                <w:color w:val="0000FF"/>
              </w:rPr>
              <w:t>476</w:t>
            </w:r>
          </w:p>
        </w:tc>
        <w:tc>
          <w:tcPr>
            <w:tcW w:w="1929" w:type="dxa"/>
            <w:tcBorders>
              <w:top w:val="single" w:sz="4" w:space="0" w:color="auto"/>
            </w:tcBorders>
            <w:shd w:val="clear" w:color="auto" w:fill="auto"/>
          </w:tcPr>
          <w:p w14:paraId="370B3098" w14:textId="43AE88CA"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hAnsi="Calibri"/>
                <w:color w:val="0000FF"/>
              </w:rPr>
              <w:t>39.89</w:t>
            </w:r>
          </w:p>
        </w:tc>
        <w:tc>
          <w:tcPr>
            <w:tcW w:w="1938" w:type="dxa"/>
            <w:tcBorders>
              <w:top w:val="single" w:sz="4" w:space="0" w:color="auto"/>
            </w:tcBorders>
            <w:shd w:val="clear" w:color="auto" w:fill="auto"/>
          </w:tcPr>
          <w:p w14:paraId="43540020" w14:textId="19C276AA"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hAnsi="Calibri"/>
                <w:color w:val="0000FF"/>
              </w:rPr>
              <w:t>39.30</w:t>
            </w:r>
          </w:p>
        </w:tc>
        <w:tc>
          <w:tcPr>
            <w:tcW w:w="2140" w:type="dxa"/>
            <w:tcBorders>
              <w:top w:val="single" w:sz="4" w:space="0" w:color="auto"/>
            </w:tcBorders>
          </w:tcPr>
          <w:p w14:paraId="3527233B" w14:textId="1618FD29"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hAnsi="Calibri"/>
                <w:color w:val="0000FF"/>
              </w:rPr>
              <w:t>1.015</w:t>
            </w:r>
          </w:p>
        </w:tc>
      </w:tr>
      <w:tr w:rsidR="00472D5A" w:rsidRPr="008F21AE" w14:paraId="025B2C80" w14:textId="397F6820" w:rsidTr="00D20EEB">
        <w:trPr>
          <w:trHeight w:val="300"/>
          <w:jc w:val="center"/>
        </w:trPr>
        <w:tc>
          <w:tcPr>
            <w:tcW w:w="2062" w:type="dxa"/>
            <w:shd w:val="clear" w:color="auto" w:fill="auto"/>
            <w:hideMark/>
          </w:tcPr>
          <w:p w14:paraId="6E75895C" w14:textId="3D4C1298"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eastAsia="Times New Roman" w:hAnsi="Calibri" w:cs="Times New Roman"/>
                <w:color w:val="0000FF"/>
              </w:rPr>
              <w:t>2</w:t>
            </w:r>
          </w:p>
        </w:tc>
        <w:tc>
          <w:tcPr>
            <w:tcW w:w="891" w:type="dxa"/>
            <w:shd w:val="clear" w:color="auto" w:fill="auto"/>
          </w:tcPr>
          <w:p w14:paraId="2E237B12" w14:textId="4C684C69"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hAnsi="Calibri"/>
                <w:color w:val="0000FF"/>
              </w:rPr>
              <w:t>477</w:t>
            </w:r>
          </w:p>
        </w:tc>
        <w:tc>
          <w:tcPr>
            <w:tcW w:w="1929" w:type="dxa"/>
            <w:shd w:val="clear" w:color="auto" w:fill="auto"/>
          </w:tcPr>
          <w:p w14:paraId="6BA772C6" w14:textId="544F23F5"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hAnsi="Calibri"/>
                <w:color w:val="0000FF"/>
              </w:rPr>
              <w:t>38.30</w:t>
            </w:r>
          </w:p>
        </w:tc>
        <w:tc>
          <w:tcPr>
            <w:tcW w:w="1938" w:type="dxa"/>
            <w:shd w:val="clear" w:color="auto" w:fill="auto"/>
          </w:tcPr>
          <w:p w14:paraId="11EB1396" w14:textId="7B2363CA"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hAnsi="Calibri"/>
                <w:color w:val="0000FF"/>
              </w:rPr>
              <w:t>38.60</w:t>
            </w:r>
          </w:p>
        </w:tc>
        <w:tc>
          <w:tcPr>
            <w:tcW w:w="2140" w:type="dxa"/>
          </w:tcPr>
          <w:p w14:paraId="67CA575C" w14:textId="06A83E0B"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hAnsi="Calibri"/>
                <w:color w:val="0000FF"/>
              </w:rPr>
              <w:t>0.992</w:t>
            </w:r>
          </w:p>
        </w:tc>
      </w:tr>
      <w:tr w:rsidR="00472D5A" w:rsidRPr="008F21AE" w14:paraId="58917336" w14:textId="5886460D" w:rsidTr="00D20EEB">
        <w:trPr>
          <w:trHeight w:val="300"/>
          <w:jc w:val="center"/>
        </w:trPr>
        <w:tc>
          <w:tcPr>
            <w:tcW w:w="2062" w:type="dxa"/>
            <w:shd w:val="clear" w:color="auto" w:fill="auto"/>
            <w:hideMark/>
          </w:tcPr>
          <w:p w14:paraId="7EC6D727" w14:textId="22D287AF"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eastAsia="Times New Roman" w:hAnsi="Calibri" w:cs="Times New Roman"/>
                <w:color w:val="0000FF"/>
              </w:rPr>
              <w:t>3</w:t>
            </w:r>
          </w:p>
        </w:tc>
        <w:tc>
          <w:tcPr>
            <w:tcW w:w="891" w:type="dxa"/>
            <w:shd w:val="clear" w:color="auto" w:fill="auto"/>
          </w:tcPr>
          <w:p w14:paraId="2D38FD44" w14:textId="5848398D"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hAnsi="Calibri"/>
                <w:color w:val="0000FF"/>
              </w:rPr>
              <w:t>477</w:t>
            </w:r>
          </w:p>
        </w:tc>
        <w:tc>
          <w:tcPr>
            <w:tcW w:w="1929" w:type="dxa"/>
            <w:shd w:val="clear" w:color="auto" w:fill="auto"/>
          </w:tcPr>
          <w:p w14:paraId="31DAD754" w14:textId="17B82AE8"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hAnsi="Calibri"/>
                <w:color w:val="0000FF"/>
              </w:rPr>
              <w:t>37.02</w:t>
            </w:r>
          </w:p>
        </w:tc>
        <w:tc>
          <w:tcPr>
            <w:tcW w:w="1938" w:type="dxa"/>
            <w:shd w:val="clear" w:color="auto" w:fill="auto"/>
          </w:tcPr>
          <w:p w14:paraId="33838BA8" w14:textId="0F52B6C3"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hAnsi="Calibri"/>
                <w:color w:val="0000FF"/>
              </w:rPr>
              <w:t>36.86</w:t>
            </w:r>
          </w:p>
        </w:tc>
        <w:tc>
          <w:tcPr>
            <w:tcW w:w="2140" w:type="dxa"/>
          </w:tcPr>
          <w:p w14:paraId="323A5490" w14:textId="7F60EE27"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hAnsi="Calibri"/>
                <w:color w:val="0000FF"/>
              </w:rPr>
              <w:t>1.004</w:t>
            </w:r>
          </w:p>
        </w:tc>
      </w:tr>
      <w:tr w:rsidR="00472D5A" w:rsidRPr="008F21AE" w14:paraId="187A6491" w14:textId="02CAEB1D" w:rsidTr="00D20EEB">
        <w:trPr>
          <w:trHeight w:val="300"/>
          <w:jc w:val="center"/>
        </w:trPr>
        <w:tc>
          <w:tcPr>
            <w:tcW w:w="2062" w:type="dxa"/>
            <w:shd w:val="clear" w:color="auto" w:fill="auto"/>
            <w:hideMark/>
          </w:tcPr>
          <w:p w14:paraId="5EFDCDE2" w14:textId="67F12A53"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eastAsia="Times New Roman" w:hAnsi="Calibri" w:cs="Times New Roman"/>
                <w:color w:val="0000FF"/>
              </w:rPr>
              <w:t>4</w:t>
            </w:r>
          </w:p>
        </w:tc>
        <w:tc>
          <w:tcPr>
            <w:tcW w:w="891" w:type="dxa"/>
            <w:shd w:val="clear" w:color="auto" w:fill="auto"/>
          </w:tcPr>
          <w:p w14:paraId="49D04D30" w14:textId="65D4B528"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hAnsi="Calibri"/>
                <w:color w:val="0000FF"/>
              </w:rPr>
              <w:t>477</w:t>
            </w:r>
          </w:p>
        </w:tc>
        <w:tc>
          <w:tcPr>
            <w:tcW w:w="1929" w:type="dxa"/>
            <w:shd w:val="clear" w:color="auto" w:fill="auto"/>
          </w:tcPr>
          <w:p w14:paraId="1CEDD7E1" w14:textId="733A1E52"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hAnsi="Calibri"/>
                <w:color w:val="0000FF"/>
              </w:rPr>
              <w:t>35.73</w:t>
            </w:r>
          </w:p>
        </w:tc>
        <w:tc>
          <w:tcPr>
            <w:tcW w:w="1938" w:type="dxa"/>
            <w:shd w:val="clear" w:color="auto" w:fill="auto"/>
          </w:tcPr>
          <w:p w14:paraId="6B7F94BF" w14:textId="17AA1492"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hAnsi="Calibri"/>
                <w:color w:val="0000FF"/>
              </w:rPr>
              <w:t>35.85</w:t>
            </w:r>
          </w:p>
        </w:tc>
        <w:tc>
          <w:tcPr>
            <w:tcW w:w="2140" w:type="dxa"/>
          </w:tcPr>
          <w:p w14:paraId="3DAA5FFF" w14:textId="64D088B4"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hAnsi="Calibri"/>
                <w:color w:val="0000FF"/>
              </w:rPr>
              <w:t>0.99</w:t>
            </w:r>
            <w:r w:rsidR="00D20EEB" w:rsidRPr="008F21AE">
              <w:rPr>
                <w:rFonts w:ascii="Calibri" w:hAnsi="Calibri"/>
                <w:color w:val="0000FF"/>
              </w:rPr>
              <w:t>7</w:t>
            </w:r>
          </w:p>
        </w:tc>
      </w:tr>
      <w:tr w:rsidR="00472D5A" w:rsidRPr="008F21AE" w14:paraId="52323400" w14:textId="4C3196C6" w:rsidTr="00D20EEB">
        <w:trPr>
          <w:trHeight w:val="300"/>
          <w:jc w:val="center"/>
        </w:trPr>
        <w:tc>
          <w:tcPr>
            <w:tcW w:w="2062" w:type="dxa"/>
            <w:shd w:val="clear" w:color="auto" w:fill="auto"/>
            <w:hideMark/>
          </w:tcPr>
          <w:p w14:paraId="2A70C7D9" w14:textId="7983E61D"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eastAsia="Times New Roman" w:hAnsi="Calibri" w:cs="Times New Roman"/>
                <w:color w:val="0000FF"/>
              </w:rPr>
              <w:t>5</w:t>
            </w:r>
          </w:p>
        </w:tc>
        <w:tc>
          <w:tcPr>
            <w:tcW w:w="891" w:type="dxa"/>
            <w:shd w:val="clear" w:color="auto" w:fill="auto"/>
          </w:tcPr>
          <w:p w14:paraId="43AF9A03" w14:textId="2C369EB1"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hAnsi="Calibri"/>
                <w:color w:val="0000FF"/>
              </w:rPr>
              <w:t>477</w:t>
            </w:r>
          </w:p>
        </w:tc>
        <w:tc>
          <w:tcPr>
            <w:tcW w:w="1929" w:type="dxa"/>
            <w:shd w:val="clear" w:color="auto" w:fill="auto"/>
          </w:tcPr>
          <w:p w14:paraId="16DC4DC6" w14:textId="72E3E45A"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hAnsi="Calibri"/>
                <w:color w:val="0000FF"/>
              </w:rPr>
              <w:t>34.45</w:t>
            </w:r>
          </w:p>
        </w:tc>
        <w:tc>
          <w:tcPr>
            <w:tcW w:w="1938" w:type="dxa"/>
            <w:shd w:val="clear" w:color="auto" w:fill="auto"/>
          </w:tcPr>
          <w:p w14:paraId="1CA07195" w14:textId="2BBC3D31"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hAnsi="Calibri"/>
                <w:color w:val="0000FF"/>
              </w:rPr>
              <w:t>34.65</w:t>
            </w:r>
          </w:p>
        </w:tc>
        <w:tc>
          <w:tcPr>
            <w:tcW w:w="2140" w:type="dxa"/>
          </w:tcPr>
          <w:p w14:paraId="2572124F" w14:textId="2F1953CF"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hAnsi="Calibri"/>
                <w:color w:val="0000FF"/>
              </w:rPr>
              <w:t>0.994</w:t>
            </w:r>
          </w:p>
        </w:tc>
      </w:tr>
      <w:tr w:rsidR="00472D5A" w:rsidRPr="008F21AE" w14:paraId="0EF27C1A" w14:textId="24351527" w:rsidTr="00D20EEB">
        <w:trPr>
          <w:trHeight w:val="300"/>
          <w:jc w:val="center"/>
        </w:trPr>
        <w:tc>
          <w:tcPr>
            <w:tcW w:w="2062" w:type="dxa"/>
            <w:shd w:val="clear" w:color="auto" w:fill="auto"/>
            <w:hideMark/>
          </w:tcPr>
          <w:p w14:paraId="6B01B9CA" w14:textId="73AC35C0"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eastAsia="Times New Roman" w:hAnsi="Calibri" w:cs="Times New Roman"/>
                <w:color w:val="0000FF"/>
              </w:rPr>
              <w:t>6</w:t>
            </w:r>
          </w:p>
        </w:tc>
        <w:tc>
          <w:tcPr>
            <w:tcW w:w="891" w:type="dxa"/>
            <w:shd w:val="clear" w:color="auto" w:fill="auto"/>
          </w:tcPr>
          <w:p w14:paraId="3C4179C3" w14:textId="4672BA00"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hAnsi="Calibri"/>
                <w:color w:val="0000FF"/>
              </w:rPr>
              <w:t>477</w:t>
            </w:r>
          </w:p>
        </w:tc>
        <w:tc>
          <w:tcPr>
            <w:tcW w:w="1929" w:type="dxa"/>
            <w:shd w:val="clear" w:color="auto" w:fill="auto"/>
          </w:tcPr>
          <w:p w14:paraId="23A1FDDA" w14:textId="6F845B3D"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hAnsi="Calibri"/>
                <w:color w:val="0000FF"/>
              </w:rPr>
              <w:t>33.06</w:t>
            </w:r>
          </w:p>
        </w:tc>
        <w:tc>
          <w:tcPr>
            <w:tcW w:w="1938" w:type="dxa"/>
            <w:shd w:val="clear" w:color="auto" w:fill="auto"/>
          </w:tcPr>
          <w:p w14:paraId="18945E4D" w14:textId="43AD1637"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hAnsi="Calibri"/>
                <w:color w:val="0000FF"/>
              </w:rPr>
              <w:t>33.00</w:t>
            </w:r>
          </w:p>
        </w:tc>
        <w:tc>
          <w:tcPr>
            <w:tcW w:w="2140" w:type="dxa"/>
          </w:tcPr>
          <w:p w14:paraId="23793257" w14:textId="47593E56"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hAnsi="Calibri"/>
                <w:color w:val="0000FF"/>
              </w:rPr>
              <w:t>1.00</w:t>
            </w:r>
            <w:r w:rsidR="00D20EEB" w:rsidRPr="008F21AE">
              <w:rPr>
                <w:rFonts w:ascii="Calibri" w:hAnsi="Calibri"/>
                <w:color w:val="0000FF"/>
              </w:rPr>
              <w:t>2</w:t>
            </w:r>
          </w:p>
        </w:tc>
      </w:tr>
      <w:tr w:rsidR="00472D5A" w:rsidRPr="008F21AE" w14:paraId="0EB6214C" w14:textId="7B8CFDC8" w:rsidTr="00D20EEB">
        <w:trPr>
          <w:trHeight w:val="300"/>
          <w:jc w:val="center"/>
        </w:trPr>
        <w:tc>
          <w:tcPr>
            <w:tcW w:w="2062" w:type="dxa"/>
            <w:shd w:val="clear" w:color="auto" w:fill="auto"/>
            <w:hideMark/>
          </w:tcPr>
          <w:p w14:paraId="078FB9E8" w14:textId="6CD7C7DF"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eastAsia="Times New Roman" w:hAnsi="Calibri" w:cs="Times New Roman"/>
                <w:color w:val="0000FF"/>
              </w:rPr>
              <w:t>7</w:t>
            </w:r>
          </w:p>
        </w:tc>
        <w:tc>
          <w:tcPr>
            <w:tcW w:w="891" w:type="dxa"/>
            <w:shd w:val="clear" w:color="auto" w:fill="auto"/>
          </w:tcPr>
          <w:p w14:paraId="2FDB9F32" w14:textId="3A5679B4"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hAnsi="Calibri"/>
                <w:color w:val="0000FF"/>
              </w:rPr>
              <w:t>477</w:t>
            </w:r>
          </w:p>
        </w:tc>
        <w:tc>
          <w:tcPr>
            <w:tcW w:w="1929" w:type="dxa"/>
            <w:shd w:val="clear" w:color="auto" w:fill="auto"/>
          </w:tcPr>
          <w:p w14:paraId="4ECF8CFC" w14:textId="623A1AEA"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hAnsi="Calibri"/>
                <w:color w:val="0000FF"/>
              </w:rPr>
              <w:t>31.47</w:t>
            </w:r>
          </w:p>
        </w:tc>
        <w:tc>
          <w:tcPr>
            <w:tcW w:w="1938" w:type="dxa"/>
            <w:shd w:val="clear" w:color="auto" w:fill="auto"/>
          </w:tcPr>
          <w:p w14:paraId="0B6076B1" w14:textId="6A27622A"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hAnsi="Calibri"/>
                <w:color w:val="0000FF"/>
              </w:rPr>
              <w:t>31.39</w:t>
            </w:r>
          </w:p>
        </w:tc>
        <w:tc>
          <w:tcPr>
            <w:tcW w:w="2140" w:type="dxa"/>
          </w:tcPr>
          <w:p w14:paraId="6AF0DB1D" w14:textId="44F343DF"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hAnsi="Calibri"/>
                <w:color w:val="0000FF"/>
              </w:rPr>
              <w:t>1.00</w:t>
            </w:r>
            <w:r w:rsidR="00D20EEB" w:rsidRPr="008F21AE">
              <w:rPr>
                <w:rFonts w:ascii="Calibri" w:hAnsi="Calibri"/>
                <w:color w:val="0000FF"/>
              </w:rPr>
              <w:t>3</w:t>
            </w:r>
          </w:p>
        </w:tc>
      </w:tr>
      <w:tr w:rsidR="00472D5A" w:rsidRPr="008F21AE" w14:paraId="0CA11E0A" w14:textId="3512D24F" w:rsidTr="00D20EEB">
        <w:trPr>
          <w:trHeight w:val="300"/>
          <w:jc w:val="center"/>
        </w:trPr>
        <w:tc>
          <w:tcPr>
            <w:tcW w:w="2062" w:type="dxa"/>
            <w:shd w:val="clear" w:color="auto" w:fill="auto"/>
            <w:hideMark/>
          </w:tcPr>
          <w:p w14:paraId="7C280E89" w14:textId="50E97A53"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eastAsia="Times New Roman" w:hAnsi="Calibri" w:cs="Times New Roman"/>
                <w:color w:val="0000FF"/>
              </w:rPr>
              <w:t>8</w:t>
            </w:r>
          </w:p>
        </w:tc>
        <w:tc>
          <w:tcPr>
            <w:tcW w:w="891" w:type="dxa"/>
            <w:shd w:val="clear" w:color="auto" w:fill="auto"/>
          </w:tcPr>
          <w:p w14:paraId="27C2AB3C" w14:textId="2287B0DB"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hAnsi="Calibri"/>
                <w:color w:val="0000FF"/>
              </w:rPr>
              <w:t>477</w:t>
            </w:r>
          </w:p>
        </w:tc>
        <w:tc>
          <w:tcPr>
            <w:tcW w:w="1929" w:type="dxa"/>
            <w:shd w:val="clear" w:color="auto" w:fill="auto"/>
          </w:tcPr>
          <w:p w14:paraId="34B9A107" w14:textId="03EDD953"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hAnsi="Calibri"/>
                <w:color w:val="0000FF"/>
              </w:rPr>
              <w:t>29.43</w:t>
            </w:r>
          </w:p>
        </w:tc>
        <w:tc>
          <w:tcPr>
            <w:tcW w:w="1938" w:type="dxa"/>
            <w:shd w:val="clear" w:color="auto" w:fill="auto"/>
          </w:tcPr>
          <w:p w14:paraId="50634D81" w14:textId="56B7067D"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hAnsi="Calibri"/>
                <w:color w:val="0000FF"/>
              </w:rPr>
              <w:t>29.58</w:t>
            </w:r>
          </w:p>
        </w:tc>
        <w:tc>
          <w:tcPr>
            <w:tcW w:w="2140" w:type="dxa"/>
          </w:tcPr>
          <w:p w14:paraId="2E1AF465" w14:textId="30170493"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hAnsi="Calibri"/>
                <w:color w:val="0000FF"/>
              </w:rPr>
              <w:t>0.99</w:t>
            </w:r>
            <w:r w:rsidR="00D20EEB" w:rsidRPr="008F21AE">
              <w:rPr>
                <w:rFonts w:ascii="Calibri" w:hAnsi="Calibri"/>
                <w:color w:val="0000FF"/>
              </w:rPr>
              <w:t>5</w:t>
            </w:r>
          </w:p>
        </w:tc>
      </w:tr>
      <w:tr w:rsidR="00472D5A" w:rsidRPr="008F21AE" w14:paraId="62E714A3" w14:textId="5B1E9C68" w:rsidTr="00D20EEB">
        <w:trPr>
          <w:trHeight w:val="300"/>
          <w:jc w:val="center"/>
        </w:trPr>
        <w:tc>
          <w:tcPr>
            <w:tcW w:w="2062" w:type="dxa"/>
            <w:shd w:val="clear" w:color="auto" w:fill="auto"/>
            <w:hideMark/>
          </w:tcPr>
          <w:p w14:paraId="1C0A26BF" w14:textId="50553312"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eastAsia="Times New Roman" w:hAnsi="Calibri" w:cs="Times New Roman"/>
                <w:color w:val="0000FF"/>
              </w:rPr>
              <w:t>9</w:t>
            </w:r>
          </w:p>
        </w:tc>
        <w:tc>
          <w:tcPr>
            <w:tcW w:w="891" w:type="dxa"/>
            <w:shd w:val="clear" w:color="auto" w:fill="auto"/>
          </w:tcPr>
          <w:p w14:paraId="4C7D414E" w14:textId="4A987974"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hAnsi="Calibri"/>
                <w:color w:val="0000FF"/>
              </w:rPr>
              <w:t>477</w:t>
            </w:r>
          </w:p>
        </w:tc>
        <w:tc>
          <w:tcPr>
            <w:tcW w:w="1929" w:type="dxa"/>
            <w:shd w:val="clear" w:color="auto" w:fill="auto"/>
          </w:tcPr>
          <w:p w14:paraId="20529E0E" w14:textId="4680D23C"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hAnsi="Calibri"/>
                <w:color w:val="0000FF"/>
              </w:rPr>
              <w:t>26.39</w:t>
            </w:r>
          </w:p>
        </w:tc>
        <w:tc>
          <w:tcPr>
            <w:tcW w:w="1938" w:type="dxa"/>
            <w:shd w:val="clear" w:color="auto" w:fill="auto"/>
          </w:tcPr>
          <w:p w14:paraId="1C862FDE" w14:textId="570E260E"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hAnsi="Calibri"/>
                <w:color w:val="0000FF"/>
              </w:rPr>
              <w:t>25.96</w:t>
            </w:r>
          </w:p>
        </w:tc>
        <w:tc>
          <w:tcPr>
            <w:tcW w:w="2140" w:type="dxa"/>
          </w:tcPr>
          <w:p w14:paraId="40633A31" w14:textId="16A9213D"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hAnsi="Calibri"/>
                <w:color w:val="0000FF"/>
              </w:rPr>
              <w:t>1.01</w:t>
            </w:r>
            <w:r w:rsidR="00D20EEB" w:rsidRPr="008F21AE">
              <w:rPr>
                <w:rFonts w:ascii="Calibri" w:hAnsi="Calibri"/>
                <w:color w:val="0000FF"/>
              </w:rPr>
              <w:t>7</w:t>
            </w:r>
          </w:p>
        </w:tc>
      </w:tr>
      <w:tr w:rsidR="00472D5A" w:rsidRPr="008F21AE" w14:paraId="645871FC" w14:textId="39BC3FAB" w:rsidTr="00D20EEB">
        <w:trPr>
          <w:trHeight w:val="315"/>
          <w:jc w:val="center"/>
        </w:trPr>
        <w:tc>
          <w:tcPr>
            <w:tcW w:w="2062" w:type="dxa"/>
            <w:tcBorders>
              <w:bottom w:val="single" w:sz="4" w:space="0" w:color="auto"/>
            </w:tcBorders>
            <w:shd w:val="clear" w:color="auto" w:fill="auto"/>
            <w:hideMark/>
          </w:tcPr>
          <w:p w14:paraId="560FABDF" w14:textId="0D64650D"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eastAsia="Times New Roman" w:hAnsi="Calibri" w:cs="Times New Roman"/>
                <w:color w:val="0000FF"/>
              </w:rPr>
              <w:t>10</w:t>
            </w:r>
          </w:p>
        </w:tc>
        <w:tc>
          <w:tcPr>
            <w:tcW w:w="891" w:type="dxa"/>
            <w:tcBorders>
              <w:bottom w:val="single" w:sz="4" w:space="0" w:color="auto"/>
            </w:tcBorders>
            <w:shd w:val="clear" w:color="auto" w:fill="auto"/>
          </w:tcPr>
          <w:p w14:paraId="3241711D" w14:textId="5678444F"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hAnsi="Calibri"/>
                <w:color w:val="0000FF"/>
              </w:rPr>
              <w:t>477</w:t>
            </w:r>
          </w:p>
        </w:tc>
        <w:tc>
          <w:tcPr>
            <w:tcW w:w="1929" w:type="dxa"/>
            <w:tcBorders>
              <w:bottom w:val="single" w:sz="4" w:space="0" w:color="auto"/>
            </w:tcBorders>
            <w:shd w:val="clear" w:color="auto" w:fill="auto"/>
          </w:tcPr>
          <w:p w14:paraId="12391BB0" w14:textId="54D6D441"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hAnsi="Calibri"/>
                <w:color w:val="0000FF"/>
              </w:rPr>
              <w:t>19.55</w:t>
            </w:r>
          </w:p>
        </w:tc>
        <w:tc>
          <w:tcPr>
            <w:tcW w:w="1938" w:type="dxa"/>
            <w:tcBorders>
              <w:bottom w:val="single" w:sz="4" w:space="0" w:color="auto"/>
            </w:tcBorders>
            <w:shd w:val="clear" w:color="auto" w:fill="auto"/>
          </w:tcPr>
          <w:p w14:paraId="33E7F2C0" w14:textId="5099B467"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hAnsi="Calibri"/>
                <w:color w:val="0000FF"/>
              </w:rPr>
              <w:t>19.51</w:t>
            </w:r>
          </w:p>
        </w:tc>
        <w:tc>
          <w:tcPr>
            <w:tcW w:w="2140" w:type="dxa"/>
            <w:tcBorders>
              <w:bottom w:val="single" w:sz="4" w:space="0" w:color="auto"/>
            </w:tcBorders>
          </w:tcPr>
          <w:p w14:paraId="05E3631C" w14:textId="716CD203" w:rsidR="00472D5A" w:rsidRPr="008F21AE" w:rsidRDefault="00472D5A" w:rsidP="00D20EEB">
            <w:pPr>
              <w:spacing w:after="0" w:line="240" w:lineRule="auto"/>
              <w:jc w:val="center"/>
              <w:rPr>
                <w:rFonts w:ascii="Calibri" w:eastAsia="Times New Roman" w:hAnsi="Calibri" w:cs="Times New Roman"/>
                <w:color w:val="0000FF"/>
              </w:rPr>
            </w:pPr>
            <w:r w:rsidRPr="008F21AE">
              <w:rPr>
                <w:rFonts w:ascii="Calibri" w:hAnsi="Calibri"/>
                <w:color w:val="0000FF"/>
              </w:rPr>
              <w:t>1.002</w:t>
            </w:r>
          </w:p>
        </w:tc>
      </w:tr>
      <w:tr w:rsidR="00472D5A" w:rsidRPr="00390421" w14:paraId="11DAD628" w14:textId="7F5DD06E" w:rsidTr="00D20EEB">
        <w:trPr>
          <w:trHeight w:val="315"/>
          <w:jc w:val="center"/>
        </w:trPr>
        <w:tc>
          <w:tcPr>
            <w:tcW w:w="2062" w:type="dxa"/>
            <w:tcBorders>
              <w:top w:val="single" w:sz="4" w:space="0" w:color="auto"/>
              <w:bottom w:val="single" w:sz="4" w:space="0" w:color="auto"/>
            </w:tcBorders>
            <w:shd w:val="clear" w:color="auto" w:fill="auto"/>
            <w:hideMark/>
          </w:tcPr>
          <w:p w14:paraId="3C494E4D" w14:textId="51FA405D" w:rsidR="00472D5A" w:rsidRPr="008F21AE" w:rsidRDefault="00472D5A" w:rsidP="00D20EEB">
            <w:pPr>
              <w:spacing w:after="0" w:line="240" w:lineRule="auto"/>
              <w:jc w:val="center"/>
              <w:rPr>
                <w:rFonts w:ascii="Calibri" w:eastAsia="Times New Roman" w:hAnsi="Calibri" w:cs="Times New Roman"/>
                <w:b/>
                <w:color w:val="0000FF"/>
              </w:rPr>
            </w:pPr>
            <w:r w:rsidRPr="008F21AE">
              <w:rPr>
                <w:rFonts w:ascii="Calibri" w:eastAsia="Times New Roman" w:hAnsi="Calibri" w:cs="Times New Roman"/>
                <w:b/>
                <w:color w:val="0000FF"/>
              </w:rPr>
              <w:t>Total Sample</w:t>
            </w:r>
          </w:p>
        </w:tc>
        <w:tc>
          <w:tcPr>
            <w:tcW w:w="891" w:type="dxa"/>
            <w:tcBorders>
              <w:top w:val="single" w:sz="4" w:space="0" w:color="auto"/>
              <w:bottom w:val="single" w:sz="4" w:space="0" w:color="auto"/>
            </w:tcBorders>
            <w:shd w:val="clear" w:color="auto" w:fill="auto"/>
          </w:tcPr>
          <w:p w14:paraId="634DBB29" w14:textId="7F40EE92" w:rsidR="00472D5A" w:rsidRPr="008F21AE" w:rsidRDefault="00472D5A" w:rsidP="00D20EEB">
            <w:pPr>
              <w:spacing w:after="0" w:line="240" w:lineRule="auto"/>
              <w:jc w:val="center"/>
              <w:rPr>
                <w:rFonts w:ascii="Calibri" w:eastAsia="Times New Roman" w:hAnsi="Calibri" w:cs="Times New Roman"/>
                <w:b/>
                <w:color w:val="0000FF"/>
              </w:rPr>
            </w:pPr>
            <w:r w:rsidRPr="008F21AE">
              <w:rPr>
                <w:rFonts w:ascii="Calibri" w:eastAsia="Times New Roman" w:hAnsi="Calibri" w:cs="Times New Roman"/>
                <w:b/>
                <w:color w:val="0000FF"/>
              </w:rPr>
              <w:t>4</w:t>
            </w:r>
            <w:r w:rsidR="00903D96">
              <w:rPr>
                <w:rFonts w:ascii="Calibri" w:eastAsia="Times New Roman" w:hAnsi="Calibri" w:cs="Times New Roman"/>
                <w:b/>
                <w:color w:val="0000FF"/>
              </w:rPr>
              <w:t>,</w:t>
            </w:r>
            <w:r w:rsidRPr="008F21AE">
              <w:rPr>
                <w:rFonts w:ascii="Calibri" w:eastAsia="Times New Roman" w:hAnsi="Calibri" w:cs="Times New Roman"/>
                <w:b/>
                <w:color w:val="0000FF"/>
              </w:rPr>
              <w:t>769</w:t>
            </w:r>
          </w:p>
        </w:tc>
        <w:tc>
          <w:tcPr>
            <w:tcW w:w="1929" w:type="dxa"/>
            <w:tcBorders>
              <w:top w:val="single" w:sz="4" w:space="0" w:color="auto"/>
              <w:bottom w:val="single" w:sz="4" w:space="0" w:color="auto"/>
            </w:tcBorders>
            <w:shd w:val="clear" w:color="auto" w:fill="auto"/>
          </w:tcPr>
          <w:p w14:paraId="232D7338" w14:textId="158474CD" w:rsidR="00472D5A" w:rsidRPr="008F21AE" w:rsidRDefault="00472D5A" w:rsidP="00D20EEB">
            <w:pPr>
              <w:spacing w:after="0" w:line="240" w:lineRule="auto"/>
              <w:jc w:val="center"/>
              <w:rPr>
                <w:rFonts w:ascii="Calibri" w:eastAsia="Times New Roman" w:hAnsi="Calibri" w:cs="Times New Roman"/>
                <w:b/>
                <w:color w:val="0000FF"/>
              </w:rPr>
            </w:pPr>
            <w:r w:rsidRPr="008F21AE">
              <w:rPr>
                <w:rFonts w:ascii="Calibri" w:hAnsi="Calibri"/>
                <w:b/>
                <w:color w:val="0000FF"/>
              </w:rPr>
              <w:t>32.53</w:t>
            </w:r>
          </w:p>
        </w:tc>
        <w:tc>
          <w:tcPr>
            <w:tcW w:w="1938" w:type="dxa"/>
            <w:tcBorders>
              <w:top w:val="single" w:sz="4" w:space="0" w:color="auto"/>
              <w:bottom w:val="single" w:sz="4" w:space="0" w:color="auto"/>
            </w:tcBorders>
            <w:shd w:val="clear" w:color="auto" w:fill="auto"/>
          </w:tcPr>
          <w:p w14:paraId="21AA0051" w14:textId="15819905" w:rsidR="00472D5A" w:rsidRPr="008F21AE" w:rsidRDefault="00472D5A" w:rsidP="00D20EEB">
            <w:pPr>
              <w:spacing w:after="0" w:line="240" w:lineRule="auto"/>
              <w:jc w:val="center"/>
              <w:rPr>
                <w:rFonts w:ascii="Calibri" w:eastAsia="Times New Roman" w:hAnsi="Calibri" w:cs="Times New Roman"/>
                <w:b/>
                <w:color w:val="0000FF"/>
              </w:rPr>
            </w:pPr>
            <w:r w:rsidRPr="008F21AE">
              <w:rPr>
                <w:rFonts w:ascii="Calibri" w:hAnsi="Calibri"/>
                <w:b/>
                <w:color w:val="0000FF"/>
              </w:rPr>
              <w:t>32.47</w:t>
            </w:r>
          </w:p>
        </w:tc>
        <w:tc>
          <w:tcPr>
            <w:tcW w:w="2140" w:type="dxa"/>
            <w:tcBorders>
              <w:top w:val="single" w:sz="4" w:space="0" w:color="auto"/>
              <w:bottom w:val="single" w:sz="4" w:space="0" w:color="auto"/>
            </w:tcBorders>
          </w:tcPr>
          <w:p w14:paraId="4D12130E" w14:textId="7F38DDF3" w:rsidR="00472D5A" w:rsidRPr="00D20EEB" w:rsidRDefault="00472D5A" w:rsidP="00CA1FF6">
            <w:pPr>
              <w:spacing w:after="0" w:line="240" w:lineRule="auto"/>
              <w:jc w:val="center"/>
              <w:rPr>
                <w:rFonts w:ascii="Calibri" w:eastAsia="Times New Roman" w:hAnsi="Calibri" w:cs="Times New Roman"/>
                <w:b/>
                <w:color w:val="0000FF"/>
              </w:rPr>
            </w:pPr>
            <w:r w:rsidRPr="008F21AE">
              <w:rPr>
                <w:rFonts w:ascii="Calibri" w:eastAsia="Times New Roman" w:hAnsi="Calibri" w:cs="Times New Roman"/>
                <w:b/>
                <w:color w:val="0000FF"/>
              </w:rPr>
              <w:t>1.00</w:t>
            </w:r>
            <w:r w:rsidR="00CA1FF6" w:rsidRPr="008F21AE">
              <w:rPr>
                <w:rFonts w:ascii="Calibri" w:eastAsia="Times New Roman" w:hAnsi="Calibri" w:cs="Times New Roman"/>
                <w:b/>
                <w:color w:val="0000FF"/>
              </w:rPr>
              <w:t>2</w:t>
            </w:r>
          </w:p>
        </w:tc>
      </w:tr>
    </w:tbl>
    <w:p w14:paraId="1B811FDA" w14:textId="77777777" w:rsidR="00743E46" w:rsidRDefault="00743E46" w:rsidP="00092566">
      <w:pPr>
        <w:autoSpaceDE w:val="0"/>
        <w:autoSpaceDN w:val="0"/>
        <w:adjustRightInd w:val="0"/>
        <w:spacing w:after="0" w:line="240" w:lineRule="auto"/>
        <w:rPr>
          <w:rFonts w:cstheme="minorHAnsi"/>
          <w:b/>
          <w:bCs/>
        </w:rPr>
      </w:pPr>
    </w:p>
    <w:p w14:paraId="6F9447BF" w14:textId="77777777" w:rsidR="008C012D" w:rsidRDefault="00743E46" w:rsidP="00A57363">
      <w:pPr>
        <w:pStyle w:val="TableTitle"/>
        <w:tabs>
          <w:tab w:val="left" w:pos="990"/>
        </w:tabs>
        <w:spacing w:before="120" w:after="120"/>
        <w:ind w:left="994" w:hanging="994"/>
        <w:jc w:val="left"/>
        <w:rPr>
          <w:rFonts w:asciiTheme="minorHAnsi" w:hAnsiTheme="minorHAnsi"/>
        </w:rPr>
      </w:pPr>
      <w:r w:rsidRPr="00A57363">
        <w:rPr>
          <w:rFonts w:asciiTheme="minorHAnsi" w:hAnsiTheme="minorHAnsi"/>
        </w:rPr>
        <w:t xml:space="preserve">2b4.6. </w:t>
      </w:r>
      <w:r w:rsidR="00001D73" w:rsidRPr="00A57363">
        <w:rPr>
          <w:rFonts w:asciiTheme="minorHAnsi" w:hAnsiTheme="minorHAnsi"/>
        </w:rPr>
        <w:t xml:space="preserve">Statistical </w:t>
      </w:r>
      <w:r w:rsidR="00092566" w:rsidRPr="00A57363">
        <w:rPr>
          <w:rFonts w:asciiTheme="minorHAnsi" w:hAnsiTheme="minorHAnsi"/>
        </w:rPr>
        <w:t>Risk Model Discrimination Statistics</w:t>
      </w:r>
      <w:r w:rsidR="003605B4" w:rsidRPr="00A57363">
        <w:rPr>
          <w:rFonts w:asciiTheme="minorHAnsi" w:hAnsiTheme="minorHAnsi"/>
        </w:rPr>
        <w:t xml:space="preserve"> (</w:t>
      </w:r>
      <w:r w:rsidR="003605B4" w:rsidRPr="00A57363">
        <w:rPr>
          <w:rFonts w:asciiTheme="minorHAnsi" w:hAnsiTheme="minorHAnsi"/>
          <w:i/>
        </w:rPr>
        <w:t>e.g., c-statistic, R-squared</w:t>
      </w:r>
      <w:r w:rsidR="003605B4" w:rsidRPr="00A57363">
        <w:rPr>
          <w:rFonts w:asciiTheme="minorHAnsi" w:hAnsiTheme="minorHAnsi"/>
        </w:rPr>
        <w:t>)</w:t>
      </w:r>
      <w:r w:rsidRPr="00A57363">
        <w:rPr>
          <w:rFonts w:asciiTheme="minorHAnsi" w:hAnsiTheme="minorHAnsi"/>
        </w:rPr>
        <w:t>:</w:t>
      </w:r>
      <w:r w:rsidR="00092566" w:rsidRPr="00A57363">
        <w:rPr>
          <w:rFonts w:asciiTheme="minorHAnsi" w:hAnsiTheme="minorHAnsi"/>
        </w:rPr>
        <w:t xml:space="preserve">  </w:t>
      </w:r>
    </w:p>
    <w:p w14:paraId="6CC0926F" w14:textId="77777777" w:rsidR="00DC3CF6" w:rsidRDefault="00DC3CF6" w:rsidP="00DC3CF6">
      <w:pPr>
        <w:pStyle w:val="TableTitle"/>
        <w:tabs>
          <w:tab w:val="left" w:pos="990"/>
        </w:tabs>
        <w:spacing w:before="120" w:after="120"/>
        <w:ind w:left="994" w:hanging="994"/>
        <w:jc w:val="left"/>
        <w:rPr>
          <w:rFonts w:asciiTheme="minorHAnsi" w:hAnsiTheme="minorHAnsi"/>
          <w:b w:val="0"/>
          <w:color w:val="0000FF"/>
          <w:spacing w:val="-1"/>
          <w:sz w:val="20"/>
        </w:rPr>
      </w:pPr>
      <w:r>
        <w:rPr>
          <w:rFonts w:asciiTheme="minorHAnsi" w:hAnsiTheme="minorHAnsi"/>
          <w:b w:val="0"/>
          <w:color w:val="0000FF"/>
          <w:sz w:val="22"/>
        </w:rPr>
        <w:t>See Attachment 1.</w:t>
      </w:r>
    </w:p>
    <w:p w14:paraId="1FB1244C" w14:textId="3937EA69" w:rsidR="000E1334" w:rsidRPr="006B543F" w:rsidRDefault="00DC3CF6" w:rsidP="000E1334">
      <w:r w:rsidRPr="00B96D9E" w:rsidDel="00DC3CF6">
        <w:rPr>
          <w:iCs/>
          <w:color w:val="0000FF"/>
        </w:rPr>
        <w:t xml:space="preserve"> </w:t>
      </w:r>
      <w:r w:rsidR="00743E46">
        <w:rPr>
          <w:rFonts w:cstheme="minorHAnsi"/>
          <w:b/>
          <w:bCs/>
        </w:rPr>
        <w:t>2b4.7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 xml:space="preserve">e.g., </w:t>
      </w:r>
      <w:proofErr w:type="spellStart"/>
      <w:r w:rsidR="003605B4" w:rsidRPr="003605B4">
        <w:rPr>
          <w:rFonts w:cstheme="minorHAnsi"/>
          <w:bCs/>
          <w:i/>
        </w:rPr>
        <w:t>Hosmer-Lemeshow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r w:rsidR="00517AA0">
        <w:rPr>
          <w:iCs/>
          <w:color w:val="0000FF"/>
        </w:rPr>
        <w:t>Not applicable</w:t>
      </w:r>
    </w:p>
    <w:p w14:paraId="71F82896" w14:textId="77777777" w:rsidR="008C012D" w:rsidRDefault="00743E46" w:rsidP="00BC6811">
      <w:pPr>
        <w:pStyle w:val="TableTitle"/>
        <w:tabs>
          <w:tab w:val="left" w:pos="990"/>
        </w:tabs>
        <w:spacing w:before="120" w:after="120"/>
        <w:ind w:left="994" w:hanging="994"/>
        <w:jc w:val="left"/>
        <w:rPr>
          <w:rFonts w:asciiTheme="minorHAnsi" w:hAnsiTheme="minorHAnsi"/>
        </w:rPr>
      </w:pPr>
      <w:r w:rsidRPr="00A57363">
        <w:rPr>
          <w:rFonts w:asciiTheme="minorHAnsi" w:hAnsiTheme="minorHAnsi"/>
        </w:rPr>
        <w:t>2b4.8</w:t>
      </w:r>
      <w:r w:rsidR="00001D73" w:rsidRPr="00A57363">
        <w:rPr>
          <w:rFonts w:asciiTheme="minorHAnsi" w:hAnsiTheme="minorHAnsi"/>
        </w:rPr>
        <w:t xml:space="preserve">. </w:t>
      </w:r>
      <w:r w:rsidRPr="00A57363">
        <w:rPr>
          <w:rFonts w:asciiTheme="minorHAnsi" w:hAnsiTheme="minorHAnsi"/>
        </w:rPr>
        <w:t xml:space="preserve">Statistical </w:t>
      </w:r>
      <w:r w:rsidR="00092566" w:rsidRPr="00A57363">
        <w:rPr>
          <w:rFonts w:asciiTheme="minorHAnsi" w:hAnsiTheme="minorHAnsi"/>
        </w:rPr>
        <w:t>Risk Model Calibration – Risk decile plots or calibration curves:</w:t>
      </w:r>
    </w:p>
    <w:p w14:paraId="6F0D68AE" w14:textId="17D9B941" w:rsidR="00743E46" w:rsidRDefault="00517AA0" w:rsidP="00092566">
      <w:pPr>
        <w:autoSpaceDE w:val="0"/>
        <w:autoSpaceDN w:val="0"/>
        <w:adjustRightInd w:val="0"/>
        <w:spacing w:after="0" w:line="240" w:lineRule="auto"/>
        <w:rPr>
          <w:iCs/>
          <w:color w:val="0000FF"/>
        </w:rPr>
      </w:pPr>
      <w:r>
        <w:rPr>
          <w:iCs/>
          <w:color w:val="0000FF"/>
        </w:rPr>
        <w:t>Not applicable</w:t>
      </w:r>
    </w:p>
    <w:p w14:paraId="22EE8652" w14:textId="77777777" w:rsidR="000E1334" w:rsidRDefault="000E1334" w:rsidP="00092566">
      <w:pPr>
        <w:autoSpaceDE w:val="0"/>
        <w:autoSpaceDN w:val="0"/>
        <w:adjustRightInd w:val="0"/>
        <w:spacing w:after="0" w:line="240" w:lineRule="auto"/>
        <w:rPr>
          <w:rFonts w:cstheme="minorHAnsi"/>
          <w:b/>
        </w:rPr>
      </w:pPr>
    </w:p>
    <w:p w14:paraId="7075C1C9" w14:textId="77777777" w:rsidR="00092566" w:rsidRPr="00A25024" w:rsidRDefault="00743E46" w:rsidP="00092566">
      <w:pPr>
        <w:autoSpaceDE w:val="0"/>
        <w:autoSpaceDN w:val="0"/>
        <w:adjustRightInd w:val="0"/>
        <w:spacing w:after="0" w:line="240" w:lineRule="auto"/>
        <w:rPr>
          <w:rFonts w:cstheme="minorHAnsi"/>
          <w:bCs/>
        </w:rPr>
      </w:pPr>
      <w:bookmarkStart w:id="13" w:name="question2b49"/>
      <w:bookmarkEnd w:id="13"/>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047C069D" w14:textId="68D19265" w:rsidR="00C53A54" w:rsidRDefault="00DC3CF6" w:rsidP="000E1334">
      <w:pPr>
        <w:rPr>
          <w:rFonts w:cstheme="minorHAnsi"/>
          <w:b/>
          <w:bCs/>
        </w:rPr>
      </w:pPr>
      <w:r>
        <w:rPr>
          <w:color w:val="0000FF"/>
        </w:rPr>
        <w:t>Not applicable</w:t>
      </w:r>
      <w:r w:rsidRPr="00C53A54" w:rsidDel="00DC3CF6">
        <w:rPr>
          <w:iCs/>
          <w:color w:val="0000FF"/>
          <w:highlight w:val="yellow"/>
        </w:rPr>
        <w:t xml:space="preserve"> </w:t>
      </w:r>
    </w:p>
    <w:p w14:paraId="4B06F900" w14:textId="77777777" w:rsidR="00D20EEB" w:rsidRDefault="00743E46" w:rsidP="00D20EEB">
      <w:pPr>
        <w:rPr>
          <w:rFonts w:cstheme="minorHAnsi"/>
          <w:bCs/>
        </w:rPr>
      </w:pPr>
      <w:r>
        <w:rPr>
          <w:rFonts w:cstheme="minorHAnsi"/>
          <w:b/>
          <w:bCs/>
        </w:rPr>
        <w:t>2b4.10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p>
    <w:p w14:paraId="78616259" w14:textId="2E284B16" w:rsidR="00D20EEB" w:rsidRPr="001B4B1B" w:rsidRDefault="00D20EEB" w:rsidP="00D20EEB">
      <w:r w:rsidRPr="001B4B1B">
        <w:rPr>
          <w:iCs/>
          <w:color w:val="0000FF"/>
        </w:rPr>
        <w:t xml:space="preserve">In summary, our results demonstrate reasonable predictive ability of our risk adjustment model </w:t>
      </w:r>
      <w:r>
        <w:rPr>
          <w:iCs/>
          <w:color w:val="0000FF"/>
        </w:rPr>
        <w:t>for</w:t>
      </w:r>
      <w:r w:rsidRPr="001B4B1B">
        <w:rPr>
          <w:iCs/>
          <w:color w:val="0000FF"/>
        </w:rPr>
        <w:t xml:space="preserve"> IRFs</w:t>
      </w:r>
      <w:r>
        <w:rPr>
          <w:iCs/>
          <w:color w:val="0000FF"/>
        </w:rPr>
        <w:t>.</w:t>
      </w:r>
      <w:r w:rsidRPr="001B4B1B">
        <w:rPr>
          <w:iCs/>
          <w:color w:val="0000FF"/>
        </w:rPr>
        <w:t xml:space="preserve"> </w:t>
      </w:r>
      <w:r w:rsidRPr="001B4B1B">
        <w:t xml:space="preserve"> </w:t>
      </w:r>
    </w:p>
    <w:p w14:paraId="533C1D99" w14:textId="354DD6C5" w:rsidR="00021170" w:rsidRDefault="009B1A15" w:rsidP="009B1A15">
      <w:pPr>
        <w:spacing w:after="0" w:line="240" w:lineRule="auto"/>
        <w:rPr>
          <w:rFonts w:cstheme="minorHAnsi"/>
        </w:rPr>
      </w:pPr>
      <w:r w:rsidRPr="009B1A15">
        <w:rPr>
          <w:rFonts w:cstheme="minorHAnsi"/>
          <w:b/>
          <w:highlight w:val="green"/>
        </w:rPr>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14:paraId="1EB4690C" w14:textId="0A2EC236" w:rsidR="000E1334" w:rsidRPr="000E1334" w:rsidRDefault="000E1334" w:rsidP="000E1334">
      <w:pPr>
        <w:pStyle w:val="ListParagraph"/>
        <w:spacing w:after="0"/>
        <w:ind w:left="0"/>
        <w:rPr>
          <w:iCs/>
          <w:color w:val="0000FF"/>
        </w:rPr>
      </w:pPr>
      <w:r w:rsidRPr="000E1334">
        <w:rPr>
          <w:iCs/>
          <w:color w:val="0000FF"/>
        </w:rPr>
        <w:t>None.</w:t>
      </w:r>
    </w:p>
    <w:p w14:paraId="51C96F2C" w14:textId="77777777" w:rsidR="00E44F62" w:rsidRDefault="00E44F62">
      <w:pPr>
        <w:rPr>
          <w:rFonts w:cstheme="minorHAnsi"/>
          <w:bCs/>
        </w:rPr>
      </w:pPr>
      <w:r>
        <w:rPr>
          <w:rFonts w:cstheme="minorHAnsi"/>
          <w:bCs/>
        </w:rPr>
        <w:br w:type="page"/>
      </w:r>
    </w:p>
    <w:p w14:paraId="44484B40" w14:textId="4E19E094" w:rsidR="00D61410" w:rsidRPr="00A25024" w:rsidRDefault="00D61410" w:rsidP="00D61410">
      <w:pPr>
        <w:autoSpaceDE w:val="0"/>
        <w:autoSpaceDN w:val="0"/>
        <w:adjustRightInd w:val="0"/>
        <w:spacing w:after="0" w:line="240" w:lineRule="auto"/>
        <w:rPr>
          <w:rFonts w:cstheme="minorHAnsi"/>
          <w:bCs/>
        </w:rPr>
      </w:pPr>
      <w:r>
        <w:rPr>
          <w:rFonts w:cstheme="minorHAnsi"/>
          <w:bCs/>
        </w:rPr>
        <w:lastRenderedPageBreak/>
        <w:t>_______________________</w:t>
      </w:r>
    </w:p>
    <w:p w14:paraId="247BB9D5" w14:textId="77777777" w:rsidR="00D61410" w:rsidRPr="00A25024" w:rsidRDefault="00D61410" w:rsidP="00D61410">
      <w:pPr>
        <w:autoSpaceDE w:val="0"/>
        <w:autoSpaceDN w:val="0"/>
        <w:adjustRightInd w:val="0"/>
        <w:spacing w:after="0" w:line="240" w:lineRule="auto"/>
        <w:rPr>
          <w:rFonts w:cstheme="minorHAnsi"/>
          <w:b/>
          <w:bCs/>
        </w:rPr>
      </w:pPr>
      <w:bookmarkStart w:id="14" w:name="section2b5"/>
      <w:bookmarkEnd w:id="14"/>
      <w:r w:rsidRPr="00A25024">
        <w:rPr>
          <w:rFonts w:cstheme="minorHAnsi"/>
          <w:b/>
          <w:bCs/>
        </w:rPr>
        <w:t>2b5. IDENTIFICATION OF STATISTICALLY SIGNIFICANT &amp; MEANINGFUL DIFFERENCES IN PERFORMANCE</w:t>
      </w:r>
    </w:p>
    <w:p w14:paraId="4664DE3E" w14:textId="77777777" w:rsidR="00D20EEB" w:rsidRPr="00A754D8" w:rsidRDefault="00D61410" w:rsidP="00D20EEB">
      <w:pPr>
        <w:autoSpaceDE w:val="0"/>
        <w:autoSpaceDN w:val="0"/>
        <w:adjustRightInd w:val="0"/>
        <w:spacing w:after="0" w:line="240" w:lineRule="auto"/>
        <w:rPr>
          <w:rFonts w:cstheme="minorHAnsi"/>
          <w:bCs/>
          <w:color w:val="0000FF"/>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Pr="00A25024">
        <w:rPr>
          <w:rFonts w:cstheme="minorHAnsi"/>
          <w:bCs/>
        </w:rPr>
        <w:br/>
        <w:t xml:space="preserve"> </w:t>
      </w:r>
      <w:r w:rsidR="00D20EEB" w:rsidRPr="00A754D8">
        <w:rPr>
          <w:rFonts w:cstheme="minorHAnsi"/>
          <w:bCs/>
          <w:color w:val="0000FF"/>
        </w:rPr>
        <w:t>No analyses conducted.</w:t>
      </w:r>
    </w:p>
    <w:p w14:paraId="3994E337" w14:textId="77777777" w:rsidR="00D61410" w:rsidRPr="00A25024" w:rsidRDefault="00D61410" w:rsidP="00D61410">
      <w:pPr>
        <w:autoSpaceDE w:val="0"/>
        <w:autoSpaceDN w:val="0"/>
        <w:adjustRightInd w:val="0"/>
        <w:spacing w:after="0" w:line="240" w:lineRule="auto"/>
        <w:rPr>
          <w:rFonts w:cstheme="minorHAnsi"/>
          <w:bCs/>
        </w:rPr>
      </w:pPr>
    </w:p>
    <w:p w14:paraId="1A45A715" w14:textId="77777777" w:rsidR="00D20EEB" w:rsidRPr="00A754D8" w:rsidRDefault="00D61410" w:rsidP="00D20EEB">
      <w:pPr>
        <w:autoSpaceDE w:val="0"/>
        <w:autoSpaceDN w:val="0"/>
        <w:adjustRightInd w:val="0"/>
        <w:spacing w:after="0" w:line="240" w:lineRule="auto"/>
        <w:rPr>
          <w:bCs/>
          <w:color w:val="0000FF"/>
        </w:rPr>
      </w:pPr>
      <w:r>
        <w:rPr>
          <w:rFonts w:cstheme="minorHAnsi"/>
          <w:b/>
          <w:bCs/>
        </w:rPr>
        <w:t xml:space="preserve">2b5.2. </w:t>
      </w:r>
      <w:proofErr w:type="gramStart"/>
      <w:r w:rsidRPr="00A25024">
        <w:rPr>
          <w:rFonts w:cstheme="minorHAnsi"/>
          <w:b/>
          <w:bCs/>
        </w:rPr>
        <w:t>What</w:t>
      </w:r>
      <w:proofErr w:type="gramEnd"/>
      <w:r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r w:rsidR="00D20EEB" w:rsidRPr="00A754D8">
        <w:rPr>
          <w:bCs/>
          <w:color w:val="0000FF"/>
        </w:rPr>
        <w:t>Not applicable.</w:t>
      </w:r>
    </w:p>
    <w:p w14:paraId="1FDD8FB9" w14:textId="77777777" w:rsidR="00BC6811" w:rsidRPr="00A57363" w:rsidRDefault="00BC6811" w:rsidP="00BC6811">
      <w:pPr>
        <w:autoSpaceDE w:val="0"/>
        <w:autoSpaceDN w:val="0"/>
        <w:adjustRightInd w:val="0"/>
        <w:spacing w:after="0" w:line="240" w:lineRule="auto"/>
        <w:rPr>
          <w:b/>
          <w:sz w:val="20"/>
        </w:rPr>
      </w:pPr>
    </w:p>
    <w:p w14:paraId="7D2783F4" w14:textId="00FB614C" w:rsidR="00D20EEB" w:rsidRPr="00A754D8" w:rsidRDefault="00D61410" w:rsidP="00D20EEB">
      <w:pPr>
        <w:autoSpaceDE w:val="0"/>
        <w:autoSpaceDN w:val="0"/>
        <w:adjustRightInd w:val="0"/>
        <w:spacing w:after="0" w:line="240" w:lineRule="auto"/>
        <w:rPr>
          <w:bCs/>
          <w:color w:val="0000FF"/>
        </w:rPr>
      </w:pPr>
      <w:r>
        <w:rPr>
          <w:rFonts w:cstheme="minorHAnsi"/>
          <w:b/>
          <w:bCs/>
        </w:rPr>
        <w:t xml:space="preserve">2b5.3.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r w:rsidR="00D20EEB" w:rsidRPr="00A754D8">
        <w:rPr>
          <w:bCs/>
          <w:color w:val="0000FF"/>
        </w:rPr>
        <w:t>Not applicable.</w:t>
      </w:r>
    </w:p>
    <w:p w14:paraId="0B767E93" w14:textId="46D047CC" w:rsidR="0086464B" w:rsidRDefault="0086464B" w:rsidP="0086464B">
      <w:pPr>
        <w:spacing w:after="0" w:line="240" w:lineRule="auto"/>
        <w:rPr>
          <w:rFonts w:cstheme="minorHAnsi"/>
          <w:b/>
          <w:bCs/>
        </w:rPr>
      </w:pPr>
      <w:r>
        <w:rPr>
          <w:rFonts w:cstheme="minorHAnsi"/>
          <w:b/>
          <w:bCs/>
        </w:rPr>
        <w:t>______________________________________</w:t>
      </w:r>
    </w:p>
    <w:p w14:paraId="5BE2884B" w14:textId="77777777"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14:paraId="1C939C9C"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65EBCDB5" w14:textId="77777777" w:rsidR="002E7ACD" w:rsidRDefault="002E7ACD" w:rsidP="00DB3627">
      <w:pPr>
        <w:autoSpaceDE w:val="0"/>
        <w:autoSpaceDN w:val="0"/>
        <w:adjustRightInd w:val="0"/>
        <w:spacing w:after="0" w:line="240" w:lineRule="auto"/>
        <w:rPr>
          <w:rFonts w:cstheme="minorHAnsi"/>
          <w:b/>
          <w:bCs/>
        </w:rPr>
      </w:pPr>
    </w:p>
    <w:p w14:paraId="223F8C12" w14:textId="77777777"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w:t>
      </w:r>
      <w:proofErr w:type="spellStart"/>
      <w:r w:rsidR="00840A41">
        <w:rPr>
          <w:rFonts w:cstheme="minorHAnsi"/>
          <w:bCs/>
          <w:i/>
        </w:rPr>
        <w:t>eMeasures</w:t>
      </w:r>
      <w:proofErr w:type="spellEnd"/>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14:paraId="7AED56EB" w14:textId="77777777" w:rsidR="000F06B5" w:rsidRPr="00A25024" w:rsidRDefault="000F06B5" w:rsidP="00DB3627">
      <w:pPr>
        <w:autoSpaceDE w:val="0"/>
        <w:autoSpaceDN w:val="0"/>
        <w:adjustRightInd w:val="0"/>
        <w:spacing w:after="0" w:line="240" w:lineRule="auto"/>
        <w:rPr>
          <w:rFonts w:cstheme="minorHAnsi"/>
          <w:bCs/>
        </w:rPr>
      </w:pPr>
    </w:p>
    <w:p w14:paraId="7E2C610A" w14:textId="46581F91" w:rsidR="000F06B5" w:rsidRPr="00A25024" w:rsidRDefault="00E1508F" w:rsidP="00DB3627">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proofErr w:type="gramStart"/>
      <w:r w:rsidR="000F06B5" w:rsidRPr="00A25024">
        <w:rPr>
          <w:rFonts w:cstheme="minorHAnsi"/>
          <w:bCs/>
        </w:rPr>
        <w:t>)</w:t>
      </w:r>
      <w:proofErr w:type="gramEnd"/>
      <w:r w:rsidR="000F06B5" w:rsidRPr="00A25024">
        <w:rPr>
          <w:rFonts w:cstheme="minorHAnsi"/>
          <w:bCs/>
        </w:rPr>
        <w:br/>
      </w:r>
      <w:r w:rsidR="00DD1CF6">
        <w:rPr>
          <w:iCs/>
          <w:color w:val="0000FF"/>
        </w:rPr>
        <w:t>Not applicable</w:t>
      </w:r>
    </w:p>
    <w:p w14:paraId="0793BD97"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49DCEE32" w14:textId="70529DDD" w:rsidR="00A35F8F" w:rsidRDefault="00E1508F" w:rsidP="00E1508F">
      <w:pPr>
        <w:autoSpaceDE w:val="0"/>
        <w:autoSpaceDN w:val="0"/>
        <w:adjustRightInd w:val="0"/>
        <w:spacing w:after="0" w:line="240" w:lineRule="auto"/>
        <w:rPr>
          <w:rFonts w:cstheme="minorHAnsi"/>
          <w:bCs/>
        </w:rPr>
      </w:pPr>
      <w:r>
        <w:rPr>
          <w:rFonts w:cstheme="minorHAnsi"/>
          <w:b/>
          <w:bCs/>
        </w:rPr>
        <w:t xml:space="preserve">2b6.2.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r w:rsidR="00DD1CF6">
        <w:rPr>
          <w:iCs/>
          <w:color w:val="0000FF"/>
        </w:rPr>
        <w:t>Not applicable</w:t>
      </w:r>
    </w:p>
    <w:p w14:paraId="3BAAD1AD" w14:textId="77777777" w:rsidR="00E1508F" w:rsidRPr="00E1508F" w:rsidRDefault="00E1508F" w:rsidP="00E1508F">
      <w:pPr>
        <w:autoSpaceDE w:val="0"/>
        <w:autoSpaceDN w:val="0"/>
        <w:adjustRightInd w:val="0"/>
        <w:spacing w:after="0" w:line="240" w:lineRule="auto"/>
        <w:rPr>
          <w:rFonts w:cstheme="minorHAnsi"/>
          <w:bCs/>
        </w:rPr>
      </w:pPr>
    </w:p>
    <w:p w14:paraId="666808BC" w14:textId="23548C98" w:rsidR="0079180E" w:rsidRDefault="00E1508F" w:rsidP="00DB3627">
      <w:pPr>
        <w:autoSpaceDE w:val="0"/>
        <w:autoSpaceDN w:val="0"/>
        <w:adjustRightInd w:val="0"/>
        <w:spacing w:after="0" w:line="240" w:lineRule="auto"/>
        <w:rPr>
          <w:rFonts w:cstheme="minorHAnsi"/>
          <w:bCs/>
        </w:rPr>
      </w:pPr>
      <w:r>
        <w:rPr>
          <w:rFonts w:cstheme="minorHAnsi"/>
          <w:b/>
          <w:bCs/>
        </w:rPr>
        <w:t xml:space="preserve">2b6.3.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r w:rsidR="00DD1CF6">
        <w:rPr>
          <w:iCs/>
          <w:color w:val="0000FF"/>
        </w:rPr>
        <w:t>Not applicable</w:t>
      </w:r>
    </w:p>
    <w:p w14:paraId="4023FB79" w14:textId="77777777" w:rsidR="008F7E67" w:rsidRDefault="008F7E67" w:rsidP="008F7E67">
      <w:pPr>
        <w:spacing w:after="0" w:line="240" w:lineRule="auto"/>
        <w:rPr>
          <w:rFonts w:cstheme="minorHAnsi"/>
          <w:b/>
          <w:bCs/>
        </w:rPr>
      </w:pPr>
      <w:r>
        <w:rPr>
          <w:rFonts w:cstheme="minorHAnsi"/>
          <w:b/>
          <w:bCs/>
        </w:rPr>
        <w:t>_______________________________________</w:t>
      </w:r>
    </w:p>
    <w:p w14:paraId="3F732F5E" w14:textId="77777777"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40ECFDE5" w14:textId="77777777" w:rsidR="008F7E67" w:rsidRDefault="008F7E67" w:rsidP="008F7E67">
      <w:pPr>
        <w:autoSpaceDE w:val="0"/>
        <w:autoSpaceDN w:val="0"/>
        <w:adjustRightInd w:val="0"/>
        <w:spacing w:after="0" w:line="240" w:lineRule="auto"/>
        <w:rPr>
          <w:rFonts w:cstheme="minorHAnsi"/>
          <w:bCs/>
        </w:rPr>
      </w:pPr>
    </w:p>
    <w:p w14:paraId="5ED4FE60" w14:textId="3DBFD019" w:rsidR="008F7E67" w:rsidRPr="00A25024"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w:t>
      </w:r>
      <w:r w:rsidR="00771B2A" w:rsidRPr="006A028C">
        <w:rPr>
          <w:rFonts w:ascii="Calibri" w:eastAsia="Calibri" w:hAnsi="Calibri" w:cs="Calibri"/>
        </w:rPr>
        <w:lastRenderedPageBreak/>
        <w:t xml:space="preserve">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t xml:space="preserve"> </w:t>
      </w:r>
      <w:r w:rsidR="000E1334" w:rsidRPr="0070381D">
        <w:rPr>
          <w:rFonts w:ascii="Calibri" w:eastAsia="Calibri" w:hAnsi="Calibri" w:cs="Times New Roman"/>
          <w:color w:val="0000FF"/>
        </w:rPr>
        <w:t xml:space="preserve">We ran frequencies of missing data for each </w:t>
      </w:r>
      <w:r w:rsidR="000E1334">
        <w:rPr>
          <w:rFonts w:ascii="Calibri" w:eastAsia="Calibri" w:hAnsi="Calibri" w:cs="Times New Roman"/>
          <w:color w:val="0000FF"/>
        </w:rPr>
        <w:t xml:space="preserve">self-care </w:t>
      </w:r>
      <w:r w:rsidR="000E1334" w:rsidRPr="0070381D">
        <w:rPr>
          <w:rFonts w:ascii="Calibri" w:eastAsia="Calibri" w:hAnsi="Calibri" w:cs="Times New Roman"/>
          <w:color w:val="0000FF"/>
        </w:rPr>
        <w:t>item.</w:t>
      </w:r>
    </w:p>
    <w:p w14:paraId="2C2F8DF4" w14:textId="77777777" w:rsidR="008F7E67" w:rsidRPr="00A25024" w:rsidRDefault="008F7E67" w:rsidP="008F7E67">
      <w:pPr>
        <w:pStyle w:val="ListParagraph"/>
        <w:autoSpaceDE w:val="0"/>
        <w:autoSpaceDN w:val="0"/>
        <w:adjustRightInd w:val="0"/>
        <w:spacing w:after="0" w:line="240" w:lineRule="auto"/>
        <w:ind w:left="0"/>
        <w:rPr>
          <w:rFonts w:cstheme="minorHAnsi"/>
          <w:bCs/>
        </w:rPr>
      </w:pPr>
    </w:p>
    <w:p w14:paraId="7D96FB4F" w14:textId="19428199" w:rsidR="00733EF6" w:rsidRDefault="008F7E67" w:rsidP="008F7E67">
      <w:pPr>
        <w:autoSpaceDE w:val="0"/>
        <w:autoSpaceDN w:val="0"/>
        <w:adjustRightInd w:val="0"/>
        <w:spacing w:after="0" w:line="240" w:lineRule="auto"/>
        <w:rPr>
          <w:color w:val="0000FF"/>
        </w:rPr>
      </w:pPr>
      <w:r>
        <w:rPr>
          <w:rFonts w:cstheme="minorHAnsi"/>
          <w:b/>
          <w:bCs/>
        </w:rPr>
        <w:t xml:space="preserve">2b7.2.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p>
    <w:p w14:paraId="6A22FB96" w14:textId="6812D548" w:rsidR="00D36B2E" w:rsidRPr="00A754D8" w:rsidRDefault="004A0F33" w:rsidP="004A0F33">
      <w:pPr>
        <w:autoSpaceDE w:val="0"/>
        <w:autoSpaceDN w:val="0"/>
        <w:adjustRightInd w:val="0"/>
        <w:spacing w:after="0"/>
        <w:rPr>
          <w:rFonts w:cstheme="minorHAnsi"/>
          <w:bCs/>
          <w:color w:val="0000FF"/>
        </w:rPr>
      </w:pPr>
      <w:r>
        <w:rPr>
          <w:rFonts w:cstheme="minorHAnsi"/>
          <w:bCs/>
          <w:color w:val="0000FF"/>
        </w:rPr>
        <w:t>T</w:t>
      </w:r>
      <w:r w:rsidR="00D36B2E" w:rsidRPr="00A754D8">
        <w:rPr>
          <w:rFonts w:cstheme="minorHAnsi"/>
          <w:bCs/>
          <w:color w:val="0000FF"/>
        </w:rPr>
        <w:t>he frequencies of missing data for each self-care item using data from the Po</w:t>
      </w:r>
      <w:r>
        <w:rPr>
          <w:rFonts w:cstheme="minorHAnsi"/>
          <w:bCs/>
          <w:color w:val="0000FF"/>
        </w:rPr>
        <w:t>s</w:t>
      </w:r>
      <w:r w:rsidR="00D36B2E" w:rsidRPr="00A754D8">
        <w:rPr>
          <w:rFonts w:cstheme="minorHAnsi"/>
          <w:bCs/>
          <w:color w:val="0000FF"/>
        </w:rPr>
        <w:t>t-Acute Care Payment Reform Demonstration</w:t>
      </w:r>
      <w:r>
        <w:rPr>
          <w:rFonts w:cstheme="minorHAnsi"/>
          <w:bCs/>
          <w:color w:val="0000FF"/>
        </w:rPr>
        <w:t xml:space="preserve"> are reported in </w:t>
      </w:r>
      <w:r w:rsidRPr="00481DFD">
        <w:rPr>
          <w:rFonts w:cstheme="minorHAnsi"/>
          <w:b/>
          <w:color w:val="0000FF"/>
        </w:rPr>
        <w:t xml:space="preserve">Table </w:t>
      </w:r>
      <w:r w:rsidR="00224F76">
        <w:rPr>
          <w:rFonts w:cstheme="minorHAnsi"/>
          <w:b/>
          <w:color w:val="0000FF"/>
        </w:rPr>
        <w:t>8</w:t>
      </w:r>
      <w:r>
        <w:rPr>
          <w:rFonts w:cstheme="minorHAnsi"/>
          <w:b/>
          <w:color w:val="0000FF"/>
        </w:rPr>
        <w:t xml:space="preserve"> </w:t>
      </w:r>
      <w:r w:rsidRPr="004A0F33">
        <w:rPr>
          <w:rFonts w:cstheme="minorHAnsi"/>
          <w:bCs/>
          <w:color w:val="0000FF"/>
        </w:rPr>
        <w:t>at admission, discharge and combined. Overall, less than one percent of data was missing</w:t>
      </w:r>
      <w:r w:rsidR="00D36B2E" w:rsidRPr="004A0F33">
        <w:rPr>
          <w:rFonts w:cstheme="minorHAnsi"/>
          <w:bCs/>
          <w:color w:val="0000FF"/>
        </w:rPr>
        <w:t>.</w:t>
      </w:r>
      <w:r w:rsidR="00D36B2E" w:rsidRPr="00A754D8">
        <w:rPr>
          <w:rFonts w:cstheme="minorHAnsi"/>
          <w:bCs/>
          <w:color w:val="0000FF"/>
        </w:rPr>
        <w:t xml:space="preserve"> </w:t>
      </w:r>
    </w:p>
    <w:p w14:paraId="5B1AA8DE" w14:textId="77777777" w:rsidR="00D36B2E" w:rsidRDefault="00D36B2E" w:rsidP="00D36B2E">
      <w:pPr>
        <w:autoSpaceDE w:val="0"/>
        <w:autoSpaceDN w:val="0"/>
        <w:adjustRightInd w:val="0"/>
        <w:spacing w:after="0"/>
        <w:rPr>
          <w:color w:val="0000FF"/>
        </w:rPr>
      </w:pPr>
    </w:p>
    <w:p w14:paraId="28CD44C3" w14:textId="035B3589" w:rsidR="00D36B2E" w:rsidRPr="00CA1FF6" w:rsidRDefault="00D36B2E" w:rsidP="009F5B53">
      <w:pPr>
        <w:autoSpaceDE w:val="0"/>
        <w:autoSpaceDN w:val="0"/>
        <w:adjustRightInd w:val="0"/>
        <w:spacing w:after="0"/>
        <w:rPr>
          <w:rFonts w:eastAsia="Calibri" w:cs="Times New Roman"/>
          <w:b/>
          <w:bCs/>
          <w:color w:val="0000FF"/>
        </w:rPr>
      </w:pPr>
      <w:r w:rsidRPr="00CA1FF6">
        <w:rPr>
          <w:b/>
          <w:bCs/>
          <w:color w:val="0000FF"/>
        </w:rPr>
        <w:t xml:space="preserve">Table </w:t>
      </w:r>
      <w:r w:rsidR="00224F76">
        <w:rPr>
          <w:b/>
          <w:bCs/>
          <w:color w:val="0000FF"/>
        </w:rPr>
        <w:t>8</w:t>
      </w:r>
      <w:r w:rsidRPr="00CA1FF6">
        <w:rPr>
          <w:b/>
          <w:bCs/>
          <w:color w:val="0000FF"/>
        </w:rPr>
        <w:t xml:space="preserve">. </w:t>
      </w:r>
      <w:r w:rsidRPr="00CA1FF6">
        <w:rPr>
          <w:rFonts w:eastAsia="Calibri" w:cs="Times New Roman"/>
          <w:b/>
          <w:bCs/>
          <w:color w:val="0000FF"/>
        </w:rPr>
        <w:t>Frequencies of Missing Data: IRF Patients and IRF Self-Care Quality Measure items</w:t>
      </w:r>
    </w:p>
    <w:p w14:paraId="65D3A6D5" w14:textId="77777777" w:rsidR="00D36B2E" w:rsidRPr="001B4B1B" w:rsidRDefault="00D36B2E" w:rsidP="00D36B2E">
      <w:pPr>
        <w:autoSpaceDE w:val="0"/>
        <w:autoSpaceDN w:val="0"/>
        <w:adjustRightInd w:val="0"/>
        <w:spacing w:after="0"/>
        <w:rPr>
          <w:color w:val="0000FF"/>
        </w:rPr>
      </w:pPr>
    </w:p>
    <w:tbl>
      <w:tblPr>
        <w:tblW w:w="9040" w:type="dxa"/>
        <w:tblInd w:w="103" w:type="dxa"/>
        <w:tblLook w:val="04A0" w:firstRow="1" w:lastRow="0" w:firstColumn="1" w:lastColumn="0" w:noHBand="0" w:noVBand="1"/>
      </w:tblPr>
      <w:tblGrid>
        <w:gridCol w:w="2080"/>
        <w:gridCol w:w="1160"/>
        <w:gridCol w:w="1160"/>
        <w:gridCol w:w="1160"/>
        <w:gridCol w:w="1160"/>
        <w:gridCol w:w="1160"/>
        <w:gridCol w:w="1160"/>
      </w:tblGrid>
      <w:tr w:rsidR="009246BA" w:rsidRPr="001B4B1B" w14:paraId="56BB07B1" w14:textId="77777777" w:rsidTr="00E170B1">
        <w:trPr>
          <w:trHeight w:val="300"/>
        </w:trPr>
        <w:tc>
          <w:tcPr>
            <w:tcW w:w="2080" w:type="dxa"/>
            <w:tcBorders>
              <w:top w:val="single" w:sz="4" w:space="0" w:color="auto"/>
              <w:bottom w:val="single" w:sz="4" w:space="0" w:color="auto"/>
            </w:tcBorders>
            <w:shd w:val="clear" w:color="auto" w:fill="auto"/>
            <w:noWrap/>
            <w:vAlign w:val="bottom"/>
          </w:tcPr>
          <w:p w14:paraId="507EFA3E" w14:textId="77777777" w:rsidR="009246BA" w:rsidRPr="00CA1FF6" w:rsidRDefault="009246BA" w:rsidP="00AD4168">
            <w:pPr>
              <w:spacing w:after="0"/>
              <w:rPr>
                <w:rFonts w:eastAsia="Calibri" w:cs="Times New Roman"/>
                <w:b/>
                <w:bCs/>
                <w:color w:val="0000FF"/>
              </w:rPr>
            </w:pPr>
          </w:p>
        </w:tc>
        <w:tc>
          <w:tcPr>
            <w:tcW w:w="2320" w:type="dxa"/>
            <w:gridSpan w:val="2"/>
            <w:tcBorders>
              <w:top w:val="single" w:sz="4" w:space="0" w:color="auto"/>
              <w:bottom w:val="single" w:sz="4" w:space="0" w:color="auto"/>
            </w:tcBorders>
            <w:shd w:val="clear" w:color="auto" w:fill="auto"/>
            <w:noWrap/>
            <w:vAlign w:val="center"/>
          </w:tcPr>
          <w:p w14:paraId="1582B7B4" w14:textId="77777777" w:rsidR="009246BA" w:rsidRPr="00CA1FF6" w:rsidRDefault="009246BA" w:rsidP="009246BA">
            <w:pPr>
              <w:spacing w:after="0"/>
              <w:jc w:val="center"/>
              <w:rPr>
                <w:rFonts w:eastAsia="Calibri" w:cs="Times New Roman"/>
                <w:b/>
                <w:bCs/>
                <w:color w:val="0000FF"/>
              </w:rPr>
            </w:pPr>
            <w:r w:rsidRPr="00CA1FF6">
              <w:rPr>
                <w:rFonts w:eastAsia="Calibri" w:cs="Times New Roman"/>
                <w:b/>
                <w:bCs/>
                <w:color w:val="0000FF"/>
              </w:rPr>
              <w:t xml:space="preserve">IRF </w:t>
            </w:r>
            <w:r>
              <w:rPr>
                <w:rFonts w:eastAsia="Calibri" w:cs="Times New Roman"/>
                <w:b/>
                <w:bCs/>
                <w:color w:val="0000FF"/>
              </w:rPr>
              <w:t>Overall</w:t>
            </w:r>
          </w:p>
          <w:p w14:paraId="3252FDDB" w14:textId="52CE4278" w:rsidR="009246BA" w:rsidRDefault="009246BA" w:rsidP="009246BA">
            <w:pPr>
              <w:spacing w:after="0"/>
              <w:jc w:val="center"/>
              <w:rPr>
                <w:rFonts w:eastAsia="Calibri" w:cs="Times New Roman"/>
                <w:b/>
                <w:bCs/>
                <w:color w:val="0000FF"/>
              </w:rPr>
            </w:pPr>
            <w:r w:rsidRPr="00CA1FF6">
              <w:rPr>
                <w:rFonts w:eastAsia="Calibri" w:cs="Times New Roman"/>
                <w:b/>
                <w:bCs/>
                <w:color w:val="0000FF"/>
              </w:rPr>
              <w:t>(n = 10,258)</w:t>
            </w:r>
          </w:p>
        </w:tc>
        <w:tc>
          <w:tcPr>
            <w:tcW w:w="2320" w:type="dxa"/>
            <w:gridSpan w:val="2"/>
            <w:tcBorders>
              <w:top w:val="single" w:sz="4" w:space="0" w:color="auto"/>
              <w:bottom w:val="single" w:sz="4" w:space="0" w:color="auto"/>
            </w:tcBorders>
            <w:shd w:val="clear" w:color="auto" w:fill="auto"/>
            <w:noWrap/>
            <w:vAlign w:val="center"/>
          </w:tcPr>
          <w:p w14:paraId="3B12F399" w14:textId="77777777" w:rsidR="009246BA" w:rsidRPr="00CA1FF6" w:rsidRDefault="009246BA" w:rsidP="009246BA">
            <w:pPr>
              <w:spacing w:after="0"/>
              <w:jc w:val="center"/>
              <w:rPr>
                <w:rFonts w:eastAsia="Calibri" w:cs="Times New Roman"/>
                <w:b/>
                <w:bCs/>
                <w:color w:val="0000FF"/>
              </w:rPr>
            </w:pPr>
            <w:r w:rsidRPr="00CA1FF6">
              <w:rPr>
                <w:rFonts w:eastAsia="Calibri" w:cs="Times New Roman"/>
                <w:b/>
                <w:bCs/>
                <w:color w:val="0000FF"/>
              </w:rPr>
              <w:t>IRF Admission</w:t>
            </w:r>
          </w:p>
          <w:p w14:paraId="34E19287" w14:textId="61180008" w:rsidR="009246BA" w:rsidRDefault="009246BA" w:rsidP="009246BA">
            <w:pPr>
              <w:spacing w:after="0"/>
              <w:jc w:val="center"/>
              <w:rPr>
                <w:rFonts w:eastAsia="Calibri" w:cs="Times New Roman"/>
                <w:b/>
                <w:bCs/>
                <w:color w:val="0000FF"/>
              </w:rPr>
            </w:pPr>
            <w:r w:rsidRPr="00CA1FF6">
              <w:rPr>
                <w:rFonts w:eastAsia="Calibri" w:cs="Times New Roman"/>
                <w:b/>
                <w:bCs/>
                <w:color w:val="0000FF"/>
              </w:rPr>
              <w:t>(n = 5,129)</w:t>
            </w:r>
          </w:p>
        </w:tc>
        <w:tc>
          <w:tcPr>
            <w:tcW w:w="2320" w:type="dxa"/>
            <w:gridSpan w:val="2"/>
            <w:tcBorders>
              <w:top w:val="single" w:sz="4" w:space="0" w:color="auto"/>
              <w:bottom w:val="single" w:sz="4" w:space="0" w:color="auto"/>
            </w:tcBorders>
            <w:shd w:val="clear" w:color="auto" w:fill="auto"/>
            <w:noWrap/>
            <w:vAlign w:val="center"/>
          </w:tcPr>
          <w:p w14:paraId="4637BAB7" w14:textId="77777777" w:rsidR="009246BA" w:rsidRPr="00CA1FF6" w:rsidRDefault="009246BA" w:rsidP="009246BA">
            <w:pPr>
              <w:spacing w:after="0"/>
              <w:jc w:val="center"/>
              <w:rPr>
                <w:rFonts w:eastAsia="Calibri" w:cs="Times New Roman"/>
                <w:b/>
                <w:bCs/>
                <w:color w:val="0000FF"/>
              </w:rPr>
            </w:pPr>
            <w:r w:rsidRPr="00CA1FF6">
              <w:rPr>
                <w:rFonts w:eastAsia="Calibri" w:cs="Times New Roman"/>
                <w:b/>
                <w:bCs/>
                <w:color w:val="0000FF"/>
              </w:rPr>
              <w:t>IRF Discharge</w:t>
            </w:r>
          </w:p>
          <w:p w14:paraId="4CBF01F6" w14:textId="6302D8B1" w:rsidR="009246BA" w:rsidRDefault="009246BA" w:rsidP="009246BA">
            <w:pPr>
              <w:spacing w:after="0"/>
              <w:jc w:val="center"/>
              <w:rPr>
                <w:rFonts w:eastAsia="Calibri" w:cs="Times New Roman"/>
                <w:b/>
                <w:bCs/>
                <w:color w:val="0000FF"/>
              </w:rPr>
            </w:pPr>
            <w:r w:rsidRPr="00CA1FF6">
              <w:rPr>
                <w:rFonts w:eastAsia="Calibri" w:cs="Times New Roman"/>
                <w:b/>
                <w:bCs/>
                <w:color w:val="0000FF"/>
              </w:rPr>
              <w:t>(n = 5,129)</w:t>
            </w:r>
          </w:p>
        </w:tc>
      </w:tr>
      <w:tr w:rsidR="00D36B2E" w:rsidRPr="001B4B1B" w14:paraId="0B888DE5" w14:textId="77777777" w:rsidTr="00E170B1">
        <w:trPr>
          <w:trHeight w:val="600"/>
        </w:trPr>
        <w:tc>
          <w:tcPr>
            <w:tcW w:w="2080" w:type="dxa"/>
            <w:tcBorders>
              <w:top w:val="single" w:sz="4" w:space="0" w:color="auto"/>
              <w:bottom w:val="single" w:sz="4" w:space="0" w:color="auto"/>
            </w:tcBorders>
            <w:shd w:val="clear" w:color="auto" w:fill="auto"/>
            <w:vAlign w:val="bottom"/>
            <w:hideMark/>
          </w:tcPr>
          <w:p w14:paraId="69DD81CA" w14:textId="77777777" w:rsidR="00D36B2E" w:rsidRPr="00CA1FF6" w:rsidRDefault="00D36B2E" w:rsidP="00AD4168">
            <w:pPr>
              <w:spacing w:after="0"/>
              <w:rPr>
                <w:rFonts w:eastAsia="Calibri" w:cs="Times New Roman"/>
                <w:b/>
                <w:bCs/>
                <w:color w:val="0000FF"/>
              </w:rPr>
            </w:pPr>
            <w:r w:rsidRPr="00CA1FF6">
              <w:rPr>
                <w:rFonts w:eastAsia="Calibri" w:cs="Times New Roman"/>
                <w:b/>
                <w:bCs/>
                <w:color w:val="0000FF"/>
              </w:rPr>
              <w:t> </w:t>
            </w:r>
          </w:p>
        </w:tc>
        <w:tc>
          <w:tcPr>
            <w:tcW w:w="1160" w:type="dxa"/>
            <w:tcBorders>
              <w:top w:val="single" w:sz="4" w:space="0" w:color="auto"/>
              <w:bottom w:val="single" w:sz="4" w:space="0" w:color="auto"/>
            </w:tcBorders>
            <w:shd w:val="clear" w:color="auto" w:fill="auto"/>
            <w:vAlign w:val="bottom"/>
            <w:hideMark/>
          </w:tcPr>
          <w:p w14:paraId="71C905F6" w14:textId="77777777" w:rsidR="00D36B2E" w:rsidRPr="00CA1FF6" w:rsidRDefault="00D36B2E" w:rsidP="00AD4168">
            <w:pPr>
              <w:spacing w:after="0"/>
              <w:jc w:val="center"/>
              <w:rPr>
                <w:rFonts w:eastAsia="Calibri" w:cs="Times New Roman"/>
                <w:b/>
                <w:bCs/>
                <w:color w:val="0000FF"/>
              </w:rPr>
            </w:pPr>
            <w:r w:rsidRPr="00CA1FF6">
              <w:rPr>
                <w:rFonts w:eastAsia="Calibri" w:cs="Times New Roman"/>
                <w:b/>
                <w:bCs/>
                <w:color w:val="0000FF"/>
              </w:rPr>
              <w:t>Number Missing</w:t>
            </w:r>
          </w:p>
        </w:tc>
        <w:tc>
          <w:tcPr>
            <w:tcW w:w="1160" w:type="dxa"/>
            <w:tcBorders>
              <w:top w:val="single" w:sz="4" w:space="0" w:color="auto"/>
              <w:bottom w:val="single" w:sz="4" w:space="0" w:color="auto"/>
            </w:tcBorders>
            <w:shd w:val="clear" w:color="auto" w:fill="auto"/>
            <w:vAlign w:val="bottom"/>
            <w:hideMark/>
          </w:tcPr>
          <w:p w14:paraId="47F69791" w14:textId="77777777" w:rsidR="00D36B2E" w:rsidRPr="00CA1FF6" w:rsidRDefault="00D36B2E" w:rsidP="00AD4168">
            <w:pPr>
              <w:spacing w:after="0"/>
              <w:jc w:val="center"/>
              <w:rPr>
                <w:rFonts w:eastAsia="Calibri" w:cs="Times New Roman"/>
                <w:b/>
                <w:bCs/>
                <w:color w:val="0000FF"/>
              </w:rPr>
            </w:pPr>
            <w:r w:rsidRPr="00CA1FF6">
              <w:rPr>
                <w:rFonts w:eastAsia="Calibri" w:cs="Times New Roman"/>
                <w:b/>
                <w:bCs/>
                <w:color w:val="0000FF"/>
              </w:rPr>
              <w:t>Percent Missing</w:t>
            </w:r>
          </w:p>
        </w:tc>
        <w:tc>
          <w:tcPr>
            <w:tcW w:w="1160" w:type="dxa"/>
            <w:tcBorders>
              <w:top w:val="single" w:sz="4" w:space="0" w:color="auto"/>
              <w:bottom w:val="single" w:sz="4" w:space="0" w:color="auto"/>
            </w:tcBorders>
            <w:shd w:val="clear" w:color="auto" w:fill="auto"/>
            <w:vAlign w:val="bottom"/>
            <w:hideMark/>
          </w:tcPr>
          <w:p w14:paraId="5A21706A" w14:textId="77777777" w:rsidR="00D36B2E" w:rsidRPr="00CA1FF6" w:rsidRDefault="00D36B2E" w:rsidP="00AD4168">
            <w:pPr>
              <w:spacing w:after="0"/>
              <w:jc w:val="center"/>
              <w:rPr>
                <w:rFonts w:eastAsia="Calibri" w:cs="Times New Roman"/>
                <w:b/>
                <w:bCs/>
                <w:color w:val="0000FF"/>
              </w:rPr>
            </w:pPr>
            <w:r w:rsidRPr="00CA1FF6">
              <w:rPr>
                <w:rFonts w:eastAsia="Calibri" w:cs="Times New Roman"/>
                <w:b/>
                <w:bCs/>
                <w:color w:val="0000FF"/>
              </w:rPr>
              <w:t>Number Missing</w:t>
            </w:r>
          </w:p>
        </w:tc>
        <w:tc>
          <w:tcPr>
            <w:tcW w:w="1160" w:type="dxa"/>
            <w:tcBorders>
              <w:top w:val="single" w:sz="4" w:space="0" w:color="auto"/>
              <w:bottom w:val="single" w:sz="4" w:space="0" w:color="auto"/>
            </w:tcBorders>
            <w:shd w:val="clear" w:color="auto" w:fill="auto"/>
            <w:vAlign w:val="bottom"/>
            <w:hideMark/>
          </w:tcPr>
          <w:p w14:paraId="4FE26B13" w14:textId="77777777" w:rsidR="00D36B2E" w:rsidRPr="00CA1FF6" w:rsidRDefault="00D36B2E" w:rsidP="00AD4168">
            <w:pPr>
              <w:spacing w:after="0"/>
              <w:jc w:val="center"/>
              <w:rPr>
                <w:rFonts w:eastAsia="Calibri" w:cs="Times New Roman"/>
                <w:b/>
                <w:bCs/>
                <w:color w:val="0000FF"/>
              </w:rPr>
            </w:pPr>
            <w:r w:rsidRPr="00CA1FF6">
              <w:rPr>
                <w:rFonts w:eastAsia="Calibri" w:cs="Times New Roman"/>
                <w:b/>
                <w:bCs/>
                <w:color w:val="0000FF"/>
              </w:rPr>
              <w:t>Percent Missing</w:t>
            </w:r>
          </w:p>
        </w:tc>
        <w:tc>
          <w:tcPr>
            <w:tcW w:w="1160" w:type="dxa"/>
            <w:tcBorders>
              <w:top w:val="single" w:sz="4" w:space="0" w:color="auto"/>
              <w:bottom w:val="single" w:sz="4" w:space="0" w:color="auto"/>
            </w:tcBorders>
            <w:shd w:val="clear" w:color="auto" w:fill="auto"/>
            <w:vAlign w:val="bottom"/>
            <w:hideMark/>
          </w:tcPr>
          <w:p w14:paraId="3C328634" w14:textId="77777777" w:rsidR="00D36B2E" w:rsidRPr="00CA1FF6" w:rsidRDefault="00D36B2E" w:rsidP="00AD4168">
            <w:pPr>
              <w:spacing w:after="0"/>
              <w:jc w:val="center"/>
              <w:rPr>
                <w:rFonts w:eastAsia="Calibri" w:cs="Times New Roman"/>
                <w:b/>
                <w:bCs/>
                <w:color w:val="0000FF"/>
              </w:rPr>
            </w:pPr>
            <w:r w:rsidRPr="00CA1FF6">
              <w:rPr>
                <w:rFonts w:eastAsia="Calibri" w:cs="Times New Roman"/>
                <w:b/>
                <w:bCs/>
                <w:color w:val="0000FF"/>
              </w:rPr>
              <w:t>Number Missing</w:t>
            </w:r>
          </w:p>
        </w:tc>
        <w:tc>
          <w:tcPr>
            <w:tcW w:w="1160" w:type="dxa"/>
            <w:tcBorders>
              <w:top w:val="single" w:sz="4" w:space="0" w:color="auto"/>
              <w:bottom w:val="single" w:sz="4" w:space="0" w:color="auto"/>
            </w:tcBorders>
            <w:shd w:val="clear" w:color="auto" w:fill="auto"/>
            <w:vAlign w:val="bottom"/>
            <w:hideMark/>
          </w:tcPr>
          <w:p w14:paraId="79534B9C" w14:textId="77777777" w:rsidR="00D36B2E" w:rsidRPr="00CA1FF6" w:rsidRDefault="00D36B2E" w:rsidP="00AD4168">
            <w:pPr>
              <w:spacing w:after="0"/>
              <w:jc w:val="center"/>
              <w:rPr>
                <w:rFonts w:eastAsia="Calibri" w:cs="Times New Roman"/>
                <w:b/>
                <w:bCs/>
                <w:color w:val="0000FF"/>
              </w:rPr>
            </w:pPr>
            <w:r w:rsidRPr="00CA1FF6">
              <w:rPr>
                <w:rFonts w:eastAsia="Calibri" w:cs="Times New Roman"/>
                <w:b/>
                <w:bCs/>
                <w:color w:val="0000FF"/>
              </w:rPr>
              <w:t>Percent Missing</w:t>
            </w:r>
          </w:p>
        </w:tc>
      </w:tr>
      <w:tr w:rsidR="00D36B2E" w:rsidRPr="001B4B1B" w14:paraId="1EB48DBF" w14:textId="77777777" w:rsidTr="00E170B1">
        <w:trPr>
          <w:trHeight w:val="300"/>
        </w:trPr>
        <w:tc>
          <w:tcPr>
            <w:tcW w:w="2080" w:type="dxa"/>
            <w:tcBorders>
              <w:top w:val="single" w:sz="4" w:space="0" w:color="auto"/>
            </w:tcBorders>
            <w:shd w:val="clear" w:color="auto" w:fill="auto"/>
            <w:vAlign w:val="bottom"/>
            <w:hideMark/>
          </w:tcPr>
          <w:p w14:paraId="10B8452A" w14:textId="77777777" w:rsidR="00D36B2E" w:rsidRPr="001B4B1B" w:rsidRDefault="00D36B2E" w:rsidP="00AD4168">
            <w:pPr>
              <w:spacing w:after="0"/>
              <w:rPr>
                <w:rFonts w:eastAsia="Calibri" w:cs="Times New Roman"/>
                <w:color w:val="0000FF"/>
              </w:rPr>
            </w:pPr>
            <w:r w:rsidRPr="001B4B1B">
              <w:rPr>
                <w:rFonts w:eastAsia="Calibri" w:cs="Times New Roman"/>
                <w:color w:val="0000FF"/>
              </w:rPr>
              <w:t>Eating</w:t>
            </w:r>
          </w:p>
        </w:tc>
        <w:tc>
          <w:tcPr>
            <w:tcW w:w="1160" w:type="dxa"/>
            <w:tcBorders>
              <w:top w:val="single" w:sz="4" w:space="0" w:color="auto"/>
            </w:tcBorders>
            <w:shd w:val="clear" w:color="auto" w:fill="auto"/>
            <w:vAlign w:val="bottom"/>
            <w:hideMark/>
          </w:tcPr>
          <w:p w14:paraId="08420DDD" w14:textId="77777777" w:rsidR="00D36B2E" w:rsidRPr="001B4B1B" w:rsidRDefault="00D36B2E" w:rsidP="00AD4168">
            <w:pPr>
              <w:spacing w:after="0"/>
              <w:jc w:val="center"/>
              <w:rPr>
                <w:rFonts w:eastAsia="Calibri" w:cs="Times New Roman"/>
                <w:color w:val="0000FF"/>
              </w:rPr>
            </w:pPr>
            <w:r w:rsidRPr="001B4B1B">
              <w:rPr>
                <w:rFonts w:eastAsia="Calibri" w:cs="Times New Roman"/>
                <w:color w:val="0000FF"/>
              </w:rPr>
              <w:t>28</w:t>
            </w:r>
          </w:p>
        </w:tc>
        <w:tc>
          <w:tcPr>
            <w:tcW w:w="1160" w:type="dxa"/>
            <w:tcBorders>
              <w:top w:val="single" w:sz="4" w:space="0" w:color="auto"/>
            </w:tcBorders>
            <w:shd w:val="clear" w:color="auto" w:fill="auto"/>
            <w:vAlign w:val="bottom"/>
            <w:hideMark/>
          </w:tcPr>
          <w:p w14:paraId="691A9433" w14:textId="77777777" w:rsidR="00D36B2E" w:rsidRPr="001B4B1B" w:rsidRDefault="00D36B2E" w:rsidP="00AD4168">
            <w:pPr>
              <w:spacing w:after="0"/>
              <w:jc w:val="center"/>
              <w:rPr>
                <w:rFonts w:eastAsia="Calibri" w:cs="Times New Roman"/>
                <w:color w:val="0000FF"/>
              </w:rPr>
            </w:pPr>
            <w:r w:rsidRPr="001B4B1B">
              <w:rPr>
                <w:rFonts w:eastAsia="Calibri" w:cs="Times New Roman"/>
                <w:color w:val="0000FF"/>
              </w:rPr>
              <w:t>0.27</w:t>
            </w:r>
          </w:p>
        </w:tc>
        <w:tc>
          <w:tcPr>
            <w:tcW w:w="1160" w:type="dxa"/>
            <w:tcBorders>
              <w:top w:val="single" w:sz="4" w:space="0" w:color="auto"/>
            </w:tcBorders>
            <w:shd w:val="clear" w:color="auto" w:fill="auto"/>
            <w:vAlign w:val="bottom"/>
            <w:hideMark/>
          </w:tcPr>
          <w:p w14:paraId="3BB45C38" w14:textId="2AA537DE" w:rsidR="00D36B2E" w:rsidRPr="001B4B1B" w:rsidRDefault="00E170B1" w:rsidP="00AD4168">
            <w:pPr>
              <w:spacing w:after="0"/>
              <w:jc w:val="center"/>
              <w:rPr>
                <w:rFonts w:eastAsia="Calibri" w:cs="Times New Roman"/>
                <w:color w:val="0000FF"/>
              </w:rPr>
            </w:pPr>
            <w:r>
              <w:rPr>
                <w:rFonts w:eastAsia="Calibri" w:cs="Times New Roman"/>
                <w:color w:val="0000FF"/>
              </w:rPr>
              <w:t>+</w:t>
            </w:r>
          </w:p>
        </w:tc>
        <w:tc>
          <w:tcPr>
            <w:tcW w:w="1160" w:type="dxa"/>
            <w:tcBorders>
              <w:top w:val="single" w:sz="4" w:space="0" w:color="auto"/>
            </w:tcBorders>
            <w:shd w:val="clear" w:color="auto" w:fill="auto"/>
            <w:vAlign w:val="bottom"/>
            <w:hideMark/>
          </w:tcPr>
          <w:p w14:paraId="11429535" w14:textId="71EAF108" w:rsidR="00D36B2E" w:rsidRPr="001B4B1B" w:rsidRDefault="00E170B1" w:rsidP="00AD4168">
            <w:pPr>
              <w:spacing w:after="0"/>
              <w:jc w:val="center"/>
              <w:rPr>
                <w:rFonts w:eastAsia="Calibri" w:cs="Times New Roman"/>
                <w:color w:val="0000FF"/>
              </w:rPr>
            </w:pPr>
            <w:r>
              <w:rPr>
                <w:rFonts w:eastAsia="Calibri" w:cs="Times New Roman"/>
                <w:color w:val="0000FF"/>
              </w:rPr>
              <w:t>+</w:t>
            </w:r>
          </w:p>
        </w:tc>
        <w:tc>
          <w:tcPr>
            <w:tcW w:w="1160" w:type="dxa"/>
            <w:tcBorders>
              <w:top w:val="single" w:sz="4" w:space="0" w:color="auto"/>
            </w:tcBorders>
            <w:shd w:val="clear" w:color="auto" w:fill="auto"/>
            <w:vAlign w:val="bottom"/>
            <w:hideMark/>
          </w:tcPr>
          <w:p w14:paraId="4262C2F5" w14:textId="77777777" w:rsidR="00D36B2E" w:rsidRPr="001B4B1B" w:rsidRDefault="00D36B2E" w:rsidP="00AD4168">
            <w:pPr>
              <w:spacing w:after="0"/>
              <w:jc w:val="center"/>
              <w:rPr>
                <w:rFonts w:eastAsia="Calibri" w:cs="Times New Roman"/>
                <w:color w:val="0000FF"/>
              </w:rPr>
            </w:pPr>
            <w:r w:rsidRPr="001B4B1B">
              <w:rPr>
                <w:rFonts w:eastAsia="Calibri" w:cs="Times New Roman"/>
                <w:color w:val="0000FF"/>
              </w:rPr>
              <w:t>18</w:t>
            </w:r>
          </w:p>
        </w:tc>
        <w:tc>
          <w:tcPr>
            <w:tcW w:w="1160" w:type="dxa"/>
            <w:tcBorders>
              <w:top w:val="single" w:sz="4" w:space="0" w:color="auto"/>
            </w:tcBorders>
            <w:shd w:val="clear" w:color="auto" w:fill="auto"/>
            <w:vAlign w:val="bottom"/>
            <w:hideMark/>
          </w:tcPr>
          <w:p w14:paraId="61DE0D64" w14:textId="77777777" w:rsidR="00D36B2E" w:rsidRPr="001B4B1B" w:rsidRDefault="00D36B2E" w:rsidP="00AD4168">
            <w:pPr>
              <w:spacing w:after="0"/>
              <w:jc w:val="center"/>
              <w:rPr>
                <w:rFonts w:eastAsia="Calibri" w:cs="Times New Roman"/>
                <w:color w:val="0000FF"/>
              </w:rPr>
            </w:pPr>
            <w:r w:rsidRPr="001B4B1B">
              <w:rPr>
                <w:rFonts w:eastAsia="Calibri" w:cs="Times New Roman"/>
                <w:color w:val="0000FF"/>
              </w:rPr>
              <w:t>0.35</w:t>
            </w:r>
          </w:p>
        </w:tc>
      </w:tr>
      <w:tr w:rsidR="00D36B2E" w:rsidRPr="001B4B1B" w14:paraId="4273084F" w14:textId="77777777" w:rsidTr="00E170B1">
        <w:trPr>
          <w:trHeight w:val="300"/>
        </w:trPr>
        <w:tc>
          <w:tcPr>
            <w:tcW w:w="2080" w:type="dxa"/>
            <w:shd w:val="clear" w:color="auto" w:fill="auto"/>
            <w:vAlign w:val="bottom"/>
            <w:hideMark/>
          </w:tcPr>
          <w:p w14:paraId="0FAE98C1" w14:textId="77777777" w:rsidR="00D36B2E" w:rsidRPr="001B4B1B" w:rsidRDefault="00D36B2E" w:rsidP="00AD4168">
            <w:pPr>
              <w:spacing w:after="0"/>
              <w:rPr>
                <w:rFonts w:eastAsia="Calibri" w:cs="Times New Roman"/>
                <w:color w:val="0000FF"/>
              </w:rPr>
            </w:pPr>
            <w:r w:rsidRPr="001B4B1B">
              <w:rPr>
                <w:rFonts w:eastAsia="Calibri" w:cs="Times New Roman"/>
                <w:color w:val="0000FF"/>
              </w:rPr>
              <w:t>Oral hygiene</w:t>
            </w:r>
          </w:p>
        </w:tc>
        <w:tc>
          <w:tcPr>
            <w:tcW w:w="1160" w:type="dxa"/>
            <w:shd w:val="clear" w:color="auto" w:fill="auto"/>
            <w:vAlign w:val="bottom"/>
            <w:hideMark/>
          </w:tcPr>
          <w:p w14:paraId="3826D8B7" w14:textId="77777777" w:rsidR="00D36B2E" w:rsidRPr="001B4B1B" w:rsidRDefault="00D36B2E" w:rsidP="00AD4168">
            <w:pPr>
              <w:spacing w:after="0"/>
              <w:jc w:val="center"/>
              <w:rPr>
                <w:rFonts w:eastAsia="Calibri" w:cs="Times New Roman"/>
                <w:color w:val="0000FF"/>
              </w:rPr>
            </w:pPr>
            <w:r w:rsidRPr="001B4B1B">
              <w:rPr>
                <w:rFonts w:eastAsia="Calibri" w:cs="Times New Roman"/>
                <w:color w:val="0000FF"/>
              </w:rPr>
              <w:t>28</w:t>
            </w:r>
          </w:p>
        </w:tc>
        <w:tc>
          <w:tcPr>
            <w:tcW w:w="1160" w:type="dxa"/>
            <w:shd w:val="clear" w:color="auto" w:fill="auto"/>
            <w:vAlign w:val="bottom"/>
            <w:hideMark/>
          </w:tcPr>
          <w:p w14:paraId="4554AB96" w14:textId="77777777" w:rsidR="00D36B2E" w:rsidRPr="001B4B1B" w:rsidRDefault="00D36B2E" w:rsidP="00AD4168">
            <w:pPr>
              <w:spacing w:after="0"/>
              <w:jc w:val="center"/>
              <w:rPr>
                <w:rFonts w:eastAsia="Calibri" w:cs="Times New Roman"/>
                <w:color w:val="0000FF"/>
              </w:rPr>
            </w:pPr>
            <w:r w:rsidRPr="001B4B1B">
              <w:rPr>
                <w:rFonts w:eastAsia="Calibri" w:cs="Times New Roman"/>
                <w:color w:val="0000FF"/>
              </w:rPr>
              <w:t>0.27</w:t>
            </w:r>
          </w:p>
        </w:tc>
        <w:tc>
          <w:tcPr>
            <w:tcW w:w="1160" w:type="dxa"/>
            <w:shd w:val="clear" w:color="auto" w:fill="auto"/>
            <w:vAlign w:val="bottom"/>
            <w:hideMark/>
          </w:tcPr>
          <w:p w14:paraId="5C4781CA" w14:textId="4F4EDD1C" w:rsidR="00D36B2E" w:rsidRPr="001B4B1B" w:rsidRDefault="00E170B1" w:rsidP="00AD4168">
            <w:pPr>
              <w:spacing w:after="0"/>
              <w:jc w:val="center"/>
              <w:rPr>
                <w:rFonts w:eastAsia="Calibri" w:cs="Times New Roman"/>
                <w:color w:val="0000FF"/>
              </w:rPr>
            </w:pPr>
            <w:r>
              <w:rPr>
                <w:rFonts w:eastAsia="Calibri" w:cs="Times New Roman"/>
                <w:color w:val="0000FF"/>
              </w:rPr>
              <w:t>+</w:t>
            </w:r>
          </w:p>
        </w:tc>
        <w:tc>
          <w:tcPr>
            <w:tcW w:w="1160" w:type="dxa"/>
            <w:shd w:val="clear" w:color="auto" w:fill="auto"/>
            <w:vAlign w:val="bottom"/>
            <w:hideMark/>
          </w:tcPr>
          <w:p w14:paraId="3E4B1C97" w14:textId="14071D70" w:rsidR="00D36B2E" w:rsidRPr="001B4B1B" w:rsidRDefault="00E170B1" w:rsidP="00AD4168">
            <w:pPr>
              <w:spacing w:after="0"/>
              <w:jc w:val="center"/>
              <w:rPr>
                <w:rFonts w:eastAsia="Calibri" w:cs="Times New Roman"/>
                <w:color w:val="0000FF"/>
              </w:rPr>
            </w:pPr>
            <w:r>
              <w:rPr>
                <w:rFonts w:eastAsia="Calibri" w:cs="Times New Roman"/>
                <w:color w:val="0000FF"/>
              </w:rPr>
              <w:t>+</w:t>
            </w:r>
          </w:p>
        </w:tc>
        <w:tc>
          <w:tcPr>
            <w:tcW w:w="1160" w:type="dxa"/>
            <w:shd w:val="clear" w:color="auto" w:fill="auto"/>
            <w:vAlign w:val="bottom"/>
            <w:hideMark/>
          </w:tcPr>
          <w:p w14:paraId="6294B082" w14:textId="77777777" w:rsidR="00D36B2E" w:rsidRPr="001B4B1B" w:rsidRDefault="00D36B2E" w:rsidP="00AD4168">
            <w:pPr>
              <w:spacing w:after="0"/>
              <w:jc w:val="center"/>
              <w:rPr>
                <w:rFonts w:eastAsia="Calibri" w:cs="Times New Roman"/>
                <w:color w:val="0000FF"/>
              </w:rPr>
            </w:pPr>
            <w:r w:rsidRPr="001B4B1B">
              <w:rPr>
                <w:rFonts w:eastAsia="Calibri" w:cs="Times New Roman"/>
                <w:color w:val="0000FF"/>
              </w:rPr>
              <w:t>18</w:t>
            </w:r>
          </w:p>
        </w:tc>
        <w:tc>
          <w:tcPr>
            <w:tcW w:w="1160" w:type="dxa"/>
            <w:shd w:val="clear" w:color="auto" w:fill="auto"/>
            <w:vAlign w:val="bottom"/>
            <w:hideMark/>
          </w:tcPr>
          <w:p w14:paraId="7D445B64" w14:textId="77777777" w:rsidR="00D36B2E" w:rsidRPr="001B4B1B" w:rsidRDefault="00D36B2E" w:rsidP="00AD4168">
            <w:pPr>
              <w:spacing w:after="0"/>
              <w:jc w:val="center"/>
              <w:rPr>
                <w:rFonts w:eastAsia="Calibri" w:cs="Times New Roman"/>
                <w:color w:val="0000FF"/>
              </w:rPr>
            </w:pPr>
            <w:r w:rsidRPr="001B4B1B">
              <w:rPr>
                <w:rFonts w:eastAsia="Calibri" w:cs="Times New Roman"/>
                <w:color w:val="0000FF"/>
              </w:rPr>
              <w:t>0.35</w:t>
            </w:r>
          </w:p>
        </w:tc>
      </w:tr>
      <w:tr w:rsidR="00D36B2E" w:rsidRPr="001B4B1B" w14:paraId="303FA3F2" w14:textId="77777777" w:rsidTr="00E170B1">
        <w:trPr>
          <w:trHeight w:val="300"/>
        </w:trPr>
        <w:tc>
          <w:tcPr>
            <w:tcW w:w="2080" w:type="dxa"/>
            <w:shd w:val="clear" w:color="auto" w:fill="auto"/>
            <w:vAlign w:val="bottom"/>
            <w:hideMark/>
          </w:tcPr>
          <w:p w14:paraId="521297A3" w14:textId="77777777" w:rsidR="00D36B2E" w:rsidRPr="001B4B1B" w:rsidRDefault="00D36B2E" w:rsidP="00AD4168">
            <w:pPr>
              <w:spacing w:after="0"/>
              <w:rPr>
                <w:rFonts w:eastAsia="Calibri" w:cs="Times New Roman"/>
                <w:color w:val="0000FF"/>
              </w:rPr>
            </w:pPr>
            <w:r w:rsidRPr="001B4B1B">
              <w:rPr>
                <w:rFonts w:eastAsia="Calibri" w:cs="Times New Roman"/>
                <w:color w:val="0000FF"/>
              </w:rPr>
              <w:t>Toileting hygiene</w:t>
            </w:r>
          </w:p>
        </w:tc>
        <w:tc>
          <w:tcPr>
            <w:tcW w:w="1160" w:type="dxa"/>
            <w:shd w:val="clear" w:color="auto" w:fill="auto"/>
            <w:vAlign w:val="bottom"/>
            <w:hideMark/>
          </w:tcPr>
          <w:p w14:paraId="2E50395C" w14:textId="77777777" w:rsidR="00D36B2E" w:rsidRPr="001B4B1B" w:rsidRDefault="00D36B2E" w:rsidP="00AD4168">
            <w:pPr>
              <w:spacing w:after="0"/>
              <w:jc w:val="center"/>
              <w:rPr>
                <w:rFonts w:eastAsia="Calibri" w:cs="Times New Roman"/>
                <w:color w:val="0000FF"/>
              </w:rPr>
            </w:pPr>
            <w:r w:rsidRPr="001B4B1B">
              <w:rPr>
                <w:rFonts w:eastAsia="Calibri" w:cs="Times New Roman"/>
                <w:color w:val="0000FF"/>
              </w:rPr>
              <w:t>28</w:t>
            </w:r>
          </w:p>
        </w:tc>
        <w:tc>
          <w:tcPr>
            <w:tcW w:w="1160" w:type="dxa"/>
            <w:shd w:val="clear" w:color="auto" w:fill="auto"/>
            <w:vAlign w:val="bottom"/>
            <w:hideMark/>
          </w:tcPr>
          <w:p w14:paraId="56B53C89" w14:textId="77777777" w:rsidR="00D36B2E" w:rsidRPr="001B4B1B" w:rsidRDefault="00D36B2E" w:rsidP="00AD4168">
            <w:pPr>
              <w:spacing w:after="0"/>
              <w:jc w:val="center"/>
              <w:rPr>
                <w:rFonts w:eastAsia="Calibri" w:cs="Times New Roman"/>
                <w:color w:val="0000FF"/>
              </w:rPr>
            </w:pPr>
            <w:r w:rsidRPr="001B4B1B">
              <w:rPr>
                <w:rFonts w:eastAsia="Calibri" w:cs="Times New Roman"/>
                <w:color w:val="0000FF"/>
              </w:rPr>
              <w:t>0.27</w:t>
            </w:r>
          </w:p>
        </w:tc>
        <w:tc>
          <w:tcPr>
            <w:tcW w:w="1160" w:type="dxa"/>
            <w:shd w:val="clear" w:color="auto" w:fill="auto"/>
            <w:vAlign w:val="bottom"/>
            <w:hideMark/>
          </w:tcPr>
          <w:p w14:paraId="01E043DE" w14:textId="5BA1E8A9" w:rsidR="00D36B2E" w:rsidRPr="001B4B1B" w:rsidRDefault="00E170B1" w:rsidP="00AD4168">
            <w:pPr>
              <w:spacing w:after="0"/>
              <w:jc w:val="center"/>
              <w:rPr>
                <w:rFonts w:eastAsia="Calibri" w:cs="Times New Roman"/>
                <w:color w:val="0000FF"/>
              </w:rPr>
            </w:pPr>
            <w:r>
              <w:rPr>
                <w:rFonts w:eastAsia="Calibri" w:cs="Times New Roman"/>
                <w:color w:val="0000FF"/>
              </w:rPr>
              <w:t>+</w:t>
            </w:r>
          </w:p>
        </w:tc>
        <w:tc>
          <w:tcPr>
            <w:tcW w:w="1160" w:type="dxa"/>
            <w:shd w:val="clear" w:color="auto" w:fill="auto"/>
            <w:vAlign w:val="bottom"/>
            <w:hideMark/>
          </w:tcPr>
          <w:p w14:paraId="139844F0" w14:textId="55A18B17" w:rsidR="00D36B2E" w:rsidRPr="001B4B1B" w:rsidRDefault="00E170B1" w:rsidP="00AD4168">
            <w:pPr>
              <w:spacing w:after="0"/>
              <w:jc w:val="center"/>
              <w:rPr>
                <w:rFonts w:eastAsia="Calibri" w:cs="Times New Roman"/>
                <w:color w:val="0000FF"/>
              </w:rPr>
            </w:pPr>
            <w:r>
              <w:rPr>
                <w:rFonts w:eastAsia="Calibri" w:cs="Times New Roman"/>
                <w:color w:val="0000FF"/>
              </w:rPr>
              <w:t>+</w:t>
            </w:r>
          </w:p>
        </w:tc>
        <w:tc>
          <w:tcPr>
            <w:tcW w:w="1160" w:type="dxa"/>
            <w:shd w:val="clear" w:color="auto" w:fill="auto"/>
            <w:vAlign w:val="bottom"/>
            <w:hideMark/>
          </w:tcPr>
          <w:p w14:paraId="539961E3" w14:textId="77777777" w:rsidR="00D36B2E" w:rsidRPr="001B4B1B" w:rsidRDefault="00D36B2E" w:rsidP="00AD4168">
            <w:pPr>
              <w:spacing w:after="0"/>
              <w:jc w:val="center"/>
              <w:rPr>
                <w:rFonts w:eastAsia="Calibri" w:cs="Times New Roman"/>
                <w:color w:val="0000FF"/>
              </w:rPr>
            </w:pPr>
            <w:r w:rsidRPr="001B4B1B">
              <w:rPr>
                <w:rFonts w:eastAsia="Calibri" w:cs="Times New Roman"/>
                <w:color w:val="0000FF"/>
              </w:rPr>
              <w:t>18</w:t>
            </w:r>
          </w:p>
        </w:tc>
        <w:tc>
          <w:tcPr>
            <w:tcW w:w="1160" w:type="dxa"/>
            <w:shd w:val="clear" w:color="auto" w:fill="auto"/>
            <w:vAlign w:val="bottom"/>
            <w:hideMark/>
          </w:tcPr>
          <w:p w14:paraId="3E4D22DF" w14:textId="77777777" w:rsidR="00D36B2E" w:rsidRPr="001B4B1B" w:rsidRDefault="00D36B2E" w:rsidP="00AD4168">
            <w:pPr>
              <w:spacing w:after="0"/>
              <w:jc w:val="center"/>
              <w:rPr>
                <w:rFonts w:eastAsia="Calibri" w:cs="Times New Roman"/>
                <w:color w:val="0000FF"/>
              </w:rPr>
            </w:pPr>
            <w:r w:rsidRPr="001B4B1B">
              <w:rPr>
                <w:rFonts w:eastAsia="Calibri" w:cs="Times New Roman"/>
                <w:color w:val="0000FF"/>
              </w:rPr>
              <w:t>0.35</w:t>
            </w:r>
          </w:p>
        </w:tc>
      </w:tr>
      <w:tr w:rsidR="00D36B2E" w:rsidRPr="001B4B1B" w14:paraId="2BC693EF" w14:textId="77777777" w:rsidTr="00E170B1">
        <w:trPr>
          <w:trHeight w:val="300"/>
        </w:trPr>
        <w:tc>
          <w:tcPr>
            <w:tcW w:w="2080" w:type="dxa"/>
            <w:shd w:val="clear" w:color="auto" w:fill="auto"/>
            <w:vAlign w:val="bottom"/>
            <w:hideMark/>
          </w:tcPr>
          <w:p w14:paraId="14815A13" w14:textId="77777777" w:rsidR="00D36B2E" w:rsidRPr="001B4B1B" w:rsidRDefault="00D36B2E" w:rsidP="00AD4168">
            <w:pPr>
              <w:spacing w:after="0"/>
              <w:rPr>
                <w:rFonts w:eastAsia="Calibri" w:cs="Times New Roman"/>
                <w:color w:val="0000FF"/>
              </w:rPr>
            </w:pPr>
            <w:r w:rsidRPr="001B4B1B">
              <w:rPr>
                <w:rFonts w:eastAsia="Calibri" w:cs="Times New Roman"/>
                <w:color w:val="0000FF"/>
              </w:rPr>
              <w:t>Shower/bathe self</w:t>
            </w:r>
          </w:p>
        </w:tc>
        <w:tc>
          <w:tcPr>
            <w:tcW w:w="1160" w:type="dxa"/>
            <w:shd w:val="clear" w:color="auto" w:fill="auto"/>
            <w:vAlign w:val="bottom"/>
            <w:hideMark/>
          </w:tcPr>
          <w:p w14:paraId="4169589A" w14:textId="77777777" w:rsidR="00D36B2E" w:rsidRPr="001B4B1B" w:rsidRDefault="00D36B2E" w:rsidP="00AD4168">
            <w:pPr>
              <w:spacing w:after="0"/>
              <w:jc w:val="center"/>
              <w:rPr>
                <w:rFonts w:eastAsia="Calibri" w:cs="Times New Roman"/>
                <w:color w:val="0000FF"/>
              </w:rPr>
            </w:pPr>
            <w:r w:rsidRPr="001B4B1B">
              <w:rPr>
                <w:rFonts w:eastAsia="Calibri" w:cs="Times New Roman"/>
                <w:color w:val="0000FF"/>
              </w:rPr>
              <w:t>49</w:t>
            </w:r>
          </w:p>
        </w:tc>
        <w:tc>
          <w:tcPr>
            <w:tcW w:w="1160" w:type="dxa"/>
            <w:shd w:val="clear" w:color="auto" w:fill="auto"/>
            <w:vAlign w:val="bottom"/>
            <w:hideMark/>
          </w:tcPr>
          <w:p w14:paraId="0178F3A6" w14:textId="77777777" w:rsidR="00D36B2E" w:rsidRPr="001B4B1B" w:rsidRDefault="00D36B2E" w:rsidP="00AD4168">
            <w:pPr>
              <w:spacing w:after="0"/>
              <w:jc w:val="center"/>
              <w:rPr>
                <w:rFonts w:eastAsia="Calibri" w:cs="Times New Roman"/>
                <w:color w:val="0000FF"/>
              </w:rPr>
            </w:pPr>
            <w:r w:rsidRPr="001B4B1B">
              <w:rPr>
                <w:rFonts w:eastAsia="Calibri" w:cs="Times New Roman"/>
                <w:color w:val="0000FF"/>
              </w:rPr>
              <w:t>0.48</w:t>
            </w:r>
          </w:p>
        </w:tc>
        <w:tc>
          <w:tcPr>
            <w:tcW w:w="1160" w:type="dxa"/>
            <w:shd w:val="clear" w:color="auto" w:fill="auto"/>
            <w:vAlign w:val="bottom"/>
            <w:hideMark/>
          </w:tcPr>
          <w:p w14:paraId="1827E9C5" w14:textId="77777777" w:rsidR="00D36B2E" w:rsidRPr="001B4B1B" w:rsidRDefault="00D36B2E" w:rsidP="00AD4168">
            <w:pPr>
              <w:spacing w:after="0"/>
              <w:jc w:val="center"/>
              <w:rPr>
                <w:rFonts w:eastAsia="Calibri" w:cs="Times New Roman"/>
                <w:color w:val="0000FF"/>
              </w:rPr>
            </w:pPr>
            <w:r w:rsidRPr="001B4B1B">
              <w:rPr>
                <w:rFonts w:eastAsia="Calibri" w:cs="Times New Roman"/>
                <w:color w:val="0000FF"/>
              </w:rPr>
              <w:t>18</w:t>
            </w:r>
          </w:p>
        </w:tc>
        <w:tc>
          <w:tcPr>
            <w:tcW w:w="1160" w:type="dxa"/>
            <w:shd w:val="clear" w:color="auto" w:fill="auto"/>
            <w:vAlign w:val="bottom"/>
            <w:hideMark/>
          </w:tcPr>
          <w:p w14:paraId="4E3FE277" w14:textId="77777777" w:rsidR="00D36B2E" w:rsidRPr="001B4B1B" w:rsidRDefault="00D36B2E" w:rsidP="00AD4168">
            <w:pPr>
              <w:spacing w:after="0"/>
              <w:jc w:val="center"/>
              <w:rPr>
                <w:rFonts w:eastAsia="Calibri" w:cs="Times New Roman"/>
                <w:color w:val="0000FF"/>
              </w:rPr>
            </w:pPr>
            <w:r w:rsidRPr="001B4B1B">
              <w:rPr>
                <w:rFonts w:eastAsia="Calibri" w:cs="Times New Roman"/>
                <w:color w:val="0000FF"/>
              </w:rPr>
              <w:t>0.35</w:t>
            </w:r>
          </w:p>
        </w:tc>
        <w:tc>
          <w:tcPr>
            <w:tcW w:w="1160" w:type="dxa"/>
            <w:shd w:val="clear" w:color="auto" w:fill="auto"/>
            <w:vAlign w:val="bottom"/>
            <w:hideMark/>
          </w:tcPr>
          <w:p w14:paraId="03DFC18B" w14:textId="77777777" w:rsidR="00D36B2E" w:rsidRPr="001B4B1B" w:rsidRDefault="00D36B2E" w:rsidP="00AD4168">
            <w:pPr>
              <w:spacing w:after="0"/>
              <w:jc w:val="center"/>
              <w:rPr>
                <w:rFonts w:eastAsia="Calibri" w:cs="Times New Roman"/>
                <w:color w:val="0000FF"/>
              </w:rPr>
            </w:pPr>
            <w:r w:rsidRPr="001B4B1B">
              <w:rPr>
                <w:rFonts w:eastAsia="Calibri" w:cs="Times New Roman"/>
                <w:color w:val="0000FF"/>
              </w:rPr>
              <w:t>31</w:t>
            </w:r>
          </w:p>
        </w:tc>
        <w:tc>
          <w:tcPr>
            <w:tcW w:w="1160" w:type="dxa"/>
            <w:shd w:val="clear" w:color="auto" w:fill="auto"/>
            <w:vAlign w:val="bottom"/>
            <w:hideMark/>
          </w:tcPr>
          <w:p w14:paraId="3A10A63F" w14:textId="5BC1152D" w:rsidR="00D36B2E" w:rsidRPr="001B4B1B" w:rsidRDefault="00D36B2E" w:rsidP="00AD4168">
            <w:pPr>
              <w:spacing w:after="0"/>
              <w:jc w:val="center"/>
              <w:rPr>
                <w:rFonts w:eastAsia="Calibri" w:cs="Times New Roman"/>
                <w:color w:val="0000FF"/>
              </w:rPr>
            </w:pPr>
            <w:r w:rsidRPr="001B4B1B">
              <w:rPr>
                <w:rFonts w:eastAsia="Calibri" w:cs="Times New Roman"/>
                <w:color w:val="0000FF"/>
              </w:rPr>
              <w:t>0.6</w:t>
            </w:r>
            <w:r w:rsidR="004A0F33">
              <w:rPr>
                <w:rFonts w:eastAsia="Calibri" w:cs="Times New Roman"/>
                <w:color w:val="0000FF"/>
              </w:rPr>
              <w:t>0</w:t>
            </w:r>
          </w:p>
        </w:tc>
      </w:tr>
      <w:tr w:rsidR="00D36B2E" w:rsidRPr="001B4B1B" w14:paraId="585DCD65" w14:textId="77777777" w:rsidTr="00E170B1">
        <w:trPr>
          <w:trHeight w:val="300"/>
        </w:trPr>
        <w:tc>
          <w:tcPr>
            <w:tcW w:w="2080" w:type="dxa"/>
            <w:shd w:val="clear" w:color="auto" w:fill="auto"/>
            <w:vAlign w:val="bottom"/>
            <w:hideMark/>
          </w:tcPr>
          <w:p w14:paraId="7C25F184" w14:textId="77777777" w:rsidR="00D36B2E" w:rsidRPr="001B4B1B" w:rsidRDefault="00D36B2E" w:rsidP="00AD4168">
            <w:pPr>
              <w:spacing w:after="0"/>
              <w:rPr>
                <w:rFonts w:eastAsia="Calibri" w:cs="Times New Roman"/>
                <w:color w:val="0000FF"/>
              </w:rPr>
            </w:pPr>
            <w:r w:rsidRPr="001B4B1B">
              <w:rPr>
                <w:rFonts w:eastAsia="Calibri" w:cs="Times New Roman"/>
                <w:color w:val="0000FF"/>
              </w:rPr>
              <w:t>Upper body dressing</w:t>
            </w:r>
          </w:p>
        </w:tc>
        <w:tc>
          <w:tcPr>
            <w:tcW w:w="1160" w:type="dxa"/>
            <w:shd w:val="clear" w:color="auto" w:fill="auto"/>
            <w:vAlign w:val="bottom"/>
            <w:hideMark/>
          </w:tcPr>
          <w:p w14:paraId="56AF4FE9" w14:textId="77777777" w:rsidR="00D36B2E" w:rsidRPr="001B4B1B" w:rsidRDefault="00D36B2E" w:rsidP="00AD4168">
            <w:pPr>
              <w:spacing w:after="0"/>
              <w:jc w:val="center"/>
              <w:rPr>
                <w:rFonts w:eastAsia="Calibri" w:cs="Times New Roman"/>
                <w:color w:val="0000FF"/>
              </w:rPr>
            </w:pPr>
            <w:r w:rsidRPr="001B4B1B">
              <w:rPr>
                <w:rFonts w:eastAsia="Calibri" w:cs="Times New Roman"/>
                <w:color w:val="0000FF"/>
              </w:rPr>
              <w:t>28</w:t>
            </w:r>
          </w:p>
        </w:tc>
        <w:tc>
          <w:tcPr>
            <w:tcW w:w="1160" w:type="dxa"/>
            <w:shd w:val="clear" w:color="auto" w:fill="auto"/>
            <w:vAlign w:val="bottom"/>
            <w:hideMark/>
          </w:tcPr>
          <w:p w14:paraId="1E997A55" w14:textId="77777777" w:rsidR="00D36B2E" w:rsidRPr="001B4B1B" w:rsidRDefault="00D36B2E" w:rsidP="00AD4168">
            <w:pPr>
              <w:spacing w:after="0"/>
              <w:jc w:val="center"/>
              <w:rPr>
                <w:rFonts w:eastAsia="Calibri" w:cs="Times New Roman"/>
                <w:color w:val="0000FF"/>
              </w:rPr>
            </w:pPr>
            <w:r w:rsidRPr="001B4B1B">
              <w:rPr>
                <w:rFonts w:eastAsia="Calibri" w:cs="Times New Roman"/>
                <w:color w:val="0000FF"/>
              </w:rPr>
              <w:t>0.27</w:t>
            </w:r>
          </w:p>
        </w:tc>
        <w:tc>
          <w:tcPr>
            <w:tcW w:w="1160" w:type="dxa"/>
            <w:shd w:val="clear" w:color="auto" w:fill="auto"/>
            <w:vAlign w:val="bottom"/>
            <w:hideMark/>
          </w:tcPr>
          <w:p w14:paraId="00F6DCCF" w14:textId="39BDBA48" w:rsidR="00D36B2E" w:rsidRPr="001B4B1B" w:rsidRDefault="00E170B1" w:rsidP="00AD4168">
            <w:pPr>
              <w:spacing w:after="0"/>
              <w:jc w:val="center"/>
              <w:rPr>
                <w:rFonts w:eastAsia="Calibri" w:cs="Times New Roman"/>
                <w:color w:val="0000FF"/>
              </w:rPr>
            </w:pPr>
            <w:r>
              <w:rPr>
                <w:rFonts w:eastAsia="Calibri" w:cs="Times New Roman"/>
                <w:color w:val="0000FF"/>
              </w:rPr>
              <w:t>+</w:t>
            </w:r>
          </w:p>
        </w:tc>
        <w:tc>
          <w:tcPr>
            <w:tcW w:w="1160" w:type="dxa"/>
            <w:shd w:val="clear" w:color="auto" w:fill="auto"/>
            <w:vAlign w:val="bottom"/>
            <w:hideMark/>
          </w:tcPr>
          <w:p w14:paraId="1981A115" w14:textId="1DA89904" w:rsidR="00D36B2E" w:rsidRPr="001B4B1B" w:rsidRDefault="00E170B1" w:rsidP="00AD4168">
            <w:pPr>
              <w:spacing w:after="0"/>
              <w:jc w:val="center"/>
              <w:rPr>
                <w:rFonts w:eastAsia="Calibri" w:cs="Times New Roman"/>
                <w:color w:val="0000FF"/>
              </w:rPr>
            </w:pPr>
            <w:r>
              <w:rPr>
                <w:rFonts w:eastAsia="Calibri" w:cs="Times New Roman"/>
                <w:color w:val="0000FF"/>
              </w:rPr>
              <w:t>+</w:t>
            </w:r>
          </w:p>
        </w:tc>
        <w:tc>
          <w:tcPr>
            <w:tcW w:w="1160" w:type="dxa"/>
            <w:shd w:val="clear" w:color="auto" w:fill="auto"/>
            <w:vAlign w:val="bottom"/>
            <w:hideMark/>
          </w:tcPr>
          <w:p w14:paraId="1D0D58BB" w14:textId="77777777" w:rsidR="00D36B2E" w:rsidRPr="001B4B1B" w:rsidRDefault="00D36B2E" w:rsidP="00AD4168">
            <w:pPr>
              <w:spacing w:after="0"/>
              <w:jc w:val="center"/>
              <w:rPr>
                <w:rFonts w:eastAsia="Calibri" w:cs="Times New Roman"/>
                <w:color w:val="0000FF"/>
              </w:rPr>
            </w:pPr>
            <w:r w:rsidRPr="001B4B1B">
              <w:rPr>
                <w:rFonts w:eastAsia="Calibri" w:cs="Times New Roman"/>
                <w:color w:val="0000FF"/>
              </w:rPr>
              <w:t>18</w:t>
            </w:r>
          </w:p>
        </w:tc>
        <w:tc>
          <w:tcPr>
            <w:tcW w:w="1160" w:type="dxa"/>
            <w:shd w:val="clear" w:color="auto" w:fill="auto"/>
            <w:vAlign w:val="bottom"/>
            <w:hideMark/>
          </w:tcPr>
          <w:p w14:paraId="2411C275" w14:textId="77777777" w:rsidR="00D36B2E" w:rsidRPr="001B4B1B" w:rsidRDefault="00D36B2E" w:rsidP="00AD4168">
            <w:pPr>
              <w:spacing w:after="0"/>
              <w:jc w:val="center"/>
              <w:rPr>
                <w:rFonts w:eastAsia="Calibri" w:cs="Times New Roman"/>
                <w:color w:val="0000FF"/>
              </w:rPr>
            </w:pPr>
            <w:r w:rsidRPr="001B4B1B">
              <w:rPr>
                <w:rFonts w:eastAsia="Calibri" w:cs="Times New Roman"/>
                <w:color w:val="0000FF"/>
              </w:rPr>
              <w:t>0.35</w:t>
            </w:r>
          </w:p>
        </w:tc>
      </w:tr>
      <w:tr w:rsidR="00D36B2E" w:rsidRPr="001B4B1B" w14:paraId="36B9E32E" w14:textId="77777777" w:rsidTr="00E170B1">
        <w:trPr>
          <w:trHeight w:val="300"/>
        </w:trPr>
        <w:tc>
          <w:tcPr>
            <w:tcW w:w="2080" w:type="dxa"/>
            <w:shd w:val="clear" w:color="auto" w:fill="auto"/>
            <w:vAlign w:val="bottom"/>
            <w:hideMark/>
          </w:tcPr>
          <w:p w14:paraId="219D7771" w14:textId="77777777" w:rsidR="00D36B2E" w:rsidRPr="001B4B1B" w:rsidRDefault="00D36B2E" w:rsidP="00AD4168">
            <w:pPr>
              <w:spacing w:after="0"/>
              <w:rPr>
                <w:rFonts w:eastAsia="Calibri" w:cs="Times New Roman"/>
                <w:color w:val="0000FF"/>
              </w:rPr>
            </w:pPr>
            <w:r w:rsidRPr="001B4B1B">
              <w:rPr>
                <w:rFonts w:eastAsia="Calibri" w:cs="Times New Roman"/>
                <w:color w:val="0000FF"/>
              </w:rPr>
              <w:t>Lower body dressing</w:t>
            </w:r>
          </w:p>
        </w:tc>
        <w:tc>
          <w:tcPr>
            <w:tcW w:w="1160" w:type="dxa"/>
            <w:shd w:val="clear" w:color="auto" w:fill="auto"/>
            <w:vAlign w:val="bottom"/>
            <w:hideMark/>
          </w:tcPr>
          <w:p w14:paraId="30FC00D2" w14:textId="77777777" w:rsidR="00D36B2E" w:rsidRPr="001B4B1B" w:rsidRDefault="00D36B2E" w:rsidP="00AD4168">
            <w:pPr>
              <w:spacing w:after="0"/>
              <w:jc w:val="center"/>
              <w:rPr>
                <w:rFonts w:eastAsia="Calibri" w:cs="Times New Roman"/>
                <w:color w:val="0000FF"/>
              </w:rPr>
            </w:pPr>
            <w:r w:rsidRPr="001B4B1B">
              <w:rPr>
                <w:rFonts w:eastAsia="Calibri" w:cs="Times New Roman"/>
                <w:color w:val="0000FF"/>
              </w:rPr>
              <w:t>28</w:t>
            </w:r>
          </w:p>
        </w:tc>
        <w:tc>
          <w:tcPr>
            <w:tcW w:w="1160" w:type="dxa"/>
            <w:shd w:val="clear" w:color="auto" w:fill="auto"/>
            <w:vAlign w:val="bottom"/>
            <w:hideMark/>
          </w:tcPr>
          <w:p w14:paraId="4EB838CD" w14:textId="77777777" w:rsidR="00D36B2E" w:rsidRPr="001B4B1B" w:rsidRDefault="00D36B2E" w:rsidP="00AD4168">
            <w:pPr>
              <w:spacing w:after="0"/>
              <w:jc w:val="center"/>
              <w:rPr>
                <w:rFonts w:eastAsia="Calibri" w:cs="Times New Roman"/>
                <w:color w:val="0000FF"/>
              </w:rPr>
            </w:pPr>
            <w:r w:rsidRPr="001B4B1B">
              <w:rPr>
                <w:rFonts w:eastAsia="Calibri" w:cs="Times New Roman"/>
                <w:color w:val="0000FF"/>
              </w:rPr>
              <w:t>0.27</w:t>
            </w:r>
          </w:p>
        </w:tc>
        <w:tc>
          <w:tcPr>
            <w:tcW w:w="1160" w:type="dxa"/>
            <w:shd w:val="clear" w:color="auto" w:fill="auto"/>
            <w:vAlign w:val="bottom"/>
            <w:hideMark/>
          </w:tcPr>
          <w:p w14:paraId="0C67F960" w14:textId="23278A9B" w:rsidR="00D36B2E" w:rsidRPr="001B4B1B" w:rsidRDefault="00E170B1" w:rsidP="00AD4168">
            <w:pPr>
              <w:spacing w:after="0"/>
              <w:jc w:val="center"/>
              <w:rPr>
                <w:rFonts w:eastAsia="Calibri" w:cs="Times New Roman"/>
                <w:color w:val="0000FF"/>
              </w:rPr>
            </w:pPr>
            <w:r>
              <w:rPr>
                <w:rFonts w:eastAsia="Calibri" w:cs="Times New Roman"/>
                <w:color w:val="0000FF"/>
              </w:rPr>
              <w:t>+</w:t>
            </w:r>
          </w:p>
        </w:tc>
        <w:tc>
          <w:tcPr>
            <w:tcW w:w="1160" w:type="dxa"/>
            <w:shd w:val="clear" w:color="auto" w:fill="auto"/>
            <w:vAlign w:val="bottom"/>
            <w:hideMark/>
          </w:tcPr>
          <w:p w14:paraId="0BD696BE" w14:textId="0DAF5F8E" w:rsidR="00D36B2E" w:rsidRPr="001B4B1B" w:rsidRDefault="00E170B1" w:rsidP="00AD4168">
            <w:pPr>
              <w:spacing w:after="0"/>
              <w:jc w:val="center"/>
              <w:rPr>
                <w:rFonts w:eastAsia="Calibri" w:cs="Times New Roman"/>
                <w:color w:val="0000FF"/>
              </w:rPr>
            </w:pPr>
            <w:r>
              <w:rPr>
                <w:rFonts w:eastAsia="Calibri" w:cs="Times New Roman"/>
                <w:color w:val="0000FF"/>
              </w:rPr>
              <w:t>+</w:t>
            </w:r>
          </w:p>
        </w:tc>
        <w:tc>
          <w:tcPr>
            <w:tcW w:w="1160" w:type="dxa"/>
            <w:shd w:val="clear" w:color="auto" w:fill="auto"/>
            <w:vAlign w:val="bottom"/>
            <w:hideMark/>
          </w:tcPr>
          <w:p w14:paraId="4261B9B6" w14:textId="77777777" w:rsidR="00D36B2E" w:rsidRPr="001B4B1B" w:rsidRDefault="00D36B2E" w:rsidP="00AD4168">
            <w:pPr>
              <w:spacing w:after="0"/>
              <w:jc w:val="center"/>
              <w:rPr>
                <w:rFonts w:eastAsia="Calibri" w:cs="Times New Roman"/>
                <w:color w:val="0000FF"/>
              </w:rPr>
            </w:pPr>
            <w:r w:rsidRPr="001B4B1B">
              <w:rPr>
                <w:rFonts w:eastAsia="Calibri" w:cs="Times New Roman"/>
                <w:color w:val="0000FF"/>
              </w:rPr>
              <w:t>18</w:t>
            </w:r>
          </w:p>
        </w:tc>
        <w:tc>
          <w:tcPr>
            <w:tcW w:w="1160" w:type="dxa"/>
            <w:shd w:val="clear" w:color="auto" w:fill="auto"/>
            <w:vAlign w:val="bottom"/>
            <w:hideMark/>
          </w:tcPr>
          <w:p w14:paraId="3A1E47EB" w14:textId="77777777" w:rsidR="00D36B2E" w:rsidRPr="001B4B1B" w:rsidRDefault="00D36B2E" w:rsidP="00AD4168">
            <w:pPr>
              <w:spacing w:after="0"/>
              <w:jc w:val="center"/>
              <w:rPr>
                <w:rFonts w:eastAsia="Calibri" w:cs="Times New Roman"/>
                <w:color w:val="0000FF"/>
              </w:rPr>
            </w:pPr>
            <w:r w:rsidRPr="001B4B1B">
              <w:rPr>
                <w:rFonts w:eastAsia="Calibri" w:cs="Times New Roman"/>
                <w:color w:val="0000FF"/>
              </w:rPr>
              <w:t>0.35</w:t>
            </w:r>
          </w:p>
        </w:tc>
      </w:tr>
      <w:tr w:rsidR="00D36B2E" w:rsidRPr="001B4B1B" w14:paraId="23E224F4" w14:textId="77777777" w:rsidTr="00E170B1">
        <w:trPr>
          <w:trHeight w:val="600"/>
        </w:trPr>
        <w:tc>
          <w:tcPr>
            <w:tcW w:w="2080" w:type="dxa"/>
            <w:tcBorders>
              <w:bottom w:val="single" w:sz="4" w:space="0" w:color="auto"/>
            </w:tcBorders>
            <w:shd w:val="clear" w:color="auto" w:fill="auto"/>
            <w:vAlign w:val="bottom"/>
            <w:hideMark/>
          </w:tcPr>
          <w:p w14:paraId="144D2944" w14:textId="7E2BBA06" w:rsidR="00D36B2E" w:rsidRPr="001B4B1B" w:rsidRDefault="00D36B2E" w:rsidP="00CA1FF6">
            <w:pPr>
              <w:spacing w:after="0"/>
              <w:rPr>
                <w:rFonts w:eastAsia="Calibri" w:cs="Times New Roman"/>
                <w:color w:val="0000FF"/>
              </w:rPr>
            </w:pPr>
            <w:r w:rsidRPr="001B4B1B">
              <w:rPr>
                <w:rFonts w:eastAsia="Calibri" w:cs="Times New Roman"/>
                <w:color w:val="0000FF"/>
              </w:rPr>
              <w:t xml:space="preserve">Putting on/taking off </w:t>
            </w:r>
            <w:r w:rsidR="00CA1FF6">
              <w:rPr>
                <w:rFonts w:eastAsia="Calibri" w:cs="Times New Roman"/>
                <w:color w:val="0000FF"/>
              </w:rPr>
              <w:t>F</w:t>
            </w:r>
            <w:r w:rsidRPr="001B4B1B">
              <w:rPr>
                <w:rFonts w:eastAsia="Calibri" w:cs="Times New Roman"/>
                <w:color w:val="0000FF"/>
              </w:rPr>
              <w:t>ootwear</w:t>
            </w:r>
          </w:p>
        </w:tc>
        <w:tc>
          <w:tcPr>
            <w:tcW w:w="1160" w:type="dxa"/>
            <w:tcBorders>
              <w:bottom w:val="single" w:sz="4" w:space="0" w:color="auto"/>
            </w:tcBorders>
            <w:shd w:val="clear" w:color="auto" w:fill="auto"/>
            <w:vAlign w:val="bottom"/>
            <w:hideMark/>
          </w:tcPr>
          <w:p w14:paraId="6F34C91A" w14:textId="77777777" w:rsidR="00D36B2E" w:rsidRPr="001B4B1B" w:rsidRDefault="00D36B2E" w:rsidP="00AD4168">
            <w:pPr>
              <w:spacing w:after="0"/>
              <w:jc w:val="center"/>
              <w:rPr>
                <w:rFonts w:eastAsia="Calibri" w:cs="Times New Roman"/>
                <w:color w:val="0000FF"/>
              </w:rPr>
            </w:pPr>
            <w:r w:rsidRPr="001B4B1B">
              <w:rPr>
                <w:rFonts w:eastAsia="Calibri" w:cs="Times New Roman"/>
                <w:color w:val="0000FF"/>
              </w:rPr>
              <w:t>49</w:t>
            </w:r>
          </w:p>
        </w:tc>
        <w:tc>
          <w:tcPr>
            <w:tcW w:w="1160" w:type="dxa"/>
            <w:tcBorders>
              <w:bottom w:val="single" w:sz="4" w:space="0" w:color="auto"/>
            </w:tcBorders>
            <w:shd w:val="clear" w:color="auto" w:fill="auto"/>
            <w:vAlign w:val="bottom"/>
            <w:hideMark/>
          </w:tcPr>
          <w:p w14:paraId="5713DB83" w14:textId="77777777" w:rsidR="00D36B2E" w:rsidRPr="001B4B1B" w:rsidRDefault="00D36B2E" w:rsidP="00AD4168">
            <w:pPr>
              <w:spacing w:after="0"/>
              <w:jc w:val="center"/>
              <w:rPr>
                <w:rFonts w:eastAsia="Calibri" w:cs="Times New Roman"/>
                <w:color w:val="0000FF"/>
              </w:rPr>
            </w:pPr>
            <w:r w:rsidRPr="001B4B1B">
              <w:rPr>
                <w:rFonts w:eastAsia="Calibri" w:cs="Times New Roman"/>
                <w:color w:val="0000FF"/>
              </w:rPr>
              <w:t>0.48</w:t>
            </w:r>
          </w:p>
        </w:tc>
        <w:tc>
          <w:tcPr>
            <w:tcW w:w="1160" w:type="dxa"/>
            <w:tcBorders>
              <w:bottom w:val="single" w:sz="4" w:space="0" w:color="auto"/>
            </w:tcBorders>
            <w:shd w:val="clear" w:color="auto" w:fill="auto"/>
            <w:vAlign w:val="bottom"/>
            <w:hideMark/>
          </w:tcPr>
          <w:p w14:paraId="2FD90E2D" w14:textId="77777777" w:rsidR="00D36B2E" w:rsidRPr="001B4B1B" w:rsidRDefault="00D36B2E" w:rsidP="00AD4168">
            <w:pPr>
              <w:spacing w:after="0"/>
              <w:jc w:val="center"/>
              <w:rPr>
                <w:rFonts w:eastAsia="Calibri" w:cs="Times New Roman"/>
                <w:color w:val="0000FF"/>
              </w:rPr>
            </w:pPr>
            <w:r w:rsidRPr="001B4B1B">
              <w:rPr>
                <w:rFonts w:eastAsia="Calibri" w:cs="Times New Roman"/>
                <w:color w:val="0000FF"/>
              </w:rPr>
              <w:t>18</w:t>
            </w:r>
          </w:p>
        </w:tc>
        <w:tc>
          <w:tcPr>
            <w:tcW w:w="1160" w:type="dxa"/>
            <w:tcBorders>
              <w:bottom w:val="single" w:sz="4" w:space="0" w:color="auto"/>
            </w:tcBorders>
            <w:shd w:val="clear" w:color="auto" w:fill="auto"/>
            <w:vAlign w:val="bottom"/>
            <w:hideMark/>
          </w:tcPr>
          <w:p w14:paraId="3501A92B" w14:textId="77777777" w:rsidR="00D36B2E" w:rsidRPr="001B4B1B" w:rsidRDefault="00D36B2E" w:rsidP="00AD4168">
            <w:pPr>
              <w:spacing w:after="0"/>
              <w:jc w:val="center"/>
              <w:rPr>
                <w:rFonts w:eastAsia="Calibri" w:cs="Times New Roman"/>
                <w:color w:val="0000FF"/>
              </w:rPr>
            </w:pPr>
            <w:r w:rsidRPr="001B4B1B">
              <w:rPr>
                <w:rFonts w:eastAsia="Calibri" w:cs="Times New Roman"/>
                <w:color w:val="0000FF"/>
              </w:rPr>
              <w:t>0.35</w:t>
            </w:r>
          </w:p>
        </w:tc>
        <w:tc>
          <w:tcPr>
            <w:tcW w:w="1160" w:type="dxa"/>
            <w:tcBorders>
              <w:bottom w:val="single" w:sz="4" w:space="0" w:color="auto"/>
            </w:tcBorders>
            <w:shd w:val="clear" w:color="auto" w:fill="auto"/>
            <w:vAlign w:val="bottom"/>
            <w:hideMark/>
          </w:tcPr>
          <w:p w14:paraId="1BC3A1C7" w14:textId="77777777" w:rsidR="00D36B2E" w:rsidRPr="001B4B1B" w:rsidRDefault="00D36B2E" w:rsidP="00AD4168">
            <w:pPr>
              <w:spacing w:after="0"/>
              <w:jc w:val="center"/>
              <w:rPr>
                <w:rFonts w:eastAsia="Calibri" w:cs="Times New Roman"/>
                <w:color w:val="0000FF"/>
              </w:rPr>
            </w:pPr>
            <w:r w:rsidRPr="001B4B1B">
              <w:rPr>
                <w:rFonts w:eastAsia="Calibri" w:cs="Times New Roman"/>
                <w:color w:val="0000FF"/>
              </w:rPr>
              <w:t>31</w:t>
            </w:r>
          </w:p>
        </w:tc>
        <w:tc>
          <w:tcPr>
            <w:tcW w:w="1160" w:type="dxa"/>
            <w:tcBorders>
              <w:bottom w:val="single" w:sz="4" w:space="0" w:color="auto"/>
            </w:tcBorders>
            <w:shd w:val="clear" w:color="auto" w:fill="auto"/>
            <w:vAlign w:val="bottom"/>
            <w:hideMark/>
          </w:tcPr>
          <w:p w14:paraId="3B2209E3" w14:textId="512D8E83" w:rsidR="00D36B2E" w:rsidRPr="001B4B1B" w:rsidRDefault="00D36B2E" w:rsidP="00AD4168">
            <w:pPr>
              <w:spacing w:after="0"/>
              <w:jc w:val="center"/>
              <w:rPr>
                <w:rFonts w:eastAsia="Calibri" w:cs="Times New Roman"/>
                <w:color w:val="0000FF"/>
              </w:rPr>
            </w:pPr>
            <w:r w:rsidRPr="001B4B1B">
              <w:rPr>
                <w:rFonts w:eastAsia="Calibri" w:cs="Times New Roman"/>
                <w:color w:val="0000FF"/>
              </w:rPr>
              <w:t>0.6</w:t>
            </w:r>
            <w:r w:rsidR="004A0F33">
              <w:rPr>
                <w:rFonts w:eastAsia="Calibri" w:cs="Times New Roman"/>
                <w:color w:val="0000FF"/>
              </w:rPr>
              <w:t>0</w:t>
            </w:r>
          </w:p>
        </w:tc>
      </w:tr>
    </w:tbl>
    <w:p w14:paraId="7BE5322D" w14:textId="77777777" w:rsidR="00E170B1" w:rsidRPr="001B4B1B" w:rsidRDefault="00E170B1" w:rsidP="00E170B1">
      <w:pPr>
        <w:autoSpaceDE w:val="0"/>
        <w:autoSpaceDN w:val="0"/>
        <w:adjustRightInd w:val="0"/>
        <w:spacing w:after="0" w:line="240" w:lineRule="auto"/>
        <w:rPr>
          <w:rFonts w:cstheme="minorHAnsi"/>
          <w:color w:val="0000FF"/>
        </w:rPr>
      </w:pPr>
      <w:r w:rsidRPr="009D386B">
        <w:rPr>
          <w:rFonts w:cstheme="minorHAnsi"/>
          <w:color w:val="0000FF"/>
        </w:rPr>
        <w:t>+ Cells based on a sample size of n &lt; 11 are not shown.</w:t>
      </w:r>
    </w:p>
    <w:p w14:paraId="516E5528" w14:textId="77777777" w:rsidR="008F7E67" w:rsidRPr="00E1508F" w:rsidRDefault="008F7E67" w:rsidP="008F7E67">
      <w:pPr>
        <w:autoSpaceDE w:val="0"/>
        <w:autoSpaceDN w:val="0"/>
        <w:adjustRightInd w:val="0"/>
        <w:spacing w:after="0" w:line="240" w:lineRule="auto"/>
        <w:rPr>
          <w:rFonts w:cstheme="minorHAnsi"/>
          <w:bCs/>
        </w:rPr>
      </w:pPr>
    </w:p>
    <w:p w14:paraId="10C5BF98" w14:textId="77777777" w:rsidR="008B604D" w:rsidRDefault="008F7E67">
      <w:pPr>
        <w:autoSpaceDE w:val="0"/>
        <w:autoSpaceDN w:val="0"/>
        <w:adjustRightInd w:val="0"/>
        <w:spacing w:after="0" w:line="240" w:lineRule="auto"/>
        <w:rPr>
          <w:rFonts w:cstheme="minorHAnsi"/>
          <w:bCs/>
        </w:rPr>
      </w:pPr>
      <w:r>
        <w:rPr>
          <w:rFonts w:cstheme="minorHAnsi"/>
          <w:b/>
          <w:bCs/>
        </w:rPr>
        <w:t xml:space="preserve">2b7.3.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14:paraId="07A2A200" w14:textId="77777777" w:rsidR="00991E60" w:rsidRDefault="00991E60">
      <w:pPr>
        <w:autoSpaceDE w:val="0"/>
        <w:autoSpaceDN w:val="0"/>
        <w:adjustRightInd w:val="0"/>
        <w:spacing w:after="0" w:line="240" w:lineRule="auto"/>
        <w:rPr>
          <w:rFonts w:cstheme="minorHAnsi"/>
          <w:bCs/>
        </w:rPr>
      </w:pPr>
    </w:p>
    <w:p w14:paraId="09E13EB1" w14:textId="00D35667" w:rsidR="00991E60" w:rsidRPr="001B4B1B" w:rsidRDefault="00991E60" w:rsidP="00991E60">
      <w:pPr>
        <w:autoSpaceDE w:val="0"/>
        <w:autoSpaceDN w:val="0"/>
        <w:adjustRightInd w:val="0"/>
        <w:spacing w:after="0" w:line="240" w:lineRule="auto"/>
        <w:rPr>
          <w:rFonts w:cstheme="minorHAnsi"/>
          <w:bCs/>
        </w:rPr>
      </w:pPr>
      <w:r w:rsidRPr="009A0D41">
        <w:rPr>
          <w:color w:val="0000FF"/>
        </w:rPr>
        <w:t>A</w:t>
      </w:r>
      <w:r>
        <w:rPr>
          <w:color w:val="0000FF"/>
        </w:rPr>
        <w:t>s previously noted, we recoded ‘Activity not attempted’ codes and missing data to ‘1 – Dependent.’</w:t>
      </w:r>
      <w:r w:rsidRPr="009A0D41">
        <w:rPr>
          <w:color w:val="0000FF"/>
        </w:rPr>
        <w:t xml:space="preserve"> This approach is consistent with the approach used </w:t>
      </w:r>
      <w:r>
        <w:rPr>
          <w:color w:val="0000FF"/>
        </w:rPr>
        <w:t>with</w:t>
      </w:r>
      <w:r w:rsidRPr="009A0D41">
        <w:rPr>
          <w:color w:val="0000FF"/>
        </w:rPr>
        <w:t xml:space="preserve"> IRF functional status data published in the literature. </w:t>
      </w:r>
      <w:r>
        <w:rPr>
          <w:color w:val="0000FF"/>
        </w:rPr>
        <w:t>Across all items, the percentage of data that was missing was less than one percent. This very small percentage is unlikely to cause significant bias.</w:t>
      </w:r>
    </w:p>
    <w:p w14:paraId="52A075F7" w14:textId="77777777" w:rsidR="00D36B2E" w:rsidRDefault="00D36B2E">
      <w:pPr>
        <w:rPr>
          <w:color w:val="0000FF"/>
        </w:rPr>
      </w:pPr>
      <w:bookmarkStart w:id="15" w:name="_GoBack"/>
      <w:bookmarkEnd w:id="15"/>
    </w:p>
    <w:sectPr w:rsidR="00D36B2E" w:rsidSect="008505D1">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44F8AF" w14:textId="77777777" w:rsidR="00983362" w:rsidRDefault="00983362" w:rsidP="005C73CA">
      <w:pPr>
        <w:spacing w:after="0" w:line="240" w:lineRule="auto"/>
      </w:pPr>
      <w:r>
        <w:separator/>
      </w:r>
    </w:p>
  </w:endnote>
  <w:endnote w:type="continuationSeparator" w:id="0">
    <w:p w14:paraId="2C2C180A" w14:textId="77777777" w:rsidR="00983362" w:rsidRDefault="00983362" w:rsidP="005C73CA">
      <w:pPr>
        <w:spacing w:after="0" w:line="240" w:lineRule="auto"/>
      </w:pPr>
      <w:r>
        <w:continuationSeparator/>
      </w:r>
    </w:p>
  </w:endnote>
  <w:endnote w:type="continuationNotice" w:id="1">
    <w:p w14:paraId="329A9AE2" w14:textId="77777777" w:rsidR="00983362" w:rsidRDefault="009833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NewRoman,Bold">
    <w:panose1 w:val="00000000000000000000"/>
    <w:charset w:val="00"/>
    <w:family w:val="roman"/>
    <w:notTrueType/>
    <w:pitch w:val="default"/>
    <w:sig w:usb0="00000003" w:usb1="00000000" w:usb2="00000000" w:usb3="00000000" w:csb0="00000001" w:csb1="00000000"/>
  </w:font>
  <w:font w:name="MS Gothic">
    <w:altName w:val="MS Mincho"/>
    <w:panose1 w:val="020B0609070205080204"/>
    <w:charset w:val="80"/>
    <w:family w:val="modern"/>
    <w:notTrueType/>
    <w:pitch w:val="fixed"/>
    <w:sig w:usb0="00000000" w:usb1="08070000" w:usb2="00000010" w:usb3="00000000" w:csb0="00020000" w:csb1="00000000"/>
  </w:font>
  <w:font w:name="MS Mincho">
    <w:altName w:val="ＭＳ 明朝"/>
    <w:panose1 w:val="02020609040205080304"/>
    <w:charset w:val="80"/>
    <w:family w:val="modern"/>
    <w:pitch w:val="fixed"/>
    <w:sig w:usb0="A00002BF" w:usb1="68C7FCFB" w:usb2="00000010" w:usb3="00000000" w:csb0="0002009F" w:csb1="00000000"/>
  </w:font>
  <w:font w:name="Cambria Math">
    <w:panose1 w:val="02040503050406030204"/>
    <w:charset w:val="00"/>
    <w:family w:val="roman"/>
    <w:pitch w:val="variable"/>
    <w:sig w:usb0="E00002FF" w:usb1="420024FF" w:usb2="00000000" w:usb3="00000000" w:csb0="0000019F" w:csb1="00000000"/>
  </w:font>
  <w:font w:name="TTE2603740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40B24C" w14:textId="3D42DB51" w:rsidR="00A2496B" w:rsidRDefault="00A2496B">
    <w:pPr>
      <w:pStyle w:val="Footer"/>
    </w:pPr>
    <w:r>
      <w:t xml:space="preserve">Version </w:t>
    </w:r>
    <w:proofErr w:type="gramStart"/>
    <w:r>
      <w:t>6.5  08</w:t>
    </w:r>
    <w:proofErr w:type="gramEnd"/>
    <w:r>
      <w:t>/20/13</w:t>
    </w:r>
    <w:r>
      <w:ptab w:relativeTo="margin" w:alignment="center" w:leader="none"/>
    </w:r>
    <w:r>
      <w:ptab w:relativeTo="margin" w:alignment="right" w:leader="none"/>
    </w:r>
    <w:r>
      <w:fldChar w:fldCharType="begin"/>
    </w:r>
    <w:r>
      <w:instrText xml:space="preserve"> PAGE   \* MERGEFORMAT </w:instrText>
    </w:r>
    <w:r>
      <w:fldChar w:fldCharType="separate"/>
    </w:r>
    <w:r w:rsidR="00E44F62">
      <w:rPr>
        <w:noProof/>
      </w:rPr>
      <w:t>26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1DBB5A" w14:textId="77777777" w:rsidR="00983362" w:rsidRDefault="00983362" w:rsidP="005C73CA">
      <w:pPr>
        <w:spacing w:after="0" w:line="240" w:lineRule="auto"/>
      </w:pPr>
      <w:r>
        <w:separator/>
      </w:r>
    </w:p>
  </w:footnote>
  <w:footnote w:type="continuationSeparator" w:id="0">
    <w:p w14:paraId="039A9F61" w14:textId="77777777" w:rsidR="00983362" w:rsidRDefault="00983362" w:rsidP="005C73CA">
      <w:pPr>
        <w:spacing w:after="0" w:line="240" w:lineRule="auto"/>
      </w:pPr>
      <w:r>
        <w:continuationSeparator/>
      </w:r>
    </w:p>
  </w:footnote>
  <w:footnote w:type="continuationNotice" w:id="1">
    <w:p w14:paraId="1CFDF2CD" w14:textId="77777777" w:rsidR="00983362" w:rsidRDefault="0098336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Style3"/>
      </w:rPr>
      <w:id w:val="-491560845"/>
      <w:showingPlcHdr/>
    </w:sdtPr>
    <w:sdtEndPr>
      <w:rPr>
        <w:rStyle w:val="DefaultParagraphFont"/>
        <w:color w:val="auto"/>
      </w:rPr>
    </w:sdtEndPr>
    <w:sdtContent>
      <w:p w14:paraId="5A3152C7" w14:textId="77777777" w:rsidR="00A2496B" w:rsidRPr="00105D8B" w:rsidRDefault="00A2496B" w:rsidP="00105D8B">
        <w:pPr>
          <w:pStyle w:val="Header"/>
          <w:jc w:val="center"/>
          <w:rPr>
            <w:color w:val="808080" w:themeColor="background1" w:themeShade="80"/>
          </w:rPr>
        </w:pPr>
        <w:r w:rsidRPr="007E37A5">
          <w:rPr>
            <w:color w:val="808080" w:themeColor="background1" w:themeShade="80"/>
          </w:rPr>
          <w:t>NQF staff enter  #/title</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40AA81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50D001D"/>
    <w:multiLevelType w:val="hybridMultilevel"/>
    <w:tmpl w:val="73FC2A2C"/>
    <w:lvl w:ilvl="0" w:tplc="440AB428">
      <w:start w:val="1"/>
      <w:numFmt w:val="bullet"/>
      <w:lvlText w:val=""/>
      <w:lvlJc w:val="left"/>
      <w:pPr>
        <w:ind w:left="720" w:hanging="360"/>
      </w:pPr>
      <w:rPr>
        <w:rFonts w:ascii="Wingdings" w:hAnsi="Wingdings" w:hint="default"/>
        <w:color w:val="002060"/>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8142328"/>
    <w:multiLevelType w:val="hybridMultilevel"/>
    <w:tmpl w:val="1CB49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8A13746"/>
    <w:multiLevelType w:val="hybridMultilevel"/>
    <w:tmpl w:val="5A0A9690"/>
    <w:lvl w:ilvl="0" w:tplc="7AFCB0D2">
      <w:start w:val="1"/>
      <w:numFmt w:val="decimal"/>
      <w:lvlText w:val="%1."/>
      <w:lvlJc w:val="left"/>
      <w:pPr>
        <w:ind w:left="108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0C4C048C"/>
    <w:multiLevelType w:val="hybridMultilevel"/>
    <w:tmpl w:val="297E122A"/>
    <w:lvl w:ilvl="0" w:tplc="7766238C">
      <w:start w:val="1"/>
      <w:numFmt w:val="lowerLetter"/>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4A363C3"/>
    <w:multiLevelType w:val="hybridMultilevel"/>
    <w:tmpl w:val="AE5693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F9D78CA"/>
    <w:multiLevelType w:val="hybridMultilevel"/>
    <w:tmpl w:val="FECCA512"/>
    <w:lvl w:ilvl="0" w:tplc="B4548CB2">
      <w:start w:val="1"/>
      <w:numFmt w:val="bullet"/>
      <w:lvlText w:val="–"/>
      <w:lvlJc w:val="left"/>
      <w:pPr>
        <w:ind w:left="2160" w:hanging="360"/>
      </w:pPr>
      <w:rPr>
        <w:rFonts w:ascii="Times New Roman" w:hAnsi="Times New Roman" w:cs="Times New Roman" w:hint="default"/>
        <w:color w:val="0000FF"/>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1664D5D"/>
    <w:multiLevelType w:val="hybridMultilevel"/>
    <w:tmpl w:val="60680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8EA18EA"/>
    <w:multiLevelType w:val="hybridMultilevel"/>
    <w:tmpl w:val="3716B77E"/>
    <w:lvl w:ilvl="0" w:tplc="D5A22E34">
      <w:start w:val="1"/>
      <w:numFmt w:val="bullet"/>
      <w:lvlText w:val="•"/>
      <w:lvlJc w:val="left"/>
      <w:pPr>
        <w:ind w:left="360" w:hanging="360"/>
      </w:pPr>
      <w:rPr>
        <w:rFonts w:ascii="Arial" w:hAnsi="Arial" w:cs="Calibri" w:hint="default"/>
        <w:b/>
        <w:i w:val="0"/>
        <w:color w:val="auto"/>
        <w:sz w:val="24"/>
        <w:szCs w:val="14"/>
      </w:rPr>
    </w:lvl>
    <w:lvl w:ilvl="1" w:tplc="8A6CB272" w:tentative="1">
      <w:start w:val="1"/>
      <w:numFmt w:val="bullet"/>
      <w:lvlText w:val="o"/>
      <w:lvlJc w:val="left"/>
      <w:pPr>
        <w:ind w:left="1080" w:hanging="360"/>
      </w:pPr>
      <w:rPr>
        <w:rFonts w:ascii="Courier New" w:hAnsi="Courier New" w:cs="Courier New" w:hint="default"/>
      </w:rPr>
    </w:lvl>
    <w:lvl w:ilvl="2" w:tplc="3594DEC0" w:tentative="1">
      <w:start w:val="1"/>
      <w:numFmt w:val="bullet"/>
      <w:lvlText w:val=""/>
      <w:lvlJc w:val="left"/>
      <w:pPr>
        <w:ind w:left="1800" w:hanging="360"/>
      </w:pPr>
      <w:rPr>
        <w:rFonts w:ascii="Wingdings" w:hAnsi="Wingdings" w:hint="default"/>
      </w:rPr>
    </w:lvl>
    <w:lvl w:ilvl="3" w:tplc="E6D2B24C" w:tentative="1">
      <w:start w:val="1"/>
      <w:numFmt w:val="bullet"/>
      <w:lvlText w:val=""/>
      <w:lvlJc w:val="left"/>
      <w:pPr>
        <w:ind w:left="2520" w:hanging="360"/>
      </w:pPr>
      <w:rPr>
        <w:rFonts w:ascii="Symbol" w:hAnsi="Symbol" w:hint="default"/>
      </w:rPr>
    </w:lvl>
    <w:lvl w:ilvl="4" w:tplc="AD1E02A8" w:tentative="1">
      <w:start w:val="1"/>
      <w:numFmt w:val="bullet"/>
      <w:lvlText w:val="o"/>
      <w:lvlJc w:val="left"/>
      <w:pPr>
        <w:ind w:left="3240" w:hanging="360"/>
      </w:pPr>
      <w:rPr>
        <w:rFonts w:ascii="Courier New" w:hAnsi="Courier New" w:cs="Courier New" w:hint="default"/>
      </w:rPr>
    </w:lvl>
    <w:lvl w:ilvl="5" w:tplc="38BCE4F6" w:tentative="1">
      <w:start w:val="1"/>
      <w:numFmt w:val="bullet"/>
      <w:lvlText w:val=""/>
      <w:lvlJc w:val="left"/>
      <w:pPr>
        <w:ind w:left="3960" w:hanging="360"/>
      </w:pPr>
      <w:rPr>
        <w:rFonts w:ascii="Wingdings" w:hAnsi="Wingdings" w:hint="default"/>
      </w:rPr>
    </w:lvl>
    <w:lvl w:ilvl="6" w:tplc="316A173C" w:tentative="1">
      <w:start w:val="1"/>
      <w:numFmt w:val="bullet"/>
      <w:lvlText w:val=""/>
      <w:lvlJc w:val="left"/>
      <w:pPr>
        <w:ind w:left="4680" w:hanging="360"/>
      </w:pPr>
      <w:rPr>
        <w:rFonts w:ascii="Symbol" w:hAnsi="Symbol" w:hint="default"/>
      </w:rPr>
    </w:lvl>
    <w:lvl w:ilvl="7" w:tplc="A316FD16" w:tentative="1">
      <w:start w:val="1"/>
      <w:numFmt w:val="bullet"/>
      <w:lvlText w:val="o"/>
      <w:lvlJc w:val="left"/>
      <w:pPr>
        <w:ind w:left="5400" w:hanging="360"/>
      </w:pPr>
      <w:rPr>
        <w:rFonts w:ascii="Courier New" w:hAnsi="Courier New" w:cs="Courier New" w:hint="default"/>
      </w:rPr>
    </w:lvl>
    <w:lvl w:ilvl="8" w:tplc="037AD672" w:tentative="1">
      <w:start w:val="1"/>
      <w:numFmt w:val="bullet"/>
      <w:lvlText w:val=""/>
      <w:lvlJc w:val="left"/>
      <w:pPr>
        <w:ind w:left="6120" w:hanging="360"/>
      </w:pPr>
      <w:rPr>
        <w:rFonts w:ascii="Wingdings" w:hAnsi="Wingdings" w:hint="default"/>
      </w:rPr>
    </w:lvl>
  </w:abstractNum>
  <w:abstractNum w:abstractNumId="23">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4C702A14"/>
    <w:multiLevelType w:val="hybridMultilevel"/>
    <w:tmpl w:val="035AE65E"/>
    <w:lvl w:ilvl="0" w:tplc="B8FADC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1442F51"/>
    <w:multiLevelType w:val="hybridMultilevel"/>
    <w:tmpl w:val="0AC47A90"/>
    <w:lvl w:ilvl="0" w:tplc="58727F64">
      <w:start w:val="1"/>
      <w:numFmt w:val="decimal"/>
      <w:lvlText w:val="%1."/>
      <w:lvlJc w:val="left"/>
      <w:pPr>
        <w:ind w:left="108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65332FF4"/>
    <w:multiLevelType w:val="hybridMultilevel"/>
    <w:tmpl w:val="F056A314"/>
    <w:lvl w:ilvl="0" w:tplc="1E5646F8">
      <w:start w:val="1"/>
      <w:numFmt w:val="decimal"/>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E40358B"/>
    <w:multiLevelType w:val="hybridMultilevel"/>
    <w:tmpl w:val="A0E022D6"/>
    <w:lvl w:ilvl="0" w:tplc="4712FC76">
      <w:start w:val="1"/>
      <w:numFmt w:val="lowerLetter"/>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6"/>
  </w:num>
  <w:num w:numId="3">
    <w:abstractNumId w:val="4"/>
  </w:num>
  <w:num w:numId="4">
    <w:abstractNumId w:val="10"/>
  </w:num>
  <w:num w:numId="5">
    <w:abstractNumId w:val="3"/>
  </w:num>
  <w:num w:numId="6">
    <w:abstractNumId w:val="1"/>
  </w:num>
  <w:num w:numId="7">
    <w:abstractNumId w:val="7"/>
  </w:num>
  <w:num w:numId="8">
    <w:abstractNumId w:val="27"/>
  </w:num>
  <w:num w:numId="9">
    <w:abstractNumId w:val="15"/>
  </w:num>
  <w:num w:numId="10">
    <w:abstractNumId w:val="34"/>
  </w:num>
  <w:num w:numId="11">
    <w:abstractNumId w:val="17"/>
  </w:num>
  <w:num w:numId="12">
    <w:abstractNumId w:val="31"/>
  </w:num>
  <w:num w:numId="13">
    <w:abstractNumId w:val="25"/>
  </w:num>
  <w:num w:numId="14">
    <w:abstractNumId w:val="25"/>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4"/>
  </w:num>
  <w:num w:numId="16">
    <w:abstractNumId w:val="13"/>
  </w:num>
  <w:num w:numId="17">
    <w:abstractNumId w:val="32"/>
  </w:num>
  <w:num w:numId="18">
    <w:abstractNumId w:val="30"/>
  </w:num>
  <w:num w:numId="19">
    <w:abstractNumId w:val="28"/>
  </w:num>
  <w:num w:numId="20">
    <w:abstractNumId w:val="23"/>
  </w:num>
  <w:num w:numId="21">
    <w:abstractNumId w:val="26"/>
  </w:num>
  <w:num w:numId="22">
    <w:abstractNumId w:val="21"/>
  </w:num>
  <w:num w:numId="23">
    <w:abstractNumId w:val="12"/>
  </w:num>
  <w:num w:numId="24">
    <w:abstractNumId w:val="19"/>
  </w:num>
  <w:num w:numId="25">
    <w:abstractNumId w:val="18"/>
  </w:num>
  <w:num w:numId="26">
    <w:abstractNumId w:val="36"/>
  </w:num>
  <w:num w:numId="27">
    <w:abstractNumId w:val="22"/>
  </w:num>
  <w:num w:numId="28">
    <w:abstractNumId w:val="14"/>
  </w:num>
  <w:num w:numId="29">
    <w:abstractNumId w:val="6"/>
  </w:num>
  <w:num w:numId="30">
    <w:abstractNumId w:val="33"/>
  </w:num>
  <w:num w:numId="31">
    <w:abstractNumId w:val="37"/>
  </w:num>
  <w:num w:numId="32">
    <w:abstractNumId w:val="9"/>
  </w:num>
  <w:num w:numId="33">
    <w:abstractNumId w:val="2"/>
  </w:num>
  <w:num w:numId="34">
    <w:abstractNumId w:val="35"/>
  </w:num>
  <w:num w:numId="35">
    <w:abstractNumId w:val="5"/>
  </w:num>
  <w:num w:numId="36">
    <w:abstractNumId w:val="0"/>
  </w:num>
  <w:num w:numId="37">
    <w:abstractNumId w:val="29"/>
  </w:num>
  <w:num w:numId="38">
    <w:abstractNumId w:val="20"/>
  </w:num>
  <w:num w:numId="39">
    <w:abstractNumId w:val="11"/>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0410E"/>
    <w:rsid w:val="0001094F"/>
    <w:rsid w:val="00021170"/>
    <w:rsid w:val="0002128B"/>
    <w:rsid w:val="00023DD7"/>
    <w:rsid w:val="0002468D"/>
    <w:rsid w:val="00024DFD"/>
    <w:rsid w:val="00027AB8"/>
    <w:rsid w:val="000309DD"/>
    <w:rsid w:val="00031414"/>
    <w:rsid w:val="00033038"/>
    <w:rsid w:val="00033D63"/>
    <w:rsid w:val="0003436F"/>
    <w:rsid w:val="00035808"/>
    <w:rsid w:val="000361B0"/>
    <w:rsid w:val="0003686E"/>
    <w:rsid w:val="00040B82"/>
    <w:rsid w:val="000414E8"/>
    <w:rsid w:val="0004593A"/>
    <w:rsid w:val="00050A3E"/>
    <w:rsid w:val="00052A6F"/>
    <w:rsid w:val="00052CC0"/>
    <w:rsid w:val="00053F02"/>
    <w:rsid w:val="0005612B"/>
    <w:rsid w:val="000574AB"/>
    <w:rsid w:val="0006147A"/>
    <w:rsid w:val="0006471D"/>
    <w:rsid w:val="00067DC2"/>
    <w:rsid w:val="00072E72"/>
    <w:rsid w:val="000775F8"/>
    <w:rsid w:val="00080CF7"/>
    <w:rsid w:val="00080F02"/>
    <w:rsid w:val="00082848"/>
    <w:rsid w:val="00084BAF"/>
    <w:rsid w:val="000851B2"/>
    <w:rsid w:val="00092566"/>
    <w:rsid w:val="000968F8"/>
    <w:rsid w:val="00097012"/>
    <w:rsid w:val="000A6273"/>
    <w:rsid w:val="000B032A"/>
    <w:rsid w:val="000B13FE"/>
    <w:rsid w:val="000B29F7"/>
    <w:rsid w:val="000B2DF7"/>
    <w:rsid w:val="000B3880"/>
    <w:rsid w:val="000C1040"/>
    <w:rsid w:val="000C5AF7"/>
    <w:rsid w:val="000D2583"/>
    <w:rsid w:val="000D7948"/>
    <w:rsid w:val="000D7C84"/>
    <w:rsid w:val="000E1334"/>
    <w:rsid w:val="000E4E13"/>
    <w:rsid w:val="000E78F6"/>
    <w:rsid w:val="000F01E7"/>
    <w:rsid w:val="000F034A"/>
    <w:rsid w:val="000F06B5"/>
    <w:rsid w:val="000F1D9D"/>
    <w:rsid w:val="000F39E9"/>
    <w:rsid w:val="000F663C"/>
    <w:rsid w:val="000F6D07"/>
    <w:rsid w:val="00104B45"/>
    <w:rsid w:val="00105029"/>
    <w:rsid w:val="00105D8B"/>
    <w:rsid w:val="00111FCA"/>
    <w:rsid w:val="0011342F"/>
    <w:rsid w:val="001159D3"/>
    <w:rsid w:val="001202E9"/>
    <w:rsid w:val="001216C5"/>
    <w:rsid w:val="00122D23"/>
    <w:rsid w:val="0012454F"/>
    <w:rsid w:val="00125273"/>
    <w:rsid w:val="0012575E"/>
    <w:rsid w:val="00127C06"/>
    <w:rsid w:val="0013080E"/>
    <w:rsid w:val="00140F3A"/>
    <w:rsid w:val="0014120C"/>
    <w:rsid w:val="00145149"/>
    <w:rsid w:val="00145D4F"/>
    <w:rsid w:val="0014773C"/>
    <w:rsid w:val="001510BB"/>
    <w:rsid w:val="00151210"/>
    <w:rsid w:val="00153BC1"/>
    <w:rsid w:val="00154333"/>
    <w:rsid w:val="00155206"/>
    <w:rsid w:val="00164128"/>
    <w:rsid w:val="00165F22"/>
    <w:rsid w:val="0017696D"/>
    <w:rsid w:val="001848FC"/>
    <w:rsid w:val="00193ACD"/>
    <w:rsid w:val="00193D04"/>
    <w:rsid w:val="001942F7"/>
    <w:rsid w:val="001969C5"/>
    <w:rsid w:val="001A6CDD"/>
    <w:rsid w:val="001B0F37"/>
    <w:rsid w:val="001B3FE2"/>
    <w:rsid w:val="001C12EE"/>
    <w:rsid w:val="001C7B02"/>
    <w:rsid w:val="001D6BCA"/>
    <w:rsid w:val="001D7BD5"/>
    <w:rsid w:val="001E1B8C"/>
    <w:rsid w:val="001E2FEE"/>
    <w:rsid w:val="001E3274"/>
    <w:rsid w:val="001E4DD4"/>
    <w:rsid w:val="001E69DC"/>
    <w:rsid w:val="001E7FA7"/>
    <w:rsid w:val="001F169D"/>
    <w:rsid w:val="001F1DA1"/>
    <w:rsid w:val="001F6F93"/>
    <w:rsid w:val="001F7A20"/>
    <w:rsid w:val="00201DCC"/>
    <w:rsid w:val="0021195A"/>
    <w:rsid w:val="00213383"/>
    <w:rsid w:val="00220250"/>
    <w:rsid w:val="002237CA"/>
    <w:rsid w:val="00224F76"/>
    <w:rsid w:val="00226887"/>
    <w:rsid w:val="0022691B"/>
    <w:rsid w:val="00232163"/>
    <w:rsid w:val="002355C9"/>
    <w:rsid w:val="00236B62"/>
    <w:rsid w:val="002370FA"/>
    <w:rsid w:val="002376F8"/>
    <w:rsid w:val="002408E4"/>
    <w:rsid w:val="00241591"/>
    <w:rsid w:val="002457C0"/>
    <w:rsid w:val="00250B4F"/>
    <w:rsid w:val="0025762F"/>
    <w:rsid w:val="002643C3"/>
    <w:rsid w:val="002660E9"/>
    <w:rsid w:val="00266855"/>
    <w:rsid w:val="00267AEE"/>
    <w:rsid w:val="0027032C"/>
    <w:rsid w:val="00271F6C"/>
    <w:rsid w:val="0027218B"/>
    <w:rsid w:val="0028114D"/>
    <w:rsid w:val="0028132E"/>
    <w:rsid w:val="00285AAC"/>
    <w:rsid w:val="00287649"/>
    <w:rsid w:val="00287E84"/>
    <w:rsid w:val="0029286C"/>
    <w:rsid w:val="0029300E"/>
    <w:rsid w:val="002944EC"/>
    <w:rsid w:val="002A4EF4"/>
    <w:rsid w:val="002B0C3A"/>
    <w:rsid w:val="002B2116"/>
    <w:rsid w:val="002B2D9B"/>
    <w:rsid w:val="002B4C1D"/>
    <w:rsid w:val="002B5016"/>
    <w:rsid w:val="002B742C"/>
    <w:rsid w:val="002B7F1F"/>
    <w:rsid w:val="002B7F4D"/>
    <w:rsid w:val="002C00CA"/>
    <w:rsid w:val="002C285C"/>
    <w:rsid w:val="002C7BE4"/>
    <w:rsid w:val="002D0FD7"/>
    <w:rsid w:val="002D1233"/>
    <w:rsid w:val="002D2EA7"/>
    <w:rsid w:val="002D417D"/>
    <w:rsid w:val="002D5E5D"/>
    <w:rsid w:val="002D6BEE"/>
    <w:rsid w:val="002D7E4B"/>
    <w:rsid w:val="002E4B21"/>
    <w:rsid w:val="002E6445"/>
    <w:rsid w:val="002E78A0"/>
    <w:rsid w:val="002E79EA"/>
    <w:rsid w:val="002E7ACD"/>
    <w:rsid w:val="002F2687"/>
    <w:rsid w:val="002F48E1"/>
    <w:rsid w:val="002F4F3B"/>
    <w:rsid w:val="00300F58"/>
    <w:rsid w:val="003059EB"/>
    <w:rsid w:val="003116AC"/>
    <w:rsid w:val="003140F6"/>
    <w:rsid w:val="00315567"/>
    <w:rsid w:val="00330144"/>
    <w:rsid w:val="003312DC"/>
    <w:rsid w:val="00332839"/>
    <w:rsid w:val="00346245"/>
    <w:rsid w:val="0035208A"/>
    <w:rsid w:val="00356267"/>
    <w:rsid w:val="00356A89"/>
    <w:rsid w:val="00356BAD"/>
    <w:rsid w:val="003605B4"/>
    <w:rsid w:val="00360963"/>
    <w:rsid w:val="003627AC"/>
    <w:rsid w:val="00364664"/>
    <w:rsid w:val="00366914"/>
    <w:rsid w:val="003674BE"/>
    <w:rsid w:val="00372931"/>
    <w:rsid w:val="00372FE3"/>
    <w:rsid w:val="003755CB"/>
    <w:rsid w:val="00383F85"/>
    <w:rsid w:val="00387741"/>
    <w:rsid w:val="00390421"/>
    <w:rsid w:val="00390CA8"/>
    <w:rsid w:val="003A306C"/>
    <w:rsid w:val="003A3B3E"/>
    <w:rsid w:val="003A7DE7"/>
    <w:rsid w:val="003B1006"/>
    <w:rsid w:val="003C5F11"/>
    <w:rsid w:val="003D631A"/>
    <w:rsid w:val="003D6401"/>
    <w:rsid w:val="003E0F26"/>
    <w:rsid w:val="003E1863"/>
    <w:rsid w:val="003F4334"/>
    <w:rsid w:val="003F5167"/>
    <w:rsid w:val="00400C0E"/>
    <w:rsid w:val="00404D5A"/>
    <w:rsid w:val="00410C2F"/>
    <w:rsid w:val="004145C2"/>
    <w:rsid w:val="0041606D"/>
    <w:rsid w:val="00416962"/>
    <w:rsid w:val="004228A9"/>
    <w:rsid w:val="004241D9"/>
    <w:rsid w:val="00430CFC"/>
    <w:rsid w:val="00430F2F"/>
    <w:rsid w:val="004348CC"/>
    <w:rsid w:val="004422A5"/>
    <w:rsid w:val="00442AA1"/>
    <w:rsid w:val="00450BC0"/>
    <w:rsid w:val="004576EB"/>
    <w:rsid w:val="004658FF"/>
    <w:rsid w:val="004671C5"/>
    <w:rsid w:val="00471F02"/>
    <w:rsid w:val="0047277F"/>
    <w:rsid w:val="0047295A"/>
    <w:rsid w:val="00472D5A"/>
    <w:rsid w:val="00474ED7"/>
    <w:rsid w:val="004756E1"/>
    <w:rsid w:val="0048008A"/>
    <w:rsid w:val="0048019C"/>
    <w:rsid w:val="00483E94"/>
    <w:rsid w:val="00484120"/>
    <w:rsid w:val="00484983"/>
    <w:rsid w:val="0048507D"/>
    <w:rsid w:val="004853A0"/>
    <w:rsid w:val="00495436"/>
    <w:rsid w:val="00496B5F"/>
    <w:rsid w:val="004A0904"/>
    <w:rsid w:val="004A0F33"/>
    <w:rsid w:val="004A2E10"/>
    <w:rsid w:val="004A3494"/>
    <w:rsid w:val="004A6381"/>
    <w:rsid w:val="004B17FF"/>
    <w:rsid w:val="004B1BA0"/>
    <w:rsid w:val="004B6CEE"/>
    <w:rsid w:val="004B7D2C"/>
    <w:rsid w:val="004C2443"/>
    <w:rsid w:val="004C498F"/>
    <w:rsid w:val="004C5D29"/>
    <w:rsid w:val="004C681A"/>
    <w:rsid w:val="004C7293"/>
    <w:rsid w:val="004D4D8A"/>
    <w:rsid w:val="004D671E"/>
    <w:rsid w:val="004E3B38"/>
    <w:rsid w:val="004F4FE3"/>
    <w:rsid w:val="004F58DF"/>
    <w:rsid w:val="004F68EE"/>
    <w:rsid w:val="00502FA3"/>
    <w:rsid w:val="005038D5"/>
    <w:rsid w:val="005060F7"/>
    <w:rsid w:val="00511A01"/>
    <w:rsid w:val="00511BA4"/>
    <w:rsid w:val="00512069"/>
    <w:rsid w:val="005144A3"/>
    <w:rsid w:val="005149E7"/>
    <w:rsid w:val="00517AA0"/>
    <w:rsid w:val="005221D1"/>
    <w:rsid w:val="005232D6"/>
    <w:rsid w:val="00525557"/>
    <w:rsid w:val="005333CC"/>
    <w:rsid w:val="005358E6"/>
    <w:rsid w:val="005363F1"/>
    <w:rsid w:val="00545248"/>
    <w:rsid w:val="0055007C"/>
    <w:rsid w:val="00550DA9"/>
    <w:rsid w:val="00554922"/>
    <w:rsid w:val="00555282"/>
    <w:rsid w:val="005560E7"/>
    <w:rsid w:val="0056116F"/>
    <w:rsid w:val="005612CC"/>
    <w:rsid w:val="00562700"/>
    <w:rsid w:val="00563029"/>
    <w:rsid w:val="0056684E"/>
    <w:rsid w:val="00567D12"/>
    <w:rsid w:val="00576062"/>
    <w:rsid w:val="00580998"/>
    <w:rsid w:val="00583DC2"/>
    <w:rsid w:val="0059559F"/>
    <w:rsid w:val="005A279E"/>
    <w:rsid w:val="005A49FF"/>
    <w:rsid w:val="005A7634"/>
    <w:rsid w:val="005B400B"/>
    <w:rsid w:val="005C0447"/>
    <w:rsid w:val="005C41C8"/>
    <w:rsid w:val="005C499B"/>
    <w:rsid w:val="005C739F"/>
    <w:rsid w:val="005C73CA"/>
    <w:rsid w:val="005C7D57"/>
    <w:rsid w:val="005D4768"/>
    <w:rsid w:val="005E2CAB"/>
    <w:rsid w:val="005E3102"/>
    <w:rsid w:val="005E429E"/>
    <w:rsid w:val="0060007D"/>
    <w:rsid w:val="00601ED4"/>
    <w:rsid w:val="00602A12"/>
    <w:rsid w:val="006030BC"/>
    <w:rsid w:val="006037EB"/>
    <w:rsid w:val="00603EDA"/>
    <w:rsid w:val="00605FA1"/>
    <w:rsid w:val="00610733"/>
    <w:rsid w:val="00612145"/>
    <w:rsid w:val="00612866"/>
    <w:rsid w:val="00615275"/>
    <w:rsid w:val="00616EB5"/>
    <w:rsid w:val="00626558"/>
    <w:rsid w:val="006269D4"/>
    <w:rsid w:val="006327D8"/>
    <w:rsid w:val="00633D17"/>
    <w:rsid w:val="00634FF4"/>
    <w:rsid w:val="0064070A"/>
    <w:rsid w:val="0064313B"/>
    <w:rsid w:val="00643A01"/>
    <w:rsid w:val="00652E0A"/>
    <w:rsid w:val="00653A39"/>
    <w:rsid w:val="006574D2"/>
    <w:rsid w:val="00663F8C"/>
    <w:rsid w:val="006676D4"/>
    <w:rsid w:val="00670FCB"/>
    <w:rsid w:val="00675535"/>
    <w:rsid w:val="00681359"/>
    <w:rsid w:val="00681BC9"/>
    <w:rsid w:val="00696262"/>
    <w:rsid w:val="006A22A2"/>
    <w:rsid w:val="006B540F"/>
    <w:rsid w:val="006B56B0"/>
    <w:rsid w:val="006B6050"/>
    <w:rsid w:val="006C0238"/>
    <w:rsid w:val="006C3A4F"/>
    <w:rsid w:val="006C4845"/>
    <w:rsid w:val="006D6BC1"/>
    <w:rsid w:val="006E2BFC"/>
    <w:rsid w:val="006E5C57"/>
    <w:rsid w:val="006F22A5"/>
    <w:rsid w:val="00702940"/>
    <w:rsid w:val="00702C73"/>
    <w:rsid w:val="00704C19"/>
    <w:rsid w:val="00713394"/>
    <w:rsid w:val="00714DD0"/>
    <w:rsid w:val="00715B89"/>
    <w:rsid w:val="00716A3F"/>
    <w:rsid w:val="00721428"/>
    <w:rsid w:val="00724677"/>
    <w:rsid w:val="00725AC2"/>
    <w:rsid w:val="00732880"/>
    <w:rsid w:val="00733EF6"/>
    <w:rsid w:val="007416B9"/>
    <w:rsid w:val="007422FD"/>
    <w:rsid w:val="00743C44"/>
    <w:rsid w:val="00743E46"/>
    <w:rsid w:val="007444FE"/>
    <w:rsid w:val="007461F0"/>
    <w:rsid w:val="00747C45"/>
    <w:rsid w:val="00750988"/>
    <w:rsid w:val="00756FDB"/>
    <w:rsid w:val="00757036"/>
    <w:rsid w:val="00761F14"/>
    <w:rsid w:val="007629B6"/>
    <w:rsid w:val="007665BF"/>
    <w:rsid w:val="00771B2A"/>
    <w:rsid w:val="007757CE"/>
    <w:rsid w:val="00775800"/>
    <w:rsid w:val="00780CA7"/>
    <w:rsid w:val="0079180E"/>
    <w:rsid w:val="00793361"/>
    <w:rsid w:val="007950CC"/>
    <w:rsid w:val="0079538B"/>
    <w:rsid w:val="007961B8"/>
    <w:rsid w:val="00797624"/>
    <w:rsid w:val="007A3420"/>
    <w:rsid w:val="007A424C"/>
    <w:rsid w:val="007A4828"/>
    <w:rsid w:val="007A52C9"/>
    <w:rsid w:val="007B093D"/>
    <w:rsid w:val="007B2069"/>
    <w:rsid w:val="007B49E3"/>
    <w:rsid w:val="007B4E52"/>
    <w:rsid w:val="007C04A1"/>
    <w:rsid w:val="007C21FA"/>
    <w:rsid w:val="007D4351"/>
    <w:rsid w:val="007D44EE"/>
    <w:rsid w:val="007D7019"/>
    <w:rsid w:val="007E1891"/>
    <w:rsid w:val="007E18DB"/>
    <w:rsid w:val="007E1B44"/>
    <w:rsid w:val="007E51F8"/>
    <w:rsid w:val="007E6F1C"/>
    <w:rsid w:val="007F6E39"/>
    <w:rsid w:val="00804C69"/>
    <w:rsid w:val="0080711D"/>
    <w:rsid w:val="00813D13"/>
    <w:rsid w:val="008155CD"/>
    <w:rsid w:val="00824F91"/>
    <w:rsid w:val="008303CC"/>
    <w:rsid w:val="00833325"/>
    <w:rsid w:val="00840A41"/>
    <w:rsid w:val="00842F3C"/>
    <w:rsid w:val="00846764"/>
    <w:rsid w:val="008505D1"/>
    <w:rsid w:val="00850EFF"/>
    <w:rsid w:val="00855158"/>
    <w:rsid w:val="008554D6"/>
    <w:rsid w:val="00857EE8"/>
    <w:rsid w:val="0086367C"/>
    <w:rsid w:val="0086464B"/>
    <w:rsid w:val="008647FC"/>
    <w:rsid w:val="00864CA8"/>
    <w:rsid w:val="00865E2D"/>
    <w:rsid w:val="00870E6C"/>
    <w:rsid w:val="00872F24"/>
    <w:rsid w:val="00877962"/>
    <w:rsid w:val="008816CF"/>
    <w:rsid w:val="00884486"/>
    <w:rsid w:val="008871A9"/>
    <w:rsid w:val="008916BA"/>
    <w:rsid w:val="00892176"/>
    <w:rsid w:val="008929DC"/>
    <w:rsid w:val="008A1DB7"/>
    <w:rsid w:val="008A403A"/>
    <w:rsid w:val="008A4C13"/>
    <w:rsid w:val="008B0BC4"/>
    <w:rsid w:val="008B604D"/>
    <w:rsid w:val="008C012D"/>
    <w:rsid w:val="008C54A9"/>
    <w:rsid w:val="008C5A03"/>
    <w:rsid w:val="008D00CB"/>
    <w:rsid w:val="008D0B7F"/>
    <w:rsid w:val="008D1BE1"/>
    <w:rsid w:val="008D65B0"/>
    <w:rsid w:val="008D798E"/>
    <w:rsid w:val="008E26B8"/>
    <w:rsid w:val="008E3E4F"/>
    <w:rsid w:val="008E42E3"/>
    <w:rsid w:val="008E4C0E"/>
    <w:rsid w:val="008E67C3"/>
    <w:rsid w:val="008F21AE"/>
    <w:rsid w:val="008F589F"/>
    <w:rsid w:val="008F76A9"/>
    <w:rsid w:val="008F7E67"/>
    <w:rsid w:val="00900DBF"/>
    <w:rsid w:val="00903BCA"/>
    <w:rsid w:val="00903D96"/>
    <w:rsid w:val="009048B9"/>
    <w:rsid w:val="00904E91"/>
    <w:rsid w:val="00915886"/>
    <w:rsid w:val="009214DC"/>
    <w:rsid w:val="009236B1"/>
    <w:rsid w:val="009246BA"/>
    <w:rsid w:val="00927027"/>
    <w:rsid w:val="00933E81"/>
    <w:rsid w:val="009344BA"/>
    <w:rsid w:val="009377E7"/>
    <w:rsid w:val="00941FE7"/>
    <w:rsid w:val="00942046"/>
    <w:rsid w:val="00947F78"/>
    <w:rsid w:val="00953234"/>
    <w:rsid w:val="00955B67"/>
    <w:rsid w:val="00961EAF"/>
    <w:rsid w:val="0096278F"/>
    <w:rsid w:val="009627AD"/>
    <w:rsid w:val="00964CAD"/>
    <w:rsid w:val="009717A7"/>
    <w:rsid w:val="0097244A"/>
    <w:rsid w:val="009726E1"/>
    <w:rsid w:val="00977591"/>
    <w:rsid w:val="00980E75"/>
    <w:rsid w:val="00983362"/>
    <w:rsid w:val="009834C0"/>
    <w:rsid w:val="0098453E"/>
    <w:rsid w:val="00990427"/>
    <w:rsid w:val="00991E60"/>
    <w:rsid w:val="00994BE0"/>
    <w:rsid w:val="009A25B1"/>
    <w:rsid w:val="009A4608"/>
    <w:rsid w:val="009A6A57"/>
    <w:rsid w:val="009A70BF"/>
    <w:rsid w:val="009B1A15"/>
    <w:rsid w:val="009C0852"/>
    <w:rsid w:val="009C13CA"/>
    <w:rsid w:val="009C32C6"/>
    <w:rsid w:val="009C5373"/>
    <w:rsid w:val="009C665F"/>
    <w:rsid w:val="009D386B"/>
    <w:rsid w:val="009D3A70"/>
    <w:rsid w:val="009D61B0"/>
    <w:rsid w:val="009D700F"/>
    <w:rsid w:val="009D7E38"/>
    <w:rsid w:val="009E0548"/>
    <w:rsid w:val="009E095B"/>
    <w:rsid w:val="009E1846"/>
    <w:rsid w:val="009E56C3"/>
    <w:rsid w:val="009E5BE6"/>
    <w:rsid w:val="009E78FF"/>
    <w:rsid w:val="009F5B53"/>
    <w:rsid w:val="009F6872"/>
    <w:rsid w:val="00A01494"/>
    <w:rsid w:val="00A07AB3"/>
    <w:rsid w:val="00A07D08"/>
    <w:rsid w:val="00A22FA9"/>
    <w:rsid w:val="00A2496B"/>
    <w:rsid w:val="00A25024"/>
    <w:rsid w:val="00A25CF4"/>
    <w:rsid w:val="00A27163"/>
    <w:rsid w:val="00A35F8F"/>
    <w:rsid w:val="00A361B1"/>
    <w:rsid w:val="00A41377"/>
    <w:rsid w:val="00A4263D"/>
    <w:rsid w:val="00A429AE"/>
    <w:rsid w:val="00A462C2"/>
    <w:rsid w:val="00A5062D"/>
    <w:rsid w:val="00A509B8"/>
    <w:rsid w:val="00A52AB9"/>
    <w:rsid w:val="00A57363"/>
    <w:rsid w:val="00A6210B"/>
    <w:rsid w:val="00A62811"/>
    <w:rsid w:val="00A71358"/>
    <w:rsid w:val="00A7323A"/>
    <w:rsid w:val="00A733E5"/>
    <w:rsid w:val="00A80C26"/>
    <w:rsid w:val="00A831B4"/>
    <w:rsid w:val="00A961B9"/>
    <w:rsid w:val="00A97798"/>
    <w:rsid w:val="00AA5213"/>
    <w:rsid w:val="00AA65A6"/>
    <w:rsid w:val="00AB3AF4"/>
    <w:rsid w:val="00AC1D8E"/>
    <w:rsid w:val="00AC48FA"/>
    <w:rsid w:val="00AC7FB8"/>
    <w:rsid w:val="00AD0240"/>
    <w:rsid w:val="00AD4137"/>
    <w:rsid w:val="00AD4168"/>
    <w:rsid w:val="00AE1044"/>
    <w:rsid w:val="00AF0948"/>
    <w:rsid w:val="00AF5A6D"/>
    <w:rsid w:val="00B037BA"/>
    <w:rsid w:val="00B11E91"/>
    <w:rsid w:val="00B20139"/>
    <w:rsid w:val="00B218DA"/>
    <w:rsid w:val="00B22529"/>
    <w:rsid w:val="00B342FA"/>
    <w:rsid w:val="00B507EE"/>
    <w:rsid w:val="00B52225"/>
    <w:rsid w:val="00B53E8B"/>
    <w:rsid w:val="00B617D6"/>
    <w:rsid w:val="00B61D90"/>
    <w:rsid w:val="00B67C22"/>
    <w:rsid w:val="00B71298"/>
    <w:rsid w:val="00B746B0"/>
    <w:rsid w:val="00B774D2"/>
    <w:rsid w:val="00B8015A"/>
    <w:rsid w:val="00B82A57"/>
    <w:rsid w:val="00B86D57"/>
    <w:rsid w:val="00B90892"/>
    <w:rsid w:val="00B96D9E"/>
    <w:rsid w:val="00BA053B"/>
    <w:rsid w:val="00BB35AE"/>
    <w:rsid w:val="00BC03A1"/>
    <w:rsid w:val="00BC0D25"/>
    <w:rsid w:val="00BC404A"/>
    <w:rsid w:val="00BC6811"/>
    <w:rsid w:val="00BD2505"/>
    <w:rsid w:val="00BD26C4"/>
    <w:rsid w:val="00BD50FF"/>
    <w:rsid w:val="00BE592D"/>
    <w:rsid w:val="00BF09D7"/>
    <w:rsid w:val="00BF52B0"/>
    <w:rsid w:val="00BF5697"/>
    <w:rsid w:val="00BF5CE4"/>
    <w:rsid w:val="00C01B73"/>
    <w:rsid w:val="00C07671"/>
    <w:rsid w:val="00C1147C"/>
    <w:rsid w:val="00C12BAA"/>
    <w:rsid w:val="00C13A01"/>
    <w:rsid w:val="00C14CCC"/>
    <w:rsid w:val="00C22C1C"/>
    <w:rsid w:val="00C2452E"/>
    <w:rsid w:val="00C26353"/>
    <w:rsid w:val="00C30621"/>
    <w:rsid w:val="00C33F2E"/>
    <w:rsid w:val="00C34936"/>
    <w:rsid w:val="00C34C14"/>
    <w:rsid w:val="00C355B9"/>
    <w:rsid w:val="00C36EEE"/>
    <w:rsid w:val="00C401C4"/>
    <w:rsid w:val="00C41680"/>
    <w:rsid w:val="00C435F5"/>
    <w:rsid w:val="00C4531F"/>
    <w:rsid w:val="00C46167"/>
    <w:rsid w:val="00C53A54"/>
    <w:rsid w:val="00C56163"/>
    <w:rsid w:val="00C6028C"/>
    <w:rsid w:val="00C60A25"/>
    <w:rsid w:val="00C64D51"/>
    <w:rsid w:val="00C7087E"/>
    <w:rsid w:val="00C765C5"/>
    <w:rsid w:val="00C82479"/>
    <w:rsid w:val="00C84776"/>
    <w:rsid w:val="00C867F0"/>
    <w:rsid w:val="00C94262"/>
    <w:rsid w:val="00C9744C"/>
    <w:rsid w:val="00CA06D8"/>
    <w:rsid w:val="00CA1FF6"/>
    <w:rsid w:val="00CA345A"/>
    <w:rsid w:val="00CA6982"/>
    <w:rsid w:val="00CA6F5C"/>
    <w:rsid w:val="00CA6FCD"/>
    <w:rsid w:val="00CB49FF"/>
    <w:rsid w:val="00CB7F8C"/>
    <w:rsid w:val="00CC02CF"/>
    <w:rsid w:val="00CC086A"/>
    <w:rsid w:val="00CC7601"/>
    <w:rsid w:val="00CC7AB5"/>
    <w:rsid w:val="00CD0F66"/>
    <w:rsid w:val="00CD364B"/>
    <w:rsid w:val="00CD4237"/>
    <w:rsid w:val="00CE23B8"/>
    <w:rsid w:val="00CE50D7"/>
    <w:rsid w:val="00D00344"/>
    <w:rsid w:val="00D051C0"/>
    <w:rsid w:val="00D06A77"/>
    <w:rsid w:val="00D141E9"/>
    <w:rsid w:val="00D1754D"/>
    <w:rsid w:val="00D20EEB"/>
    <w:rsid w:val="00D2223F"/>
    <w:rsid w:val="00D274A4"/>
    <w:rsid w:val="00D277AF"/>
    <w:rsid w:val="00D31163"/>
    <w:rsid w:val="00D320B1"/>
    <w:rsid w:val="00D33AFD"/>
    <w:rsid w:val="00D36489"/>
    <w:rsid w:val="00D36B2E"/>
    <w:rsid w:val="00D42195"/>
    <w:rsid w:val="00D50704"/>
    <w:rsid w:val="00D5110B"/>
    <w:rsid w:val="00D527E0"/>
    <w:rsid w:val="00D55A79"/>
    <w:rsid w:val="00D5760A"/>
    <w:rsid w:val="00D61410"/>
    <w:rsid w:val="00D71ACD"/>
    <w:rsid w:val="00D761B5"/>
    <w:rsid w:val="00D76DDC"/>
    <w:rsid w:val="00D77485"/>
    <w:rsid w:val="00D8181D"/>
    <w:rsid w:val="00D83F6D"/>
    <w:rsid w:val="00D870F6"/>
    <w:rsid w:val="00D950CB"/>
    <w:rsid w:val="00D968D8"/>
    <w:rsid w:val="00DA563D"/>
    <w:rsid w:val="00DA7277"/>
    <w:rsid w:val="00DA7E4D"/>
    <w:rsid w:val="00DB3627"/>
    <w:rsid w:val="00DB4724"/>
    <w:rsid w:val="00DC3CF6"/>
    <w:rsid w:val="00DC4746"/>
    <w:rsid w:val="00DD1CF6"/>
    <w:rsid w:val="00DD290C"/>
    <w:rsid w:val="00DE04E4"/>
    <w:rsid w:val="00DE154A"/>
    <w:rsid w:val="00DE5636"/>
    <w:rsid w:val="00DE6979"/>
    <w:rsid w:val="00DE7149"/>
    <w:rsid w:val="00DF1E5E"/>
    <w:rsid w:val="00E0314C"/>
    <w:rsid w:val="00E037C1"/>
    <w:rsid w:val="00E076A6"/>
    <w:rsid w:val="00E14DE7"/>
    <w:rsid w:val="00E1508F"/>
    <w:rsid w:val="00E170B1"/>
    <w:rsid w:val="00E269E5"/>
    <w:rsid w:val="00E26B78"/>
    <w:rsid w:val="00E27240"/>
    <w:rsid w:val="00E27EDD"/>
    <w:rsid w:val="00E30584"/>
    <w:rsid w:val="00E310B9"/>
    <w:rsid w:val="00E37E1B"/>
    <w:rsid w:val="00E41C6E"/>
    <w:rsid w:val="00E44F62"/>
    <w:rsid w:val="00E534B2"/>
    <w:rsid w:val="00E562C0"/>
    <w:rsid w:val="00E666E1"/>
    <w:rsid w:val="00E672D6"/>
    <w:rsid w:val="00E76024"/>
    <w:rsid w:val="00E856A2"/>
    <w:rsid w:val="00E858BF"/>
    <w:rsid w:val="00E96884"/>
    <w:rsid w:val="00EA1F44"/>
    <w:rsid w:val="00EA5435"/>
    <w:rsid w:val="00EA5F47"/>
    <w:rsid w:val="00EB694C"/>
    <w:rsid w:val="00EC1D79"/>
    <w:rsid w:val="00EC79DE"/>
    <w:rsid w:val="00ED4ACE"/>
    <w:rsid w:val="00ED6191"/>
    <w:rsid w:val="00EE099E"/>
    <w:rsid w:val="00EE2A59"/>
    <w:rsid w:val="00EE4D35"/>
    <w:rsid w:val="00EE4D8A"/>
    <w:rsid w:val="00EF2DA7"/>
    <w:rsid w:val="00EF393C"/>
    <w:rsid w:val="00EF6E95"/>
    <w:rsid w:val="00F10F40"/>
    <w:rsid w:val="00F112E8"/>
    <w:rsid w:val="00F22C47"/>
    <w:rsid w:val="00F263FF"/>
    <w:rsid w:val="00F4127B"/>
    <w:rsid w:val="00F435AA"/>
    <w:rsid w:val="00F5626A"/>
    <w:rsid w:val="00F5738A"/>
    <w:rsid w:val="00F612D4"/>
    <w:rsid w:val="00F7449B"/>
    <w:rsid w:val="00F77F1D"/>
    <w:rsid w:val="00F80714"/>
    <w:rsid w:val="00F80F47"/>
    <w:rsid w:val="00F8105C"/>
    <w:rsid w:val="00F8138F"/>
    <w:rsid w:val="00F85F7E"/>
    <w:rsid w:val="00F868E2"/>
    <w:rsid w:val="00F87CCB"/>
    <w:rsid w:val="00F9352B"/>
    <w:rsid w:val="00F96B5F"/>
    <w:rsid w:val="00F97FA5"/>
    <w:rsid w:val="00FA48C7"/>
    <w:rsid w:val="00FB4A9B"/>
    <w:rsid w:val="00FB50F5"/>
    <w:rsid w:val="00FB73C1"/>
    <w:rsid w:val="00FC1CBF"/>
    <w:rsid w:val="00FD1101"/>
    <w:rsid w:val="00FE690C"/>
    <w:rsid w:val="00FF6ED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2DA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unhideWhenUsed/>
    <w:qFormat/>
    <w:rsid w:val="000E1334"/>
    <w:pPr>
      <w:keepNext/>
      <w:spacing w:before="240" w:after="240" w:line="240" w:lineRule="auto"/>
      <w:ind w:firstLine="432"/>
      <w:outlineLvl w:val="4"/>
    </w:pPr>
    <w:rPr>
      <w:rFonts w:ascii="Calibri" w:eastAsiaTheme="minorHAnsi" w:hAnsi="Calibri"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uiPriority w:val="99"/>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rsid w:val="00145149"/>
    <w:rPr>
      <w:rFonts w:ascii="Times New Roman" w:eastAsia="Calibri" w:hAnsi="Times New Roman" w:cs="Times New Roman"/>
      <w:sz w:val="20"/>
      <w:szCs w:val="20"/>
    </w:rPr>
  </w:style>
  <w:style w:type="character" w:styleId="FootnoteReference">
    <w:name w:val="footnote reference"/>
    <w:basedOn w:val="DefaultParagraphFont"/>
    <w:uiPriority w:val="99"/>
    <w:semiHidden/>
    <w:rsid w:val="00145149"/>
    <w:rPr>
      <w:rFonts w:cs="Times New Roman"/>
      <w:vertAlign w:val="superscript"/>
    </w:rPr>
  </w:style>
  <w:style w:type="paragraph" w:customStyle="1" w:styleId="Default">
    <w:name w:val="Default"/>
    <w:rsid w:val="00154333"/>
    <w:pPr>
      <w:autoSpaceDE w:val="0"/>
      <w:autoSpaceDN w:val="0"/>
      <w:adjustRightInd w:val="0"/>
      <w:spacing w:after="0" w:line="240" w:lineRule="auto"/>
    </w:pPr>
    <w:rPr>
      <w:rFonts w:ascii="TimesNewRoman,Bold" w:eastAsia="Times New Roman" w:hAnsi="TimesNewRoman,Bold" w:cs="Times New Roman"/>
      <w:sz w:val="20"/>
      <w:szCs w:val="20"/>
    </w:rPr>
  </w:style>
  <w:style w:type="paragraph" w:customStyle="1" w:styleId="TableTitle">
    <w:name w:val="Table Title"/>
    <w:basedOn w:val="Caption"/>
    <w:rsid w:val="00154333"/>
    <w:pPr>
      <w:keepNext/>
      <w:keepLines/>
      <w:spacing w:before="240" w:after="240"/>
      <w:jc w:val="center"/>
    </w:pPr>
    <w:rPr>
      <w:rFonts w:ascii="Times New Roman" w:eastAsia="Times New Roman" w:hAnsi="Times New Roman" w:cs="Arial"/>
      <w:color w:val="auto"/>
      <w:sz w:val="24"/>
      <w:szCs w:val="22"/>
    </w:rPr>
  </w:style>
  <w:style w:type="paragraph" w:styleId="Caption">
    <w:name w:val="caption"/>
    <w:basedOn w:val="Normal"/>
    <w:next w:val="Normal"/>
    <w:uiPriority w:val="35"/>
    <w:semiHidden/>
    <w:unhideWhenUsed/>
    <w:qFormat/>
    <w:rsid w:val="00154333"/>
    <w:pPr>
      <w:spacing w:line="240" w:lineRule="auto"/>
    </w:pPr>
    <w:rPr>
      <w:b/>
      <w:bCs/>
      <w:color w:val="4F81BD" w:themeColor="accent1"/>
      <w:sz w:val="18"/>
      <w:szCs w:val="18"/>
    </w:rPr>
  </w:style>
  <w:style w:type="paragraph" w:styleId="BodyText">
    <w:name w:val="Body Text"/>
    <w:basedOn w:val="Normal"/>
    <w:link w:val="BodyTextChar"/>
    <w:uiPriority w:val="99"/>
    <w:unhideWhenUsed/>
    <w:rsid w:val="004145C2"/>
    <w:pPr>
      <w:spacing w:before="160" w:after="120" w:line="240" w:lineRule="auto"/>
    </w:pPr>
    <w:rPr>
      <w:rFonts w:ascii="Calibri" w:eastAsia="Calibri" w:hAnsi="Calibri" w:cs="Times New Roman"/>
      <w:sz w:val="24"/>
    </w:rPr>
  </w:style>
  <w:style w:type="character" w:customStyle="1" w:styleId="BodyTextChar">
    <w:name w:val="Body Text Char"/>
    <w:basedOn w:val="DefaultParagraphFont"/>
    <w:link w:val="BodyText"/>
    <w:uiPriority w:val="99"/>
    <w:rsid w:val="004145C2"/>
    <w:rPr>
      <w:rFonts w:ascii="Calibri" w:eastAsia="Calibri" w:hAnsi="Calibri" w:cs="Times New Roman"/>
      <w:sz w:val="24"/>
    </w:rPr>
  </w:style>
  <w:style w:type="paragraph" w:customStyle="1" w:styleId="FigureNObox">
    <w:name w:val="Figure_NObox"/>
    <w:basedOn w:val="Normal"/>
    <w:qFormat/>
    <w:rsid w:val="004145C2"/>
    <w:pPr>
      <w:keepNext/>
      <w:spacing w:before="240" w:after="0" w:line="240" w:lineRule="auto"/>
      <w:jc w:val="center"/>
    </w:pPr>
    <w:rPr>
      <w:rFonts w:ascii="Times New Roman" w:eastAsia="Times New Roman" w:hAnsi="Times New Roman" w:cs="Times New Roman"/>
      <w:sz w:val="24"/>
      <w:szCs w:val="20"/>
    </w:rPr>
  </w:style>
  <w:style w:type="paragraph" w:customStyle="1" w:styleId="TableText">
    <w:name w:val="Table Text"/>
    <w:basedOn w:val="Normal"/>
    <w:qFormat/>
    <w:rsid w:val="00583DC2"/>
    <w:pPr>
      <w:keepNext/>
      <w:spacing w:after="0" w:line="240" w:lineRule="auto"/>
    </w:pPr>
    <w:rPr>
      <w:rFonts w:ascii="Arial" w:eastAsia="Times New Roman" w:hAnsi="Arial" w:cs="Times New Roman"/>
      <w:sz w:val="20"/>
    </w:rPr>
  </w:style>
  <w:style w:type="paragraph" w:customStyle="1" w:styleId="SourceTable">
    <w:name w:val="Source Table"/>
    <w:basedOn w:val="Normal"/>
    <w:rsid w:val="00583DC2"/>
    <w:pPr>
      <w:keepLines/>
      <w:spacing w:before="240" w:after="240" w:line="240" w:lineRule="auto"/>
    </w:pPr>
    <w:rPr>
      <w:rFonts w:ascii="Times New Roman" w:eastAsia="Times New Roman" w:hAnsi="Times New Roman" w:cs="Times New Roman"/>
      <w:sz w:val="24"/>
      <w:szCs w:val="20"/>
    </w:rPr>
  </w:style>
  <w:style w:type="paragraph" w:customStyle="1" w:styleId="AppTableTitle">
    <w:name w:val="App Table Title"/>
    <w:basedOn w:val="Normal"/>
    <w:rsid w:val="00583DC2"/>
    <w:pPr>
      <w:keepNext/>
      <w:keepLines/>
      <w:spacing w:before="240" w:after="240" w:line="240" w:lineRule="auto"/>
      <w:jc w:val="center"/>
    </w:pPr>
    <w:rPr>
      <w:rFonts w:ascii="Calibri" w:eastAsia="Times New Roman" w:hAnsi="Calibri" w:cs="Arial"/>
      <w:b/>
      <w:bCs/>
      <w:sz w:val="24"/>
    </w:rPr>
  </w:style>
  <w:style w:type="paragraph" w:customStyle="1" w:styleId="TableHeaders">
    <w:name w:val="Table Headers"/>
    <w:basedOn w:val="Normal"/>
    <w:qFormat/>
    <w:rsid w:val="00583DC2"/>
    <w:pPr>
      <w:keepNext/>
      <w:spacing w:before="80" w:after="80" w:line="240" w:lineRule="auto"/>
      <w:jc w:val="center"/>
    </w:pPr>
    <w:rPr>
      <w:rFonts w:ascii="Times New Roman" w:eastAsia="Times New Roman" w:hAnsi="Times New Roman" w:cs="Times New Roman"/>
      <w:snapToGrid w:val="0"/>
      <w:sz w:val="24"/>
      <w:szCs w:val="20"/>
    </w:rPr>
  </w:style>
  <w:style w:type="paragraph" w:styleId="ListBullet">
    <w:name w:val="List Bullet"/>
    <w:basedOn w:val="Normal"/>
    <w:uiPriority w:val="99"/>
    <w:semiHidden/>
    <w:unhideWhenUsed/>
    <w:rsid w:val="00615275"/>
    <w:pPr>
      <w:numPr>
        <w:numId w:val="36"/>
      </w:numPr>
      <w:contextualSpacing/>
    </w:pPr>
  </w:style>
  <w:style w:type="character" w:customStyle="1" w:styleId="bodytextChar0">
    <w:name w:val="body text Char"/>
    <w:basedOn w:val="DefaultParagraphFont"/>
    <w:link w:val="BodyText1"/>
    <w:locked/>
    <w:rsid w:val="000F663C"/>
    <w:rPr>
      <w:rFonts w:ascii="Times New Roman" w:hAnsi="Times New Roman" w:cs="Times New Roman"/>
      <w:sz w:val="24"/>
    </w:rPr>
  </w:style>
  <w:style w:type="paragraph" w:customStyle="1" w:styleId="BodyText1">
    <w:name w:val="Body Text1"/>
    <w:basedOn w:val="Normal"/>
    <w:link w:val="bodytextChar0"/>
    <w:rsid w:val="000F663C"/>
    <w:pPr>
      <w:spacing w:after="240" w:line="240" w:lineRule="auto"/>
      <w:ind w:firstLine="720"/>
    </w:pPr>
    <w:rPr>
      <w:rFonts w:ascii="Times New Roman" w:hAnsi="Times New Roman" w:cs="Times New Roman"/>
      <w:sz w:val="24"/>
    </w:rPr>
  </w:style>
  <w:style w:type="paragraph" w:customStyle="1" w:styleId="xl63">
    <w:name w:val="xl63"/>
    <w:basedOn w:val="Normal"/>
    <w:rsid w:val="00525557"/>
    <w:pPr>
      <w:shd w:val="clear" w:color="000000" w:fill="E4DFE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rsid w:val="00525557"/>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65">
    <w:name w:val="xl65"/>
    <w:basedOn w:val="Normal"/>
    <w:rsid w:val="00525557"/>
    <w:pPr>
      <w:shd w:val="clear" w:color="000000" w:fill="D9D9D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525557"/>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525557"/>
    <w:pPr>
      <w:pBdr>
        <w:right w:val="single" w:sz="4" w:space="0" w:color="auto"/>
      </w:pBdr>
      <w:shd w:val="clear" w:color="000000" w:fill="E4DFE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525557"/>
    <w:pPr>
      <w:pBdr>
        <w:right w:val="single" w:sz="4" w:space="0" w:color="auto"/>
      </w:pBdr>
      <w:shd w:val="clear" w:color="000000" w:fill="D9D9D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525557"/>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Normal"/>
    <w:rsid w:val="0052555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1">
    <w:name w:val="xl71"/>
    <w:basedOn w:val="Normal"/>
    <w:rsid w:val="0052555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Normal"/>
    <w:rsid w:val="00525557"/>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3">
    <w:name w:val="xl73"/>
    <w:basedOn w:val="Normal"/>
    <w:rsid w:val="0052555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Normal"/>
    <w:rsid w:val="00525557"/>
    <w:pPr>
      <w:shd w:val="clear" w:color="000000" w:fill="D9D9D9"/>
      <w:spacing w:before="100" w:beforeAutospacing="1" w:after="100" w:afterAutospacing="1" w:line="240" w:lineRule="auto"/>
      <w:jc w:val="right"/>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0E1334"/>
    <w:rPr>
      <w:rFonts w:ascii="Calibri" w:eastAsiaTheme="minorHAnsi" w:hAnsi="Calibri" w:cs="Times New Roman"/>
      <w:b/>
      <w:bCs/>
    </w:rPr>
  </w:style>
  <w:style w:type="paragraph" w:customStyle="1" w:styleId="EndNoteBibliography">
    <w:name w:val="EndNote Bibliography"/>
    <w:basedOn w:val="Normal"/>
    <w:link w:val="EndNoteBibliographyChar"/>
    <w:rsid w:val="000D2583"/>
    <w:pPr>
      <w:spacing w:after="0" w:line="240" w:lineRule="auto"/>
    </w:pPr>
    <w:rPr>
      <w:rFonts w:ascii="Times New Roman" w:eastAsia="Times New Roman" w:hAnsi="Times New Roman" w:cs="Times New Roman"/>
      <w:noProof/>
      <w:sz w:val="24"/>
      <w:szCs w:val="20"/>
    </w:rPr>
  </w:style>
  <w:style w:type="character" w:customStyle="1" w:styleId="EndNoteBibliographyChar">
    <w:name w:val="EndNote Bibliography Char"/>
    <w:basedOn w:val="DefaultParagraphFont"/>
    <w:link w:val="EndNoteBibliography"/>
    <w:rsid w:val="000D2583"/>
    <w:rPr>
      <w:rFonts w:ascii="Times New Roman" w:eastAsia="Times New Roman" w:hAnsi="Times New Roman" w:cs="Times New Roman"/>
      <w:noProof/>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unhideWhenUsed/>
    <w:qFormat/>
    <w:rsid w:val="000E1334"/>
    <w:pPr>
      <w:keepNext/>
      <w:spacing w:before="240" w:after="240" w:line="240" w:lineRule="auto"/>
      <w:ind w:firstLine="432"/>
      <w:outlineLvl w:val="4"/>
    </w:pPr>
    <w:rPr>
      <w:rFonts w:ascii="Calibri" w:eastAsiaTheme="minorHAnsi" w:hAnsi="Calibri"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uiPriority w:val="99"/>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rsid w:val="00145149"/>
    <w:rPr>
      <w:rFonts w:ascii="Times New Roman" w:eastAsia="Calibri" w:hAnsi="Times New Roman" w:cs="Times New Roman"/>
      <w:sz w:val="20"/>
      <w:szCs w:val="20"/>
    </w:rPr>
  </w:style>
  <w:style w:type="character" w:styleId="FootnoteReference">
    <w:name w:val="footnote reference"/>
    <w:basedOn w:val="DefaultParagraphFont"/>
    <w:uiPriority w:val="99"/>
    <w:semiHidden/>
    <w:rsid w:val="00145149"/>
    <w:rPr>
      <w:rFonts w:cs="Times New Roman"/>
      <w:vertAlign w:val="superscript"/>
    </w:rPr>
  </w:style>
  <w:style w:type="paragraph" w:customStyle="1" w:styleId="Default">
    <w:name w:val="Default"/>
    <w:rsid w:val="00154333"/>
    <w:pPr>
      <w:autoSpaceDE w:val="0"/>
      <w:autoSpaceDN w:val="0"/>
      <w:adjustRightInd w:val="0"/>
      <w:spacing w:after="0" w:line="240" w:lineRule="auto"/>
    </w:pPr>
    <w:rPr>
      <w:rFonts w:ascii="TimesNewRoman,Bold" w:eastAsia="Times New Roman" w:hAnsi="TimesNewRoman,Bold" w:cs="Times New Roman"/>
      <w:sz w:val="20"/>
      <w:szCs w:val="20"/>
    </w:rPr>
  </w:style>
  <w:style w:type="paragraph" w:customStyle="1" w:styleId="TableTitle">
    <w:name w:val="Table Title"/>
    <w:basedOn w:val="Caption"/>
    <w:rsid w:val="00154333"/>
    <w:pPr>
      <w:keepNext/>
      <w:keepLines/>
      <w:spacing w:before="240" w:after="240"/>
      <w:jc w:val="center"/>
    </w:pPr>
    <w:rPr>
      <w:rFonts w:ascii="Times New Roman" w:eastAsia="Times New Roman" w:hAnsi="Times New Roman" w:cs="Arial"/>
      <w:color w:val="auto"/>
      <w:sz w:val="24"/>
      <w:szCs w:val="22"/>
    </w:rPr>
  </w:style>
  <w:style w:type="paragraph" w:styleId="Caption">
    <w:name w:val="caption"/>
    <w:basedOn w:val="Normal"/>
    <w:next w:val="Normal"/>
    <w:uiPriority w:val="35"/>
    <w:semiHidden/>
    <w:unhideWhenUsed/>
    <w:qFormat/>
    <w:rsid w:val="00154333"/>
    <w:pPr>
      <w:spacing w:line="240" w:lineRule="auto"/>
    </w:pPr>
    <w:rPr>
      <w:b/>
      <w:bCs/>
      <w:color w:val="4F81BD" w:themeColor="accent1"/>
      <w:sz w:val="18"/>
      <w:szCs w:val="18"/>
    </w:rPr>
  </w:style>
  <w:style w:type="paragraph" w:styleId="BodyText">
    <w:name w:val="Body Text"/>
    <w:basedOn w:val="Normal"/>
    <w:link w:val="BodyTextChar"/>
    <w:uiPriority w:val="99"/>
    <w:unhideWhenUsed/>
    <w:rsid w:val="004145C2"/>
    <w:pPr>
      <w:spacing w:before="160" w:after="120" w:line="240" w:lineRule="auto"/>
    </w:pPr>
    <w:rPr>
      <w:rFonts w:ascii="Calibri" w:eastAsia="Calibri" w:hAnsi="Calibri" w:cs="Times New Roman"/>
      <w:sz w:val="24"/>
    </w:rPr>
  </w:style>
  <w:style w:type="character" w:customStyle="1" w:styleId="BodyTextChar">
    <w:name w:val="Body Text Char"/>
    <w:basedOn w:val="DefaultParagraphFont"/>
    <w:link w:val="BodyText"/>
    <w:uiPriority w:val="99"/>
    <w:rsid w:val="004145C2"/>
    <w:rPr>
      <w:rFonts w:ascii="Calibri" w:eastAsia="Calibri" w:hAnsi="Calibri" w:cs="Times New Roman"/>
      <w:sz w:val="24"/>
    </w:rPr>
  </w:style>
  <w:style w:type="paragraph" w:customStyle="1" w:styleId="FigureNObox">
    <w:name w:val="Figure_NObox"/>
    <w:basedOn w:val="Normal"/>
    <w:qFormat/>
    <w:rsid w:val="004145C2"/>
    <w:pPr>
      <w:keepNext/>
      <w:spacing w:before="240" w:after="0" w:line="240" w:lineRule="auto"/>
      <w:jc w:val="center"/>
    </w:pPr>
    <w:rPr>
      <w:rFonts w:ascii="Times New Roman" w:eastAsia="Times New Roman" w:hAnsi="Times New Roman" w:cs="Times New Roman"/>
      <w:sz w:val="24"/>
      <w:szCs w:val="20"/>
    </w:rPr>
  </w:style>
  <w:style w:type="paragraph" w:customStyle="1" w:styleId="TableText">
    <w:name w:val="Table Text"/>
    <w:basedOn w:val="Normal"/>
    <w:qFormat/>
    <w:rsid w:val="00583DC2"/>
    <w:pPr>
      <w:keepNext/>
      <w:spacing w:after="0" w:line="240" w:lineRule="auto"/>
    </w:pPr>
    <w:rPr>
      <w:rFonts w:ascii="Arial" w:eastAsia="Times New Roman" w:hAnsi="Arial" w:cs="Times New Roman"/>
      <w:sz w:val="20"/>
    </w:rPr>
  </w:style>
  <w:style w:type="paragraph" w:customStyle="1" w:styleId="SourceTable">
    <w:name w:val="Source Table"/>
    <w:basedOn w:val="Normal"/>
    <w:rsid w:val="00583DC2"/>
    <w:pPr>
      <w:keepLines/>
      <w:spacing w:before="240" w:after="240" w:line="240" w:lineRule="auto"/>
    </w:pPr>
    <w:rPr>
      <w:rFonts w:ascii="Times New Roman" w:eastAsia="Times New Roman" w:hAnsi="Times New Roman" w:cs="Times New Roman"/>
      <w:sz w:val="24"/>
      <w:szCs w:val="20"/>
    </w:rPr>
  </w:style>
  <w:style w:type="paragraph" w:customStyle="1" w:styleId="AppTableTitle">
    <w:name w:val="App Table Title"/>
    <w:basedOn w:val="Normal"/>
    <w:rsid w:val="00583DC2"/>
    <w:pPr>
      <w:keepNext/>
      <w:keepLines/>
      <w:spacing w:before="240" w:after="240" w:line="240" w:lineRule="auto"/>
      <w:jc w:val="center"/>
    </w:pPr>
    <w:rPr>
      <w:rFonts w:ascii="Calibri" w:eastAsia="Times New Roman" w:hAnsi="Calibri" w:cs="Arial"/>
      <w:b/>
      <w:bCs/>
      <w:sz w:val="24"/>
    </w:rPr>
  </w:style>
  <w:style w:type="paragraph" w:customStyle="1" w:styleId="TableHeaders">
    <w:name w:val="Table Headers"/>
    <w:basedOn w:val="Normal"/>
    <w:qFormat/>
    <w:rsid w:val="00583DC2"/>
    <w:pPr>
      <w:keepNext/>
      <w:spacing w:before="80" w:after="80" w:line="240" w:lineRule="auto"/>
      <w:jc w:val="center"/>
    </w:pPr>
    <w:rPr>
      <w:rFonts w:ascii="Times New Roman" w:eastAsia="Times New Roman" w:hAnsi="Times New Roman" w:cs="Times New Roman"/>
      <w:snapToGrid w:val="0"/>
      <w:sz w:val="24"/>
      <w:szCs w:val="20"/>
    </w:rPr>
  </w:style>
  <w:style w:type="paragraph" w:styleId="ListBullet">
    <w:name w:val="List Bullet"/>
    <w:basedOn w:val="Normal"/>
    <w:uiPriority w:val="99"/>
    <w:semiHidden/>
    <w:unhideWhenUsed/>
    <w:rsid w:val="00615275"/>
    <w:pPr>
      <w:numPr>
        <w:numId w:val="36"/>
      </w:numPr>
      <w:contextualSpacing/>
    </w:pPr>
  </w:style>
  <w:style w:type="character" w:customStyle="1" w:styleId="bodytextChar0">
    <w:name w:val="body text Char"/>
    <w:basedOn w:val="DefaultParagraphFont"/>
    <w:link w:val="BodyText1"/>
    <w:locked/>
    <w:rsid w:val="000F663C"/>
    <w:rPr>
      <w:rFonts w:ascii="Times New Roman" w:hAnsi="Times New Roman" w:cs="Times New Roman"/>
      <w:sz w:val="24"/>
    </w:rPr>
  </w:style>
  <w:style w:type="paragraph" w:customStyle="1" w:styleId="BodyText1">
    <w:name w:val="Body Text1"/>
    <w:basedOn w:val="Normal"/>
    <w:link w:val="bodytextChar0"/>
    <w:rsid w:val="000F663C"/>
    <w:pPr>
      <w:spacing w:after="240" w:line="240" w:lineRule="auto"/>
      <w:ind w:firstLine="720"/>
    </w:pPr>
    <w:rPr>
      <w:rFonts w:ascii="Times New Roman" w:hAnsi="Times New Roman" w:cs="Times New Roman"/>
      <w:sz w:val="24"/>
    </w:rPr>
  </w:style>
  <w:style w:type="paragraph" w:customStyle="1" w:styleId="xl63">
    <w:name w:val="xl63"/>
    <w:basedOn w:val="Normal"/>
    <w:rsid w:val="00525557"/>
    <w:pPr>
      <w:shd w:val="clear" w:color="000000" w:fill="E4DFE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rsid w:val="00525557"/>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65">
    <w:name w:val="xl65"/>
    <w:basedOn w:val="Normal"/>
    <w:rsid w:val="00525557"/>
    <w:pPr>
      <w:shd w:val="clear" w:color="000000" w:fill="D9D9D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525557"/>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525557"/>
    <w:pPr>
      <w:pBdr>
        <w:right w:val="single" w:sz="4" w:space="0" w:color="auto"/>
      </w:pBdr>
      <w:shd w:val="clear" w:color="000000" w:fill="E4DFE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525557"/>
    <w:pPr>
      <w:pBdr>
        <w:right w:val="single" w:sz="4" w:space="0" w:color="auto"/>
      </w:pBdr>
      <w:shd w:val="clear" w:color="000000" w:fill="D9D9D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525557"/>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Normal"/>
    <w:rsid w:val="0052555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1">
    <w:name w:val="xl71"/>
    <w:basedOn w:val="Normal"/>
    <w:rsid w:val="0052555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Normal"/>
    <w:rsid w:val="00525557"/>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3">
    <w:name w:val="xl73"/>
    <w:basedOn w:val="Normal"/>
    <w:rsid w:val="0052555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Normal"/>
    <w:rsid w:val="00525557"/>
    <w:pPr>
      <w:shd w:val="clear" w:color="000000" w:fill="D9D9D9"/>
      <w:spacing w:before="100" w:beforeAutospacing="1" w:after="100" w:afterAutospacing="1" w:line="240" w:lineRule="auto"/>
      <w:jc w:val="right"/>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0E1334"/>
    <w:rPr>
      <w:rFonts w:ascii="Calibri" w:eastAsiaTheme="minorHAnsi" w:hAnsi="Calibri" w:cs="Times New Roman"/>
      <w:b/>
      <w:bCs/>
    </w:rPr>
  </w:style>
  <w:style w:type="paragraph" w:customStyle="1" w:styleId="EndNoteBibliography">
    <w:name w:val="EndNote Bibliography"/>
    <w:basedOn w:val="Normal"/>
    <w:link w:val="EndNoteBibliographyChar"/>
    <w:rsid w:val="000D2583"/>
    <w:pPr>
      <w:spacing w:after="0" w:line="240" w:lineRule="auto"/>
    </w:pPr>
    <w:rPr>
      <w:rFonts w:ascii="Times New Roman" w:eastAsia="Times New Roman" w:hAnsi="Times New Roman" w:cs="Times New Roman"/>
      <w:noProof/>
      <w:sz w:val="24"/>
      <w:szCs w:val="20"/>
    </w:rPr>
  </w:style>
  <w:style w:type="character" w:customStyle="1" w:styleId="EndNoteBibliographyChar">
    <w:name w:val="EndNote Bibliography Char"/>
    <w:basedOn w:val="DefaultParagraphFont"/>
    <w:link w:val="EndNoteBibliography"/>
    <w:rsid w:val="000D2583"/>
    <w:rPr>
      <w:rFonts w:ascii="Times New Roman" w:eastAsia="Times New Roman" w:hAnsi="Times New Roman" w:cs="Times New Roman"/>
      <w:noProof/>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34500">
      <w:bodyDiv w:val="1"/>
      <w:marLeft w:val="0"/>
      <w:marRight w:val="0"/>
      <w:marTop w:val="0"/>
      <w:marBottom w:val="0"/>
      <w:divBdr>
        <w:top w:val="none" w:sz="0" w:space="0" w:color="auto"/>
        <w:left w:val="none" w:sz="0" w:space="0" w:color="auto"/>
        <w:bottom w:val="none" w:sz="0" w:space="0" w:color="auto"/>
        <w:right w:val="none" w:sz="0" w:space="0" w:color="auto"/>
      </w:divBdr>
    </w:div>
    <w:div w:id="98455222">
      <w:bodyDiv w:val="1"/>
      <w:marLeft w:val="0"/>
      <w:marRight w:val="0"/>
      <w:marTop w:val="0"/>
      <w:marBottom w:val="0"/>
      <w:divBdr>
        <w:top w:val="none" w:sz="0" w:space="0" w:color="auto"/>
        <w:left w:val="none" w:sz="0" w:space="0" w:color="auto"/>
        <w:bottom w:val="none" w:sz="0" w:space="0" w:color="auto"/>
        <w:right w:val="none" w:sz="0" w:space="0" w:color="auto"/>
      </w:divBdr>
    </w:div>
    <w:div w:id="208079759">
      <w:bodyDiv w:val="1"/>
      <w:marLeft w:val="0"/>
      <w:marRight w:val="0"/>
      <w:marTop w:val="0"/>
      <w:marBottom w:val="0"/>
      <w:divBdr>
        <w:top w:val="none" w:sz="0" w:space="0" w:color="auto"/>
        <w:left w:val="none" w:sz="0" w:space="0" w:color="auto"/>
        <w:bottom w:val="none" w:sz="0" w:space="0" w:color="auto"/>
        <w:right w:val="none" w:sz="0" w:space="0" w:color="auto"/>
      </w:divBdr>
    </w:div>
    <w:div w:id="221185804">
      <w:bodyDiv w:val="1"/>
      <w:marLeft w:val="0"/>
      <w:marRight w:val="0"/>
      <w:marTop w:val="0"/>
      <w:marBottom w:val="0"/>
      <w:divBdr>
        <w:top w:val="none" w:sz="0" w:space="0" w:color="auto"/>
        <w:left w:val="none" w:sz="0" w:space="0" w:color="auto"/>
        <w:bottom w:val="none" w:sz="0" w:space="0" w:color="auto"/>
        <w:right w:val="none" w:sz="0" w:space="0" w:color="auto"/>
      </w:divBdr>
    </w:div>
    <w:div w:id="221721162">
      <w:bodyDiv w:val="1"/>
      <w:marLeft w:val="0"/>
      <w:marRight w:val="0"/>
      <w:marTop w:val="0"/>
      <w:marBottom w:val="0"/>
      <w:divBdr>
        <w:top w:val="none" w:sz="0" w:space="0" w:color="auto"/>
        <w:left w:val="none" w:sz="0" w:space="0" w:color="auto"/>
        <w:bottom w:val="none" w:sz="0" w:space="0" w:color="auto"/>
        <w:right w:val="none" w:sz="0" w:space="0" w:color="auto"/>
      </w:divBdr>
    </w:div>
    <w:div w:id="283196340">
      <w:bodyDiv w:val="1"/>
      <w:marLeft w:val="0"/>
      <w:marRight w:val="0"/>
      <w:marTop w:val="0"/>
      <w:marBottom w:val="0"/>
      <w:divBdr>
        <w:top w:val="none" w:sz="0" w:space="0" w:color="auto"/>
        <w:left w:val="none" w:sz="0" w:space="0" w:color="auto"/>
        <w:bottom w:val="none" w:sz="0" w:space="0" w:color="auto"/>
        <w:right w:val="none" w:sz="0" w:space="0" w:color="auto"/>
      </w:divBdr>
    </w:div>
    <w:div w:id="417140973">
      <w:bodyDiv w:val="1"/>
      <w:marLeft w:val="0"/>
      <w:marRight w:val="0"/>
      <w:marTop w:val="0"/>
      <w:marBottom w:val="0"/>
      <w:divBdr>
        <w:top w:val="none" w:sz="0" w:space="0" w:color="auto"/>
        <w:left w:val="none" w:sz="0" w:space="0" w:color="auto"/>
        <w:bottom w:val="none" w:sz="0" w:space="0" w:color="auto"/>
        <w:right w:val="none" w:sz="0" w:space="0" w:color="auto"/>
      </w:divBdr>
    </w:div>
    <w:div w:id="488597138">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518350661">
      <w:bodyDiv w:val="1"/>
      <w:marLeft w:val="0"/>
      <w:marRight w:val="0"/>
      <w:marTop w:val="0"/>
      <w:marBottom w:val="0"/>
      <w:divBdr>
        <w:top w:val="none" w:sz="0" w:space="0" w:color="auto"/>
        <w:left w:val="none" w:sz="0" w:space="0" w:color="auto"/>
        <w:bottom w:val="none" w:sz="0" w:space="0" w:color="auto"/>
        <w:right w:val="none" w:sz="0" w:space="0" w:color="auto"/>
      </w:divBdr>
    </w:div>
    <w:div w:id="607934189">
      <w:bodyDiv w:val="1"/>
      <w:marLeft w:val="0"/>
      <w:marRight w:val="0"/>
      <w:marTop w:val="0"/>
      <w:marBottom w:val="0"/>
      <w:divBdr>
        <w:top w:val="none" w:sz="0" w:space="0" w:color="auto"/>
        <w:left w:val="none" w:sz="0" w:space="0" w:color="auto"/>
        <w:bottom w:val="none" w:sz="0" w:space="0" w:color="auto"/>
        <w:right w:val="none" w:sz="0" w:space="0" w:color="auto"/>
      </w:divBdr>
    </w:div>
    <w:div w:id="623391172">
      <w:bodyDiv w:val="1"/>
      <w:marLeft w:val="0"/>
      <w:marRight w:val="0"/>
      <w:marTop w:val="0"/>
      <w:marBottom w:val="0"/>
      <w:divBdr>
        <w:top w:val="none" w:sz="0" w:space="0" w:color="auto"/>
        <w:left w:val="none" w:sz="0" w:space="0" w:color="auto"/>
        <w:bottom w:val="none" w:sz="0" w:space="0" w:color="auto"/>
        <w:right w:val="none" w:sz="0" w:space="0" w:color="auto"/>
      </w:divBdr>
    </w:div>
    <w:div w:id="671028575">
      <w:bodyDiv w:val="1"/>
      <w:marLeft w:val="0"/>
      <w:marRight w:val="0"/>
      <w:marTop w:val="0"/>
      <w:marBottom w:val="0"/>
      <w:divBdr>
        <w:top w:val="none" w:sz="0" w:space="0" w:color="auto"/>
        <w:left w:val="none" w:sz="0" w:space="0" w:color="auto"/>
        <w:bottom w:val="none" w:sz="0" w:space="0" w:color="auto"/>
        <w:right w:val="none" w:sz="0" w:space="0" w:color="auto"/>
      </w:divBdr>
    </w:div>
    <w:div w:id="694037727">
      <w:bodyDiv w:val="1"/>
      <w:marLeft w:val="0"/>
      <w:marRight w:val="0"/>
      <w:marTop w:val="0"/>
      <w:marBottom w:val="0"/>
      <w:divBdr>
        <w:top w:val="none" w:sz="0" w:space="0" w:color="auto"/>
        <w:left w:val="none" w:sz="0" w:space="0" w:color="auto"/>
        <w:bottom w:val="none" w:sz="0" w:space="0" w:color="auto"/>
        <w:right w:val="none" w:sz="0" w:space="0" w:color="auto"/>
      </w:divBdr>
    </w:div>
    <w:div w:id="837496452">
      <w:bodyDiv w:val="1"/>
      <w:marLeft w:val="0"/>
      <w:marRight w:val="0"/>
      <w:marTop w:val="0"/>
      <w:marBottom w:val="0"/>
      <w:divBdr>
        <w:top w:val="none" w:sz="0" w:space="0" w:color="auto"/>
        <w:left w:val="none" w:sz="0" w:space="0" w:color="auto"/>
        <w:bottom w:val="none" w:sz="0" w:space="0" w:color="auto"/>
        <w:right w:val="none" w:sz="0" w:space="0" w:color="auto"/>
      </w:divBdr>
    </w:div>
    <w:div w:id="872307751">
      <w:bodyDiv w:val="1"/>
      <w:marLeft w:val="0"/>
      <w:marRight w:val="0"/>
      <w:marTop w:val="0"/>
      <w:marBottom w:val="0"/>
      <w:divBdr>
        <w:top w:val="none" w:sz="0" w:space="0" w:color="auto"/>
        <w:left w:val="none" w:sz="0" w:space="0" w:color="auto"/>
        <w:bottom w:val="none" w:sz="0" w:space="0" w:color="auto"/>
        <w:right w:val="none" w:sz="0" w:space="0" w:color="auto"/>
      </w:divBdr>
    </w:div>
    <w:div w:id="955864618">
      <w:bodyDiv w:val="1"/>
      <w:marLeft w:val="0"/>
      <w:marRight w:val="0"/>
      <w:marTop w:val="0"/>
      <w:marBottom w:val="0"/>
      <w:divBdr>
        <w:top w:val="none" w:sz="0" w:space="0" w:color="auto"/>
        <w:left w:val="none" w:sz="0" w:space="0" w:color="auto"/>
        <w:bottom w:val="none" w:sz="0" w:space="0" w:color="auto"/>
        <w:right w:val="none" w:sz="0" w:space="0" w:color="auto"/>
      </w:divBdr>
    </w:div>
    <w:div w:id="1149050776">
      <w:bodyDiv w:val="1"/>
      <w:marLeft w:val="0"/>
      <w:marRight w:val="0"/>
      <w:marTop w:val="0"/>
      <w:marBottom w:val="0"/>
      <w:divBdr>
        <w:top w:val="none" w:sz="0" w:space="0" w:color="auto"/>
        <w:left w:val="none" w:sz="0" w:space="0" w:color="auto"/>
        <w:bottom w:val="none" w:sz="0" w:space="0" w:color="auto"/>
        <w:right w:val="none" w:sz="0" w:space="0" w:color="auto"/>
      </w:divBdr>
    </w:div>
    <w:div w:id="1151558458">
      <w:bodyDiv w:val="1"/>
      <w:marLeft w:val="0"/>
      <w:marRight w:val="0"/>
      <w:marTop w:val="0"/>
      <w:marBottom w:val="0"/>
      <w:divBdr>
        <w:top w:val="none" w:sz="0" w:space="0" w:color="auto"/>
        <w:left w:val="none" w:sz="0" w:space="0" w:color="auto"/>
        <w:bottom w:val="none" w:sz="0" w:space="0" w:color="auto"/>
        <w:right w:val="none" w:sz="0" w:space="0" w:color="auto"/>
      </w:divBdr>
    </w:div>
    <w:div w:id="1182204454">
      <w:bodyDiv w:val="1"/>
      <w:marLeft w:val="0"/>
      <w:marRight w:val="0"/>
      <w:marTop w:val="0"/>
      <w:marBottom w:val="0"/>
      <w:divBdr>
        <w:top w:val="none" w:sz="0" w:space="0" w:color="auto"/>
        <w:left w:val="none" w:sz="0" w:space="0" w:color="auto"/>
        <w:bottom w:val="none" w:sz="0" w:space="0" w:color="auto"/>
        <w:right w:val="none" w:sz="0" w:space="0" w:color="auto"/>
      </w:divBdr>
    </w:div>
    <w:div w:id="1318724239">
      <w:bodyDiv w:val="1"/>
      <w:marLeft w:val="0"/>
      <w:marRight w:val="0"/>
      <w:marTop w:val="0"/>
      <w:marBottom w:val="0"/>
      <w:divBdr>
        <w:top w:val="none" w:sz="0" w:space="0" w:color="auto"/>
        <w:left w:val="none" w:sz="0" w:space="0" w:color="auto"/>
        <w:bottom w:val="none" w:sz="0" w:space="0" w:color="auto"/>
        <w:right w:val="none" w:sz="0" w:space="0" w:color="auto"/>
      </w:divBdr>
    </w:div>
    <w:div w:id="1327439133">
      <w:bodyDiv w:val="1"/>
      <w:marLeft w:val="0"/>
      <w:marRight w:val="0"/>
      <w:marTop w:val="0"/>
      <w:marBottom w:val="0"/>
      <w:divBdr>
        <w:top w:val="none" w:sz="0" w:space="0" w:color="auto"/>
        <w:left w:val="none" w:sz="0" w:space="0" w:color="auto"/>
        <w:bottom w:val="none" w:sz="0" w:space="0" w:color="auto"/>
        <w:right w:val="none" w:sz="0" w:space="0" w:color="auto"/>
      </w:divBdr>
    </w:div>
    <w:div w:id="1380282112">
      <w:bodyDiv w:val="1"/>
      <w:marLeft w:val="0"/>
      <w:marRight w:val="0"/>
      <w:marTop w:val="0"/>
      <w:marBottom w:val="0"/>
      <w:divBdr>
        <w:top w:val="none" w:sz="0" w:space="0" w:color="auto"/>
        <w:left w:val="none" w:sz="0" w:space="0" w:color="auto"/>
        <w:bottom w:val="none" w:sz="0" w:space="0" w:color="auto"/>
        <w:right w:val="none" w:sz="0" w:space="0" w:color="auto"/>
      </w:divBdr>
    </w:div>
    <w:div w:id="1399593941">
      <w:bodyDiv w:val="1"/>
      <w:marLeft w:val="0"/>
      <w:marRight w:val="0"/>
      <w:marTop w:val="0"/>
      <w:marBottom w:val="0"/>
      <w:divBdr>
        <w:top w:val="none" w:sz="0" w:space="0" w:color="auto"/>
        <w:left w:val="none" w:sz="0" w:space="0" w:color="auto"/>
        <w:bottom w:val="none" w:sz="0" w:space="0" w:color="auto"/>
        <w:right w:val="none" w:sz="0" w:space="0" w:color="auto"/>
      </w:divBdr>
    </w:div>
    <w:div w:id="14390640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575243477">
      <w:bodyDiv w:val="1"/>
      <w:marLeft w:val="0"/>
      <w:marRight w:val="0"/>
      <w:marTop w:val="0"/>
      <w:marBottom w:val="0"/>
      <w:divBdr>
        <w:top w:val="none" w:sz="0" w:space="0" w:color="auto"/>
        <w:left w:val="none" w:sz="0" w:space="0" w:color="auto"/>
        <w:bottom w:val="none" w:sz="0" w:space="0" w:color="auto"/>
        <w:right w:val="none" w:sz="0" w:space="0" w:color="auto"/>
      </w:divBdr>
    </w:div>
    <w:div w:id="1589265055">
      <w:bodyDiv w:val="1"/>
      <w:marLeft w:val="0"/>
      <w:marRight w:val="0"/>
      <w:marTop w:val="0"/>
      <w:marBottom w:val="0"/>
      <w:divBdr>
        <w:top w:val="none" w:sz="0" w:space="0" w:color="auto"/>
        <w:left w:val="none" w:sz="0" w:space="0" w:color="auto"/>
        <w:bottom w:val="none" w:sz="0" w:space="0" w:color="auto"/>
        <w:right w:val="none" w:sz="0" w:space="0" w:color="auto"/>
      </w:divBdr>
    </w:div>
    <w:div w:id="1628470603">
      <w:bodyDiv w:val="1"/>
      <w:marLeft w:val="0"/>
      <w:marRight w:val="0"/>
      <w:marTop w:val="0"/>
      <w:marBottom w:val="0"/>
      <w:divBdr>
        <w:top w:val="none" w:sz="0" w:space="0" w:color="auto"/>
        <w:left w:val="none" w:sz="0" w:space="0" w:color="auto"/>
        <w:bottom w:val="none" w:sz="0" w:space="0" w:color="auto"/>
        <w:right w:val="none" w:sz="0" w:space="0" w:color="auto"/>
      </w:divBdr>
    </w:div>
    <w:div w:id="1733963393">
      <w:bodyDiv w:val="1"/>
      <w:marLeft w:val="0"/>
      <w:marRight w:val="0"/>
      <w:marTop w:val="0"/>
      <w:marBottom w:val="0"/>
      <w:divBdr>
        <w:top w:val="none" w:sz="0" w:space="0" w:color="auto"/>
        <w:left w:val="none" w:sz="0" w:space="0" w:color="auto"/>
        <w:bottom w:val="none" w:sz="0" w:space="0" w:color="auto"/>
        <w:right w:val="none" w:sz="0" w:space="0" w:color="auto"/>
      </w:divBdr>
    </w:div>
    <w:div w:id="1743408181">
      <w:bodyDiv w:val="1"/>
      <w:marLeft w:val="0"/>
      <w:marRight w:val="0"/>
      <w:marTop w:val="0"/>
      <w:marBottom w:val="0"/>
      <w:divBdr>
        <w:top w:val="none" w:sz="0" w:space="0" w:color="auto"/>
        <w:left w:val="none" w:sz="0" w:space="0" w:color="auto"/>
        <w:bottom w:val="none" w:sz="0" w:space="0" w:color="auto"/>
        <w:right w:val="none" w:sz="0" w:space="0" w:color="auto"/>
      </w:divBdr>
    </w:div>
    <w:div w:id="1775205663">
      <w:bodyDiv w:val="1"/>
      <w:marLeft w:val="0"/>
      <w:marRight w:val="0"/>
      <w:marTop w:val="0"/>
      <w:marBottom w:val="0"/>
      <w:divBdr>
        <w:top w:val="none" w:sz="0" w:space="0" w:color="auto"/>
        <w:left w:val="none" w:sz="0" w:space="0" w:color="auto"/>
        <w:bottom w:val="none" w:sz="0" w:space="0" w:color="auto"/>
        <w:right w:val="none" w:sz="0" w:space="0" w:color="auto"/>
      </w:divBdr>
    </w:div>
    <w:div w:id="1875386547">
      <w:bodyDiv w:val="1"/>
      <w:marLeft w:val="0"/>
      <w:marRight w:val="0"/>
      <w:marTop w:val="0"/>
      <w:marBottom w:val="0"/>
      <w:divBdr>
        <w:top w:val="none" w:sz="0" w:space="0" w:color="auto"/>
        <w:left w:val="none" w:sz="0" w:space="0" w:color="auto"/>
        <w:bottom w:val="none" w:sz="0" w:space="0" w:color="auto"/>
        <w:right w:val="none" w:sz="0" w:space="0" w:color="auto"/>
      </w:divBdr>
    </w:div>
    <w:div w:id="1877887970">
      <w:bodyDiv w:val="1"/>
      <w:marLeft w:val="0"/>
      <w:marRight w:val="0"/>
      <w:marTop w:val="0"/>
      <w:marBottom w:val="0"/>
      <w:divBdr>
        <w:top w:val="none" w:sz="0" w:space="0" w:color="auto"/>
        <w:left w:val="none" w:sz="0" w:space="0" w:color="auto"/>
        <w:bottom w:val="none" w:sz="0" w:space="0" w:color="auto"/>
        <w:right w:val="none" w:sz="0" w:space="0" w:color="auto"/>
      </w:divBdr>
    </w:div>
    <w:div w:id="1954822166">
      <w:bodyDiv w:val="1"/>
      <w:marLeft w:val="0"/>
      <w:marRight w:val="0"/>
      <w:marTop w:val="0"/>
      <w:marBottom w:val="0"/>
      <w:divBdr>
        <w:top w:val="none" w:sz="0" w:space="0" w:color="auto"/>
        <w:left w:val="none" w:sz="0" w:space="0" w:color="auto"/>
        <w:bottom w:val="none" w:sz="0" w:space="0" w:color="auto"/>
        <w:right w:val="none" w:sz="0" w:space="0" w:color="auto"/>
      </w:divBdr>
    </w:div>
    <w:div w:id="1985163460">
      <w:bodyDiv w:val="1"/>
      <w:marLeft w:val="0"/>
      <w:marRight w:val="0"/>
      <w:marTop w:val="0"/>
      <w:marBottom w:val="0"/>
      <w:divBdr>
        <w:top w:val="none" w:sz="0" w:space="0" w:color="auto"/>
        <w:left w:val="none" w:sz="0" w:space="0" w:color="auto"/>
        <w:bottom w:val="none" w:sz="0" w:space="0" w:color="auto"/>
        <w:right w:val="none" w:sz="0" w:space="0" w:color="auto"/>
      </w:divBdr>
    </w:div>
    <w:div w:id="2109809760">
      <w:bodyDiv w:val="1"/>
      <w:marLeft w:val="0"/>
      <w:marRight w:val="0"/>
      <w:marTop w:val="0"/>
      <w:marBottom w:val="0"/>
      <w:divBdr>
        <w:top w:val="none" w:sz="0" w:space="0" w:color="auto"/>
        <w:left w:val="none" w:sz="0" w:space="0" w:color="auto"/>
        <w:bottom w:val="none" w:sz="0" w:space="0" w:color="auto"/>
        <w:right w:val="none" w:sz="0" w:space="0" w:color="auto"/>
      </w:divBdr>
    </w:div>
    <w:div w:id="2133745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asch.org/rmt/rmt83b.htm"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ms.gov/Medicare/Quality-Initiatives-Patient-Assessment-Instruments/Post-Acute-Care-Quality-Initiatives/CARE-Item-Set-and-B-CARE.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ms.gov/Medicare/Quality-Initiatives-Patient-Assessment-Instruments/Post-Acute-Care-Quality-Initiatives/CARE-Item-Set-and-B-CARE.htm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cms.gov/Medicare/Quality-Initiatives-Patient-Assessment-Instruments/Post-Acute-Care-Quality-Initiatives/CARE-Item-Set-and-B-CARE.htm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rtpwhip01.rcc_nt.rti.org\0211942.200-HIPAA\002%20USOW%203%20&amp;%204%20Quality%20Measur\pgm\data\source\pac-prd\csaur\care\2011.01.28\care_cs447\Output\Regs\FinalModels\IRF-SelfCare\IRF_RiskAdj_DischSC7_07OCT14_Final.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v>Frequency</c:v>
          </c:tx>
          <c:invertIfNegative val="0"/>
          <c:cat>
            <c:numRef>
              <c:f>'QM histgm'!$A$2:$A$8</c:f>
              <c:numCache>
                <c:formatCode>General</c:formatCode>
                <c:ptCount val="7"/>
                <c:pt idx="0">
                  <c:v>25.742999999999999</c:v>
                </c:pt>
                <c:pt idx="1">
                  <c:v>38.119166666666665</c:v>
                </c:pt>
                <c:pt idx="2">
                  <c:v>50.495333333333335</c:v>
                </c:pt>
                <c:pt idx="3">
                  <c:v>62.871499999999997</c:v>
                </c:pt>
                <c:pt idx="4">
                  <c:v>75.247666666666674</c:v>
                </c:pt>
                <c:pt idx="5">
                  <c:v>87.623833333333337</c:v>
                </c:pt>
                <c:pt idx="6">
                  <c:v>100</c:v>
                </c:pt>
              </c:numCache>
            </c:numRef>
          </c:cat>
          <c:val>
            <c:numRef>
              <c:f>'QM histgm'!$B$2:$B$8</c:f>
              <c:numCache>
                <c:formatCode>General</c:formatCode>
                <c:ptCount val="7"/>
                <c:pt idx="0">
                  <c:v>1</c:v>
                </c:pt>
                <c:pt idx="1">
                  <c:v>5</c:v>
                </c:pt>
                <c:pt idx="2">
                  <c:v>8</c:v>
                </c:pt>
                <c:pt idx="3">
                  <c:v>14</c:v>
                </c:pt>
                <c:pt idx="4">
                  <c:v>6</c:v>
                </c:pt>
                <c:pt idx="5">
                  <c:v>2</c:v>
                </c:pt>
                <c:pt idx="6">
                  <c:v>2</c:v>
                </c:pt>
              </c:numCache>
            </c:numRef>
          </c:val>
        </c:ser>
        <c:dLbls>
          <c:showLegendKey val="0"/>
          <c:showVal val="0"/>
          <c:showCatName val="0"/>
          <c:showSerName val="0"/>
          <c:showPercent val="0"/>
          <c:showBubbleSize val="0"/>
        </c:dLbls>
        <c:gapWidth val="150"/>
        <c:axId val="148848640"/>
        <c:axId val="148850560"/>
      </c:barChart>
      <c:catAx>
        <c:axId val="148848640"/>
        <c:scaling>
          <c:orientation val="minMax"/>
        </c:scaling>
        <c:delete val="0"/>
        <c:axPos val="b"/>
        <c:title>
          <c:tx>
            <c:rich>
              <a:bodyPr/>
              <a:lstStyle/>
              <a:p>
                <a:pPr>
                  <a:defRPr/>
                </a:pPr>
                <a:r>
                  <a:rPr lang="en-US"/>
                  <a:t>Proportion</a:t>
                </a:r>
                <a:r>
                  <a:rPr lang="en-US" baseline="0"/>
                  <a:t> of Patients who Meet or Exceed the Calculated Expected Score</a:t>
                </a:r>
                <a:endParaRPr lang="en-US"/>
              </a:p>
            </c:rich>
          </c:tx>
          <c:overlay val="0"/>
        </c:title>
        <c:numFmt formatCode="#,##0.00" sourceLinked="0"/>
        <c:majorTickMark val="out"/>
        <c:minorTickMark val="none"/>
        <c:tickLblPos val="nextTo"/>
        <c:crossAx val="148850560"/>
        <c:crosses val="autoZero"/>
        <c:auto val="1"/>
        <c:lblAlgn val="ctr"/>
        <c:lblOffset val="100"/>
        <c:noMultiLvlLbl val="0"/>
      </c:catAx>
      <c:valAx>
        <c:axId val="148850560"/>
        <c:scaling>
          <c:orientation val="minMax"/>
        </c:scaling>
        <c:delete val="0"/>
        <c:axPos val="l"/>
        <c:title>
          <c:tx>
            <c:rich>
              <a:bodyPr/>
              <a:lstStyle/>
              <a:p>
                <a:pPr>
                  <a:defRPr/>
                </a:pPr>
                <a:r>
                  <a:rPr lang="en-US"/>
                  <a:t>Number</a:t>
                </a:r>
                <a:r>
                  <a:rPr lang="en-US" baseline="0"/>
                  <a:t> of IRFs</a:t>
                </a:r>
                <a:endParaRPr lang="en-US"/>
              </a:p>
            </c:rich>
          </c:tx>
          <c:overlay val="0"/>
        </c:title>
        <c:numFmt formatCode="General" sourceLinked="1"/>
        <c:majorTickMark val="out"/>
        <c:minorTickMark val="none"/>
        <c:tickLblPos val="nextTo"/>
        <c:crossAx val="148848640"/>
        <c:crosses val="autoZero"/>
        <c:crossBetween val="between"/>
      </c:valAx>
    </c:plotArea>
    <c:plotVisOnly val="1"/>
    <c:dispBlanksAs val="gap"/>
    <c:showDLblsOverMax val="0"/>
  </c:chart>
  <c:externalData r:id="rId1">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7D4368" w:rsidP="007D4368">
          <w:pPr>
            <w:pStyle w:val="00949831315D4E1BAFC508BD77E32A4010"/>
          </w:pPr>
          <w:r w:rsidRPr="00A25024">
            <w:rPr>
              <w:rStyle w:val="PlaceholderText"/>
              <w:rFonts w:cstheme="minorHAnsi"/>
              <w:color w:val="A6A6A6" w:themeColor="background1" w:themeShade="A6"/>
            </w:rPr>
            <w:t>Click here to enter measure title</w:t>
          </w:r>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7D4368" w:rsidP="007D4368">
          <w:pPr>
            <w:pStyle w:val="D0A5AE3409394D21BA5FA5F27780E30210"/>
          </w:pPr>
          <w:r w:rsidRPr="00A25024">
            <w:rPr>
              <w:rStyle w:val="PlaceholderText"/>
              <w:rFonts w:cstheme="minorHAnsi"/>
              <w:color w:val="A6A6A6" w:themeColor="background1" w:themeShade="A6"/>
            </w:rPr>
            <w:t>Click here to enter a date</w:t>
          </w:r>
        </w:p>
      </w:docPartBody>
    </w:docPart>
    <w:docPart>
      <w:docPartPr>
        <w:name w:val="551F485C4200468D9EC3FF6F420BE921"/>
        <w:category>
          <w:name w:val="General"/>
          <w:gallery w:val="placeholder"/>
        </w:category>
        <w:types>
          <w:type w:val="bbPlcHdr"/>
        </w:types>
        <w:behaviors>
          <w:behavior w:val="content"/>
        </w:behaviors>
        <w:guid w:val="{89DF227A-F75C-4738-8967-F5893B5B75FA}"/>
      </w:docPartPr>
      <w:docPartBody>
        <w:p w:rsidR="00736E10" w:rsidRDefault="00D90C1A">
          <w:pPr>
            <w:pStyle w:val="551F485C4200468D9EC3FF6F420BE921"/>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NewRoman,Bold">
    <w:panose1 w:val="00000000000000000000"/>
    <w:charset w:val="00"/>
    <w:family w:val="roman"/>
    <w:notTrueType/>
    <w:pitch w:val="default"/>
    <w:sig w:usb0="00000003" w:usb1="00000000" w:usb2="00000000" w:usb3="00000000" w:csb0="00000001" w:csb1="00000000"/>
  </w:font>
  <w:font w:name="MS Gothic">
    <w:altName w:val="MS Mincho"/>
    <w:panose1 w:val="020B0609070205080204"/>
    <w:charset w:val="80"/>
    <w:family w:val="modern"/>
    <w:notTrueType/>
    <w:pitch w:val="fixed"/>
    <w:sig w:usb0="00000000" w:usb1="08070000" w:usb2="00000010" w:usb3="00000000" w:csb0="00020000" w:csb1="00000000"/>
  </w:font>
  <w:font w:name="MS Mincho">
    <w:altName w:val="ＭＳ 明朝"/>
    <w:panose1 w:val="02020609040205080304"/>
    <w:charset w:val="80"/>
    <w:family w:val="modern"/>
    <w:pitch w:val="fixed"/>
    <w:sig w:usb0="A00002BF" w:usb1="68C7FCFB" w:usb2="00000010" w:usb3="00000000" w:csb0="0002009F" w:csb1="00000000"/>
  </w:font>
  <w:font w:name="Cambria Math">
    <w:panose1 w:val="02040503050406030204"/>
    <w:charset w:val="00"/>
    <w:family w:val="roman"/>
    <w:pitch w:val="variable"/>
    <w:sig w:usb0="E00002FF" w:usb1="420024FF" w:usb2="00000000" w:usb3="00000000" w:csb0="0000019F" w:csb1="00000000"/>
  </w:font>
  <w:font w:name="TTE2603740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2"/>
  </w:compat>
  <w:rsids>
    <w:rsidRoot w:val="00C90121"/>
    <w:rsid w:val="0001486E"/>
    <w:rsid w:val="00021F89"/>
    <w:rsid w:val="000B7602"/>
    <w:rsid w:val="001233A0"/>
    <w:rsid w:val="00127222"/>
    <w:rsid w:val="00130E4E"/>
    <w:rsid w:val="00190AF4"/>
    <w:rsid w:val="001D54DE"/>
    <w:rsid w:val="00214EF2"/>
    <w:rsid w:val="00223FA3"/>
    <w:rsid w:val="00233DF6"/>
    <w:rsid w:val="00251476"/>
    <w:rsid w:val="00285F30"/>
    <w:rsid w:val="002A288F"/>
    <w:rsid w:val="002F052A"/>
    <w:rsid w:val="00350176"/>
    <w:rsid w:val="003840F0"/>
    <w:rsid w:val="003853FB"/>
    <w:rsid w:val="003C28CA"/>
    <w:rsid w:val="00432093"/>
    <w:rsid w:val="00436642"/>
    <w:rsid w:val="004605A7"/>
    <w:rsid w:val="004D4AD7"/>
    <w:rsid w:val="0053654E"/>
    <w:rsid w:val="005853EF"/>
    <w:rsid w:val="00586CD0"/>
    <w:rsid w:val="005A1C7B"/>
    <w:rsid w:val="005E7350"/>
    <w:rsid w:val="00614D33"/>
    <w:rsid w:val="00632A7E"/>
    <w:rsid w:val="00632AB6"/>
    <w:rsid w:val="00676DDC"/>
    <w:rsid w:val="006B4405"/>
    <w:rsid w:val="00730B33"/>
    <w:rsid w:val="00736E10"/>
    <w:rsid w:val="00750593"/>
    <w:rsid w:val="00772B2A"/>
    <w:rsid w:val="007B536D"/>
    <w:rsid w:val="007C672A"/>
    <w:rsid w:val="007D4368"/>
    <w:rsid w:val="00822666"/>
    <w:rsid w:val="00823ECC"/>
    <w:rsid w:val="00866C97"/>
    <w:rsid w:val="0087244C"/>
    <w:rsid w:val="009017AE"/>
    <w:rsid w:val="009C542D"/>
    <w:rsid w:val="00A003DA"/>
    <w:rsid w:val="00A87B38"/>
    <w:rsid w:val="00A95183"/>
    <w:rsid w:val="00AA57FF"/>
    <w:rsid w:val="00AB4AF7"/>
    <w:rsid w:val="00AD7C4F"/>
    <w:rsid w:val="00B00F98"/>
    <w:rsid w:val="00B445F5"/>
    <w:rsid w:val="00B45D3F"/>
    <w:rsid w:val="00B94059"/>
    <w:rsid w:val="00BD40CB"/>
    <w:rsid w:val="00C44D20"/>
    <w:rsid w:val="00C90121"/>
    <w:rsid w:val="00CA344F"/>
    <w:rsid w:val="00CF50BE"/>
    <w:rsid w:val="00D1676E"/>
    <w:rsid w:val="00D32491"/>
    <w:rsid w:val="00D90C1A"/>
    <w:rsid w:val="00DC0246"/>
    <w:rsid w:val="00E6518A"/>
    <w:rsid w:val="00E952EE"/>
    <w:rsid w:val="00E97999"/>
    <w:rsid w:val="00F540AB"/>
    <w:rsid w:val="00F915BA"/>
    <w:rsid w:val="00FB30E0"/>
    <w:rsid w:val="00FE6C17"/>
    <w:rsid w:val="00FF1A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D4368"/>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551F485C4200468D9EC3FF6F420BE921">
    <w:name w:val="551F485C4200468D9EC3FF6F420BE92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41EFAF-6AA2-4514-80E6-65C31773D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26</Pages>
  <Words>11768</Words>
  <Characters>67082</Characters>
  <Application>Microsoft Office Word</Application>
  <DocSecurity>0</DocSecurity>
  <Lines>559</Lines>
  <Paragraphs>157</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78693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Anne</cp:lastModifiedBy>
  <cp:revision>6</cp:revision>
  <cp:lastPrinted>2014-11-06T17:38:00Z</cp:lastPrinted>
  <dcterms:created xsi:type="dcterms:W3CDTF">2014-11-03T12:25:00Z</dcterms:created>
  <dcterms:modified xsi:type="dcterms:W3CDTF">2014-11-06T19:18:00Z</dcterms:modified>
</cp:coreProperties>
</file>