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5D9B4C38"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color w:val="7030A0"/>
          </w:rPr>
          <w:id w:val="1103681744"/>
          <w:placeholder>
            <w:docPart w:val="D06AB11FD608490E9B47857CE12EB3BD"/>
          </w:placeholder>
        </w:sdtPr>
        <w:sdtEndPr>
          <w:rPr>
            <w:rStyle w:val="DefaultParagraphFont"/>
            <w:rFonts w:cstheme="minorHAnsi"/>
            <w:b/>
            <w:noProof/>
          </w:rPr>
        </w:sdtEndPr>
        <w:sdtContent>
          <w:r w:rsidR="00BC292B">
            <w:rPr>
              <w:rStyle w:val="Style1"/>
              <w:color w:val="7030A0"/>
            </w:rPr>
            <w:t>0</w:t>
          </w:r>
          <w:r w:rsidR="00823979" w:rsidRPr="00E7239F">
            <w:rPr>
              <w:rStyle w:val="Style1"/>
              <w:color w:val="7030A0"/>
            </w:rPr>
            <w:t>230</w:t>
          </w:r>
        </w:sdtContent>
      </w:sdt>
    </w:p>
    <w:p w14:paraId="0CABCF56" w14:textId="47B30E9F"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w:t>
      </w:r>
      <w:r w:rsidR="0084071B">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i/>
              </w:rPr>
              <w:id w:val="-1006058583"/>
              <w:placeholder>
                <w:docPart w:val="BF679ECA67BE439CB2BB3E88061BA594"/>
              </w:placeholder>
            </w:sdtPr>
            <w:sdtEndPr>
              <w:rPr>
                <w:rStyle w:val="DefaultParagraphFont"/>
                <w:noProof/>
                <w:color w:val="auto"/>
              </w:rPr>
            </w:sdtEndPr>
            <w:sdtContent>
              <w:r w:rsidR="00823979" w:rsidRPr="00656A43">
                <w:rPr>
                  <w:rFonts w:ascii="Calibri" w:eastAsia="Calibri" w:hAnsi="Calibri"/>
                  <w:color w:val="7030A0"/>
                </w:rPr>
                <w:t>Hospital 30-day, all-cause, risk-standardized mortality rate (RSMR) following acute myocardial infarction (AMI) hospitali</w:t>
              </w:r>
              <w:r w:rsidR="006A086A">
                <w:rPr>
                  <w:rFonts w:ascii="Calibri" w:eastAsia="Calibri" w:hAnsi="Calibri"/>
                  <w:color w:val="7030A0"/>
                </w:rPr>
                <w:t xml:space="preserve">zation </w:t>
              </w:r>
            </w:sdtContent>
          </w:sdt>
        </w:sdtContent>
      </w:sdt>
    </w:p>
    <w:p w14:paraId="0CABCF57" w14:textId="6DE61E05" w:rsidR="005C73CA" w:rsidRPr="00450C58" w:rsidRDefault="00105D8B" w:rsidP="009E1846">
      <w:pPr>
        <w:spacing w:after="0"/>
        <w:rPr>
          <w:rStyle w:val="Style2"/>
          <w:rFonts w:cstheme="minorHAnsi"/>
        </w:rPr>
      </w:pPr>
      <w:r w:rsidRPr="00450C58">
        <w:rPr>
          <w:rFonts w:cstheme="minorHAnsi"/>
          <w:b/>
          <w:noProof/>
        </w:rPr>
        <w:t>Date of Submission</w:t>
      </w:r>
      <w:r w:rsidRPr="00BC292B">
        <w:rPr>
          <w:rFonts w:cstheme="minorHAnsi"/>
          <w:noProof/>
          <w:color w:val="C00000"/>
        </w:rPr>
        <w:t xml:space="preserve">: </w:t>
      </w:r>
      <w:sdt>
        <w:sdtPr>
          <w:rPr>
            <w:rStyle w:val="Style2"/>
            <w:rFonts w:cstheme="minorHAnsi"/>
            <w:color w:val="C00000"/>
          </w:rPr>
          <w:id w:val="-1689821638"/>
          <w:placeholder>
            <w:docPart w:val="D0A5AE3409394D21BA5FA5F27780E302"/>
          </w:placeholder>
          <w:date w:fullDate="2020-08-03T00:00:00Z">
            <w:dateFormat w:val="M/d/yyyy"/>
            <w:lid w:val="en-US"/>
            <w:storeMappedDataAs w:val="dateTime"/>
            <w:calendar w:val="gregorian"/>
          </w:date>
        </w:sdtPr>
        <w:sdtEndPr>
          <w:rPr>
            <w:rStyle w:val="DefaultParagraphFont"/>
            <w:noProof/>
            <w:u w:val="none"/>
          </w:rPr>
        </w:sdtEndPr>
        <w:sdtContent>
          <w:r w:rsidR="00600CD6">
            <w:rPr>
              <w:rStyle w:val="Style2"/>
              <w:rFonts w:cstheme="minorHAnsi"/>
              <w:color w:val="C00000"/>
            </w:rPr>
            <w:t>8/3/2020</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1006EF76" w:rsidR="000B7D57" w:rsidRPr="00C775CE" w:rsidRDefault="00CD0CB6" w:rsidP="00CD364B">
            <w:pPr>
              <w:autoSpaceDE w:val="0"/>
              <w:autoSpaceDN w:val="0"/>
              <w:adjustRightInd w:val="0"/>
              <w:rPr>
                <w:rFonts w:cstheme="minorHAnsi"/>
                <w:bCs/>
              </w:rPr>
            </w:pPr>
            <w:sdt>
              <w:sdtPr>
                <w:rPr>
                  <w:rFonts w:cstheme="minorHAnsi"/>
                  <w:bCs/>
                  <w:color w:val="7030A0"/>
                </w:rPr>
                <w:id w:val="40960739"/>
                <w14:checkbox>
                  <w14:checked w14:val="1"/>
                  <w14:checkedState w14:val="2612" w14:font="MS Gothic"/>
                  <w14:uncheckedState w14:val="2610" w14:font="MS Gothic"/>
                </w14:checkbox>
              </w:sdtPr>
              <w:sdtEndPr/>
              <w:sdtContent>
                <w:r w:rsidR="00E7239F" w:rsidRPr="00E7239F">
                  <w:rPr>
                    <w:rFonts w:ascii="MS Gothic" w:eastAsia="MS Gothic" w:hAnsi="MS Gothic" w:cstheme="minorHAnsi" w:hint="eastAsia"/>
                    <w:bCs/>
                    <w:color w:val="7030A0"/>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CD0CB6"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61" w14:textId="77777777" w:rsidTr="000B7D57">
        <w:trPr>
          <w:jc w:val="center"/>
        </w:trPr>
        <w:tc>
          <w:tcPr>
            <w:tcW w:w="2513" w:type="pct"/>
          </w:tcPr>
          <w:p w14:paraId="0CABCF5F" w14:textId="55B36514" w:rsidR="000B7D57" w:rsidRPr="00C775CE" w:rsidRDefault="00CD0CB6"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CD0CB6"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CD0CB6"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647A4A0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w:t>
            </w:r>
            <w:r w:rsidR="0084071B">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133D3189"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84071B">
              <w:rPr>
                <w:rFonts w:cstheme="minorHAnsi"/>
                <w:sz w:val="20"/>
                <w:szCs w:val="20"/>
              </w:rPr>
              <w:t xml:space="preserve">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3E790FA9"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w:t>
            </w:r>
            <w:r w:rsidR="0084071B">
              <w:rPr>
                <w:rFonts w:asciiTheme="minorHAnsi" w:hAnsiTheme="minorHAnsi" w:cstheme="minorHAnsi"/>
              </w:rPr>
              <w:t xml:space="preserve">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3EB6C702"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w:t>
            </w:r>
            <w:r w:rsidR="0084071B">
              <w:rPr>
                <w:rFonts w:cstheme="minorHAnsi"/>
                <w:sz w:val="20"/>
                <w:szCs w:val="20"/>
              </w:rPr>
              <w:t xml:space="preserve"> </w:t>
            </w:r>
            <w:r w:rsidR="00145149" w:rsidRPr="00A831B4">
              <w:rPr>
                <w:rFonts w:cstheme="minorHAnsi"/>
                <w:sz w:val="20"/>
                <w:szCs w:val="20"/>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3"/>
        <w:gridCol w:w="4735"/>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CD0CB6"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6B41A95B" w:rsidR="00A01494" w:rsidRPr="00A01494" w:rsidRDefault="00CD0CB6" w:rsidP="00DB3627">
            <w:pPr>
              <w:autoSpaceDE w:val="0"/>
              <w:autoSpaceDN w:val="0"/>
              <w:adjustRightInd w:val="0"/>
              <w:rPr>
                <w:rFonts w:cstheme="minorHAnsi"/>
                <w:bCs/>
              </w:rPr>
            </w:pPr>
            <w:sdt>
              <w:sdtPr>
                <w:rPr>
                  <w:rFonts w:cstheme="minorHAnsi"/>
                  <w:bCs/>
                  <w:color w:val="7030A0"/>
                </w:rPr>
                <w:id w:val="98917060"/>
                <w14:checkbox>
                  <w14:checked w14:val="0"/>
                  <w14:checkedState w14:val="2612" w14:font="MS Gothic"/>
                  <w14:uncheckedState w14:val="2610" w14:font="MS Gothic"/>
                </w14:checkbox>
              </w:sdtPr>
              <w:sdtEndPr/>
              <w:sdtContent>
                <w:r>
                  <w:rPr>
                    <w:rFonts w:ascii="MS Gothic" w:eastAsia="MS Gothic" w:hAnsi="MS Gothic" w:cstheme="minorHAnsi" w:hint="eastAsia"/>
                    <w:bCs/>
                    <w:color w:val="7030A0"/>
                  </w:rPr>
                  <w:t>☐</w:t>
                </w:r>
              </w:sdtContent>
            </w:sdt>
            <w:r w:rsidR="00B82A57" w:rsidRPr="00E7239F">
              <w:rPr>
                <w:rFonts w:cstheme="minorHAnsi"/>
                <w:bCs/>
                <w:color w:val="7030A0"/>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452556DD" w:rsidR="00A01494" w:rsidRPr="000F1B7A" w:rsidRDefault="00CD0CB6" w:rsidP="000F1B7A">
            <w:pPr>
              <w:autoSpaceDE w:val="0"/>
              <w:autoSpaceDN w:val="0"/>
              <w:adjustRightInd w:val="0"/>
              <w:rPr>
                <w:rFonts w:cstheme="minorHAnsi"/>
                <w:bCs/>
              </w:rPr>
            </w:pPr>
            <w:sdt>
              <w:sdtPr>
                <w:rPr>
                  <w:rFonts w:cstheme="minorHAnsi"/>
                  <w:bCs/>
                  <w:color w:val="7030A0"/>
                </w:rPr>
                <w:id w:val="560149406"/>
                <w14:checkbox>
                  <w14:checked w14:val="1"/>
                  <w14:checkedState w14:val="2612" w14:font="MS Gothic"/>
                  <w14:uncheckedState w14:val="2610" w14:font="MS Gothic"/>
                </w14:checkbox>
              </w:sdtPr>
              <w:sdtEndPr/>
              <w:sdtContent>
                <w:r w:rsidR="00E7239F" w:rsidRPr="00E7239F">
                  <w:rPr>
                    <w:rFonts w:ascii="MS Gothic" w:eastAsia="MS Gothic" w:hAnsi="MS Gothic" w:cstheme="minorHAnsi" w:hint="eastAsia"/>
                    <w:bCs/>
                    <w:color w:val="7030A0"/>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9441544" w:rsidR="00A01494" w:rsidRPr="000F1B7A" w:rsidRDefault="00CD0CB6" w:rsidP="000F1B7A">
            <w:pPr>
              <w:autoSpaceDE w:val="0"/>
              <w:autoSpaceDN w:val="0"/>
              <w:adjustRightInd w:val="0"/>
              <w:rPr>
                <w:rFonts w:cstheme="minorHAnsi"/>
                <w:bCs/>
              </w:rPr>
            </w:pPr>
            <w:sdt>
              <w:sdtPr>
                <w:rPr>
                  <w:rFonts w:cstheme="minorHAnsi"/>
                  <w:bCs/>
                  <w:color w:val="7030A0"/>
                </w:rPr>
                <w:id w:val="-387195507"/>
                <w14:checkbox>
                  <w14:checked w14:val="1"/>
                  <w14:checkedState w14:val="2612" w14:font="MS Gothic"/>
                  <w14:uncheckedState w14:val="2610" w14:font="MS Gothic"/>
                </w14:checkbox>
              </w:sdtPr>
              <w:sdtEndPr/>
              <w:sdtContent>
                <w:r w:rsidR="00E7239F" w:rsidRPr="00E7239F">
                  <w:rPr>
                    <w:rFonts w:ascii="MS Gothic" w:eastAsia="MS Gothic" w:hAnsi="MS Gothic" w:cstheme="minorHAnsi" w:hint="eastAsia"/>
                    <w:bCs/>
                    <w:color w:val="7030A0"/>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CD0CB6"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CD0CB6"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CD0CB6"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CD0CB6"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CD0CB6"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CD0CB6"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34C222C1" w:rsidR="00A01494" w:rsidRPr="000F1B7A" w:rsidRDefault="00CD0CB6"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C340D0">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other:</w:t>
            </w:r>
            <w:r w:rsidR="0084071B">
              <w:rPr>
                <w:rFonts w:cstheme="minorHAnsi"/>
                <w:bCs/>
              </w:rPr>
              <w:t xml:space="preserve"> </w:t>
            </w:r>
            <w:sdt>
              <w:sdtPr>
                <w:rPr>
                  <w:rStyle w:val="Style1"/>
                  <w:color w:val="7030A0"/>
                </w:rPr>
                <w:id w:val="1834251992"/>
                <w:text/>
              </w:sdtPr>
              <w:sdtEndPr>
                <w:rPr>
                  <w:rStyle w:val="DefaultParagraphFont"/>
                  <w:rFonts w:cstheme="minorHAnsi"/>
                  <w:bCs/>
                </w:rPr>
              </w:sdtEndPr>
              <w:sdtContent>
                <w:r w:rsidR="00C340D0" w:rsidRPr="00C340D0">
                  <w:rPr>
                    <w:rStyle w:val="Style1"/>
                    <w:color w:val="7030A0"/>
                  </w:rPr>
                  <w:t>Medicare Enrollment Data</w:t>
                </w:r>
                <w:r>
                  <w:rPr>
                    <w:rStyle w:val="Style1"/>
                    <w:color w:val="7030A0"/>
                  </w:rPr>
                  <w:t xml:space="preserve"> (including Master Beneficiary Summary File)</w:t>
                </w:r>
                <w:r w:rsidR="00C340D0" w:rsidRPr="00C340D0">
                  <w:rPr>
                    <w:rStyle w:val="Style1"/>
                    <w:color w:val="7030A0"/>
                  </w:rPr>
                  <w:t>, VHA Administrative Data</w:t>
                </w:r>
              </w:sdtContent>
            </w:sdt>
          </w:p>
        </w:tc>
        <w:tc>
          <w:tcPr>
            <w:tcW w:w="4847" w:type="dxa"/>
          </w:tcPr>
          <w:p w14:paraId="0CABCFAB" w14:textId="4F549F17" w:rsidR="00A01494" w:rsidRPr="000F1B7A" w:rsidRDefault="00CD0CB6"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other:</w:t>
            </w:r>
            <w:r w:rsidR="0084071B">
              <w:rPr>
                <w:rFonts w:cstheme="minorHAnsi"/>
                <w:bCs/>
              </w:rPr>
              <w:t xml:space="preserve"> </w:t>
            </w:r>
            <w:sdt>
              <w:sdtPr>
                <w:rPr>
                  <w:rStyle w:val="Style1"/>
                  <w:color w:val="7030A0"/>
                </w:rPr>
                <w:id w:val="1976178076"/>
                <w:text/>
              </w:sdtPr>
              <w:sdtEndPr>
                <w:rPr>
                  <w:rStyle w:val="Style1"/>
                </w:rPr>
              </w:sdtEndPr>
              <w:sdtContent>
                <w:r w:rsidR="00600CD6">
                  <w:rPr>
                    <w:rStyle w:val="Style1"/>
                    <w:color w:val="7030A0"/>
                  </w:rPr>
                  <w:t xml:space="preserve">Census Data/American Community Survey, VHA Administrative Data, </w:t>
                </w:r>
                <w:r>
                  <w:rPr>
                    <w:rStyle w:val="Style1"/>
                    <w:color w:val="7030A0"/>
                  </w:rPr>
                  <w:t xml:space="preserve">Medicare Enrollment Data (including </w:t>
                </w:r>
                <w:r w:rsidR="00600CD6">
                  <w:rPr>
                    <w:rStyle w:val="Style1"/>
                    <w:color w:val="7030A0"/>
                  </w:rPr>
                  <w:t>Master Beneficiary Summary File</w:t>
                </w:r>
                <w:r>
                  <w:rPr>
                    <w:rStyle w:val="Style1"/>
                    <w:color w:val="7030A0"/>
                  </w:rPr>
                  <w:t>)</w:t>
                </w:r>
              </w:sdtContent>
            </w:sdt>
          </w:p>
        </w:tc>
      </w:tr>
    </w:tbl>
    <w:p w14:paraId="0CABCFAD" w14:textId="47D2D373" w:rsidR="00A01494" w:rsidRDefault="0084071B" w:rsidP="00DB3627">
      <w:pPr>
        <w:autoSpaceDE w:val="0"/>
        <w:autoSpaceDN w:val="0"/>
        <w:adjustRightInd w:val="0"/>
        <w:spacing w:after="0" w:line="240" w:lineRule="auto"/>
        <w:rPr>
          <w:rFonts w:cstheme="minorHAnsi"/>
          <w:b/>
          <w:bCs/>
        </w:rPr>
      </w:pPr>
      <w:r>
        <w:rPr>
          <w:rFonts w:cstheme="minorHAnsi"/>
          <w:b/>
          <w:bCs/>
        </w:rPr>
        <w:t xml:space="preserve">  </w:t>
      </w:r>
      <w:r w:rsidR="006327D8" w:rsidRPr="00A25024">
        <w:rPr>
          <w:rFonts w:cstheme="minorHAnsi"/>
          <w:b/>
          <w:bCs/>
        </w:rPr>
        <w:t xml:space="preserve"> </w:t>
      </w:r>
    </w:p>
    <w:p w14:paraId="5448C47B" w14:textId="61A76047" w:rsidR="00182B4F" w:rsidRDefault="002B5016" w:rsidP="00182B4F">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w:t>
      </w:r>
      <w:r w:rsidR="0084071B">
        <w:rPr>
          <w:rFonts w:cstheme="minorHAnsi"/>
          <w:bCs/>
        </w:rPr>
        <w:t xml:space="preserve"> </w:t>
      </w:r>
      <w:r w:rsidR="004348CC" w:rsidRPr="00A25024">
        <w:rPr>
          <w:rFonts w:cstheme="minorHAnsi"/>
          <w:bCs/>
        </w:rPr>
        <w:t xml:space="preserve"> </w:t>
      </w:r>
    </w:p>
    <w:p w14:paraId="55D82951" w14:textId="330EA7D1" w:rsidR="00823979" w:rsidRPr="00182B4F" w:rsidRDefault="00823979" w:rsidP="00182B4F">
      <w:pPr>
        <w:autoSpaceDE w:val="0"/>
        <w:autoSpaceDN w:val="0"/>
        <w:adjustRightInd w:val="0"/>
        <w:spacing w:before="120" w:after="120" w:line="240" w:lineRule="auto"/>
        <w:rPr>
          <w:rFonts w:cstheme="minorHAnsi"/>
          <w:bCs/>
        </w:rPr>
      </w:pPr>
      <w:r w:rsidRPr="00E7239F">
        <w:rPr>
          <w:color w:val="7030A0"/>
        </w:rPr>
        <w:t>The data used for testing included Medicare Parts A and B claims as well as the Medicare Enrollment Database (EDB). Additionally, census as well as enrollment data were used to assess socioeconomic factors (dual eligible variable obtained through enrollment data; Agency for Healthcare Research and Quality [AHRQ] socioeconomic status [SES] index obtained through census data).</w:t>
      </w:r>
      <w:r w:rsidRPr="001413A5">
        <w:t xml:space="preserve"> </w:t>
      </w:r>
      <w:r w:rsidRPr="00E7239F">
        <w:rPr>
          <w:rFonts w:ascii="Calibri" w:eastAsia="Times New Roman" w:hAnsi="Calibri" w:cs="Arial"/>
          <w:color w:val="C00000"/>
          <w:lang w:eastAsia="x-none"/>
        </w:rPr>
        <w:t xml:space="preserve">Veterans’ Health Administration (VHA) data </w:t>
      </w:r>
      <w:r w:rsidRPr="00E7239F">
        <w:rPr>
          <w:rFonts w:cstheme="minorHAnsi"/>
          <w:color w:val="C00000"/>
        </w:rPr>
        <w:t xml:space="preserve">are also included in the testing dataset. </w:t>
      </w:r>
      <w:r w:rsidRPr="00E7239F">
        <w:rPr>
          <w:color w:val="7030A0"/>
        </w:rPr>
        <w:t>The dataset used varies by testing type; see Section 1.7 for details.</w:t>
      </w:r>
    </w:p>
    <w:p w14:paraId="2E209FF2" w14:textId="5106B92C" w:rsidR="00E7239F" w:rsidRDefault="002B5016" w:rsidP="00E7239F">
      <w:pPr>
        <w:autoSpaceDE w:val="0"/>
        <w:autoSpaceDN w:val="0"/>
        <w:adjustRightInd w:val="0"/>
        <w:spacing w:after="0" w:line="240" w:lineRule="auto"/>
        <w:rPr>
          <w:rStyle w:val="Style1"/>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84071B">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27B96996" w14:textId="34A4C089" w:rsidR="00823979" w:rsidRPr="00E7239F" w:rsidRDefault="00E7239F" w:rsidP="00E7239F">
      <w:pPr>
        <w:autoSpaceDE w:val="0"/>
        <w:autoSpaceDN w:val="0"/>
        <w:adjustRightInd w:val="0"/>
        <w:spacing w:before="120" w:after="120" w:line="240" w:lineRule="auto"/>
        <w:rPr>
          <w:rFonts w:cstheme="minorHAnsi"/>
          <w:bCs/>
          <w:color w:val="7030A0"/>
        </w:rPr>
      </w:pPr>
      <w:r w:rsidRPr="00E7239F">
        <w:rPr>
          <w:rFonts w:cstheme="minorHAnsi"/>
          <w:bCs/>
          <w:color w:val="7030A0"/>
        </w:rPr>
        <w:t>T</w:t>
      </w:r>
      <w:r w:rsidR="00823979" w:rsidRPr="00E7239F">
        <w:rPr>
          <w:color w:val="7030A0"/>
        </w:rPr>
        <w:t>he dates used for testing vary by testing type; see Section 1.7 for details.</w:t>
      </w: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CD0CB6"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CD0CB6"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CD0CB6"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CD0CB6"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74A80BBA" w:rsidR="000414E8" w:rsidRPr="00A01494" w:rsidRDefault="00CD0CB6" w:rsidP="00D61410">
            <w:pPr>
              <w:autoSpaceDE w:val="0"/>
              <w:autoSpaceDN w:val="0"/>
              <w:adjustRightInd w:val="0"/>
              <w:rPr>
                <w:rFonts w:cstheme="minorHAnsi"/>
                <w:bCs/>
              </w:rPr>
            </w:pPr>
            <w:sdt>
              <w:sdtPr>
                <w:rPr>
                  <w:rFonts w:cstheme="minorHAnsi"/>
                  <w:bCs/>
                  <w:color w:val="7030A0"/>
                </w:rPr>
                <w:id w:val="-1855098074"/>
                <w14:checkbox>
                  <w14:checked w14:val="1"/>
                  <w14:checkedState w14:val="2612" w14:font="MS Gothic"/>
                  <w14:uncheckedState w14:val="2610" w14:font="MS Gothic"/>
                </w14:checkbox>
              </w:sdtPr>
              <w:sdtEndPr/>
              <w:sdtContent>
                <w:r w:rsidR="00E7239F">
                  <w:rPr>
                    <w:rFonts w:ascii="MS Gothic" w:eastAsia="MS Gothic" w:hAnsi="MS Gothic" w:cstheme="minorHAnsi" w:hint="eastAsia"/>
                    <w:bCs/>
                    <w:color w:val="7030A0"/>
                  </w:rPr>
                  <w:t>☒</w:t>
                </w:r>
              </w:sdtContent>
            </w:sdt>
            <w:r w:rsidR="000414E8" w:rsidRPr="00E7239F">
              <w:rPr>
                <w:rFonts w:cstheme="minorHAnsi"/>
                <w:bCs/>
                <w:color w:val="7030A0"/>
              </w:rPr>
              <w:t xml:space="preserve"> </w:t>
            </w:r>
            <w:r w:rsidR="000414E8">
              <w:rPr>
                <w:rFonts w:eastAsia="MS Gothic" w:cstheme="minorHAnsi"/>
                <w:bCs/>
              </w:rPr>
              <w:t>hospital/facility/agency</w:t>
            </w:r>
          </w:p>
        </w:tc>
        <w:tc>
          <w:tcPr>
            <w:tcW w:w="5028" w:type="dxa"/>
          </w:tcPr>
          <w:p w14:paraId="0CABCFBE" w14:textId="29DBD7C8" w:rsidR="000414E8" w:rsidRPr="00A01494" w:rsidRDefault="00CD0CB6" w:rsidP="00D61410">
            <w:pPr>
              <w:autoSpaceDE w:val="0"/>
              <w:autoSpaceDN w:val="0"/>
              <w:adjustRightInd w:val="0"/>
              <w:rPr>
                <w:rFonts w:cstheme="minorHAnsi"/>
                <w:bCs/>
              </w:rPr>
            </w:pPr>
            <w:sdt>
              <w:sdtPr>
                <w:rPr>
                  <w:rFonts w:cstheme="minorHAnsi"/>
                  <w:bCs/>
                  <w:color w:val="7030A0"/>
                </w:rPr>
                <w:id w:val="1857455968"/>
                <w14:checkbox>
                  <w14:checked w14:val="1"/>
                  <w14:checkedState w14:val="2612" w14:font="MS Gothic"/>
                  <w14:uncheckedState w14:val="2610" w14:font="MS Gothic"/>
                </w14:checkbox>
              </w:sdtPr>
              <w:sdtEndPr/>
              <w:sdtContent>
                <w:r w:rsidR="00E7239F">
                  <w:rPr>
                    <w:rFonts w:ascii="MS Gothic" w:eastAsia="MS Gothic" w:hAnsi="MS Gothic" w:cstheme="minorHAnsi" w:hint="eastAsia"/>
                    <w:bCs/>
                    <w:color w:val="7030A0"/>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CD0CB6"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CD0CB6"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29C1EC4" w:rsidR="000414E8" w:rsidRPr="00A01494" w:rsidRDefault="00CD0CB6"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other:</w:t>
            </w:r>
            <w:r w:rsidR="0084071B">
              <w:rPr>
                <w:rFonts w:cstheme="minorHAnsi"/>
                <w:bCs/>
              </w:rPr>
              <w:t xml:space="preserve">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630CC745" w:rsidR="000414E8" w:rsidRPr="00A01494" w:rsidRDefault="00CD0CB6"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other:</w:t>
            </w:r>
            <w:r w:rsidR="0084071B">
              <w:rPr>
                <w:rFonts w:cstheme="minorHAnsi"/>
                <w:bCs/>
              </w:rPr>
              <w:t xml:space="preserve">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3A99EE91" w14:textId="77777777" w:rsidR="00E7239F" w:rsidRDefault="002B5016" w:rsidP="00E7239F">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363BF9D9" w14:textId="506CB953" w:rsidR="00823979" w:rsidRPr="00E7239F" w:rsidRDefault="00823979" w:rsidP="00E7239F">
      <w:pPr>
        <w:autoSpaceDE w:val="0"/>
        <w:autoSpaceDN w:val="0"/>
        <w:adjustRightInd w:val="0"/>
        <w:spacing w:before="120" w:after="120" w:line="240" w:lineRule="auto"/>
        <w:rPr>
          <w:rFonts w:cstheme="minorHAnsi"/>
          <w:bCs/>
        </w:rPr>
      </w:pPr>
      <w:r w:rsidRPr="00E7239F">
        <w:rPr>
          <w:color w:val="7030A0"/>
        </w:rPr>
        <w:t xml:space="preserve">For this measure, hospitals are the measured entities. All non-federal, </w:t>
      </w:r>
      <w:r w:rsidR="00182B4F">
        <w:rPr>
          <w:color w:val="7030A0"/>
        </w:rPr>
        <w:t xml:space="preserve">short-term </w:t>
      </w:r>
      <w:r w:rsidRPr="00E7239F">
        <w:rPr>
          <w:color w:val="7030A0"/>
        </w:rPr>
        <w:t>acute</w:t>
      </w:r>
      <w:r w:rsidR="00182B4F">
        <w:rPr>
          <w:color w:val="7030A0"/>
        </w:rPr>
        <w:t xml:space="preserve"> care</w:t>
      </w:r>
      <w:r w:rsidRPr="00E7239F">
        <w:rPr>
          <w:color w:val="7030A0"/>
        </w:rPr>
        <w:t xml:space="preserve"> inpatient US hospitals (including territories) with Medicare fee-for-service (FFS) beneficiaries </w:t>
      </w:r>
      <w:r w:rsidR="00182B4F">
        <w:rPr>
          <w:color w:val="7030A0"/>
        </w:rPr>
        <w:t>aged</w:t>
      </w:r>
      <w:r w:rsidR="0084071B">
        <w:rPr>
          <w:color w:val="7030A0"/>
        </w:rPr>
        <w:t xml:space="preserve"> </w:t>
      </w:r>
      <w:r w:rsidRPr="00E7239F">
        <w:rPr>
          <w:color w:val="7030A0"/>
        </w:rPr>
        <w:t xml:space="preserve">65 </w:t>
      </w:r>
      <w:r w:rsidR="00182B4F">
        <w:rPr>
          <w:color w:val="7030A0"/>
        </w:rPr>
        <w:t xml:space="preserve">or over </w:t>
      </w:r>
      <w:r w:rsidRPr="00E7239F">
        <w:rPr>
          <w:color w:val="7030A0"/>
        </w:rPr>
        <w:t xml:space="preserve">are included. </w:t>
      </w:r>
      <w:r w:rsidRPr="003233A0">
        <w:rPr>
          <w:color w:val="C00000"/>
        </w:rPr>
        <w:t>All Veteran’s Health Administration Hospitals are also included in the current public reported measure.</w:t>
      </w:r>
      <w:r w:rsidR="0084071B" w:rsidRPr="003233A0">
        <w:rPr>
          <w:color w:val="C00000"/>
        </w:rPr>
        <w:t xml:space="preserve"> </w:t>
      </w:r>
      <w:r w:rsidRPr="00E7239F">
        <w:rPr>
          <w:rFonts w:cstheme="minorHAnsi"/>
          <w:bCs/>
          <w:color w:val="7030A0"/>
        </w:rPr>
        <w:t>The number of measured entities (hospitals) varies by testing type; see Section 1.7 for details.</w:t>
      </w:r>
    </w:p>
    <w:p w14:paraId="37BF4487" w14:textId="77777777" w:rsidR="00E7239F" w:rsidRDefault="002B5016" w:rsidP="00E7239F">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0CABCFC9" w14:textId="1CBDA56C" w:rsidR="007422FD" w:rsidRPr="00E7239F" w:rsidRDefault="004C0056" w:rsidP="00E7239F">
      <w:pPr>
        <w:autoSpaceDE w:val="0"/>
        <w:autoSpaceDN w:val="0"/>
        <w:adjustRightInd w:val="0"/>
        <w:spacing w:before="120" w:after="120" w:line="240" w:lineRule="auto"/>
        <w:rPr>
          <w:rFonts w:cstheme="minorHAnsi"/>
          <w:bCs/>
          <w:color w:val="7030A0"/>
        </w:rPr>
      </w:pPr>
      <w:r w:rsidRPr="0056647D">
        <w:rPr>
          <w:rFonts w:cstheme="minorHAnsi"/>
          <w:iCs/>
          <w:color w:val="7030A0"/>
        </w:rPr>
        <w:t>The number of admissions/patients varies by testing type: see Section 1.7 for details.</w:t>
      </w:r>
    </w:p>
    <w:p w14:paraId="58AA6F79" w14:textId="77777777" w:rsidR="00E7239F" w:rsidRDefault="002B5016" w:rsidP="00E7239F">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bookmarkStart w:id="11" w:name="_Hlk33449336"/>
    </w:p>
    <w:p w14:paraId="18FC5640" w14:textId="77777777" w:rsidR="00E7239F" w:rsidRDefault="006F0CAE" w:rsidP="00E7239F">
      <w:pPr>
        <w:autoSpaceDE w:val="0"/>
        <w:autoSpaceDN w:val="0"/>
        <w:adjustRightInd w:val="0"/>
        <w:spacing w:before="120" w:after="120" w:line="240" w:lineRule="auto"/>
        <w:rPr>
          <w:rFonts w:cstheme="minorHAnsi"/>
          <w:bCs/>
        </w:rPr>
      </w:pPr>
      <w:r w:rsidRPr="00E7239F">
        <w:rPr>
          <w:rFonts w:cstheme="minorHAnsi"/>
          <w:bCs/>
          <w:color w:val="7030A0"/>
        </w:rPr>
        <w:t>The datasets, dates, number of measured hospitals, and number of admissions used in each type of testing are in Table 1.</w:t>
      </w:r>
    </w:p>
    <w:p w14:paraId="3BB8B5B0" w14:textId="77777777" w:rsidR="00E7239F" w:rsidRDefault="006F0CAE" w:rsidP="00E7239F">
      <w:pPr>
        <w:autoSpaceDE w:val="0"/>
        <w:autoSpaceDN w:val="0"/>
        <w:adjustRightInd w:val="0"/>
        <w:spacing w:before="120" w:after="120" w:line="240" w:lineRule="auto"/>
        <w:rPr>
          <w:rFonts w:cstheme="minorHAnsi"/>
          <w:bCs/>
        </w:rPr>
      </w:pPr>
      <w:r w:rsidRPr="00E7239F">
        <w:rPr>
          <w:rFonts w:cstheme="minorHAnsi"/>
          <w:bCs/>
          <w:color w:val="7030A0"/>
          <w:u w:val="single"/>
        </w:rPr>
        <w:t>Measure Development</w:t>
      </w:r>
    </w:p>
    <w:p w14:paraId="0C72DA22" w14:textId="166ED447" w:rsidR="00F51D14" w:rsidRDefault="00B373B8" w:rsidP="00E7239F">
      <w:pPr>
        <w:autoSpaceDE w:val="0"/>
        <w:autoSpaceDN w:val="0"/>
        <w:adjustRightInd w:val="0"/>
        <w:spacing w:before="120" w:after="120" w:line="240" w:lineRule="auto"/>
        <w:rPr>
          <w:rFonts w:cstheme="minorHAnsi"/>
          <w:b/>
          <w:bCs/>
          <w:color w:val="7030A0"/>
        </w:rPr>
      </w:pPr>
      <w:r w:rsidRPr="0056647D">
        <w:rPr>
          <w:rFonts w:cstheme="minorHAnsi"/>
          <w:bCs/>
          <w:color w:val="7030A0"/>
        </w:rPr>
        <w:t>For measure development, we used Medicare administrative claims data (1998).</w:t>
      </w:r>
      <w:r>
        <w:rPr>
          <w:rFonts w:cstheme="minorHAnsi"/>
          <w:bCs/>
          <w:color w:val="7030A0"/>
        </w:rPr>
        <w:t xml:space="preserve"> </w:t>
      </w:r>
      <w:r w:rsidR="006F0CAE" w:rsidRPr="00E7239F">
        <w:rPr>
          <w:rFonts w:cstheme="minorHAnsi"/>
          <w:bCs/>
          <w:color w:val="7030A0"/>
        </w:rPr>
        <w:t>The dataset also included administrative data on each patient for the 12 months prior to the index admission</w:t>
      </w:r>
      <w:r>
        <w:rPr>
          <w:rFonts w:cstheme="minorHAnsi"/>
          <w:bCs/>
          <w:color w:val="7030A0"/>
        </w:rPr>
        <w:t>.</w:t>
      </w:r>
      <w:r w:rsidR="006F0CAE" w:rsidRPr="00E7239F">
        <w:rPr>
          <w:rFonts w:cstheme="minorHAnsi"/>
          <w:bCs/>
          <w:color w:val="7030A0"/>
        </w:rPr>
        <w:t xml:space="preserve"> The dataset contained inpatient and facility outpatient claims and Medicare enrollment database (EDB) data. We randomly split the data into two equal samples:</w:t>
      </w:r>
      <w:r w:rsidR="006F0CAE" w:rsidRPr="00E7239F">
        <w:rPr>
          <w:rFonts w:cstheme="minorHAnsi"/>
          <w:b/>
          <w:bCs/>
          <w:color w:val="7030A0"/>
        </w:rPr>
        <w:t xml:space="preserve"> </w:t>
      </w:r>
      <w:r w:rsidR="006F0CAE" w:rsidRPr="00B373B8">
        <w:rPr>
          <w:rFonts w:cstheme="minorHAnsi"/>
          <w:bCs/>
          <w:color w:val="7030A0"/>
        </w:rPr>
        <w:t>the Development Dataset and Internal Validation Dataset.</w:t>
      </w:r>
      <w:r w:rsidR="006F0CAE" w:rsidRPr="00E7239F">
        <w:rPr>
          <w:rFonts w:cstheme="minorHAnsi"/>
          <w:b/>
          <w:bCs/>
          <w:color w:val="7030A0"/>
        </w:rPr>
        <w:t xml:space="preserve"> </w:t>
      </w:r>
    </w:p>
    <w:p w14:paraId="497089FF" w14:textId="45709E39" w:rsidR="00E7239F" w:rsidRDefault="006F0CAE" w:rsidP="00E7239F">
      <w:pPr>
        <w:autoSpaceDE w:val="0"/>
        <w:autoSpaceDN w:val="0"/>
        <w:adjustRightInd w:val="0"/>
        <w:spacing w:before="120" w:after="120" w:line="240" w:lineRule="auto"/>
        <w:rPr>
          <w:rFonts w:cstheme="minorHAnsi"/>
          <w:bCs/>
        </w:rPr>
      </w:pPr>
      <w:r w:rsidRPr="00E7239F">
        <w:rPr>
          <w:rFonts w:cstheme="minorHAnsi"/>
          <w:b/>
          <w:bCs/>
          <w:color w:val="7030A0"/>
        </w:rPr>
        <w:t xml:space="preserve">Measure Testing </w:t>
      </w:r>
    </w:p>
    <w:p w14:paraId="6F3A3453" w14:textId="7E3384E6" w:rsidR="00E7239F" w:rsidRDefault="006F0CAE" w:rsidP="00E7239F">
      <w:pPr>
        <w:autoSpaceDE w:val="0"/>
        <w:autoSpaceDN w:val="0"/>
        <w:adjustRightInd w:val="0"/>
        <w:spacing w:before="120" w:after="120" w:line="240" w:lineRule="auto"/>
        <w:rPr>
          <w:rFonts w:cstheme="minorHAnsi"/>
          <w:bCs/>
        </w:rPr>
      </w:pPr>
      <w:r w:rsidRPr="00E7239F">
        <w:rPr>
          <w:rFonts w:cstheme="minorHAnsi"/>
          <w:bCs/>
          <w:color w:val="7030A0"/>
        </w:rPr>
        <w:t>For analytical updates for this measure, we used three-years of Medicare administrative claims data (</w:t>
      </w:r>
      <w:r w:rsidRPr="00B373B8">
        <w:rPr>
          <w:rFonts w:cstheme="minorHAnsi"/>
          <w:bCs/>
          <w:color w:val="C00000"/>
        </w:rPr>
        <w:t>July 2016 – June 2019</w:t>
      </w:r>
      <w:r w:rsidRPr="00E7239F">
        <w:rPr>
          <w:rFonts w:cstheme="minorHAnsi"/>
          <w:bCs/>
          <w:color w:val="7030A0"/>
        </w:rPr>
        <w:t>). The dataset also included administrative data on each patient for the 12 months prior to the index admission. The dataset contained inpatient and facility outpatient claims and Medicare enrollment database (EDB) data. The datas</w:t>
      </w:r>
      <w:r w:rsidR="0084071B">
        <w:rPr>
          <w:rFonts w:cstheme="minorHAnsi"/>
          <w:bCs/>
          <w:color w:val="7030A0"/>
        </w:rPr>
        <w:t>et also included administrative</w:t>
      </w:r>
      <w:r w:rsidR="0054677F">
        <w:rPr>
          <w:rFonts w:cstheme="minorHAnsi"/>
          <w:bCs/>
          <w:color w:val="7030A0"/>
        </w:rPr>
        <w:t xml:space="preserve"> </w:t>
      </w:r>
      <w:r w:rsidRPr="00E7239F">
        <w:rPr>
          <w:rFonts w:cstheme="minorHAnsi"/>
          <w:bCs/>
          <w:color w:val="7030A0"/>
        </w:rPr>
        <w:t>data from the VHA as these hospitals are currently publicly reported for this measure.</w:t>
      </w:r>
    </w:p>
    <w:p w14:paraId="7464BCD6" w14:textId="23C24768" w:rsidR="006F0CAE" w:rsidRPr="00E7239F" w:rsidRDefault="006F0CAE" w:rsidP="00E7239F">
      <w:pPr>
        <w:autoSpaceDE w:val="0"/>
        <w:autoSpaceDN w:val="0"/>
        <w:adjustRightInd w:val="0"/>
        <w:spacing w:before="120" w:after="120" w:line="240" w:lineRule="auto"/>
        <w:rPr>
          <w:rFonts w:cstheme="minorHAnsi"/>
          <w:bCs/>
        </w:rPr>
      </w:pPr>
      <w:r w:rsidRPr="00E7239F">
        <w:rPr>
          <w:rFonts w:cstheme="minorHAnsi"/>
          <w:bCs/>
          <w:color w:val="7030A0"/>
        </w:rPr>
        <w:t>Table 1. Dataset Descriptions</w:t>
      </w:r>
      <w:bookmarkEnd w:id="11"/>
    </w:p>
    <w:tbl>
      <w:tblPr>
        <w:tblStyle w:val="ListTable3-Accent112"/>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2909"/>
        <w:gridCol w:w="3600"/>
      </w:tblGrid>
      <w:tr w:rsidR="006F0CAE" w:rsidRPr="00D5209C" w14:paraId="4D1C2B42" w14:textId="77777777" w:rsidTr="00025F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3116" w:type="dxa"/>
          </w:tcPr>
          <w:p w14:paraId="46C66475" w14:textId="77777777" w:rsidR="006F0CAE" w:rsidRPr="00F51D14" w:rsidRDefault="006F0CAE" w:rsidP="008A5F33">
            <w:pPr>
              <w:jc w:val="center"/>
              <w:rPr>
                <w:color w:val="FFFFFF" w:themeColor="background1"/>
              </w:rPr>
            </w:pPr>
            <w:r w:rsidRPr="00F51D14">
              <w:rPr>
                <w:color w:val="FFFFFF" w:themeColor="background1"/>
              </w:rPr>
              <w:t>Dataset</w:t>
            </w:r>
          </w:p>
        </w:tc>
        <w:tc>
          <w:tcPr>
            <w:tcW w:w="2909" w:type="dxa"/>
          </w:tcPr>
          <w:p w14:paraId="4408C747" w14:textId="77777777" w:rsidR="006F0CAE" w:rsidRPr="00F51D14" w:rsidRDefault="006F0CAE" w:rsidP="008A5F33">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F51D14">
              <w:rPr>
                <w:color w:val="FFFFFF" w:themeColor="background1"/>
              </w:rPr>
              <w:t>Applicable Section in the Testing Attachment</w:t>
            </w:r>
          </w:p>
        </w:tc>
        <w:tc>
          <w:tcPr>
            <w:tcW w:w="3600" w:type="dxa"/>
          </w:tcPr>
          <w:p w14:paraId="1FD1C26A" w14:textId="77777777" w:rsidR="006F0CAE" w:rsidRPr="00F51D14" w:rsidRDefault="006F0CAE" w:rsidP="008A5F33">
            <w:pPr>
              <w:jc w:val="center"/>
              <w:cnfStyle w:val="100000000000" w:firstRow="1" w:lastRow="0" w:firstColumn="0" w:lastColumn="0" w:oddVBand="0" w:evenVBand="0" w:oddHBand="0" w:evenHBand="0" w:firstRowFirstColumn="0" w:firstRowLastColumn="0" w:lastRowFirstColumn="0" w:lastRowLastColumn="0"/>
              <w:rPr>
                <w:color w:val="FFFFFF" w:themeColor="background1"/>
              </w:rPr>
            </w:pPr>
            <w:r w:rsidRPr="00F51D14">
              <w:rPr>
                <w:color w:val="FFFFFF" w:themeColor="background1"/>
              </w:rPr>
              <w:t>Description of Dataset</w:t>
            </w:r>
          </w:p>
        </w:tc>
      </w:tr>
      <w:tr w:rsidR="006F0CAE" w:rsidRPr="00F51D14" w14:paraId="20E8D83E" w14:textId="77777777" w:rsidTr="00025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4CB45925" w14:textId="271B29E5" w:rsidR="006F0CAE" w:rsidRPr="00F51D14" w:rsidRDefault="006F0CAE" w:rsidP="008A5F33">
            <w:pPr>
              <w:jc w:val="center"/>
              <w:rPr>
                <w:color w:val="7030A0"/>
              </w:rPr>
            </w:pPr>
            <w:r w:rsidRPr="00F51D14">
              <w:rPr>
                <w:rFonts w:cstheme="minorHAnsi"/>
                <w:color w:val="7030A0"/>
              </w:rPr>
              <w:t>Development and Validation Datasets</w:t>
            </w:r>
            <w:r w:rsidR="00314CBD">
              <w:rPr>
                <w:rFonts w:cstheme="minorHAnsi"/>
                <w:color w:val="7030A0"/>
              </w:rPr>
              <w:br/>
            </w:r>
            <w:r w:rsidRPr="00F51D14">
              <w:rPr>
                <w:rFonts w:cstheme="minorHAnsi"/>
                <w:color w:val="7030A0"/>
              </w:rPr>
              <w:t xml:space="preserve"> (Medicare Fee-For-Service Administrative Claims Data)</w:t>
            </w:r>
          </w:p>
        </w:tc>
        <w:tc>
          <w:tcPr>
            <w:tcW w:w="2909" w:type="dxa"/>
          </w:tcPr>
          <w:p w14:paraId="3DCCB5EF" w14:textId="77777777" w:rsidR="006F0CAE" w:rsidRPr="00F51D14" w:rsidRDefault="006F0CAE" w:rsidP="008A5F33">
            <w:pPr>
              <w:spacing w:after="240"/>
              <w:cnfStyle w:val="000000100000" w:firstRow="0" w:lastRow="0" w:firstColumn="0" w:lastColumn="0" w:oddVBand="0" w:evenVBand="0" w:oddHBand="1" w:evenHBand="0" w:firstRowFirstColumn="0" w:firstRowLastColumn="0" w:lastRowFirstColumn="0" w:lastRowLastColumn="0"/>
              <w:rPr>
                <w:color w:val="7030A0"/>
              </w:rPr>
            </w:pPr>
            <w:r w:rsidRPr="00F51D14">
              <w:rPr>
                <w:color w:val="7030A0"/>
              </w:rPr>
              <w:t xml:space="preserve">Section 2b3 Risk Adjustment/Stratification </w:t>
            </w:r>
          </w:p>
          <w:p w14:paraId="716C7554" w14:textId="77777777" w:rsidR="006F0CAE" w:rsidRPr="00F51D14" w:rsidRDefault="006F0CAE" w:rsidP="008A5F33">
            <w:pPr>
              <w:spacing w:after="240"/>
              <w:cnfStyle w:val="000000100000" w:firstRow="0" w:lastRow="0" w:firstColumn="0" w:lastColumn="0" w:oddVBand="0" w:evenVBand="0" w:oddHBand="1" w:evenHBand="0" w:firstRowFirstColumn="0" w:firstRowLastColumn="0" w:lastRowFirstColumn="0" w:lastRowLastColumn="0"/>
              <w:rPr>
                <w:color w:val="7030A0"/>
              </w:rPr>
            </w:pPr>
            <w:r w:rsidRPr="00F51D14">
              <w:rPr>
                <w:rFonts w:cstheme="minorHAnsi"/>
                <w:b/>
                <w:bCs/>
                <w:color w:val="7030A0"/>
              </w:rPr>
              <w:t>2b3.6. Statistical Risk Model Discrimination Statistics</w:t>
            </w:r>
          </w:p>
          <w:p w14:paraId="26C2F353" w14:textId="5B0D9F54" w:rsidR="006F0CAE" w:rsidRPr="00F51D14" w:rsidRDefault="006F0CAE" w:rsidP="003233A0">
            <w:pPr>
              <w:spacing w:after="240"/>
              <w:cnfStyle w:val="000000100000" w:firstRow="0" w:lastRow="0" w:firstColumn="0" w:lastColumn="0" w:oddVBand="0" w:evenVBand="0" w:oddHBand="1" w:evenHBand="0" w:firstRowFirstColumn="0" w:firstRowLastColumn="0" w:lastRowFirstColumn="0" w:lastRowLastColumn="0"/>
              <w:rPr>
                <w:color w:val="7030A0"/>
              </w:rPr>
            </w:pPr>
            <w:r w:rsidRPr="00F51D14">
              <w:rPr>
                <w:rFonts w:cstheme="minorHAnsi"/>
                <w:b/>
                <w:bCs/>
                <w:color w:val="7030A0"/>
              </w:rPr>
              <w:t>2b3.7. Statistical Risk Model Calibration Statistics</w:t>
            </w:r>
          </w:p>
        </w:tc>
        <w:tc>
          <w:tcPr>
            <w:tcW w:w="3600" w:type="dxa"/>
          </w:tcPr>
          <w:p w14:paraId="1FFD6FF3" w14:textId="77777777" w:rsidR="006F0CAE" w:rsidRPr="00F51D14" w:rsidRDefault="006F0CAE" w:rsidP="008A5F33">
            <w:pPr>
              <w:spacing w:after="240"/>
              <w:cnfStyle w:val="000000100000" w:firstRow="0" w:lastRow="0" w:firstColumn="0" w:lastColumn="0" w:oddVBand="0" w:evenVBand="0" w:oddHBand="1" w:evenHBand="0" w:firstRowFirstColumn="0" w:firstRowLastColumn="0" w:lastRowFirstColumn="0" w:lastRowLastColumn="0"/>
              <w:rPr>
                <w:color w:val="7030A0"/>
              </w:rPr>
            </w:pPr>
            <w:r w:rsidRPr="00F51D14">
              <w:rPr>
                <w:color w:val="7030A0"/>
              </w:rPr>
              <w:t>Entire Cohort:</w:t>
            </w:r>
          </w:p>
          <w:p w14:paraId="58BC8AFA" w14:textId="6371262A" w:rsidR="006F0CAE" w:rsidRPr="00F51D14" w:rsidRDefault="006F0CAE" w:rsidP="008A5F33">
            <w:pPr>
              <w:spacing w:after="240"/>
              <w:cnfStyle w:val="000000100000" w:firstRow="0" w:lastRow="0" w:firstColumn="0" w:lastColumn="0" w:oddVBand="0" w:evenVBand="0" w:oddHBand="1" w:evenHBand="0" w:firstRowFirstColumn="0" w:firstRowLastColumn="0" w:lastRowFirstColumn="0" w:lastRowLastColumn="0"/>
              <w:rPr>
                <w:color w:val="7030A0"/>
              </w:rPr>
            </w:pPr>
            <w:r w:rsidRPr="00F51D14">
              <w:rPr>
                <w:color w:val="7030A0"/>
              </w:rPr>
              <w:t xml:space="preserve">Dates of Data: </w:t>
            </w:r>
            <w:r w:rsidR="00314CBD">
              <w:rPr>
                <w:color w:val="7030A0"/>
              </w:rPr>
              <w:t>1998</w:t>
            </w:r>
          </w:p>
          <w:p w14:paraId="542C8085" w14:textId="5E0C06FE" w:rsidR="006F0CAE" w:rsidRPr="00F51D14" w:rsidRDefault="006F0CAE" w:rsidP="008A5F33">
            <w:pPr>
              <w:spacing w:after="240"/>
              <w:cnfStyle w:val="000000100000" w:firstRow="0" w:lastRow="0" w:firstColumn="0" w:lastColumn="0" w:oddVBand="0" w:evenVBand="0" w:oddHBand="1" w:evenHBand="0" w:firstRowFirstColumn="0" w:firstRowLastColumn="0" w:lastRowFirstColumn="0" w:lastRowLastColumn="0"/>
              <w:rPr>
                <w:color w:val="7030A0"/>
              </w:rPr>
            </w:pPr>
            <w:r w:rsidRPr="00F51D14">
              <w:rPr>
                <w:color w:val="7030A0"/>
              </w:rPr>
              <w:t xml:space="preserve">Number of admissions = </w:t>
            </w:r>
            <w:r w:rsidR="00314CBD">
              <w:rPr>
                <w:color w:val="7030A0"/>
              </w:rPr>
              <w:t>134,661</w:t>
            </w:r>
          </w:p>
          <w:p w14:paraId="6EA09108" w14:textId="06262212" w:rsidR="006F0CAE" w:rsidRPr="00F51D14" w:rsidRDefault="006F0CAE" w:rsidP="003233A0">
            <w:pPr>
              <w:cnfStyle w:val="000000100000" w:firstRow="0" w:lastRow="0" w:firstColumn="0" w:lastColumn="0" w:oddVBand="0" w:evenVBand="0" w:oddHBand="1" w:evenHBand="0" w:firstRowFirstColumn="0" w:firstRowLastColumn="0" w:lastRowFirstColumn="0" w:lastRowLastColumn="0"/>
              <w:rPr>
                <w:color w:val="7030A0"/>
              </w:rPr>
            </w:pPr>
            <w:r w:rsidRPr="00F51D14">
              <w:rPr>
                <w:color w:val="7030A0"/>
              </w:rPr>
              <w:t xml:space="preserve">Number of measured hospitals: </w:t>
            </w:r>
            <w:r w:rsidR="00314CBD">
              <w:rPr>
                <w:color w:val="7030A0"/>
              </w:rPr>
              <w:t>4,646</w:t>
            </w:r>
          </w:p>
        </w:tc>
      </w:tr>
      <w:tr w:rsidR="006F0CAE" w:rsidRPr="00D5209C" w14:paraId="0D44B5B4" w14:textId="77777777" w:rsidTr="00025F2B">
        <w:tc>
          <w:tcPr>
            <w:cnfStyle w:val="001000000000" w:firstRow="0" w:lastRow="0" w:firstColumn="1" w:lastColumn="0" w:oddVBand="0" w:evenVBand="0" w:oddHBand="0" w:evenHBand="0" w:firstRowFirstColumn="0" w:firstRowLastColumn="0" w:lastRowFirstColumn="0" w:lastRowLastColumn="0"/>
            <w:tcW w:w="3116" w:type="dxa"/>
          </w:tcPr>
          <w:p w14:paraId="73236AA3" w14:textId="397B3582" w:rsidR="006F0CAE" w:rsidRPr="00F51D14" w:rsidRDefault="006F0CAE" w:rsidP="00025F2B">
            <w:pPr>
              <w:jc w:val="center"/>
              <w:rPr>
                <w:rFonts w:cstheme="minorHAnsi"/>
                <w:color w:val="C00000"/>
              </w:rPr>
            </w:pPr>
            <w:r w:rsidRPr="00F51D14">
              <w:rPr>
                <w:rFonts w:cstheme="minorHAnsi"/>
                <w:color w:val="C00000"/>
              </w:rPr>
              <w:lastRenderedPageBreak/>
              <w:t>Testing Dataset</w:t>
            </w:r>
            <w:r w:rsidR="00025F2B">
              <w:rPr>
                <w:rFonts w:cstheme="minorHAnsi"/>
                <w:color w:val="C00000"/>
              </w:rPr>
              <w:br/>
            </w:r>
            <w:r w:rsidRPr="00F51D14">
              <w:rPr>
                <w:rFonts w:cstheme="minorHAnsi"/>
                <w:color w:val="C00000"/>
              </w:rPr>
              <w:t>(Medicare Fee-For-Service Administrative Claims Data</w:t>
            </w:r>
            <w:r w:rsidR="00025F2B">
              <w:rPr>
                <w:rFonts w:cstheme="minorHAnsi"/>
                <w:color w:val="C00000"/>
              </w:rPr>
              <w:br/>
            </w:r>
            <w:r w:rsidRPr="00F51D14">
              <w:rPr>
                <w:rFonts w:cstheme="minorHAnsi"/>
                <w:color w:val="C00000"/>
              </w:rPr>
              <w:t xml:space="preserve">(July 1, 2016 – June 30, 2019) </w:t>
            </w:r>
          </w:p>
        </w:tc>
        <w:tc>
          <w:tcPr>
            <w:tcW w:w="2909" w:type="dxa"/>
            <w:shd w:val="clear" w:color="auto" w:fill="auto"/>
          </w:tcPr>
          <w:p w14:paraId="30BED438" w14:textId="77777777" w:rsidR="006F0CAE" w:rsidRPr="00F51D14" w:rsidRDefault="006F0CAE" w:rsidP="00025F2B">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Section 2a2 Reliability Testing</w:t>
            </w:r>
          </w:p>
          <w:p w14:paraId="6C7D6093" w14:textId="77777777" w:rsidR="006F0CAE" w:rsidRPr="00F51D14" w:rsidRDefault="006F0CAE" w:rsidP="00025F2B">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Section 2b1 Validity Testing</w:t>
            </w:r>
          </w:p>
          <w:p w14:paraId="72AE2FE5" w14:textId="4AF21616" w:rsidR="006F0CAE" w:rsidRPr="00F51D14" w:rsidRDefault="006F0CAE" w:rsidP="00025F2B">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Section 2b2 Testing of Measure Exclusion</w:t>
            </w:r>
          </w:p>
          <w:p w14:paraId="48A358A4" w14:textId="77777777" w:rsidR="00025F2B" w:rsidRDefault="006F0CAE" w:rsidP="00025F2B">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 xml:space="preserve">Section 2b3 Risk Adjustment/Stratification </w:t>
            </w:r>
          </w:p>
          <w:p w14:paraId="60EB6491" w14:textId="3D8C74C7" w:rsidR="00025F2B" w:rsidRDefault="00025F2B" w:rsidP="00025F2B">
            <w:pPr>
              <w:spacing w:after="240"/>
              <w:cnfStyle w:val="000000000000" w:firstRow="0" w:lastRow="0" w:firstColumn="0" w:lastColumn="0" w:oddVBand="0" w:evenVBand="0" w:oddHBand="0" w:evenHBand="0" w:firstRowFirstColumn="0" w:firstRowLastColumn="0" w:lastRowFirstColumn="0" w:lastRowLastColumn="0"/>
              <w:rPr>
                <w:rFonts w:cstheme="minorHAnsi"/>
                <w:b/>
                <w:bCs/>
                <w:color w:val="C00000"/>
              </w:rPr>
            </w:pPr>
            <w:r>
              <w:rPr>
                <w:color w:val="C00000"/>
              </w:rPr>
              <w:t>2</w:t>
            </w:r>
            <w:r w:rsidR="006F0CAE" w:rsidRPr="00F51D14">
              <w:rPr>
                <w:rFonts w:cstheme="minorHAnsi"/>
                <w:b/>
                <w:bCs/>
                <w:color w:val="C00000"/>
              </w:rPr>
              <w:t>b3.6. Statistical Risk Model Discrimination Statistics</w:t>
            </w:r>
          </w:p>
          <w:p w14:paraId="254FE9DA" w14:textId="166D9EB3" w:rsidR="006F0CAE" w:rsidRPr="00F51D14" w:rsidRDefault="006F0CAE" w:rsidP="00025F2B">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Section 2b4 Meaningful Differences</w:t>
            </w:r>
          </w:p>
        </w:tc>
        <w:tc>
          <w:tcPr>
            <w:tcW w:w="3600" w:type="dxa"/>
            <w:shd w:val="clear" w:color="auto" w:fill="auto"/>
          </w:tcPr>
          <w:p w14:paraId="05CB24F1" w14:textId="77777777" w:rsidR="006F0CAE" w:rsidRPr="00F51D14" w:rsidRDefault="006F0CAE" w:rsidP="008A5F33">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 xml:space="preserve">Dates of Data: July 2016 – June 2019 </w:t>
            </w:r>
          </w:p>
          <w:p w14:paraId="5D54F5BC" w14:textId="17B83671" w:rsidR="006F0CAE" w:rsidRPr="00F51D14" w:rsidRDefault="006F0CAE" w:rsidP="008A5F33">
            <w:pPr>
              <w:spacing w:after="240"/>
              <w:cnfStyle w:val="000000000000" w:firstRow="0" w:lastRow="0" w:firstColumn="0" w:lastColumn="0" w:oddVBand="0" w:evenVBand="0" w:oddHBand="0" w:evenHBand="0" w:firstRowFirstColumn="0" w:firstRowLastColumn="0" w:lastRowFirstColumn="0" w:lastRowLastColumn="0"/>
              <w:rPr>
                <w:color w:val="C00000"/>
                <w:highlight w:val="yellow"/>
              </w:rPr>
            </w:pPr>
            <w:r w:rsidRPr="00F51D14">
              <w:rPr>
                <w:color w:val="C00000"/>
              </w:rPr>
              <w:t xml:space="preserve">Number of admissions = </w:t>
            </w:r>
            <w:r w:rsidR="0003566C" w:rsidRPr="00F51D14">
              <w:rPr>
                <w:color w:val="C00000"/>
              </w:rPr>
              <w:t>470,621</w:t>
            </w:r>
          </w:p>
          <w:p w14:paraId="1F641261" w14:textId="77777777" w:rsidR="006F0CAE" w:rsidRPr="00F51D14" w:rsidRDefault="006F0CAE" w:rsidP="008A5F33">
            <w:pPr>
              <w:spacing w:after="12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 xml:space="preserve">Patient Descriptive Characteristics: mean </w:t>
            </w:r>
          </w:p>
          <w:p w14:paraId="5D21C7FD" w14:textId="2A88D257" w:rsidR="006F0CAE" w:rsidRPr="00F51D14" w:rsidRDefault="006F0CAE" w:rsidP="008A5F33">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 xml:space="preserve">age = </w:t>
            </w:r>
            <w:r w:rsidR="0003566C" w:rsidRPr="00F51D14">
              <w:rPr>
                <w:color w:val="C00000"/>
              </w:rPr>
              <w:t>78.0</w:t>
            </w:r>
            <w:r w:rsidRPr="00F51D14">
              <w:rPr>
                <w:color w:val="C00000"/>
              </w:rPr>
              <w:t xml:space="preserve"> years; % male = </w:t>
            </w:r>
            <w:r w:rsidR="0003566C" w:rsidRPr="00F51D14">
              <w:rPr>
                <w:color w:val="C00000"/>
              </w:rPr>
              <w:t>55.6</w:t>
            </w:r>
          </w:p>
          <w:p w14:paraId="638D8B88" w14:textId="77777777" w:rsidR="006F0CAE" w:rsidRPr="00F51D14" w:rsidRDefault="006F0CAE" w:rsidP="008A5F33">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Num</w:t>
            </w:r>
            <w:r w:rsidR="0003566C" w:rsidRPr="00F51D14">
              <w:rPr>
                <w:color w:val="C00000"/>
              </w:rPr>
              <w:t>ber of measured hospitals: 4,246</w:t>
            </w:r>
          </w:p>
          <w:p w14:paraId="1DD4041E" w14:textId="77777777" w:rsidR="0003566C" w:rsidRPr="00F51D14" w:rsidRDefault="0003566C" w:rsidP="0003566C">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This cohort was randomly split into two halves.</w:t>
            </w:r>
          </w:p>
          <w:p w14:paraId="69AEC564" w14:textId="77777777" w:rsidR="0003566C" w:rsidRPr="00F51D14" w:rsidRDefault="0003566C" w:rsidP="0003566C">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First half of split sample</w:t>
            </w:r>
          </w:p>
          <w:p w14:paraId="70D78D01" w14:textId="640C0EB0" w:rsidR="0003566C" w:rsidRPr="00F51D14" w:rsidRDefault="0003566C" w:rsidP="0003566C">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Number of Admissions: 234,188.</w:t>
            </w:r>
          </w:p>
          <w:p w14:paraId="18494CFC" w14:textId="340C18BB" w:rsidR="0003566C" w:rsidRPr="00F51D14" w:rsidRDefault="0003566C" w:rsidP="0003566C">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Number of measured hospitals: 3,949.</w:t>
            </w:r>
          </w:p>
          <w:p w14:paraId="4F1B2F7F" w14:textId="2AA5B2CC" w:rsidR="0003566C" w:rsidRPr="00F51D14" w:rsidRDefault="0003566C" w:rsidP="0003566C">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Patient Descriptive Characteristics:</w:t>
            </w:r>
          </w:p>
          <w:p w14:paraId="6F211909" w14:textId="689E93C5" w:rsidR="0003566C" w:rsidRPr="00F51D14" w:rsidRDefault="0003566C" w:rsidP="0003566C">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Mean age = 78.0; % Male = 55.5.</w:t>
            </w:r>
          </w:p>
          <w:p w14:paraId="6495F0D0" w14:textId="77777777" w:rsidR="0003566C" w:rsidRPr="00F51D14" w:rsidRDefault="0003566C" w:rsidP="0003566C">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Second half of split sample</w:t>
            </w:r>
          </w:p>
          <w:p w14:paraId="67444A01" w14:textId="401049AC" w:rsidR="0003566C" w:rsidRPr="00F51D14" w:rsidRDefault="0003566C" w:rsidP="0003566C">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Number of Admissions: 236,433.</w:t>
            </w:r>
          </w:p>
          <w:p w14:paraId="41D7FE87" w14:textId="75CB7DD1" w:rsidR="0003566C" w:rsidRPr="00F51D14" w:rsidRDefault="0003566C" w:rsidP="0003566C">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Number of measured hospitals: 4,246.</w:t>
            </w:r>
          </w:p>
          <w:p w14:paraId="164C45AE" w14:textId="05C151FA" w:rsidR="0003566C" w:rsidRPr="00F51D14" w:rsidRDefault="0003566C" w:rsidP="0003566C">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C00000"/>
              </w:rPr>
              <w:t>Patient Descriptive Characteristics:</w:t>
            </w:r>
          </w:p>
          <w:p w14:paraId="740209F3" w14:textId="0FCBEE35" w:rsidR="0003566C" w:rsidRPr="00F51D14" w:rsidRDefault="003233A0" w:rsidP="00025F2B">
            <w:pPr>
              <w:spacing w:after="240"/>
              <w:cnfStyle w:val="000000000000" w:firstRow="0" w:lastRow="0" w:firstColumn="0" w:lastColumn="0" w:oddVBand="0" w:evenVBand="0" w:oddHBand="0" w:evenHBand="0" w:firstRowFirstColumn="0" w:firstRowLastColumn="0" w:lastRowFirstColumn="0" w:lastRowLastColumn="0"/>
              <w:rPr>
                <w:color w:val="C00000"/>
              </w:rPr>
            </w:pPr>
            <w:r>
              <w:rPr>
                <w:color w:val="C00000"/>
              </w:rPr>
              <w:t>Mean age = 78.0; % Male = 55.6</w:t>
            </w:r>
          </w:p>
        </w:tc>
      </w:tr>
      <w:tr w:rsidR="006F0CAE" w:rsidRPr="00D5209C" w14:paraId="5F7AF84B" w14:textId="77777777" w:rsidTr="00025F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6" w:type="dxa"/>
          </w:tcPr>
          <w:p w14:paraId="1FFB68C6" w14:textId="77777777" w:rsidR="006F0CAE" w:rsidRPr="00F51D14" w:rsidRDefault="006F0CAE" w:rsidP="008A5F33">
            <w:pPr>
              <w:jc w:val="center"/>
              <w:rPr>
                <w:color w:val="7030A0"/>
              </w:rPr>
            </w:pPr>
            <w:r w:rsidRPr="00F51D14">
              <w:rPr>
                <w:rFonts w:cstheme="minorHAnsi"/>
                <w:color w:val="7030A0"/>
              </w:rPr>
              <w:t>The American Community Survey (ACS)</w:t>
            </w:r>
          </w:p>
        </w:tc>
        <w:tc>
          <w:tcPr>
            <w:tcW w:w="2909" w:type="dxa"/>
          </w:tcPr>
          <w:p w14:paraId="1648959E" w14:textId="2DCDFD6C" w:rsidR="006F0CAE" w:rsidRPr="00F51D14" w:rsidRDefault="006F0CAE" w:rsidP="00025F2B">
            <w:pPr>
              <w:cnfStyle w:val="000000100000" w:firstRow="0" w:lastRow="0" w:firstColumn="0" w:lastColumn="0" w:oddVBand="0" w:evenVBand="0" w:oddHBand="1" w:evenHBand="0" w:firstRowFirstColumn="0" w:firstRowLastColumn="0" w:lastRowFirstColumn="0" w:lastRowLastColumn="0"/>
              <w:rPr>
                <w:color w:val="7030A0"/>
              </w:rPr>
            </w:pPr>
            <w:r w:rsidRPr="00F51D14">
              <w:rPr>
                <w:color w:val="7030A0"/>
              </w:rPr>
              <w:t>Section 2b3: Risk adjustment/Stratification for Outcome or Resource Use Measures</w:t>
            </w:r>
          </w:p>
        </w:tc>
        <w:tc>
          <w:tcPr>
            <w:tcW w:w="3600" w:type="dxa"/>
          </w:tcPr>
          <w:p w14:paraId="79A08325" w14:textId="77777777" w:rsidR="006F0CAE" w:rsidRPr="00F51D14" w:rsidRDefault="006F0CAE" w:rsidP="008A5F33">
            <w:pPr>
              <w:spacing w:after="240"/>
              <w:cnfStyle w:val="000000100000" w:firstRow="0" w:lastRow="0" w:firstColumn="0" w:lastColumn="0" w:oddVBand="0" w:evenVBand="0" w:oddHBand="1" w:evenHBand="0" w:firstRowFirstColumn="0" w:firstRowLastColumn="0" w:lastRowFirstColumn="0" w:lastRowLastColumn="0"/>
              <w:rPr>
                <w:color w:val="7030A0"/>
              </w:rPr>
            </w:pPr>
            <w:r w:rsidRPr="00F51D14">
              <w:rPr>
                <w:color w:val="7030A0"/>
              </w:rPr>
              <w:t xml:space="preserve">Dates of Data: </w:t>
            </w:r>
            <w:r w:rsidRPr="00F51D14">
              <w:rPr>
                <w:color w:val="C00000"/>
              </w:rPr>
              <w:t>2013-2017</w:t>
            </w:r>
          </w:p>
          <w:p w14:paraId="6D89EDF6" w14:textId="527FD945" w:rsidR="006F0CAE" w:rsidRPr="00F51D14" w:rsidRDefault="006F0CAE" w:rsidP="00025F2B">
            <w:pPr>
              <w:cnfStyle w:val="000000100000" w:firstRow="0" w:lastRow="0" w:firstColumn="0" w:lastColumn="0" w:oddVBand="0" w:evenVBand="0" w:oddHBand="1" w:evenHBand="0" w:firstRowFirstColumn="0" w:firstRowLastColumn="0" w:lastRowFirstColumn="0" w:lastRowLastColumn="0"/>
              <w:rPr>
                <w:color w:val="7030A0"/>
              </w:rPr>
            </w:pPr>
            <w:r w:rsidRPr="00F51D14">
              <w:rPr>
                <w:color w:val="7030A0"/>
              </w:rPr>
              <w:t>We used the AHRQ SES index score derived from the American Community Survey (</w:t>
            </w:r>
            <w:r w:rsidRPr="00025F2B">
              <w:rPr>
                <w:color w:val="C00000"/>
              </w:rPr>
              <w:t>2013-2017</w:t>
            </w:r>
            <w:r w:rsidRPr="00F51D14">
              <w:rPr>
                <w:color w:val="7030A0"/>
              </w:rPr>
              <w:t>) to study the association between the 30-day mortality outcome and SRFs. The AHRQ SES index score is based on beneficiary 9-digit zip code level of residence and incorporates 7 census variables found in the American Community Survey.</w:t>
            </w:r>
          </w:p>
        </w:tc>
      </w:tr>
      <w:tr w:rsidR="006F0CAE" w:rsidRPr="00D5209C" w14:paraId="78AF85F1" w14:textId="77777777" w:rsidTr="00025F2B">
        <w:tc>
          <w:tcPr>
            <w:cnfStyle w:val="001000000000" w:firstRow="0" w:lastRow="0" w:firstColumn="1" w:lastColumn="0" w:oddVBand="0" w:evenVBand="0" w:oddHBand="0" w:evenHBand="0" w:firstRowFirstColumn="0" w:firstRowLastColumn="0" w:lastRowFirstColumn="0" w:lastRowLastColumn="0"/>
            <w:tcW w:w="3116" w:type="dxa"/>
          </w:tcPr>
          <w:p w14:paraId="0B942DE4" w14:textId="77777777" w:rsidR="006F0CAE" w:rsidRPr="00F51D14" w:rsidRDefault="006F0CAE" w:rsidP="008A5F33">
            <w:pPr>
              <w:jc w:val="center"/>
              <w:rPr>
                <w:rFonts w:cstheme="minorHAnsi"/>
                <w:color w:val="7030A0"/>
              </w:rPr>
            </w:pPr>
            <w:r w:rsidRPr="00F51D14">
              <w:rPr>
                <w:rFonts w:cstheme="minorHAnsi"/>
                <w:color w:val="7030A0"/>
              </w:rPr>
              <w:lastRenderedPageBreak/>
              <w:t>Master Beneficiary Summary File (MBSF)</w:t>
            </w:r>
          </w:p>
        </w:tc>
        <w:tc>
          <w:tcPr>
            <w:tcW w:w="2909" w:type="dxa"/>
          </w:tcPr>
          <w:p w14:paraId="4EB132BC" w14:textId="0540B4E6" w:rsidR="006F0CAE" w:rsidRPr="00F51D14" w:rsidRDefault="006F0CAE" w:rsidP="008A5F33">
            <w:pPr>
              <w:cnfStyle w:val="000000000000" w:firstRow="0" w:lastRow="0" w:firstColumn="0" w:lastColumn="0" w:oddVBand="0" w:evenVBand="0" w:oddHBand="0" w:evenHBand="0" w:firstRowFirstColumn="0" w:firstRowLastColumn="0" w:lastRowFirstColumn="0" w:lastRowLastColumn="0"/>
              <w:rPr>
                <w:color w:val="7030A0"/>
              </w:rPr>
            </w:pPr>
            <w:r w:rsidRPr="00F51D14">
              <w:rPr>
                <w:color w:val="7030A0"/>
              </w:rPr>
              <w:t>Section 2b3: Risk adjustment/Stratification for O</w:t>
            </w:r>
            <w:r w:rsidR="007E0ECB">
              <w:rPr>
                <w:color w:val="7030A0"/>
              </w:rPr>
              <w:t>utcome or Resource Use Measures</w:t>
            </w:r>
          </w:p>
          <w:p w14:paraId="7EF424E5" w14:textId="77777777" w:rsidR="006F0CAE" w:rsidRPr="00F51D14" w:rsidRDefault="006F0CAE" w:rsidP="008A5F33">
            <w:pPr>
              <w:cnfStyle w:val="000000000000" w:firstRow="0" w:lastRow="0" w:firstColumn="0" w:lastColumn="0" w:oddVBand="0" w:evenVBand="0" w:oddHBand="0" w:evenHBand="0" w:firstRowFirstColumn="0" w:firstRowLastColumn="0" w:lastRowFirstColumn="0" w:lastRowLastColumn="0"/>
              <w:rPr>
                <w:color w:val="7030A0"/>
              </w:rPr>
            </w:pPr>
          </w:p>
        </w:tc>
        <w:tc>
          <w:tcPr>
            <w:tcW w:w="3600" w:type="dxa"/>
          </w:tcPr>
          <w:p w14:paraId="773853C8" w14:textId="77777777" w:rsidR="006F0CAE" w:rsidRPr="00F51D14" w:rsidRDefault="006F0CAE" w:rsidP="008A5F33">
            <w:pPr>
              <w:spacing w:after="240"/>
              <w:cnfStyle w:val="000000000000" w:firstRow="0" w:lastRow="0" w:firstColumn="0" w:lastColumn="0" w:oddVBand="0" w:evenVBand="0" w:oddHBand="0" w:evenHBand="0" w:firstRowFirstColumn="0" w:firstRowLastColumn="0" w:lastRowFirstColumn="0" w:lastRowLastColumn="0"/>
              <w:rPr>
                <w:color w:val="C00000"/>
              </w:rPr>
            </w:pPr>
            <w:r w:rsidRPr="00F51D14">
              <w:rPr>
                <w:color w:val="7030A0"/>
              </w:rPr>
              <w:t xml:space="preserve">Dates of Data: </w:t>
            </w:r>
            <w:r w:rsidRPr="00F51D14">
              <w:rPr>
                <w:color w:val="C00000"/>
              </w:rPr>
              <w:t>July 2016 – June 2019</w:t>
            </w:r>
          </w:p>
          <w:p w14:paraId="46F323C1" w14:textId="77777777" w:rsidR="006F0CAE" w:rsidRPr="00F51D14" w:rsidRDefault="006F0CAE" w:rsidP="008A5F33">
            <w:pPr>
              <w:cnfStyle w:val="000000000000" w:firstRow="0" w:lastRow="0" w:firstColumn="0" w:lastColumn="0" w:oddVBand="0" w:evenVBand="0" w:oddHBand="0" w:evenHBand="0" w:firstRowFirstColumn="0" w:firstRowLastColumn="0" w:lastRowFirstColumn="0" w:lastRowLastColumn="0"/>
              <w:rPr>
                <w:color w:val="7030A0"/>
              </w:rPr>
            </w:pPr>
            <w:r w:rsidRPr="00F51D14">
              <w:rPr>
                <w:color w:val="7030A0"/>
              </w:rPr>
              <w:t>We used dual eligible status (for Medicare and Medicaid) derived from the MBSF to study the association between the 30-day measure outcome and dual-eligible status.</w:t>
            </w:r>
          </w:p>
        </w:tc>
      </w:tr>
    </w:tbl>
    <w:p w14:paraId="0CABCFCC" w14:textId="46BB1C1B" w:rsidR="0021054A" w:rsidRDefault="0021054A" w:rsidP="00D2108C">
      <w:pPr>
        <w:autoSpaceDE w:val="0"/>
        <w:autoSpaceDN w:val="0"/>
        <w:adjustRightInd w:val="0"/>
        <w:spacing w:before="240"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770660D3" w14:textId="77777777" w:rsidR="00D2108C" w:rsidRPr="009C2BF8" w:rsidRDefault="00D2108C" w:rsidP="00D2108C">
      <w:pPr>
        <w:autoSpaceDE w:val="0"/>
        <w:autoSpaceDN w:val="0"/>
        <w:adjustRightInd w:val="0"/>
        <w:spacing w:before="120" w:after="0" w:line="240" w:lineRule="auto"/>
        <w:rPr>
          <w:rFonts w:cstheme="minorHAnsi"/>
          <w:bCs/>
        </w:rPr>
      </w:pPr>
      <w:r w:rsidRPr="009C2BF8">
        <w:rPr>
          <w:rFonts w:cstheme="minorHAnsi"/>
          <w:bCs/>
          <w:color w:val="7030A0"/>
        </w:rPr>
        <w:t>We selected social risk factor</w:t>
      </w:r>
      <w:r w:rsidRPr="009C2BF8" w:rsidDel="003905B8">
        <w:rPr>
          <w:rFonts w:cstheme="minorHAnsi"/>
          <w:bCs/>
          <w:color w:val="7030A0"/>
        </w:rPr>
        <w:t xml:space="preserve"> </w:t>
      </w:r>
      <w:r w:rsidRPr="009C2BF8">
        <w:rPr>
          <w:rFonts w:cstheme="minorHAnsi"/>
          <w:bCs/>
          <w:color w:val="7030A0"/>
        </w:rPr>
        <w:t>(SRF) variables to analyze after reviewing the literature and examining available national data sources</w:t>
      </w:r>
      <w:r w:rsidRPr="009C2BF8">
        <w:rPr>
          <w:rFonts w:cstheme="minorHAnsi"/>
          <w:bCs/>
        </w:rPr>
        <w:t xml:space="preserve">. </w:t>
      </w:r>
      <w:r w:rsidRPr="00043DA7">
        <w:rPr>
          <w:rFonts w:cstheme="minorHAnsi"/>
          <w:noProof/>
          <w:color w:val="C00000"/>
        </w:rPr>
        <w:t xml:space="preserve">We sought to find variables that are consistently captured in a reliable fashion for all patients in this measure. </w:t>
      </w:r>
      <w:r w:rsidRPr="009C2BF8">
        <w:rPr>
          <w:rFonts w:cstheme="minorHAnsi"/>
          <w:bCs/>
          <w:color w:val="C00000"/>
        </w:rPr>
        <w:t>There is a large body of literature linking various SRFs to worse health status and higher mortality over a lifetime. Income, education, and occupation are the most</w:t>
      </w:r>
      <w:r>
        <w:rPr>
          <w:rFonts w:cstheme="minorHAnsi"/>
          <w:bCs/>
          <w:color w:val="C00000"/>
        </w:rPr>
        <w:t xml:space="preserve"> commonly examined SRFs studied</w:t>
      </w:r>
      <w:r w:rsidRPr="009C2BF8">
        <w:rPr>
          <w:rFonts w:cstheme="minorHAnsi"/>
          <w:bCs/>
          <w:color w:val="C00000"/>
        </w:rPr>
        <w:t xml:space="preserve">. </w:t>
      </w:r>
      <w:r w:rsidRPr="009C2BF8">
        <w:rPr>
          <w:rFonts w:cstheme="minorHAnsi"/>
          <w:bCs/>
          <w:color w:val="7030A0"/>
        </w:rPr>
        <w:t>The causal pathways for SRF variable selection are described below in Section 2b3.3a.</w:t>
      </w:r>
      <w:r>
        <w:rPr>
          <w:rFonts w:cstheme="minorHAnsi"/>
          <w:bCs/>
          <w:color w:val="7030A0"/>
        </w:rPr>
        <w:t xml:space="preserve"> </w:t>
      </w:r>
      <w:r w:rsidRPr="004F1495">
        <w:rPr>
          <w:rFonts w:cstheme="minorHAnsi"/>
          <w:bCs/>
          <w:color w:val="C00000"/>
        </w:rPr>
        <w:t>Unfortunately</w:t>
      </w:r>
      <w:r>
        <w:rPr>
          <w:rFonts w:cstheme="minorHAnsi"/>
          <w:bCs/>
          <w:color w:val="C00000"/>
        </w:rPr>
        <w:t>,</w:t>
      </w:r>
      <w:r w:rsidRPr="004F1495">
        <w:rPr>
          <w:rFonts w:cstheme="minorHAnsi"/>
          <w:bCs/>
          <w:color w:val="C00000"/>
        </w:rPr>
        <w:t xml:space="preserve"> these variables are not available at the patient level for this measure. Therefore</w:t>
      </w:r>
      <w:r>
        <w:rPr>
          <w:rFonts w:cstheme="minorHAnsi"/>
          <w:bCs/>
          <w:color w:val="C00000"/>
        </w:rPr>
        <w:t>,</w:t>
      </w:r>
      <w:r w:rsidRPr="004F1495">
        <w:rPr>
          <w:rFonts w:cstheme="minorHAnsi"/>
          <w:bCs/>
          <w:color w:val="C00000"/>
        </w:rPr>
        <w:t xml:space="preserve"> proxy measures of income, education level and economic status were selected.</w:t>
      </w:r>
    </w:p>
    <w:p w14:paraId="4ABD6946" w14:textId="77777777" w:rsidR="00D2108C" w:rsidRDefault="00D2108C" w:rsidP="00D2108C">
      <w:pPr>
        <w:autoSpaceDE w:val="0"/>
        <w:autoSpaceDN w:val="0"/>
        <w:adjustRightInd w:val="0"/>
        <w:spacing w:before="120" w:after="0" w:line="240" w:lineRule="auto"/>
        <w:rPr>
          <w:rFonts w:cstheme="minorHAnsi"/>
          <w:bCs/>
          <w:color w:val="7030A0"/>
        </w:rPr>
      </w:pPr>
      <w:r w:rsidRPr="009C2BF8">
        <w:rPr>
          <w:rFonts w:cstheme="minorHAnsi"/>
          <w:bCs/>
          <w:color w:val="7030A0"/>
        </w:rPr>
        <w:t>The SRF variables used for analysis were:</w:t>
      </w:r>
    </w:p>
    <w:p w14:paraId="5F7C8E8D" w14:textId="77777777" w:rsidR="00D2108C" w:rsidRPr="009C2BF8" w:rsidRDefault="00D2108C" w:rsidP="00D2108C">
      <w:pPr>
        <w:pStyle w:val="ListParagraph"/>
        <w:numPr>
          <w:ilvl w:val="0"/>
          <w:numId w:val="31"/>
        </w:numPr>
        <w:autoSpaceDE w:val="0"/>
        <w:autoSpaceDN w:val="0"/>
        <w:adjustRightInd w:val="0"/>
        <w:spacing w:before="120" w:after="0" w:line="240" w:lineRule="auto"/>
        <w:ind w:left="360"/>
        <w:rPr>
          <w:rFonts w:cstheme="minorHAnsi"/>
          <w:bCs/>
          <w:color w:val="7030A0"/>
        </w:rPr>
      </w:pPr>
      <w:r w:rsidRPr="009C2BF8">
        <w:rPr>
          <w:rFonts w:cstheme="minorHAnsi"/>
          <w:bCs/>
          <w:color w:val="7030A0"/>
        </w:rPr>
        <w:t>Dual eligible status: Dual eligible status (i.e., enrolled in both Medicare and Medicaid) patient-level data is obtained from the CMS Master Beneficiary Summary File (MBSF).</w:t>
      </w:r>
    </w:p>
    <w:p w14:paraId="4875952F" w14:textId="2FA91E3C" w:rsidR="00D2108C" w:rsidRDefault="00D2108C" w:rsidP="00D2108C">
      <w:pPr>
        <w:autoSpaceDE w:val="0"/>
        <w:autoSpaceDN w:val="0"/>
        <w:adjustRightInd w:val="0"/>
        <w:spacing w:before="120" w:after="120" w:line="240" w:lineRule="auto"/>
        <w:ind w:left="360"/>
        <w:rPr>
          <w:rFonts w:cstheme="minorHAnsi"/>
          <w:noProof/>
          <w:color w:val="C00000"/>
        </w:rPr>
      </w:pPr>
      <w:r w:rsidRPr="00043DA7">
        <w:rPr>
          <w:rFonts w:cstheme="minorHAnsi"/>
          <w:noProof/>
          <w:color w:val="C00000"/>
        </w:rPr>
        <w:t>Following guidance from ASPE and a body of literature demonstrating differential health care and health outcomes among dual eligible patients, we identified dual eligibility as a key variable (ASPE 2016</w:t>
      </w:r>
      <w:r w:rsidR="002A646E">
        <w:rPr>
          <w:rFonts w:cstheme="minorHAnsi"/>
          <w:noProof/>
          <w:color w:val="C00000"/>
        </w:rPr>
        <w:t>; ASPE 2020</w:t>
      </w:r>
      <w:r w:rsidRPr="00043DA7">
        <w:rPr>
          <w:rFonts w:cstheme="minorHAnsi"/>
          <w:noProof/>
          <w:color w:val="C00000"/>
        </w:rPr>
        <w:t xml:space="preserve">). </w:t>
      </w:r>
      <w:r w:rsidRPr="009C2BF8">
        <w:rPr>
          <w:rFonts w:cstheme="minorHAnsi"/>
          <w:bCs/>
          <w:color w:val="7030A0"/>
        </w:rPr>
        <w:t xml:space="preserve">We recognize that Medicare-Medicaid dual eligibility has limitations as a proxy for patients' income or assets because it does not provide a range of results and is only a dichotomous outcome. However, the threshold for over 65-year-old Medicare patients is valuable, as it takes into account both income and assets and is consistently applied across states for the older population. </w:t>
      </w:r>
      <w:r w:rsidRPr="004F1495">
        <w:rPr>
          <w:rFonts w:cstheme="minorHAnsi"/>
          <w:noProof/>
          <w:color w:val="C00000"/>
        </w:rPr>
        <w:t>We acknowledge that it is important to test a wider variety of SRFs including key variables such as education and poverty level; therefore, we also tested a validated composite based on census data linked to as small a geographic unit as possible.</w:t>
      </w:r>
    </w:p>
    <w:p w14:paraId="61E8FD5F" w14:textId="77777777" w:rsidR="00D2108C" w:rsidRPr="009C2BF8" w:rsidRDefault="00D2108C" w:rsidP="00D2108C">
      <w:pPr>
        <w:pStyle w:val="ListParagraph"/>
        <w:numPr>
          <w:ilvl w:val="0"/>
          <w:numId w:val="31"/>
        </w:numPr>
        <w:autoSpaceDE w:val="0"/>
        <w:autoSpaceDN w:val="0"/>
        <w:adjustRightInd w:val="0"/>
        <w:spacing w:before="120" w:after="0" w:line="240" w:lineRule="auto"/>
        <w:ind w:left="360"/>
        <w:rPr>
          <w:rFonts w:cstheme="minorHAnsi"/>
          <w:bCs/>
          <w:color w:val="7030A0"/>
        </w:rPr>
      </w:pPr>
      <w:r w:rsidRPr="009C2BF8">
        <w:rPr>
          <w:rFonts w:cstheme="minorHAnsi"/>
          <w:bCs/>
          <w:color w:val="7030A0"/>
        </w:rPr>
        <w:t>AHRQ-validated SES index score (summarizing the information from the following 7 variables): percentage of people in the labor force who are unemployed, percentage of people living below poverty level, median household income, median value of owner-occupied dwellings, percentage of people ≥25 years of age with less than a 12</w:t>
      </w:r>
      <w:r w:rsidRPr="009C2BF8">
        <w:rPr>
          <w:rFonts w:cstheme="minorHAnsi"/>
          <w:bCs/>
          <w:color w:val="7030A0"/>
          <w:vertAlign w:val="superscript"/>
        </w:rPr>
        <w:t>th</w:t>
      </w:r>
      <w:r w:rsidRPr="009C2BF8">
        <w:rPr>
          <w:rFonts w:cstheme="minorHAnsi"/>
          <w:bCs/>
          <w:color w:val="7030A0"/>
        </w:rPr>
        <w:t xml:space="preserve"> grade education, percentage of people ≥25 years of age completing ≥4 years of college, and percentage of households that average ≥1 people per room) </w:t>
      </w:r>
    </w:p>
    <w:p w14:paraId="424D026C" w14:textId="1DF543CA" w:rsidR="00D2108C" w:rsidRPr="009C2BF8" w:rsidRDefault="00D2108C" w:rsidP="00D2108C">
      <w:pPr>
        <w:autoSpaceDE w:val="0"/>
        <w:autoSpaceDN w:val="0"/>
        <w:adjustRightInd w:val="0"/>
        <w:spacing w:before="120" w:after="0" w:line="240" w:lineRule="auto"/>
        <w:ind w:left="360"/>
        <w:rPr>
          <w:rFonts w:cstheme="minorHAnsi"/>
          <w:bCs/>
          <w:color w:val="7030A0"/>
        </w:rPr>
      </w:pPr>
      <w:r w:rsidRPr="009C2BF8">
        <w:rPr>
          <w:rFonts w:cstheme="minorHAnsi"/>
          <w:bCs/>
          <w:color w:val="7030A0"/>
        </w:rPr>
        <w:t xml:space="preserve">Finally, we selected the AHRQ SES index score because it is a well-validated variable that describes the average SES of people living in defined geographic areas (Bonito et al., 2008). Its value as a proxy for patient-level information is dependent on having the most granular-level data with respect to communities that patients live in. </w:t>
      </w:r>
      <w:r w:rsidRPr="004F1495">
        <w:rPr>
          <w:rFonts w:cstheme="minorHAnsi"/>
          <w:bCs/>
          <w:color w:val="C00000"/>
        </w:rPr>
        <w:t xml:space="preserve">We considered the area deprivation index (ADI) among many other potential indicators when we initially evaluated the impact of SDS indicators. We ultimately did not include the ADI at the time, partly due to the fact that the coefficients used to derive ADI </w:t>
      </w:r>
      <w:r w:rsidRPr="004F1495">
        <w:rPr>
          <w:rFonts w:cstheme="minorHAnsi"/>
          <w:bCs/>
          <w:color w:val="C00000"/>
        </w:rPr>
        <w:lastRenderedPageBreak/>
        <w:t>had not been updated for many years. Recently, the coefficients for ADI have been updated and therefore we compared the ADI with the AHRQ SES Index and found them to be highly correlated</w:t>
      </w:r>
      <w:r w:rsidRPr="009C2BF8">
        <w:rPr>
          <w:rFonts w:cstheme="minorHAnsi"/>
          <w:bCs/>
          <w:color w:val="7030A0"/>
        </w:rPr>
        <w:t xml:space="preserve">. In this submission, we present analyses using the census block level, the most granular level possible using American Community Survey (ACS) data. A census block group is a geographical unit used by the US Census Bureau which is between the census tract and the census block. It is the smallest geographical unit for which the bureau publishes sample data. The target size for block groups is 1,500 and they typically have a population of 600 to 3,000 people. We used 2013-2017 ACS data and mapped patients’ 9-digit ZIP codes via vendor software to the census block group level. Given the variation in cost of living across the country, the median income and median property value components of the AHRQ SES Index were adjusted by regional price parity values published by the Bureau of Economic Analysis (BEA). This provides a better marker of low SES neighborhoods in high expense geographic areas. We then calculated an AHRQ SES Index score for census block groups that can be linked to 9-digit ZIP codes. </w:t>
      </w:r>
      <w:r w:rsidRPr="003645C4">
        <w:rPr>
          <w:rFonts w:cstheme="minorHAnsi"/>
          <w:bCs/>
          <w:color w:val="C00000"/>
        </w:rPr>
        <w:t xml:space="preserve">We used the percentage of patients with an AHRQ SES index score </w:t>
      </w:r>
      <w:r w:rsidR="000857BA">
        <w:rPr>
          <w:rFonts w:cstheme="minorHAnsi"/>
          <w:bCs/>
          <w:color w:val="C00000"/>
        </w:rPr>
        <w:t>equal to or below 42.7</w:t>
      </w:r>
      <w:r w:rsidRPr="003645C4">
        <w:rPr>
          <w:rFonts w:cstheme="minorHAnsi"/>
          <w:bCs/>
          <w:color w:val="C00000"/>
        </w:rPr>
        <w:t xml:space="preserve"> to define the lowest quartile of the AHRQ SES Index.</w:t>
      </w:r>
    </w:p>
    <w:p w14:paraId="1F62CC11" w14:textId="77777777" w:rsidR="00D2108C" w:rsidRPr="009C2BF8" w:rsidRDefault="00D2108C" w:rsidP="00D2108C">
      <w:pPr>
        <w:autoSpaceDE w:val="0"/>
        <w:autoSpaceDN w:val="0"/>
        <w:adjustRightInd w:val="0"/>
        <w:spacing w:before="360" w:after="0" w:line="240" w:lineRule="auto"/>
        <w:rPr>
          <w:rFonts w:cstheme="minorHAnsi"/>
          <w:bCs/>
          <w:color w:val="7030A0"/>
        </w:rPr>
      </w:pPr>
      <w:r w:rsidRPr="009C2BF8">
        <w:rPr>
          <w:rFonts w:cstheme="minorHAnsi"/>
          <w:bCs/>
          <w:color w:val="7030A0"/>
          <w:u w:val="single"/>
        </w:rPr>
        <w:t>References</w:t>
      </w:r>
      <w:r w:rsidRPr="009C2BF8">
        <w:rPr>
          <w:rFonts w:cstheme="minorHAnsi"/>
          <w:bCs/>
          <w:color w:val="7030A0"/>
        </w:rPr>
        <w:t>:</w:t>
      </w:r>
    </w:p>
    <w:p w14:paraId="2C3B720E" w14:textId="77777777" w:rsidR="00D2108C" w:rsidRPr="009C2BF8" w:rsidRDefault="00D2108C" w:rsidP="00D2108C">
      <w:pPr>
        <w:autoSpaceDE w:val="0"/>
        <w:autoSpaceDN w:val="0"/>
        <w:adjustRightInd w:val="0"/>
        <w:spacing w:before="120" w:after="0" w:line="240" w:lineRule="auto"/>
        <w:rPr>
          <w:rFonts w:cstheme="minorHAnsi"/>
          <w:bCs/>
          <w:color w:val="7030A0"/>
        </w:rPr>
      </w:pPr>
      <w:r w:rsidRPr="009C2BF8">
        <w:rPr>
          <w:rFonts w:cstheme="minorHAnsi"/>
          <w:bCs/>
          <w:color w:val="7030A0"/>
        </w:rPr>
        <w:t>Adler NE, Newman K. Socioeconomic disparities in health: pathways and policies. Health affairs (Project Hope). 2002; 21(2):60-76.</w:t>
      </w:r>
    </w:p>
    <w:p w14:paraId="7F9360AB" w14:textId="77777777" w:rsidR="00D2108C" w:rsidRPr="009C2BF8" w:rsidRDefault="00D2108C" w:rsidP="00D2108C">
      <w:pPr>
        <w:autoSpaceDE w:val="0"/>
        <w:autoSpaceDN w:val="0"/>
        <w:adjustRightInd w:val="0"/>
        <w:spacing w:before="120" w:after="0" w:line="240" w:lineRule="auto"/>
        <w:rPr>
          <w:rFonts w:cstheme="minorHAnsi"/>
          <w:bCs/>
          <w:color w:val="7030A0"/>
        </w:rPr>
      </w:pPr>
      <w:r w:rsidRPr="009C2BF8">
        <w:rPr>
          <w:rFonts w:cstheme="minorHAnsi"/>
          <w:bCs/>
          <w:color w:val="7030A0"/>
        </w:rPr>
        <w:t>Blum AB, Egorova NN, Sosunov EA, et al. Impact of socioeconomic status measures on hospital profiling in New York City. Circulation. Cardiovascular quality and outcomes. May 2014; 7(3):391-397.</w:t>
      </w:r>
    </w:p>
    <w:p w14:paraId="53F07B4D" w14:textId="77777777" w:rsidR="00D2108C" w:rsidRPr="009C2BF8" w:rsidRDefault="00D2108C" w:rsidP="00D2108C">
      <w:pPr>
        <w:autoSpaceDE w:val="0"/>
        <w:autoSpaceDN w:val="0"/>
        <w:adjustRightInd w:val="0"/>
        <w:spacing w:before="120" w:after="0" w:line="240" w:lineRule="auto"/>
        <w:rPr>
          <w:rFonts w:cstheme="minorHAnsi"/>
          <w:bCs/>
          <w:color w:val="7030A0"/>
        </w:rPr>
      </w:pPr>
      <w:r w:rsidRPr="009C2BF8">
        <w:rPr>
          <w:rFonts w:cstheme="minorHAnsi"/>
          <w:bCs/>
          <w:color w:val="7030A0"/>
        </w:rPr>
        <w:t>Bonito A, Bann C, Eicheldinger C, Carpenter L. Creation of new race-ethnicity codes and socioeconomic status (SES) indicators for Medicare beneficiaries. Final Report, Sub-Task. 2008;2.</w:t>
      </w:r>
    </w:p>
    <w:p w14:paraId="4BB72A7D" w14:textId="3AAE345F" w:rsidR="00D2108C" w:rsidRDefault="00D2108C" w:rsidP="00D2108C">
      <w:pPr>
        <w:autoSpaceDE w:val="0"/>
        <w:autoSpaceDN w:val="0"/>
        <w:adjustRightInd w:val="0"/>
        <w:spacing w:before="120" w:after="0" w:line="240" w:lineRule="auto"/>
        <w:rPr>
          <w:rFonts w:cstheme="minorHAnsi"/>
          <w:bCs/>
          <w:iCs/>
          <w:color w:val="C00000"/>
        </w:rPr>
      </w:pPr>
      <w:r w:rsidRPr="009C2BF8">
        <w:rPr>
          <w:rFonts w:cstheme="minorHAnsi"/>
          <w:bCs/>
          <w:iCs/>
          <w:color w:val="C00000"/>
        </w:rPr>
        <w:t xml:space="preserve">Department of Health and Human Services, Office of the Assistant Secretary of Planning and Evaluation (ASPE). Report to Congress: Social Risk factors and Performance Under Medicare’s Value-based Payment Programs. 2016; </w:t>
      </w:r>
      <w:hyperlink r:id="rId13" w:history="1">
        <w:r w:rsidRPr="009C2BF8">
          <w:rPr>
            <w:rStyle w:val="Hyperlink"/>
            <w:rFonts w:cstheme="minorHAnsi"/>
            <w:color w:val="C00000"/>
          </w:rPr>
          <w:t>https://aspe.hhs.gov/pdf-report/report-congress-social-risk-factors-and-performance-under-medicares-value-based-purchasing-programs</w:t>
        </w:r>
      </w:hyperlink>
      <w:r w:rsidRPr="009C2BF8">
        <w:rPr>
          <w:rFonts w:cstheme="minorHAnsi"/>
          <w:bCs/>
          <w:iCs/>
          <w:color w:val="C00000"/>
        </w:rPr>
        <w:t>. Accessed November 10, 2019.</w:t>
      </w:r>
    </w:p>
    <w:p w14:paraId="481BE9CB" w14:textId="5B7E22E5" w:rsidR="002A646E" w:rsidRDefault="002A646E" w:rsidP="00D2108C">
      <w:pPr>
        <w:autoSpaceDE w:val="0"/>
        <w:autoSpaceDN w:val="0"/>
        <w:adjustRightInd w:val="0"/>
        <w:spacing w:before="120" w:after="0" w:line="240" w:lineRule="auto"/>
        <w:rPr>
          <w:rFonts w:cstheme="minorHAnsi"/>
          <w:bCs/>
          <w:iCs/>
          <w:color w:val="C00000"/>
        </w:rPr>
      </w:pPr>
      <w:r w:rsidRPr="002A646E">
        <w:rPr>
          <w:rFonts w:cstheme="minorHAnsi"/>
          <w:bCs/>
          <w:iCs/>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14" w:history="1">
        <w:r w:rsidRPr="00185587">
          <w:rPr>
            <w:rStyle w:val="Hyperlink"/>
            <w:rFonts w:cstheme="minorHAnsi"/>
          </w:rPr>
          <w:t>https://aspe.hhs.gov/system/files/pdf/263676/Social-Risk-in-Medicare%E2%80%99s-VBP-2nd-Report.pdf</w:t>
        </w:r>
      </w:hyperlink>
      <w:r w:rsidRPr="002A646E">
        <w:rPr>
          <w:rFonts w:cstheme="minorHAnsi"/>
          <w:bCs/>
          <w:iCs/>
          <w:color w:val="C00000"/>
        </w:rPr>
        <w:t>. Accessed July 2, 2020.</w:t>
      </w:r>
    </w:p>
    <w:p w14:paraId="4CE5DE5E" w14:textId="77777777" w:rsidR="00D2108C" w:rsidRPr="009C2BF8" w:rsidRDefault="00D2108C" w:rsidP="00D2108C">
      <w:pPr>
        <w:autoSpaceDE w:val="0"/>
        <w:autoSpaceDN w:val="0"/>
        <w:adjustRightInd w:val="0"/>
        <w:spacing w:before="120" w:after="0" w:line="240" w:lineRule="auto"/>
        <w:rPr>
          <w:rFonts w:cstheme="minorHAnsi"/>
          <w:bCs/>
          <w:iCs/>
          <w:color w:val="C00000"/>
        </w:rPr>
      </w:pPr>
      <w:r w:rsidRPr="009C2BF8">
        <w:rPr>
          <w:rFonts w:cstheme="minorHAnsi"/>
          <w:bCs/>
          <w:iCs/>
          <w:color w:val="C00000"/>
        </w:rPr>
        <w:t>Eapen ZJ, McCoy LA, Fonarow GC, Yancy CW, Miranda ML, Peterson ED, Califf RM, Hernandez</w:t>
      </w:r>
      <w:r>
        <w:rPr>
          <w:rFonts w:cstheme="minorHAnsi"/>
          <w:bCs/>
          <w:iCs/>
          <w:color w:val="C00000"/>
        </w:rPr>
        <w:t xml:space="preserve"> </w:t>
      </w:r>
      <w:r w:rsidRPr="009C2BF8">
        <w:rPr>
          <w:rFonts w:cstheme="minorHAnsi"/>
          <w:bCs/>
          <w:iCs/>
          <w:color w:val="C00000"/>
        </w:rPr>
        <w:t>AF. Utility of socioeconomic status in predicting 30-day outcomes after heart failure hospitalization. Circ Heart Fail. May 2015; 8(3):473-80.</w:t>
      </w:r>
    </w:p>
    <w:p w14:paraId="299097A3" w14:textId="77777777" w:rsidR="00D2108C" w:rsidRPr="009C2BF8" w:rsidRDefault="00D2108C" w:rsidP="00D2108C">
      <w:pPr>
        <w:autoSpaceDE w:val="0"/>
        <w:autoSpaceDN w:val="0"/>
        <w:adjustRightInd w:val="0"/>
        <w:spacing w:before="120" w:after="0" w:line="240" w:lineRule="auto"/>
        <w:rPr>
          <w:rFonts w:cstheme="minorHAnsi"/>
          <w:bCs/>
          <w:iCs/>
          <w:color w:val="C00000"/>
        </w:rPr>
      </w:pPr>
      <w:r w:rsidRPr="009C2BF8">
        <w:rPr>
          <w:rFonts w:cstheme="minorHAnsi"/>
          <w:bCs/>
          <w:iCs/>
          <w:color w:val="C00000"/>
        </w:rPr>
        <w:t>Gilman M, Adams EK, Hockenberry JM, Wilson IB, Milstein AS, Becker ER. California safety-net hospitals likely to be penalized by ACA value, readmission, and meaningful-use programs. Health Aff (Millwood). Aug 2014; 33(8):1314-22.</w:t>
      </w:r>
    </w:p>
    <w:p w14:paraId="2B1619BD" w14:textId="77777777" w:rsidR="00D2108C" w:rsidRPr="009C2BF8" w:rsidRDefault="00D2108C" w:rsidP="00D2108C">
      <w:pPr>
        <w:autoSpaceDE w:val="0"/>
        <w:autoSpaceDN w:val="0"/>
        <w:adjustRightInd w:val="0"/>
        <w:spacing w:before="120" w:after="0" w:line="240" w:lineRule="auto"/>
        <w:rPr>
          <w:rFonts w:cstheme="minorHAnsi"/>
          <w:bCs/>
          <w:iCs/>
          <w:color w:val="C00000"/>
        </w:rPr>
      </w:pPr>
      <w:r w:rsidRPr="009C2BF8">
        <w:rPr>
          <w:rFonts w:cstheme="minorHAnsi"/>
          <w:bCs/>
          <w:iCs/>
          <w:color w:val="C00000"/>
        </w:rPr>
        <w:t>Glymour MM, Kosheleva A, Boden-Albala B. Birth and adult residence in the Stroke Belt independently predict stroke mortality. Neurology. Dec 1 2009;73(22):1858-1865.</w:t>
      </w:r>
    </w:p>
    <w:p w14:paraId="09E6331E" w14:textId="77777777" w:rsidR="00D2108C" w:rsidRDefault="00D2108C" w:rsidP="00D2108C">
      <w:pPr>
        <w:autoSpaceDE w:val="0"/>
        <w:autoSpaceDN w:val="0"/>
        <w:adjustRightInd w:val="0"/>
        <w:spacing w:before="120" w:after="0" w:line="240" w:lineRule="auto"/>
        <w:rPr>
          <w:rFonts w:cstheme="minorHAnsi"/>
          <w:bCs/>
          <w:iCs/>
          <w:color w:val="C00000"/>
        </w:rPr>
      </w:pPr>
      <w:r w:rsidRPr="009C2BF8">
        <w:rPr>
          <w:rFonts w:cstheme="minorHAnsi"/>
          <w:bCs/>
          <w:iCs/>
          <w:color w:val="C00000"/>
        </w:rPr>
        <w:t>Howard VJ, Kleindorfer DO, Judd SE, et al. Disparities in stroke incidence contributing to disparities in stroke mortality. Ann Neurol 2011;69:619–627.</w:t>
      </w:r>
    </w:p>
    <w:p w14:paraId="5F43B600" w14:textId="77777777" w:rsidR="00D2108C" w:rsidRPr="002E1B22" w:rsidRDefault="00D2108C" w:rsidP="00D2108C">
      <w:pPr>
        <w:autoSpaceDE w:val="0"/>
        <w:autoSpaceDN w:val="0"/>
        <w:adjustRightInd w:val="0"/>
        <w:spacing w:before="120" w:after="0" w:line="240" w:lineRule="auto"/>
        <w:rPr>
          <w:rFonts w:cstheme="minorHAnsi"/>
          <w:bCs/>
          <w:iCs/>
          <w:color w:val="C00000"/>
        </w:rPr>
      </w:pPr>
      <w:r w:rsidRPr="002E1B22">
        <w:rPr>
          <w:rFonts w:cstheme="minorHAnsi"/>
          <w:color w:val="C00000"/>
          <w:shd w:val="clear" w:color="auto" w:fill="FFFFFF"/>
        </w:rPr>
        <w:t>Kosar CM, Loomer L, Ferdows NB, Trivedi AN, Panagiotou OA, Rahman M. Assessment of Rural-Urban Differences in Postacute Care Utilization and Outcomes Among Older US Adults. </w:t>
      </w:r>
      <w:r w:rsidRPr="002E1B22">
        <w:rPr>
          <w:rFonts w:cstheme="minorHAnsi"/>
          <w:i/>
          <w:iCs/>
          <w:color w:val="C00000"/>
          <w:shd w:val="clear" w:color="auto" w:fill="FFFFFF"/>
        </w:rPr>
        <w:t>JAMA Netw Open</w:t>
      </w:r>
      <w:r w:rsidRPr="002E1B22">
        <w:rPr>
          <w:rFonts w:cstheme="minorHAnsi"/>
          <w:color w:val="C00000"/>
          <w:shd w:val="clear" w:color="auto" w:fill="FFFFFF"/>
        </w:rPr>
        <w:t>. 2020;3(1):e1918738. Published 2020 Jan 3. doi:10.1001/jamanetworkopen.2019.18738.</w:t>
      </w:r>
    </w:p>
    <w:p w14:paraId="43AA0F5E" w14:textId="77777777" w:rsidR="00D2108C" w:rsidRPr="009C2BF8" w:rsidRDefault="00D2108C" w:rsidP="00D2108C">
      <w:pPr>
        <w:autoSpaceDE w:val="0"/>
        <w:autoSpaceDN w:val="0"/>
        <w:adjustRightInd w:val="0"/>
        <w:spacing w:before="120" w:after="0" w:line="240" w:lineRule="auto"/>
        <w:rPr>
          <w:rFonts w:cstheme="minorHAnsi"/>
          <w:bCs/>
          <w:iCs/>
          <w:color w:val="7030A0"/>
        </w:rPr>
      </w:pPr>
      <w:r w:rsidRPr="009C2BF8">
        <w:rPr>
          <w:rFonts w:cstheme="minorHAnsi"/>
          <w:bCs/>
          <w:iCs/>
          <w:color w:val="7030A0"/>
        </w:rPr>
        <w:lastRenderedPageBreak/>
        <w:t>Mackenbach JP, Cavelaars AE, Kunst AE, Groenhof F. Socioeconomic inequalities in cardiovascular disease mortality; an international study. European heart journal. 2000; 21(14):1141-1151.</w:t>
      </w:r>
    </w:p>
    <w:p w14:paraId="6E1C5C2B" w14:textId="77777777" w:rsidR="00D2108C" w:rsidRPr="009C2BF8" w:rsidRDefault="00D2108C" w:rsidP="00D2108C">
      <w:pPr>
        <w:autoSpaceDE w:val="0"/>
        <w:autoSpaceDN w:val="0"/>
        <w:adjustRightInd w:val="0"/>
        <w:spacing w:before="120" w:after="0" w:line="240" w:lineRule="auto"/>
        <w:rPr>
          <w:rFonts w:cstheme="minorHAnsi"/>
          <w:bCs/>
          <w:iCs/>
          <w:color w:val="C00000"/>
        </w:rPr>
      </w:pPr>
      <w:r w:rsidRPr="009C2BF8">
        <w:rPr>
          <w:rFonts w:cstheme="minorHAnsi"/>
          <w:bCs/>
          <w:iCs/>
          <w:color w:val="C00000"/>
        </w:rPr>
        <w:t>Pedigo A, Seaver W, Odoi A. Identifying unique neighborhood characteristics to guide health planning for stroke and heart attack: fuzzy cluster and discriminant analyses approaches. PloS one. 2011;6(7):e22693.</w:t>
      </w:r>
    </w:p>
    <w:p w14:paraId="5108C15A" w14:textId="77777777" w:rsidR="00D2108C" w:rsidRPr="009C2BF8" w:rsidRDefault="00D2108C" w:rsidP="00D2108C">
      <w:pPr>
        <w:autoSpaceDE w:val="0"/>
        <w:autoSpaceDN w:val="0"/>
        <w:adjustRightInd w:val="0"/>
        <w:spacing w:before="120" w:after="0" w:line="240" w:lineRule="auto"/>
        <w:rPr>
          <w:rFonts w:cstheme="minorHAnsi"/>
          <w:bCs/>
          <w:iCs/>
          <w:color w:val="C00000"/>
        </w:rPr>
      </w:pPr>
      <w:r w:rsidRPr="009C2BF8">
        <w:rPr>
          <w:rFonts w:cstheme="minorHAnsi"/>
          <w:bCs/>
          <w:iCs/>
          <w:color w:val="C00000"/>
        </w:rPr>
        <w:t>Tonne C, Schwartz J, Mittleman M, Melly S, Suh H, Goldberg R. Long-term survival after acute myocardial infarction is lower in more deprived neighborhoods. Circulation. Jun 14 2005; 111(23):3063-3070.</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3E606B0F" w:rsidR="001969C5"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7030A0"/>
          </w:rPr>
          <w:id w:val="1807820231"/>
          <w14:checkbox>
            <w14:checked w14:val="1"/>
            <w14:checkedState w14:val="2612" w14:font="MS Gothic"/>
            <w14:uncheckedState w14:val="2610" w14:font="MS Gothic"/>
          </w14:checkbox>
        </w:sdtPr>
        <w:sdtEndPr/>
        <w:sdtContent>
          <w:r w:rsidR="00023B32">
            <w:rPr>
              <w:rFonts w:ascii="MS Gothic" w:eastAsia="MS Gothic" w:hAnsi="MS Gothic" w:cstheme="minorHAnsi" w:hint="eastAsia"/>
              <w:bCs/>
              <w:color w:val="7030A0"/>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4B55721D" w14:textId="77777777" w:rsidR="00023B32" w:rsidRPr="00BA2D4B" w:rsidRDefault="00023B32" w:rsidP="00023B32">
      <w:pPr>
        <w:autoSpaceDE w:val="0"/>
        <w:autoSpaceDN w:val="0"/>
        <w:adjustRightInd w:val="0"/>
        <w:spacing w:before="120" w:after="120" w:line="240" w:lineRule="auto"/>
        <w:rPr>
          <w:rFonts w:cstheme="minorHAnsi"/>
          <w:bCs/>
          <w:color w:val="C00000"/>
          <w:u w:val="single"/>
        </w:rPr>
      </w:pPr>
      <w:r w:rsidRPr="00BA2D4B">
        <w:rPr>
          <w:rFonts w:cstheme="minorHAnsi"/>
          <w:bCs/>
          <w:color w:val="C00000"/>
          <w:u w:val="single"/>
        </w:rPr>
        <w:t>Measure Score Reliability</w:t>
      </w:r>
    </w:p>
    <w:p w14:paraId="423AF4E9" w14:textId="68BEA574" w:rsidR="00023B32" w:rsidRDefault="00023B32" w:rsidP="00023B32">
      <w:pPr>
        <w:autoSpaceDE w:val="0"/>
        <w:autoSpaceDN w:val="0"/>
        <w:adjustRightInd w:val="0"/>
        <w:spacing w:before="120" w:after="120" w:line="240" w:lineRule="auto"/>
        <w:rPr>
          <w:rFonts w:cstheme="minorHAnsi"/>
          <w:bCs/>
        </w:rPr>
      </w:pPr>
      <w:r w:rsidRPr="00BA2D4B">
        <w:rPr>
          <w:rFonts w:cstheme="minorHAnsi"/>
          <w:bCs/>
          <w:color w:val="C00000"/>
        </w:rPr>
        <w:t>We performed two types of reliability testing. First, we estimated the overall measure score reliability by calculating the intra-class correlation coefficient (ICC) using a split sample (i.e. test-retest) method. Second, we estimate</w:t>
      </w:r>
      <w:r w:rsidR="00A07C76">
        <w:rPr>
          <w:rFonts w:cstheme="minorHAnsi"/>
          <w:bCs/>
          <w:color w:val="C00000"/>
        </w:rPr>
        <w:t>d</w:t>
      </w:r>
      <w:r w:rsidRPr="00BA2D4B">
        <w:rPr>
          <w:rFonts w:cstheme="minorHAnsi"/>
          <w:bCs/>
          <w:color w:val="C00000"/>
        </w:rPr>
        <w:t xml:space="preserve"> the facility-level reliability (signal-to-noise reliability).</w:t>
      </w:r>
    </w:p>
    <w:p w14:paraId="71330D5F" w14:textId="77777777" w:rsidR="00D2108C" w:rsidRPr="00BA2D4B" w:rsidRDefault="00D2108C" w:rsidP="00D2108C">
      <w:pPr>
        <w:autoSpaceDE w:val="0"/>
        <w:autoSpaceDN w:val="0"/>
        <w:adjustRightInd w:val="0"/>
        <w:spacing w:after="0" w:line="240" w:lineRule="auto"/>
        <w:rPr>
          <w:rFonts w:cstheme="minorHAnsi"/>
          <w:bCs/>
          <w:color w:val="7030A0"/>
          <w:u w:val="single"/>
        </w:rPr>
      </w:pPr>
      <w:r w:rsidRPr="00BA2D4B">
        <w:rPr>
          <w:rFonts w:cstheme="minorHAnsi"/>
          <w:bCs/>
          <w:color w:val="7030A0"/>
          <w:u w:val="single"/>
        </w:rPr>
        <w:t>Split-Sample Reliability</w:t>
      </w:r>
    </w:p>
    <w:p w14:paraId="4E94F20B" w14:textId="49597CAC" w:rsidR="00D2108C" w:rsidRPr="00BA2D4B" w:rsidRDefault="00D2108C" w:rsidP="00D2108C">
      <w:pPr>
        <w:autoSpaceDE w:val="0"/>
        <w:autoSpaceDN w:val="0"/>
        <w:adjustRightInd w:val="0"/>
        <w:spacing w:after="120" w:line="240" w:lineRule="auto"/>
        <w:rPr>
          <w:rFonts w:cstheme="minorHAnsi"/>
          <w:bCs/>
          <w:color w:val="7030A0"/>
        </w:rPr>
      </w:pPr>
      <w:r w:rsidRPr="00BA2D4B">
        <w:rPr>
          <w:rFonts w:cstheme="minorHAnsi"/>
          <w:bCs/>
          <w:color w:val="7030A0"/>
        </w:rPr>
        <w:t>The reliability of a measurement is the degree to which repeated measurements of the same entity agree with each other. For measures of hospital performance, the measured entity is naturally the hospital, and reliability is the extent to which repeated measurements of the same hospital give similar results. Accordingly, our approach to assessing reliability is to consider the extent to which assessments of a hospital using different but randomly selected subsets of patients produce similar measures of hospital performance. That is, we take a "test-retest" approach in which hospital performance is measured once using a random subset of patients, and then measured again using a second random subset exclusive of the first, and the agreement of the two resulting performance measures compared across hospitals (Rousson, Gasser, and Seifert, 2002).</w:t>
      </w:r>
    </w:p>
    <w:p w14:paraId="2D61D94C" w14:textId="09D65242" w:rsidR="00D2108C" w:rsidRDefault="003233A0" w:rsidP="00D2108C">
      <w:pPr>
        <w:autoSpaceDE w:val="0"/>
        <w:autoSpaceDN w:val="0"/>
        <w:adjustRightInd w:val="0"/>
        <w:spacing w:after="120" w:line="240" w:lineRule="auto"/>
        <w:rPr>
          <w:rFonts w:cstheme="minorHAnsi"/>
          <w:bCs/>
          <w:color w:val="7030A0"/>
        </w:rPr>
      </w:pPr>
      <w:r>
        <w:rPr>
          <w:rFonts w:cstheme="minorHAnsi"/>
          <w:bCs/>
          <w:color w:val="7030A0"/>
        </w:rPr>
        <w:t>For split-sample</w:t>
      </w:r>
      <w:r w:rsidR="00D2108C" w:rsidRPr="00BA2D4B">
        <w:rPr>
          <w:rFonts w:cstheme="minorHAnsi"/>
          <w:bCs/>
          <w:color w:val="7030A0"/>
        </w:rPr>
        <w:t xml:space="preserve"> reliability of the measure in aged 65 years and older, we randomly sampled half of patients within each hospital for a three year period, calculated the measure for each hospital, and repeated the calculation using the second half. Thus, each hospital is measured twice, but each measurement is made using an entirely distinct set of patients. To the extent that the calculated measures of these two subsets agree, we have evidence that the measure is assessing an attribute of the hospital, not of the patients. As a metric of agreement, we calculated the intra-class correlation coefficient (Shrout &amp; Fleiss, 1979), and assessed the values according to conventional standards (Landis &amp; Koch, 1977). Specifically, we used a combined 2016-2019 sample, randomly split it into two approximately equal subsets of patients, and calculated the RSMR for each hospital for each sample. The </w:t>
      </w:r>
      <w:r w:rsidR="00D2108C" w:rsidRPr="00BA2D4B">
        <w:rPr>
          <w:rFonts w:cstheme="minorHAnsi"/>
          <w:bCs/>
          <w:color w:val="7030A0"/>
        </w:rPr>
        <w:lastRenderedPageBreak/>
        <w:t>agreement of the two RSMRs was quantified for hospitals in each sample using the intra-class corr</w:t>
      </w:r>
      <w:r w:rsidR="00D2108C">
        <w:rPr>
          <w:rFonts w:cstheme="minorHAnsi"/>
          <w:bCs/>
          <w:color w:val="7030A0"/>
        </w:rPr>
        <w:t>elation as defined by ICC (2,1)</w:t>
      </w:r>
      <w:r w:rsidR="00D2108C" w:rsidRPr="00BA2D4B">
        <w:rPr>
          <w:rFonts w:cstheme="minorHAnsi"/>
          <w:bCs/>
          <w:color w:val="7030A0"/>
        </w:rPr>
        <w:t xml:space="preserve"> (Shrout &amp; Fleiss, 1979)</w:t>
      </w:r>
      <w:r w:rsidR="00D2108C">
        <w:rPr>
          <w:rFonts w:cstheme="minorHAnsi"/>
          <w:bCs/>
          <w:color w:val="7030A0"/>
        </w:rPr>
        <w:t>.</w:t>
      </w:r>
    </w:p>
    <w:p w14:paraId="559C67B3" w14:textId="6984B308" w:rsidR="00D2108C" w:rsidRDefault="00D2108C" w:rsidP="00D2108C">
      <w:pPr>
        <w:autoSpaceDE w:val="0"/>
        <w:autoSpaceDN w:val="0"/>
        <w:adjustRightInd w:val="0"/>
        <w:spacing w:after="120" w:line="240" w:lineRule="auto"/>
        <w:rPr>
          <w:rFonts w:cstheme="minorHAnsi"/>
          <w:bCs/>
          <w:color w:val="7030A0"/>
        </w:rPr>
      </w:pPr>
      <w:r w:rsidRPr="00BA2D4B">
        <w:rPr>
          <w:rFonts w:cstheme="minorHAnsi"/>
          <w:bCs/>
          <w:color w:val="7030A0"/>
        </w:rPr>
        <w:t>Using two non-overlapping random samples provides a conservative estimate of the measure’s reliability, compared with using two random but potentially overlapping samples which would exaggerate the agreement. Moreover, because our final measure is derived using hierarchical logistic regression, and a known property of hierarchical logistic regression models is that smaller volume hospitals contribute less 'signal', a split sample using a single measurement period would introduce extra noise. This leads to an underestimate in the actual test-retest reliability that would be achieved if the measure were reported using the full measurement period, as evidenced by the Spearman Brown prophecy formula (Spearman 1910, Brown 1910). We used this formula to estimate the reliability of the measure if the whole cohort were used, based on an estimate from half the cohort.</w:t>
      </w:r>
    </w:p>
    <w:p w14:paraId="32FCF16D" w14:textId="7E0309D0" w:rsidR="00D2108C" w:rsidRPr="00BA2D4B" w:rsidRDefault="00D2108C" w:rsidP="00D2108C">
      <w:pPr>
        <w:autoSpaceDE w:val="0"/>
        <w:autoSpaceDN w:val="0"/>
        <w:adjustRightInd w:val="0"/>
        <w:spacing w:after="120" w:line="240" w:lineRule="auto"/>
        <w:rPr>
          <w:rFonts w:cstheme="minorHAnsi"/>
          <w:bCs/>
          <w:color w:val="C00000"/>
          <w:u w:val="single"/>
        </w:rPr>
      </w:pPr>
      <w:r w:rsidRPr="00BA2D4B">
        <w:rPr>
          <w:rFonts w:cstheme="minorHAnsi"/>
          <w:bCs/>
          <w:color w:val="C00000"/>
          <w:u w:val="single"/>
        </w:rPr>
        <w:t>Signal-to-Noise</w:t>
      </w:r>
    </w:p>
    <w:p w14:paraId="2CC6B3BF" w14:textId="054BEC19" w:rsidR="00D2108C" w:rsidRDefault="00D2108C" w:rsidP="00D2108C">
      <w:pPr>
        <w:autoSpaceDE w:val="0"/>
        <w:autoSpaceDN w:val="0"/>
        <w:adjustRightInd w:val="0"/>
        <w:spacing w:after="120" w:line="240" w:lineRule="auto"/>
        <w:rPr>
          <w:rFonts w:cstheme="minorHAnsi"/>
          <w:bCs/>
          <w:color w:val="C00000"/>
        </w:rPr>
      </w:pPr>
      <w:r w:rsidRPr="00BA2D4B">
        <w:rPr>
          <w:rFonts w:cstheme="minorHAnsi"/>
          <w:bCs/>
          <w:color w:val="C00000"/>
        </w:rPr>
        <w:t xml:space="preserve">We estimated the signal to noise reliability (facility-level reliability), which is the reliability with which individual units (hospitals) are measured. While test re-test reliability is the most relevant metric from the perspective of overall measure reliability, it is also meaningful to consider the separate notion of “unit” reliability, that is, the reliability with which individual units (here, hospitals) are measured. The reliability of any one facility’s measure score will vary depending on the number of patients admitted for </w:t>
      </w:r>
      <w:r w:rsidR="0084071B">
        <w:rPr>
          <w:rFonts w:cstheme="minorHAnsi"/>
          <w:bCs/>
          <w:color w:val="C00000"/>
        </w:rPr>
        <w:t>AMI.</w:t>
      </w:r>
      <w:r w:rsidRPr="00BA2D4B">
        <w:rPr>
          <w:rFonts w:cstheme="minorHAnsi"/>
          <w:bCs/>
          <w:color w:val="C00000"/>
        </w:rPr>
        <w:t xml:space="preserve"> Facilities with more volume (i.e., with more patients) will tend to have more reliable scores, while facilities with less volume will tend to have less reliable scores. Therefore, we used the formula presented by Adams and colleagues (2010) to calculate facility-level reliability.</w:t>
      </w:r>
    </w:p>
    <w:p w14:paraId="06A53580" w14:textId="6C4310AC" w:rsidR="00D2108C" w:rsidRPr="00BA2D4B" w:rsidRDefault="00D2108C" w:rsidP="00D2108C">
      <w:pPr>
        <w:autoSpaceDE w:val="0"/>
        <w:autoSpaceDN w:val="0"/>
        <w:adjustRightInd w:val="0"/>
        <w:spacing w:before="120" w:after="120" w:line="240" w:lineRule="auto"/>
        <w:rPr>
          <w:rFonts w:cstheme="minorHAnsi"/>
          <w:bCs/>
          <w:color w:val="C00000"/>
        </w:rPr>
      </w:pPr>
      <w:r w:rsidRPr="00043DA7">
        <w:rPr>
          <w:rFonts w:ascii="Calibri" w:eastAsia="Times New Roman" w:hAnsi="Calibri" w:cs="Calibri"/>
          <w:color w:val="C00000"/>
        </w:rPr>
        <w:t>Where facility-to-facility variance is estimated from the hierarchical logistic regression model, n is equal to each facility’s observed case size, and the facility error variance is estimated using the variance of the logistic distribution (</w:t>
      </w:r>
      <w:r>
        <w:rPr>
          <w:rFonts w:ascii="Calibri" w:eastAsia="Times New Roman" w:hAnsi="Calibri" w:cs="Calibri"/>
          <w:color w:val="C00000"/>
        </w:rPr>
        <w:t>π</w:t>
      </w:r>
      <w:r w:rsidRPr="00043DA7">
        <w:rPr>
          <w:rFonts w:ascii="Calibri" w:eastAsia="Times New Roman" w:hAnsi="Calibri" w:cs="Calibri"/>
          <w:color w:val="C00000"/>
        </w:rPr>
        <w:t xml:space="preserve">^2/3). </w:t>
      </w:r>
      <w:r w:rsidRPr="00BA2D4B">
        <w:rPr>
          <w:rFonts w:cstheme="minorHAnsi"/>
          <w:bCs/>
          <w:color w:val="C00000"/>
        </w:rPr>
        <w:t>The facility-level reliability testing is limited to facilities with at least 25 admissions for public reporting.</w:t>
      </w:r>
    </w:p>
    <w:p w14:paraId="0B021245" w14:textId="77777777" w:rsidR="00D2108C" w:rsidRPr="00BA2D4B" w:rsidRDefault="00D2108C" w:rsidP="00D2108C">
      <w:pPr>
        <w:autoSpaceDE w:val="0"/>
        <w:autoSpaceDN w:val="0"/>
        <w:adjustRightInd w:val="0"/>
        <w:spacing w:after="120" w:line="240" w:lineRule="auto"/>
        <w:rPr>
          <w:rFonts w:cstheme="minorHAnsi"/>
          <w:bCs/>
          <w:color w:val="C00000"/>
        </w:rPr>
      </w:pPr>
      <w:r w:rsidRPr="00BA2D4B">
        <w:rPr>
          <w:rFonts w:cstheme="minorHAnsi"/>
          <w:bCs/>
          <w:color w:val="C00000"/>
        </w:rPr>
        <w:t>Signal to noise reliability scores can range from 0 to 1. A reliability of zero implies that all the variability in a measure is attributable to measurement error. A reliability of one implies that all the variability is attributable to real difference in performance.</w:t>
      </w:r>
    </w:p>
    <w:p w14:paraId="69839F54" w14:textId="77777777" w:rsidR="00D2108C" w:rsidRPr="00BA2D4B" w:rsidRDefault="00D2108C" w:rsidP="00D2108C">
      <w:pPr>
        <w:autoSpaceDE w:val="0"/>
        <w:autoSpaceDN w:val="0"/>
        <w:adjustRightInd w:val="0"/>
        <w:spacing w:before="120" w:after="120" w:line="240" w:lineRule="auto"/>
        <w:rPr>
          <w:rFonts w:cstheme="minorHAnsi"/>
          <w:bCs/>
          <w:color w:val="C00000"/>
          <w:u w:val="single"/>
        </w:rPr>
      </w:pPr>
      <w:r w:rsidRPr="00BA2D4B">
        <w:rPr>
          <w:rFonts w:cstheme="minorHAnsi"/>
          <w:bCs/>
          <w:color w:val="C00000"/>
          <w:u w:val="single"/>
        </w:rPr>
        <w:t>Additional Information</w:t>
      </w:r>
    </w:p>
    <w:p w14:paraId="651F5D44" w14:textId="63E37DBC" w:rsidR="00D2108C" w:rsidRPr="00BA2D4B" w:rsidRDefault="00D2108C" w:rsidP="00D2108C">
      <w:pPr>
        <w:autoSpaceDE w:val="0"/>
        <w:autoSpaceDN w:val="0"/>
        <w:adjustRightInd w:val="0"/>
        <w:spacing w:after="120" w:line="240" w:lineRule="auto"/>
        <w:rPr>
          <w:rFonts w:cstheme="minorHAnsi"/>
          <w:bCs/>
          <w:color w:val="C00000"/>
        </w:rPr>
      </w:pPr>
      <w:r w:rsidRPr="00BA2D4B">
        <w:rPr>
          <w:rFonts w:cstheme="minorHAnsi"/>
          <w:bCs/>
          <w:color w:val="C00000"/>
        </w:rPr>
        <w:t>In constructing the measure, we aim to utilize only those data elements from the claims that have both face validity and reliability. We avoid the use of fields that are thought to be coded inconsistently across providers. Specifically, we use fields that are consequential for payment and which are audited. We identify such variables through empiric analyses and our understanding of CMS auditing and billing policies and seek to avoid variables which do not meet this standard.</w:t>
      </w:r>
    </w:p>
    <w:p w14:paraId="4EE0862F" w14:textId="295B7AD4" w:rsidR="00D2108C" w:rsidRPr="00BA2D4B" w:rsidRDefault="00D2108C" w:rsidP="00D2108C">
      <w:pPr>
        <w:autoSpaceDE w:val="0"/>
        <w:autoSpaceDN w:val="0"/>
        <w:adjustRightInd w:val="0"/>
        <w:spacing w:after="120" w:line="240" w:lineRule="auto"/>
        <w:rPr>
          <w:rFonts w:cstheme="minorHAnsi"/>
          <w:bCs/>
          <w:color w:val="C00000"/>
        </w:rPr>
      </w:pPr>
      <w:r w:rsidRPr="00BA2D4B">
        <w:rPr>
          <w:rFonts w:cstheme="minorHAnsi"/>
          <w:bCs/>
          <w:color w:val="C00000"/>
        </w:rPr>
        <w:t>In addition, CMS has in place several hospital auditing programs used to assess overall claims code accuracy, to ensure appropriate billing, and for overpayment recoupment. CMS routinely conducts data analysis to identify potential problem areas and detect fraud, and audits important data fields used in our measures, including diagnosis and procedure codes and other elements that are consequential to payment.</w:t>
      </w:r>
    </w:p>
    <w:p w14:paraId="118CE044" w14:textId="3583CF36" w:rsidR="00D2108C" w:rsidRDefault="00D2108C" w:rsidP="00D2108C">
      <w:pPr>
        <w:autoSpaceDE w:val="0"/>
        <w:autoSpaceDN w:val="0"/>
        <w:adjustRightInd w:val="0"/>
        <w:spacing w:after="120" w:line="240" w:lineRule="auto"/>
        <w:rPr>
          <w:rFonts w:cstheme="minorHAnsi"/>
          <w:bCs/>
          <w:color w:val="C00000"/>
        </w:rPr>
      </w:pPr>
      <w:r w:rsidRPr="00BA2D4B">
        <w:rPr>
          <w:rFonts w:cstheme="minorHAnsi"/>
          <w:bCs/>
          <w:color w:val="C00000"/>
        </w:rPr>
        <w:t>Furthermore, we assessed the variation in the frequency of the variables over time. Detailed information is presented in the measure’s 2020 Condition-Specific Measure Updates and Specifications Report cited below.</w:t>
      </w:r>
    </w:p>
    <w:p w14:paraId="64845E1A" w14:textId="77777777" w:rsidR="00D2108C" w:rsidRPr="00BA2D4B" w:rsidRDefault="00D2108C" w:rsidP="00D2108C">
      <w:pPr>
        <w:autoSpaceDE w:val="0"/>
        <w:autoSpaceDN w:val="0"/>
        <w:adjustRightInd w:val="0"/>
        <w:spacing w:after="120" w:line="240" w:lineRule="auto"/>
        <w:rPr>
          <w:rFonts w:cstheme="minorHAnsi"/>
          <w:bCs/>
          <w:color w:val="C00000"/>
          <w:u w:val="single"/>
        </w:rPr>
      </w:pPr>
      <w:r w:rsidRPr="00BA2D4B">
        <w:rPr>
          <w:rFonts w:cstheme="minorHAnsi"/>
          <w:bCs/>
          <w:color w:val="C00000"/>
          <w:u w:val="single"/>
        </w:rPr>
        <w:t>References</w:t>
      </w:r>
    </w:p>
    <w:p w14:paraId="451AFDA3" w14:textId="77777777" w:rsidR="00D2108C" w:rsidRPr="00BA2D4B" w:rsidRDefault="00D2108C" w:rsidP="00D2108C">
      <w:pPr>
        <w:autoSpaceDE w:val="0"/>
        <w:autoSpaceDN w:val="0"/>
        <w:adjustRightInd w:val="0"/>
        <w:spacing w:after="120" w:line="240" w:lineRule="auto"/>
        <w:rPr>
          <w:rFonts w:cstheme="minorHAnsi"/>
          <w:bCs/>
          <w:color w:val="C00000"/>
        </w:rPr>
      </w:pPr>
      <w:r w:rsidRPr="00BA2D4B">
        <w:rPr>
          <w:rFonts w:cstheme="minorHAnsi"/>
          <w:bCs/>
          <w:color w:val="C00000"/>
        </w:rPr>
        <w:lastRenderedPageBreak/>
        <w:t>Adams J, Mehrota, A, Thoman J, McGlynn, E. (2010). Physician cost profiling – reliability and risk of misclassification. NEJM, 362(11): 1014-1021.</w:t>
      </w:r>
    </w:p>
    <w:p w14:paraId="37812929" w14:textId="4F31E13E" w:rsidR="00D2108C" w:rsidRDefault="00D2108C" w:rsidP="00D2108C">
      <w:pPr>
        <w:autoSpaceDE w:val="0"/>
        <w:autoSpaceDN w:val="0"/>
        <w:adjustRightInd w:val="0"/>
        <w:spacing w:after="120" w:line="240" w:lineRule="auto"/>
        <w:rPr>
          <w:rFonts w:cstheme="minorHAnsi"/>
          <w:bCs/>
          <w:color w:val="7030A0"/>
        </w:rPr>
      </w:pPr>
      <w:r w:rsidRPr="00BA2D4B">
        <w:rPr>
          <w:rFonts w:cstheme="minorHAnsi"/>
          <w:bCs/>
          <w:color w:val="7030A0"/>
        </w:rPr>
        <w:t>Brown, W. (1910). Some experimental results in the correlation of mental abilities. British Journal of Psychology, 3, 296–322.</w:t>
      </w:r>
    </w:p>
    <w:p w14:paraId="479AE76E" w14:textId="6D902E4F" w:rsidR="00355E7B" w:rsidRPr="002A646E" w:rsidRDefault="00355E7B" w:rsidP="00D2108C">
      <w:pPr>
        <w:autoSpaceDE w:val="0"/>
        <w:autoSpaceDN w:val="0"/>
        <w:adjustRightInd w:val="0"/>
        <w:spacing w:after="120" w:line="240" w:lineRule="auto"/>
        <w:rPr>
          <w:rFonts w:cstheme="minorHAnsi"/>
          <w:bCs/>
          <w:color w:val="C00000"/>
        </w:rPr>
      </w:pPr>
      <w:r w:rsidRPr="00BA2D4B">
        <w:rPr>
          <w:rFonts w:cstheme="minorHAnsi"/>
          <w:bCs/>
          <w:color w:val="C00000"/>
        </w:rPr>
        <w:t xml:space="preserve">Debuhr J, McDowell K, Grady J et al., 2020 Condition-Specific Measure Updates and Specifications Report Hospital-Level 30-Day Risk-Standardized Mortality Measures - Available at: </w:t>
      </w:r>
      <w:hyperlink r:id="rId15" w:history="1">
        <w:r w:rsidRPr="00BA2D4B">
          <w:rPr>
            <w:rStyle w:val="Hyperlink"/>
            <w:rFonts w:cstheme="minorHAnsi"/>
          </w:rPr>
          <w:t>https://www.qualitynet.org/inpatient/measures/mortality/methodology</w:t>
        </w:r>
      </w:hyperlink>
      <w:r>
        <w:rPr>
          <w:rStyle w:val="Hyperlink"/>
          <w:rFonts w:cstheme="minorHAnsi"/>
          <w:u w:val="none"/>
        </w:rPr>
        <w:t>.</w:t>
      </w:r>
    </w:p>
    <w:p w14:paraId="7114E6A7" w14:textId="77777777" w:rsidR="00D2108C" w:rsidRPr="00BA2D4B" w:rsidRDefault="00D2108C" w:rsidP="00D2108C">
      <w:pPr>
        <w:autoSpaceDE w:val="0"/>
        <w:autoSpaceDN w:val="0"/>
        <w:adjustRightInd w:val="0"/>
        <w:spacing w:after="120" w:line="240" w:lineRule="auto"/>
        <w:rPr>
          <w:rFonts w:cstheme="minorHAnsi"/>
          <w:bCs/>
          <w:color w:val="7030A0"/>
        </w:rPr>
      </w:pPr>
      <w:r w:rsidRPr="00BA2D4B">
        <w:rPr>
          <w:rFonts w:cstheme="minorHAnsi"/>
          <w:bCs/>
          <w:color w:val="7030A0"/>
        </w:rPr>
        <w:t>Landis J, Koch G, The measurement of observer agreement for categorical data, Biometrics, 1977;33:159-174.</w:t>
      </w:r>
    </w:p>
    <w:p w14:paraId="49E18FED" w14:textId="77777777" w:rsidR="00D2108C" w:rsidRPr="00BA2D4B" w:rsidRDefault="00D2108C" w:rsidP="00D2108C">
      <w:pPr>
        <w:autoSpaceDE w:val="0"/>
        <w:autoSpaceDN w:val="0"/>
        <w:adjustRightInd w:val="0"/>
        <w:spacing w:after="120" w:line="240" w:lineRule="auto"/>
        <w:rPr>
          <w:rFonts w:cstheme="minorHAnsi"/>
          <w:bCs/>
          <w:color w:val="7030A0"/>
        </w:rPr>
      </w:pPr>
      <w:r w:rsidRPr="00BA2D4B">
        <w:rPr>
          <w:rFonts w:cstheme="minorHAnsi"/>
          <w:bCs/>
          <w:color w:val="7030A0"/>
        </w:rPr>
        <w:t xml:space="preserve">Rousson V, Gasser T, Seifert B. "Assessing intrarater, interrater and test–retest reliability of continuous measurements," Statistics in Medicine, 2002, 21:3431-3446. </w:t>
      </w:r>
    </w:p>
    <w:p w14:paraId="6D5B494B" w14:textId="22A8924C" w:rsidR="00D2108C" w:rsidRDefault="00D2108C" w:rsidP="00D2108C">
      <w:pPr>
        <w:autoSpaceDE w:val="0"/>
        <w:autoSpaceDN w:val="0"/>
        <w:adjustRightInd w:val="0"/>
        <w:spacing w:after="120" w:line="240" w:lineRule="auto"/>
        <w:rPr>
          <w:rFonts w:cstheme="minorHAnsi"/>
          <w:bCs/>
          <w:color w:val="7030A0"/>
        </w:rPr>
      </w:pPr>
      <w:r w:rsidRPr="00BA2D4B">
        <w:rPr>
          <w:rFonts w:cstheme="minorHAnsi"/>
          <w:bCs/>
          <w:color w:val="7030A0"/>
        </w:rPr>
        <w:t>Shrout P, Fleiss J. Intraclass correlations: uses in assessing rater reliability. Psychological Bulletin, 1979, 86, 420-3428.</w:t>
      </w:r>
    </w:p>
    <w:p w14:paraId="3801420E" w14:textId="0722A3B4" w:rsidR="00BC280B" w:rsidRPr="00BA2D4B" w:rsidRDefault="00BC280B" w:rsidP="00D2108C">
      <w:pPr>
        <w:autoSpaceDE w:val="0"/>
        <w:autoSpaceDN w:val="0"/>
        <w:adjustRightInd w:val="0"/>
        <w:spacing w:after="120" w:line="240" w:lineRule="auto"/>
        <w:rPr>
          <w:rFonts w:cstheme="minorHAnsi"/>
          <w:bCs/>
          <w:color w:val="7030A0"/>
        </w:rPr>
      </w:pPr>
      <w:r w:rsidRPr="00BC280B">
        <w:rPr>
          <w:rFonts w:cstheme="minorHAnsi"/>
          <w:bCs/>
          <w:color w:val="7030A0"/>
        </w:rPr>
        <w:t>Spearman, Charles, C. (1910). Correlation calculated from faulty data. British Journal of Psychology, 3, 271–295.</w:t>
      </w:r>
    </w:p>
    <w:p w14:paraId="01764FC8" w14:textId="4F2BBA83" w:rsidR="00023B32" w:rsidRDefault="00092566" w:rsidP="00023B32">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84071B">
        <w:rPr>
          <w:rFonts w:cstheme="minorHAnsi"/>
          <w:bCs/>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1730A014" w14:textId="77777777" w:rsidR="00023B32" w:rsidRPr="0048088A" w:rsidRDefault="00304643" w:rsidP="00023B32">
      <w:pPr>
        <w:autoSpaceDE w:val="0"/>
        <w:autoSpaceDN w:val="0"/>
        <w:adjustRightInd w:val="0"/>
        <w:spacing w:before="120" w:after="120" w:line="240" w:lineRule="auto"/>
        <w:rPr>
          <w:rFonts w:cstheme="minorHAnsi"/>
          <w:bCs/>
          <w:color w:val="C00000"/>
        </w:rPr>
      </w:pPr>
      <w:r w:rsidRPr="0048088A">
        <w:rPr>
          <w:rFonts w:ascii="Calibri" w:hAnsi="Calibri" w:cs="Calibri"/>
          <w:color w:val="C00000"/>
          <w:u w:val="single"/>
        </w:rPr>
        <w:t xml:space="preserve">Measure Score Reliability Results </w:t>
      </w:r>
    </w:p>
    <w:p w14:paraId="58911DDD" w14:textId="77777777" w:rsidR="00023B32" w:rsidRPr="0048088A" w:rsidRDefault="00304643" w:rsidP="00023B32">
      <w:pPr>
        <w:autoSpaceDE w:val="0"/>
        <w:autoSpaceDN w:val="0"/>
        <w:adjustRightInd w:val="0"/>
        <w:spacing w:before="120" w:after="120" w:line="240" w:lineRule="auto"/>
        <w:rPr>
          <w:rFonts w:cstheme="minorHAnsi"/>
          <w:bCs/>
          <w:color w:val="C00000"/>
        </w:rPr>
      </w:pPr>
      <w:r w:rsidRPr="0048088A">
        <w:rPr>
          <w:rFonts w:ascii="Calibri" w:hAnsi="Calibri" w:cs="Calibri"/>
          <w:color w:val="C00000"/>
          <w:u w:val="single"/>
        </w:rPr>
        <w:t>Signal-to-Noise</w:t>
      </w:r>
    </w:p>
    <w:p w14:paraId="5AB9ECFC" w14:textId="70FBD5DA" w:rsidR="00023B32" w:rsidRPr="0048088A" w:rsidRDefault="00304643" w:rsidP="00023B32">
      <w:pPr>
        <w:autoSpaceDE w:val="0"/>
        <w:autoSpaceDN w:val="0"/>
        <w:adjustRightInd w:val="0"/>
        <w:spacing w:before="120" w:after="120" w:line="240" w:lineRule="auto"/>
        <w:rPr>
          <w:rFonts w:cstheme="minorHAnsi"/>
          <w:bCs/>
          <w:color w:val="C00000"/>
        </w:rPr>
      </w:pPr>
      <w:r w:rsidRPr="0048088A">
        <w:rPr>
          <w:rFonts w:ascii="Calibri" w:hAnsi="Calibri" w:cs="Calibri"/>
          <w:color w:val="C00000"/>
        </w:rPr>
        <w:t>We calculated the signal-to-noise reliability score for each hospital with at leas</w:t>
      </w:r>
      <w:r w:rsidR="0084071B">
        <w:rPr>
          <w:rFonts w:ascii="Calibri" w:hAnsi="Calibri" w:cs="Calibri"/>
          <w:color w:val="C00000"/>
        </w:rPr>
        <w:t>t 25 admissions* (see Table</w:t>
      </w:r>
      <w:r w:rsidR="003233A0">
        <w:rPr>
          <w:rFonts w:ascii="Calibri" w:hAnsi="Calibri" w:cs="Calibri"/>
          <w:color w:val="C00000"/>
        </w:rPr>
        <w:t xml:space="preserve"> 2</w:t>
      </w:r>
      <w:r w:rsidRPr="0048088A">
        <w:rPr>
          <w:rFonts w:ascii="Calibri" w:hAnsi="Calibri" w:cs="Calibri"/>
          <w:color w:val="C00000"/>
        </w:rPr>
        <w:t xml:space="preserve"> below). The median reliability score was 0.5</w:t>
      </w:r>
      <w:r w:rsidR="0003566C" w:rsidRPr="0048088A">
        <w:rPr>
          <w:rFonts w:ascii="Calibri" w:hAnsi="Calibri" w:cs="Calibri"/>
          <w:color w:val="C00000"/>
        </w:rPr>
        <w:t>9</w:t>
      </w:r>
      <w:r w:rsidRPr="0048088A">
        <w:rPr>
          <w:rFonts w:ascii="Calibri" w:hAnsi="Calibri" w:cs="Calibri"/>
          <w:color w:val="C00000"/>
        </w:rPr>
        <w:t>, ranging from 0.</w:t>
      </w:r>
      <w:r w:rsidR="0003566C" w:rsidRPr="0048088A">
        <w:rPr>
          <w:rFonts w:ascii="Calibri" w:hAnsi="Calibri" w:cs="Calibri"/>
          <w:color w:val="C00000"/>
        </w:rPr>
        <w:t>20</w:t>
      </w:r>
      <w:r w:rsidRPr="0048088A">
        <w:rPr>
          <w:rFonts w:ascii="Calibri" w:hAnsi="Calibri" w:cs="Calibri"/>
          <w:color w:val="C00000"/>
        </w:rPr>
        <w:t xml:space="preserve"> to 0.9</w:t>
      </w:r>
      <w:r w:rsidR="0003566C" w:rsidRPr="0048088A">
        <w:rPr>
          <w:rFonts w:ascii="Calibri" w:hAnsi="Calibri" w:cs="Calibri"/>
          <w:color w:val="C00000"/>
        </w:rPr>
        <w:t>3</w:t>
      </w:r>
      <w:r w:rsidRPr="0048088A">
        <w:rPr>
          <w:rFonts w:ascii="Calibri" w:hAnsi="Calibri" w:cs="Calibri"/>
          <w:color w:val="C00000"/>
        </w:rPr>
        <w:t>. The 25th and 75th percentiles were 0.</w:t>
      </w:r>
      <w:r w:rsidR="0003566C" w:rsidRPr="0048088A">
        <w:rPr>
          <w:rFonts w:ascii="Calibri" w:hAnsi="Calibri" w:cs="Calibri"/>
          <w:color w:val="C00000"/>
        </w:rPr>
        <w:t>41</w:t>
      </w:r>
      <w:r w:rsidRPr="0048088A">
        <w:rPr>
          <w:rFonts w:ascii="Calibri" w:hAnsi="Calibri" w:cs="Calibri"/>
          <w:color w:val="C00000"/>
        </w:rPr>
        <w:t xml:space="preserve"> and 0.7</w:t>
      </w:r>
      <w:r w:rsidR="0003566C" w:rsidRPr="0048088A">
        <w:rPr>
          <w:rFonts w:ascii="Calibri" w:hAnsi="Calibri" w:cs="Calibri"/>
          <w:color w:val="C00000"/>
        </w:rPr>
        <w:t>2</w:t>
      </w:r>
      <w:r w:rsidRPr="0048088A">
        <w:rPr>
          <w:rFonts w:ascii="Calibri" w:hAnsi="Calibri" w:cs="Calibri"/>
          <w:color w:val="C00000"/>
        </w:rPr>
        <w:t>, respectively. The median reliability score d</w:t>
      </w:r>
      <w:r w:rsidR="00E80E35">
        <w:rPr>
          <w:rFonts w:ascii="Calibri" w:hAnsi="Calibri" w:cs="Calibri"/>
          <w:color w:val="C00000"/>
        </w:rPr>
        <w:t>emonstrates moderate reliability</w:t>
      </w:r>
      <w:r w:rsidRPr="0048088A">
        <w:rPr>
          <w:rFonts w:ascii="Calibri" w:hAnsi="Calibri" w:cs="Calibri"/>
          <w:color w:val="C00000"/>
        </w:rPr>
        <w:t>.</w:t>
      </w:r>
    </w:p>
    <w:p w14:paraId="493A6863" w14:textId="561FEBAD" w:rsidR="0084071B" w:rsidRDefault="0084071B" w:rsidP="00023B32">
      <w:pPr>
        <w:autoSpaceDE w:val="0"/>
        <w:autoSpaceDN w:val="0"/>
        <w:adjustRightInd w:val="0"/>
        <w:spacing w:after="240" w:line="240" w:lineRule="auto"/>
        <w:rPr>
          <w:rFonts w:ascii="Calibri" w:hAnsi="Calibri" w:cs="Calibri"/>
          <w:color w:val="C00000"/>
        </w:rPr>
      </w:pPr>
      <w:r>
        <w:rPr>
          <w:rFonts w:ascii="Calibri" w:hAnsi="Calibri" w:cs="Calibri"/>
          <w:color w:val="C00000"/>
        </w:rPr>
        <w:t>Table</w:t>
      </w:r>
      <w:r w:rsidR="00304643" w:rsidRPr="0048088A">
        <w:rPr>
          <w:rFonts w:ascii="Calibri" w:hAnsi="Calibri" w:cs="Calibri"/>
          <w:color w:val="C00000"/>
        </w:rPr>
        <w:t xml:space="preserve"> </w:t>
      </w:r>
      <w:r w:rsidR="003233A0">
        <w:rPr>
          <w:rFonts w:ascii="Calibri" w:hAnsi="Calibri" w:cs="Calibri"/>
          <w:color w:val="C00000"/>
        </w:rPr>
        <w:t>2.</w:t>
      </w:r>
      <w:r w:rsidR="00304643" w:rsidRPr="0048088A">
        <w:rPr>
          <w:rFonts w:ascii="Calibri" w:hAnsi="Calibri" w:cs="Calibri"/>
          <w:color w:val="C00000"/>
        </w:rPr>
        <w:t xml:space="preserve"> Signal-to-noise reliability distribution for AMI mortality</w:t>
      </w:r>
    </w:p>
    <w:tbl>
      <w:tblPr>
        <w:tblW w:w="10558" w:type="dxa"/>
        <w:tblLook w:val="04A0" w:firstRow="1" w:lastRow="0" w:firstColumn="1" w:lastColumn="0" w:noHBand="0" w:noVBand="1"/>
      </w:tblPr>
      <w:tblGrid>
        <w:gridCol w:w="746"/>
        <w:gridCol w:w="644"/>
        <w:gridCol w:w="642"/>
        <w:gridCol w:w="1139"/>
        <w:gridCol w:w="1139"/>
        <w:gridCol w:w="1139"/>
        <w:gridCol w:w="1050"/>
        <w:gridCol w:w="1139"/>
        <w:gridCol w:w="1139"/>
        <w:gridCol w:w="1139"/>
        <w:gridCol w:w="642"/>
      </w:tblGrid>
      <w:tr w:rsidR="008F55E7" w:rsidRPr="009D74C3" w14:paraId="67B210A2" w14:textId="77777777" w:rsidTr="008F55E7">
        <w:trPr>
          <w:cantSplit/>
          <w:trHeight w:val="336"/>
          <w:tblHeader/>
        </w:trPr>
        <w:tc>
          <w:tcPr>
            <w:tcW w:w="74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B6D9936" w14:textId="77777777" w:rsidR="008F55E7" w:rsidRPr="009D74C3" w:rsidRDefault="008F55E7" w:rsidP="00C079DA">
            <w:pPr>
              <w:spacing w:after="0" w:line="240" w:lineRule="auto"/>
              <w:jc w:val="center"/>
              <w:rPr>
                <w:rFonts w:eastAsia="Times New Roman" w:cstheme="minorHAnsi"/>
                <w:b/>
                <w:bCs/>
                <w:color w:val="000000"/>
              </w:rPr>
            </w:pPr>
            <w:r w:rsidRPr="009D74C3">
              <w:rPr>
                <w:rFonts w:eastAsia="Times New Roman" w:cstheme="minorHAnsi"/>
                <w:b/>
                <w:bCs/>
                <w:color w:val="000000"/>
              </w:rPr>
              <w:t>Mean</w:t>
            </w:r>
          </w:p>
        </w:tc>
        <w:tc>
          <w:tcPr>
            <w:tcW w:w="644" w:type="dxa"/>
            <w:tcBorders>
              <w:top w:val="single" w:sz="4" w:space="0" w:color="auto"/>
              <w:left w:val="nil"/>
              <w:bottom w:val="single" w:sz="4" w:space="0" w:color="auto"/>
              <w:right w:val="single" w:sz="4" w:space="0" w:color="auto"/>
            </w:tcBorders>
            <w:shd w:val="clear" w:color="000000" w:fill="F2F2F2"/>
            <w:noWrap/>
            <w:vAlign w:val="center"/>
            <w:hideMark/>
          </w:tcPr>
          <w:p w14:paraId="169B9C90" w14:textId="77777777" w:rsidR="008F55E7" w:rsidRPr="009D74C3" w:rsidRDefault="008F55E7" w:rsidP="00C079DA">
            <w:pPr>
              <w:spacing w:after="0" w:line="240" w:lineRule="auto"/>
              <w:jc w:val="center"/>
              <w:rPr>
                <w:rFonts w:eastAsia="Times New Roman" w:cstheme="minorHAnsi"/>
                <w:b/>
                <w:bCs/>
                <w:color w:val="000000"/>
              </w:rPr>
            </w:pPr>
            <w:r w:rsidRPr="009D74C3">
              <w:rPr>
                <w:rFonts w:eastAsia="Times New Roman" w:cstheme="minorHAnsi"/>
                <w:b/>
                <w:bCs/>
                <w:color w:val="000000"/>
              </w:rPr>
              <w:t>Std</w:t>
            </w:r>
            <w:r>
              <w:rPr>
                <w:rFonts w:eastAsia="Times New Roman" w:cstheme="minorHAnsi"/>
                <w:b/>
                <w:bCs/>
                <w:color w:val="000000"/>
              </w:rPr>
              <w:t>. Dev.</w:t>
            </w:r>
          </w:p>
        </w:tc>
        <w:tc>
          <w:tcPr>
            <w:tcW w:w="642" w:type="dxa"/>
            <w:tcBorders>
              <w:top w:val="single" w:sz="4" w:space="0" w:color="auto"/>
              <w:left w:val="nil"/>
              <w:bottom w:val="single" w:sz="4" w:space="0" w:color="auto"/>
              <w:right w:val="single" w:sz="4" w:space="0" w:color="auto"/>
            </w:tcBorders>
            <w:shd w:val="clear" w:color="000000" w:fill="F2F2F2"/>
            <w:noWrap/>
            <w:vAlign w:val="center"/>
            <w:hideMark/>
          </w:tcPr>
          <w:p w14:paraId="6AD20206" w14:textId="77777777" w:rsidR="008F55E7" w:rsidRPr="009D74C3" w:rsidRDefault="008F55E7" w:rsidP="00C079DA">
            <w:pPr>
              <w:spacing w:after="0" w:line="240" w:lineRule="auto"/>
              <w:jc w:val="center"/>
              <w:rPr>
                <w:rFonts w:eastAsia="Times New Roman" w:cstheme="minorHAnsi"/>
                <w:b/>
                <w:bCs/>
                <w:color w:val="000000"/>
              </w:rPr>
            </w:pPr>
            <w:r w:rsidRPr="009D74C3">
              <w:rPr>
                <w:rFonts w:eastAsia="Times New Roman" w:cstheme="minorHAnsi"/>
                <w:b/>
                <w:bCs/>
                <w:color w:val="000000"/>
              </w:rPr>
              <w:t>Min</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15A4857C" w14:textId="77777777" w:rsidR="008F55E7" w:rsidRPr="009D74C3" w:rsidRDefault="008F55E7" w:rsidP="00C079DA">
            <w:pPr>
              <w:spacing w:after="0" w:line="240" w:lineRule="auto"/>
              <w:jc w:val="center"/>
              <w:rPr>
                <w:rFonts w:eastAsia="Times New Roman" w:cstheme="minorHAnsi"/>
                <w:b/>
                <w:bCs/>
                <w:color w:val="000000"/>
              </w:rPr>
            </w:pPr>
            <w:r w:rsidRPr="009D74C3">
              <w:rPr>
                <w:rFonts w:eastAsia="Times New Roman" w:cstheme="minorHAnsi"/>
                <w:b/>
                <w:bCs/>
                <w:color w:val="000000"/>
              </w:rPr>
              <w:t>5th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63A1AFB3" w14:textId="77777777" w:rsidR="008F55E7" w:rsidRPr="009D74C3" w:rsidRDefault="008F55E7" w:rsidP="00C079DA">
            <w:pPr>
              <w:spacing w:after="0" w:line="240" w:lineRule="auto"/>
              <w:jc w:val="center"/>
              <w:rPr>
                <w:rFonts w:eastAsia="Times New Roman" w:cstheme="minorHAnsi"/>
                <w:b/>
                <w:bCs/>
                <w:color w:val="000000"/>
              </w:rPr>
            </w:pPr>
            <w:r w:rsidRPr="009D74C3">
              <w:rPr>
                <w:rFonts w:eastAsia="Times New Roman" w:cstheme="minorHAnsi"/>
                <w:b/>
                <w:bCs/>
                <w:color w:val="000000"/>
              </w:rPr>
              <w:t>10th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4CDE5512" w14:textId="77777777" w:rsidR="008F55E7" w:rsidRPr="009D74C3" w:rsidRDefault="008F55E7" w:rsidP="00C079DA">
            <w:pPr>
              <w:spacing w:after="0" w:line="240" w:lineRule="auto"/>
              <w:jc w:val="center"/>
              <w:rPr>
                <w:rFonts w:eastAsia="Times New Roman" w:cstheme="minorHAnsi"/>
                <w:b/>
                <w:bCs/>
                <w:color w:val="000000"/>
              </w:rPr>
            </w:pPr>
            <w:r w:rsidRPr="009D74C3">
              <w:rPr>
                <w:rFonts w:eastAsia="Times New Roman" w:cstheme="minorHAnsi"/>
                <w:b/>
                <w:bCs/>
                <w:color w:val="000000"/>
              </w:rPr>
              <w:t>25th Percentile</w:t>
            </w:r>
          </w:p>
        </w:tc>
        <w:tc>
          <w:tcPr>
            <w:tcW w:w="1050" w:type="dxa"/>
            <w:tcBorders>
              <w:top w:val="single" w:sz="4" w:space="0" w:color="auto"/>
              <w:left w:val="nil"/>
              <w:bottom w:val="single" w:sz="4" w:space="0" w:color="auto"/>
              <w:right w:val="single" w:sz="4" w:space="0" w:color="auto"/>
            </w:tcBorders>
            <w:shd w:val="clear" w:color="000000" w:fill="F2F2F2"/>
            <w:noWrap/>
            <w:vAlign w:val="center"/>
            <w:hideMark/>
          </w:tcPr>
          <w:p w14:paraId="087274BA" w14:textId="77777777" w:rsidR="008F55E7" w:rsidRPr="009D74C3" w:rsidRDefault="008F55E7" w:rsidP="00C079DA">
            <w:pPr>
              <w:spacing w:after="0" w:line="240" w:lineRule="auto"/>
              <w:jc w:val="center"/>
              <w:rPr>
                <w:rFonts w:eastAsia="Times New Roman" w:cstheme="minorHAnsi"/>
                <w:b/>
                <w:bCs/>
                <w:color w:val="000000"/>
              </w:rPr>
            </w:pPr>
            <w:r>
              <w:rPr>
                <w:rFonts w:eastAsia="Times New Roman" w:cstheme="minorHAnsi"/>
                <w:b/>
                <w:bCs/>
                <w:color w:val="000000"/>
              </w:rPr>
              <w:t>Median</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29F4A73D" w14:textId="77777777" w:rsidR="008F55E7" w:rsidRPr="009D74C3" w:rsidRDefault="008F55E7" w:rsidP="00C079DA">
            <w:pPr>
              <w:spacing w:after="0" w:line="240" w:lineRule="auto"/>
              <w:jc w:val="center"/>
              <w:rPr>
                <w:rFonts w:eastAsia="Times New Roman" w:cstheme="minorHAnsi"/>
                <w:b/>
                <w:bCs/>
                <w:color w:val="000000"/>
              </w:rPr>
            </w:pPr>
            <w:r w:rsidRPr="009D74C3">
              <w:rPr>
                <w:rFonts w:eastAsia="Times New Roman" w:cstheme="minorHAnsi"/>
                <w:b/>
                <w:bCs/>
                <w:color w:val="000000"/>
              </w:rPr>
              <w:t>75th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29C09452" w14:textId="77777777" w:rsidR="008F55E7" w:rsidRPr="009D74C3" w:rsidRDefault="008F55E7" w:rsidP="00C079DA">
            <w:pPr>
              <w:spacing w:after="0" w:line="240" w:lineRule="auto"/>
              <w:jc w:val="center"/>
              <w:rPr>
                <w:rFonts w:eastAsia="Times New Roman" w:cstheme="minorHAnsi"/>
                <w:b/>
                <w:bCs/>
                <w:color w:val="000000"/>
              </w:rPr>
            </w:pPr>
            <w:r w:rsidRPr="009D74C3">
              <w:rPr>
                <w:rFonts w:eastAsia="Times New Roman" w:cstheme="minorHAnsi"/>
                <w:b/>
                <w:bCs/>
                <w:color w:val="000000"/>
              </w:rPr>
              <w:t>90th Percentile</w:t>
            </w:r>
          </w:p>
        </w:tc>
        <w:tc>
          <w:tcPr>
            <w:tcW w:w="1139" w:type="dxa"/>
            <w:tcBorders>
              <w:top w:val="single" w:sz="4" w:space="0" w:color="auto"/>
              <w:left w:val="nil"/>
              <w:bottom w:val="single" w:sz="4" w:space="0" w:color="auto"/>
              <w:right w:val="single" w:sz="4" w:space="0" w:color="auto"/>
            </w:tcBorders>
            <w:shd w:val="clear" w:color="000000" w:fill="F2F2F2"/>
            <w:noWrap/>
            <w:vAlign w:val="center"/>
            <w:hideMark/>
          </w:tcPr>
          <w:p w14:paraId="5C06DA5D" w14:textId="77777777" w:rsidR="008F55E7" w:rsidRPr="009D74C3" w:rsidRDefault="008F55E7" w:rsidP="00C079DA">
            <w:pPr>
              <w:spacing w:after="0" w:line="240" w:lineRule="auto"/>
              <w:jc w:val="center"/>
              <w:rPr>
                <w:rFonts w:eastAsia="Times New Roman" w:cstheme="minorHAnsi"/>
                <w:b/>
                <w:bCs/>
                <w:color w:val="000000"/>
              </w:rPr>
            </w:pPr>
            <w:r w:rsidRPr="009D74C3">
              <w:rPr>
                <w:rFonts w:eastAsia="Times New Roman" w:cstheme="minorHAnsi"/>
                <w:b/>
                <w:bCs/>
                <w:color w:val="000000"/>
              </w:rPr>
              <w:t>95th Percentile</w:t>
            </w:r>
          </w:p>
        </w:tc>
        <w:tc>
          <w:tcPr>
            <w:tcW w:w="642" w:type="dxa"/>
            <w:tcBorders>
              <w:top w:val="single" w:sz="4" w:space="0" w:color="auto"/>
              <w:left w:val="nil"/>
              <w:bottom w:val="single" w:sz="4" w:space="0" w:color="auto"/>
              <w:right w:val="single" w:sz="4" w:space="0" w:color="auto"/>
            </w:tcBorders>
            <w:shd w:val="clear" w:color="000000" w:fill="F2F2F2"/>
            <w:noWrap/>
            <w:vAlign w:val="center"/>
            <w:hideMark/>
          </w:tcPr>
          <w:p w14:paraId="0DF4140E" w14:textId="77777777" w:rsidR="008F55E7" w:rsidRPr="009D74C3" w:rsidRDefault="008F55E7" w:rsidP="00C079DA">
            <w:pPr>
              <w:spacing w:after="0" w:line="240" w:lineRule="auto"/>
              <w:jc w:val="center"/>
              <w:rPr>
                <w:rFonts w:eastAsia="Times New Roman" w:cstheme="minorHAnsi"/>
                <w:b/>
                <w:bCs/>
                <w:color w:val="000000"/>
              </w:rPr>
            </w:pPr>
            <w:r w:rsidRPr="009D74C3">
              <w:rPr>
                <w:rFonts w:eastAsia="Times New Roman" w:cstheme="minorHAnsi"/>
                <w:b/>
                <w:bCs/>
                <w:color w:val="000000"/>
              </w:rPr>
              <w:t>Max</w:t>
            </w:r>
          </w:p>
        </w:tc>
      </w:tr>
      <w:tr w:rsidR="008F55E7" w:rsidRPr="009D74C3" w14:paraId="1D4F3D4D" w14:textId="77777777" w:rsidTr="008F55E7">
        <w:trPr>
          <w:cantSplit/>
          <w:trHeight w:val="336"/>
          <w:tblHeader/>
        </w:trPr>
        <w:tc>
          <w:tcPr>
            <w:tcW w:w="74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515DB" w14:textId="4FEDB2D2" w:rsidR="008F55E7" w:rsidRPr="009D74C3" w:rsidRDefault="008F55E7" w:rsidP="008F55E7">
            <w:pPr>
              <w:spacing w:after="0" w:line="240" w:lineRule="auto"/>
              <w:jc w:val="center"/>
              <w:rPr>
                <w:rFonts w:ascii="Times New Roman" w:eastAsia="Times New Roman" w:hAnsi="Times New Roman" w:cs="Times New Roman"/>
                <w:b/>
                <w:bCs/>
                <w:color w:val="000000"/>
              </w:rPr>
            </w:pPr>
            <w:r>
              <w:rPr>
                <w:color w:val="000000"/>
                <w:sz w:val="20"/>
                <w:szCs w:val="20"/>
              </w:rPr>
              <w:t>0.57</w:t>
            </w:r>
          </w:p>
        </w:tc>
        <w:tc>
          <w:tcPr>
            <w:tcW w:w="644" w:type="dxa"/>
            <w:tcBorders>
              <w:top w:val="single" w:sz="4" w:space="0" w:color="auto"/>
              <w:left w:val="nil"/>
              <w:bottom w:val="single" w:sz="4" w:space="0" w:color="auto"/>
              <w:right w:val="single" w:sz="4" w:space="0" w:color="auto"/>
            </w:tcBorders>
            <w:shd w:val="clear" w:color="auto" w:fill="auto"/>
            <w:noWrap/>
            <w:vAlign w:val="bottom"/>
          </w:tcPr>
          <w:p w14:paraId="509447D4" w14:textId="1DBAE920" w:rsidR="008F55E7" w:rsidRPr="009D74C3" w:rsidRDefault="008F55E7" w:rsidP="008F55E7">
            <w:pPr>
              <w:spacing w:after="0" w:line="240" w:lineRule="auto"/>
              <w:jc w:val="center"/>
              <w:rPr>
                <w:rFonts w:ascii="Times New Roman" w:eastAsia="Times New Roman" w:hAnsi="Times New Roman" w:cs="Times New Roman"/>
                <w:b/>
                <w:bCs/>
                <w:color w:val="000000"/>
              </w:rPr>
            </w:pPr>
            <w:r>
              <w:rPr>
                <w:color w:val="000000"/>
                <w:sz w:val="20"/>
                <w:szCs w:val="20"/>
              </w:rPr>
              <w:t>0.19</w:t>
            </w:r>
          </w:p>
        </w:tc>
        <w:tc>
          <w:tcPr>
            <w:tcW w:w="642" w:type="dxa"/>
            <w:tcBorders>
              <w:top w:val="single" w:sz="4" w:space="0" w:color="auto"/>
              <w:left w:val="nil"/>
              <w:bottom w:val="single" w:sz="4" w:space="0" w:color="auto"/>
              <w:right w:val="single" w:sz="4" w:space="0" w:color="auto"/>
            </w:tcBorders>
            <w:shd w:val="clear" w:color="auto" w:fill="auto"/>
            <w:noWrap/>
            <w:vAlign w:val="bottom"/>
          </w:tcPr>
          <w:p w14:paraId="63945E9D" w14:textId="35E94CAC" w:rsidR="008F55E7" w:rsidRPr="009D74C3" w:rsidRDefault="008F55E7" w:rsidP="008F55E7">
            <w:pPr>
              <w:spacing w:after="0" w:line="240" w:lineRule="auto"/>
              <w:jc w:val="center"/>
              <w:rPr>
                <w:rFonts w:ascii="Times New Roman" w:eastAsia="Times New Roman" w:hAnsi="Times New Roman" w:cs="Times New Roman"/>
                <w:b/>
                <w:bCs/>
                <w:color w:val="000000"/>
              </w:rPr>
            </w:pPr>
            <w:r>
              <w:rPr>
                <w:color w:val="000000"/>
                <w:sz w:val="20"/>
                <w:szCs w:val="20"/>
              </w:rPr>
              <w:t>0.20</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4DFE9BA1" w14:textId="75027DAC" w:rsidR="008F55E7" w:rsidRPr="009D74C3" w:rsidRDefault="008F55E7" w:rsidP="008F55E7">
            <w:pPr>
              <w:spacing w:after="0" w:line="240" w:lineRule="auto"/>
              <w:jc w:val="center"/>
              <w:rPr>
                <w:rFonts w:ascii="Times New Roman" w:eastAsia="Times New Roman" w:hAnsi="Times New Roman" w:cs="Times New Roman"/>
                <w:b/>
                <w:bCs/>
                <w:color w:val="000000"/>
              </w:rPr>
            </w:pPr>
            <w:r>
              <w:rPr>
                <w:color w:val="000000"/>
                <w:sz w:val="20"/>
                <w:szCs w:val="20"/>
              </w:rPr>
              <w:t>0.23</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3BA54D39" w14:textId="30575646" w:rsidR="008F55E7" w:rsidRPr="009D74C3" w:rsidRDefault="008F55E7" w:rsidP="008F55E7">
            <w:pPr>
              <w:spacing w:after="0" w:line="240" w:lineRule="auto"/>
              <w:jc w:val="center"/>
              <w:rPr>
                <w:rFonts w:ascii="Times New Roman" w:eastAsia="Times New Roman" w:hAnsi="Times New Roman" w:cs="Times New Roman"/>
                <w:b/>
                <w:bCs/>
                <w:color w:val="000000"/>
              </w:rPr>
            </w:pPr>
            <w:r>
              <w:rPr>
                <w:color w:val="000000"/>
                <w:sz w:val="20"/>
                <w:szCs w:val="20"/>
              </w:rPr>
              <w:t>0.27</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4F906676" w14:textId="014A583A" w:rsidR="008F55E7" w:rsidRPr="009D74C3" w:rsidRDefault="008F55E7" w:rsidP="008F55E7">
            <w:pPr>
              <w:spacing w:after="0" w:line="240" w:lineRule="auto"/>
              <w:jc w:val="center"/>
              <w:rPr>
                <w:rFonts w:ascii="Times New Roman" w:eastAsia="Times New Roman" w:hAnsi="Times New Roman" w:cs="Times New Roman"/>
                <w:b/>
                <w:bCs/>
                <w:color w:val="000000"/>
              </w:rPr>
            </w:pPr>
            <w:r>
              <w:rPr>
                <w:color w:val="000000"/>
                <w:sz w:val="20"/>
                <w:szCs w:val="20"/>
              </w:rPr>
              <w:t>0.41</w:t>
            </w:r>
          </w:p>
        </w:tc>
        <w:tc>
          <w:tcPr>
            <w:tcW w:w="1050" w:type="dxa"/>
            <w:tcBorders>
              <w:top w:val="single" w:sz="4" w:space="0" w:color="auto"/>
              <w:left w:val="nil"/>
              <w:bottom w:val="single" w:sz="4" w:space="0" w:color="auto"/>
              <w:right w:val="single" w:sz="4" w:space="0" w:color="auto"/>
            </w:tcBorders>
            <w:shd w:val="clear" w:color="auto" w:fill="auto"/>
            <w:noWrap/>
            <w:vAlign w:val="bottom"/>
          </w:tcPr>
          <w:p w14:paraId="71B7A624" w14:textId="2D32F73E" w:rsidR="008F55E7" w:rsidRPr="009D74C3" w:rsidRDefault="008F55E7" w:rsidP="008F55E7">
            <w:pPr>
              <w:spacing w:after="0" w:line="240" w:lineRule="auto"/>
              <w:jc w:val="center"/>
              <w:rPr>
                <w:rFonts w:ascii="Times New Roman" w:eastAsia="Times New Roman" w:hAnsi="Times New Roman" w:cs="Times New Roman"/>
                <w:b/>
                <w:bCs/>
                <w:color w:val="000000"/>
              </w:rPr>
            </w:pPr>
            <w:r>
              <w:rPr>
                <w:color w:val="000000"/>
                <w:sz w:val="20"/>
                <w:szCs w:val="20"/>
              </w:rPr>
              <w:t>0.59</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2D6D94C9" w14:textId="1D57C883" w:rsidR="008F55E7" w:rsidRPr="009D74C3" w:rsidRDefault="008F55E7" w:rsidP="008F55E7">
            <w:pPr>
              <w:spacing w:after="0" w:line="240" w:lineRule="auto"/>
              <w:jc w:val="center"/>
              <w:rPr>
                <w:rFonts w:ascii="Times New Roman" w:eastAsia="Times New Roman" w:hAnsi="Times New Roman" w:cs="Times New Roman"/>
                <w:b/>
                <w:bCs/>
                <w:color w:val="000000"/>
              </w:rPr>
            </w:pPr>
            <w:r>
              <w:rPr>
                <w:color w:val="000000"/>
                <w:sz w:val="20"/>
                <w:szCs w:val="20"/>
              </w:rPr>
              <w:t>0.72</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5FF1B776" w14:textId="572C26CD" w:rsidR="008F55E7" w:rsidRPr="009D74C3" w:rsidRDefault="008F55E7" w:rsidP="008F55E7">
            <w:pPr>
              <w:spacing w:after="0" w:line="240" w:lineRule="auto"/>
              <w:jc w:val="center"/>
              <w:rPr>
                <w:rFonts w:ascii="Times New Roman" w:eastAsia="Times New Roman" w:hAnsi="Times New Roman" w:cs="Times New Roman"/>
                <w:b/>
                <w:bCs/>
                <w:color w:val="000000"/>
              </w:rPr>
            </w:pPr>
            <w:r>
              <w:rPr>
                <w:color w:val="000000"/>
                <w:sz w:val="20"/>
                <w:szCs w:val="20"/>
              </w:rPr>
              <w:t>0.81</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57181EE7" w14:textId="58A66853" w:rsidR="008F55E7" w:rsidRPr="009D74C3" w:rsidRDefault="008F55E7" w:rsidP="008F55E7">
            <w:pPr>
              <w:spacing w:after="0" w:line="240" w:lineRule="auto"/>
              <w:jc w:val="center"/>
              <w:rPr>
                <w:rFonts w:ascii="Times New Roman" w:eastAsia="Times New Roman" w:hAnsi="Times New Roman" w:cs="Times New Roman"/>
                <w:b/>
                <w:bCs/>
                <w:color w:val="000000"/>
              </w:rPr>
            </w:pPr>
            <w:r>
              <w:rPr>
                <w:color w:val="000000"/>
                <w:sz w:val="20"/>
                <w:szCs w:val="20"/>
              </w:rPr>
              <w:t>0.84</w:t>
            </w:r>
          </w:p>
        </w:tc>
        <w:tc>
          <w:tcPr>
            <w:tcW w:w="642" w:type="dxa"/>
            <w:tcBorders>
              <w:top w:val="single" w:sz="4" w:space="0" w:color="auto"/>
              <w:left w:val="nil"/>
              <w:bottom w:val="single" w:sz="4" w:space="0" w:color="auto"/>
              <w:right w:val="single" w:sz="4" w:space="0" w:color="auto"/>
            </w:tcBorders>
            <w:shd w:val="clear" w:color="auto" w:fill="auto"/>
            <w:noWrap/>
            <w:vAlign w:val="bottom"/>
          </w:tcPr>
          <w:p w14:paraId="5366797B" w14:textId="4223A962" w:rsidR="008F55E7" w:rsidRPr="009D74C3" w:rsidRDefault="008F55E7" w:rsidP="008F55E7">
            <w:pPr>
              <w:spacing w:after="0" w:line="240" w:lineRule="auto"/>
              <w:jc w:val="center"/>
              <w:rPr>
                <w:rFonts w:ascii="Times New Roman" w:eastAsia="Times New Roman" w:hAnsi="Times New Roman" w:cs="Times New Roman"/>
                <w:b/>
                <w:bCs/>
                <w:color w:val="000000"/>
              </w:rPr>
            </w:pPr>
            <w:r>
              <w:rPr>
                <w:color w:val="000000"/>
                <w:sz w:val="20"/>
                <w:szCs w:val="20"/>
              </w:rPr>
              <w:t>0.93</w:t>
            </w:r>
          </w:p>
        </w:tc>
      </w:tr>
    </w:tbl>
    <w:p w14:paraId="4596AB4C" w14:textId="417B55F5" w:rsidR="00304643" w:rsidRDefault="00304643" w:rsidP="008F55E7">
      <w:pPr>
        <w:autoSpaceDE w:val="0"/>
        <w:autoSpaceDN w:val="0"/>
        <w:adjustRightInd w:val="0"/>
        <w:spacing w:before="240" w:after="240" w:line="240" w:lineRule="auto"/>
        <w:rPr>
          <w:rFonts w:ascii="Calibri" w:hAnsi="Calibri" w:cs="Calibri"/>
          <w:color w:val="C00000"/>
        </w:rPr>
      </w:pPr>
      <w:r w:rsidRPr="0048088A">
        <w:rPr>
          <w:rFonts w:ascii="Calibri" w:hAnsi="Calibri" w:cs="Calibri"/>
          <w:color w:val="C00000"/>
        </w:rPr>
        <w:t xml:space="preserve">*Hospital measure scores are calculated for all hospitals (including those that have fewer than 25 admissions) but only </w:t>
      </w:r>
      <w:r w:rsidR="00E80E35">
        <w:rPr>
          <w:rFonts w:ascii="Calibri" w:hAnsi="Calibri" w:cs="Calibri"/>
          <w:color w:val="C00000"/>
        </w:rPr>
        <w:t xml:space="preserve">publicly </w:t>
      </w:r>
      <w:r w:rsidRPr="0048088A">
        <w:rPr>
          <w:rFonts w:ascii="Calibri" w:hAnsi="Calibri" w:cs="Calibri"/>
          <w:color w:val="C00000"/>
        </w:rPr>
        <w:t>reported for those that have at least 25 admissions to ensure hospital results are reliable.</w:t>
      </w:r>
    </w:p>
    <w:p w14:paraId="319173B7" w14:textId="77777777" w:rsidR="008F55E7" w:rsidRPr="0048088A" w:rsidRDefault="008F55E7" w:rsidP="008F55E7">
      <w:pPr>
        <w:autoSpaceDE w:val="0"/>
        <w:autoSpaceDN w:val="0"/>
        <w:adjustRightInd w:val="0"/>
        <w:spacing w:before="120" w:after="120" w:line="240" w:lineRule="auto"/>
        <w:rPr>
          <w:rFonts w:cstheme="minorHAnsi"/>
          <w:bCs/>
          <w:color w:val="C00000"/>
        </w:rPr>
      </w:pPr>
      <w:r w:rsidRPr="0048088A">
        <w:rPr>
          <w:rFonts w:cstheme="minorHAnsi"/>
          <w:noProof/>
          <w:color w:val="C00000"/>
          <w:u w:val="single"/>
        </w:rPr>
        <w:t>Split-Sample Reliability</w:t>
      </w:r>
    </w:p>
    <w:p w14:paraId="3410F558" w14:textId="77777777" w:rsidR="008F55E7" w:rsidRPr="0048088A" w:rsidRDefault="008F55E7" w:rsidP="008F55E7">
      <w:pPr>
        <w:autoSpaceDE w:val="0"/>
        <w:autoSpaceDN w:val="0"/>
        <w:adjustRightInd w:val="0"/>
        <w:spacing w:before="120" w:after="120" w:line="240" w:lineRule="auto"/>
        <w:rPr>
          <w:rFonts w:cstheme="minorHAnsi"/>
          <w:bCs/>
          <w:color w:val="C00000"/>
        </w:rPr>
      </w:pPr>
      <w:r w:rsidRPr="0048088A">
        <w:rPr>
          <w:rFonts w:cstheme="minorHAnsi"/>
          <w:bCs/>
          <w:color w:val="C00000"/>
        </w:rPr>
        <w:t>In total, 470,621 admissions were included in the analysis, using three years of data. After randomly splitting the sample into two halves, there were 234,188 admissions from 3,949 hospitals in one half and 236,433 admissions from 4,246 hospitals in the other half. As a metric of agreement, we calculated the ICC for hospitals with 25 admissions or more. Using the Spearman-Brown prediction formula, the agreement between the two independent assessments of the RSMR for each hospital was 0.428.</w:t>
      </w:r>
    </w:p>
    <w:p w14:paraId="416C432C" w14:textId="77777777" w:rsidR="006673B5" w:rsidRDefault="00092566" w:rsidP="006673B5">
      <w:pPr>
        <w:autoSpaceDE w:val="0"/>
        <w:autoSpaceDN w:val="0"/>
        <w:adjustRightInd w:val="0"/>
        <w:spacing w:before="120" w:after="12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005B2AB0" w14:textId="7BF0013C" w:rsidR="0048088A" w:rsidRDefault="00304643" w:rsidP="006673B5">
      <w:pPr>
        <w:autoSpaceDE w:val="0"/>
        <w:autoSpaceDN w:val="0"/>
        <w:adjustRightInd w:val="0"/>
        <w:spacing w:before="120" w:after="120" w:line="240" w:lineRule="auto"/>
        <w:rPr>
          <w:rFonts w:cstheme="minorHAnsi"/>
          <w:bCs/>
        </w:rPr>
      </w:pPr>
      <w:r w:rsidRPr="0048088A">
        <w:rPr>
          <w:rFonts w:cstheme="minorHAnsi"/>
          <w:noProof/>
          <w:color w:val="C00000"/>
          <w:u w:val="single"/>
        </w:rPr>
        <w:lastRenderedPageBreak/>
        <w:t>Measure Score Reliability Results</w:t>
      </w:r>
    </w:p>
    <w:p w14:paraId="18F11180" w14:textId="5123C306" w:rsidR="0048088A" w:rsidRDefault="00304643" w:rsidP="0048088A">
      <w:pPr>
        <w:autoSpaceDE w:val="0"/>
        <w:autoSpaceDN w:val="0"/>
        <w:adjustRightInd w:val="0"/>
        <w:spacing w:before="120" w:after="120" w:line="240" w:lineRule="auto"/>
        <w:rPr>
          <w:rFonts w:cstheme="minorHAnsi"/>
          <w:bCs/>
        </w:rPr>
      </w:pPr>
      <w:r w:rsidRPr="0048088A">
        <w:rPr>
          <w:rFonts w:cstheme="minorHAnsi"/>
          <w:bCs/>
          <w:color w:val="C00000"/>
        </w:rPr>
        <w:t>Using the approach used by Adams et. al.</w:t>
      </w:r>
      <w:r w:rsidR="000857BA">
        <w:rPr>
          <w:rFonts w:cstheme="minorHAnsi"/>
          <w:bCs/>
          <w:color w:val="C00000"/>
        </w:rPr>
        <w:t xml:space="preserve"> and Yu et al.</w:t>
      </w:r>
      <w:r w:rsidRPr="0048088A">
        <w:rPr>
          <w:rFonts w:cstheme="minorHAnsi"/>
          <w:bCs/>
          <w:color w:val="C00000"/>
        </w:rPr>
        <w:t>, we obtained the median signal-to-noise reliability score of 0.5</w:t>
      </w:r>
      <w:r w:rsidR="0003566C" w:rsidRPr="0048088A">
        <w:rPr>
          <w:rFonts w:cstheme="minorHAnsi"/>
          <w:bCs/>
          <w:color w:val="C00000"/>
        </w:rPr>
        <w:t>9</w:t>
      </w:r>
      <w:r w:rsidRPr="0048088A">
        <w:rPr>
          <w:rFonts w:cstheme="minorHAnsi"/>
          <w:bCs/>
          <w:color w:val="C00000"/>
        </w:rPr>
        <w:t>, which demo</w:t>
      </w:r>
      <w:r w:rsidR="008F55E7">
        <w:rPr>
          <w:rFonts w:cstheme="minorHAnsi"/>
          <w:bCs/>
          <w:color w:val="C00000"/>
        </w:rPr>
        <w:t>nstrates moderate agreement</w:t>
      </w:r>
      <w:r w:rsidRPr="0048088A">
        <w:rPr>
          <w:rFonts w:cstheme="minorHAnsi"/>
          <w:bCs/>
          <w:color w:val="C00000"/>
        </w:rPr>
        <w:t xml:space="preserve">. </w:t>
      </w:r>
    </w:p>
    <w:p w14:paraId="7157792C" w14:textId="77777777" w:rsidR="0048088A" w:rsidRDefault="00304643" w:rsidP="0048088A">
      <w:pPr>
        <w:autoSpaceDE w:val="0"/>
        <w:autoSpaceDN w:val="0"/>
        <w:adjustRightInd w:val="0"/>
        <w:spacing w:after="0" w:line="240" w:lineRule="auto"/>
        <w:rPr>
          <w:rFonts w:cstheme="minorHAnsi"/>
          <w:bCs/>
        </w:rPr>
      </w:pPr>
      <w:r w:rsidRPr="0048088A">
        <w:rPr>
          <w:rFonts w:cstheme="minorHAnsi"/>
          <w:bCs/>
          <w:color w:val="C00000"/>
        </w:rPr>
        <w:t>Our interpretation of the results is based on the standards established by Landis and Koch (1977):</w:t>
      </w:r>
    </w:p>
    <w:p w14:paraId="52BFEDA6" w14:textId="025B80F1" w:rsidR="0048088A" w:rsidRDefault="00304643" w:rsidP="0048088A">
      <w:pPr>
        <w:autoSpaceDE w:val="0"/>
        <w:autoSpaceDN w:val="0"/>
        <w:adjustRightInd w:val="0"/>
        <w:spacing w:after="0" w:line="240" w:lineRule="auto"/>
        <w:ind w:firstLine="720"/>
        <w:rPr>
          <w:rFonts w:cstheme="minorHAnsi"/>
          <w:bCs/>
        </w:rPr>
      </w:pPr>
      <w:r w:rsidRPr="0048088A">
        <w:rPr>
          <w:rFonts w:cstheme="minorHAnsi"/>
          <w:bCs/>
          <w:color w:val="C00000"/>
        </w:rPr>
        <w:t>&lt; 0 – Less than chance agreement;</w:t>
      </w:r>
    </w:p>
    <w:p w14:paraId="12D68D1D" w14:textId="77777777" w:rsidR="0048088A" w:rsidRDefault="00304643" w:rsidP="0048088A">
      <w:pPr>
        <w:autoSpaceDE w:val="0"/>
        <w:autoSpaceDN w:val="0"/>
        <w:adjustRightInd w:val="0"/>
        <w:spacing w:after="0" w:line="240" w:lineRule="auto"/>
        <w:ind w:firstLine="720"/>
        <w:rPr>
          <w:rFonts w:cstheme="minorHAnsi"/>
          <w:bCs/>
        </w:rPr>
      </w:pPr>
      <w:r w:rsidRPr="0048088A">
        <w:rPr>
          <w:rFonts w:cstheme="minorHAnsi"/>
          <w:bCs/>
          <w:color w:val="C00000"/>
        </w:rPr>
        <w:t>0 – 0.2 Slight agreement;</w:t>
      </w:r>
    </w:p>
    <w:p w14:paraId="28196D87" w14:textId="77777777" w:rsidR="0048088A" w:rsidRDefault="00304643" w:rsidP="0048088A">
      <w:pPr>
        <w:autoSpaceDE w:val="0"/>
        <w:autoSpaceDN w:val="0"/>
        <w:adjustRightInd w:val="0"/>
        <w:spacing w:after="0" w:line="240" w:lineRule="auto"/>
        <w:ind w:firstLine="720"/>
        <w:rPr>
          <w:rFonts w:cstheme="minorHAnsi"/>
          <w:bCs/>
        </w:rPr>
      </w:pPr>
      <w:r w:rsidRPr="0048088A">
        <w:rPr>
          <w:rFonts w:cstheme="minorHAnsi"/>
          <w:bCs/>
          <w:color w:val="C00000"/>
        </w:rPr>
        <w:t>0.21 – 0.39 Fair agreement;</w:t>
      </w:r>
    </w:p>
    <w:p w14:paraId="60366E10" w14:textId="77777777" w:rsidR="0048088A" w:rsidRDefault="00304643" w:rsidP="0048088A">
      <w:pPr>
        <w:autoSpaceDE w:val="0"/>
        <w:autoSpaceDN w:val="0"/>
        <w:adjustRightInd w:val="0"/>
        <w:spacing w:after="0" w:line="240" w:lineRule="auto"/>
        <w:ind w:firstLine="720"/>
        <w:rPr>
          <w:rFonts w:cstheme="minorHAnsi"/>
          <w:bCs/>
        </w:rPr>
      </w:pPr>
      <w:r w:rsidRPr="0048088A">
        <w:rPr>
          <w:rFonts w:cstheme="minorHAnsi"/>
          <w:bCs/>
          <w:color w:val="C00000"/>
        </w:rPr>
        <w:t>0.4 – 0.59 Moderate agreement;</w:t>
      </w:r>
    </w:p>
    <w:p w14:paraId="37030DBA" w14:textId="77777777" w:rsidR="0048088A" w:rsidRDefault="00304643" w:rsidP="0048088A">
      <w:pPr>
        <w:autoSpaceDE w:val="0"/>
        <w:autoSpaceDN w:val="0"/>
        <w:adjustRightInd w:val="0"/>
        <w:spacing w:after="0" w:line="240" w:lineRule="auto"/>
        <w:ind w:firstLine="720"/>
        <w:rPr>
          <w:rFonts w:cstheme="minorHAnsi"/>
          <w:bCs/>
        </w:rPr>
      </w:pPr>
      <w:r w:rsidRPr="0048088A">
        <w:rPr>
          <w:rFonts w:cstheme="minorHAnsi"/>
          <w:bCs/>
          <w:color w:val="C00000"/>
        </w:rPr>
        <w:t xml:space="preserve">0.6 – 0.79 Substantial agreement; </w:t>
      </w:r>
    </w:p>
    <w:p w14:paraId="1267ADD4" w14:textId="77777777" w:rsidR="0048088A" w:rsidRDefault="00304643" w:rsidP="0048088A">
      <w:pPr>
        <w:autoSpaceDE w:val="0"/>
        <w:autoSpaceDN w:val="0"/>
        <w:adjustRightInd w:val="0"/>
        <w:spacing w:after="0" w:line="240" w:lineRule="auto"/>
        <w:ind w:firstLine="720"/>
        <w:rPr>
          <w:rFonts w:cstheme="minorHAnsi"/>
          <w:bCs/>
        </w:rPr>
      </w:pPr>
      <w:r w:rsidRPr="0048088A">
        <w:rPr>
          <w:rFonts w:cstheme="minorHAnsi"/>
          <w:bCs/>
          <w:color w:val="C00000"/>
        </w:rPr>
        <w:t>0.8 – 0.99 Almost Perfect agreement; and</w:t>
      </w:r>
    </w:p>
    <w:p w14:paraId="3854E2B6" w14:textId="77777777" w:rsidR="0048088A" w:rsidRDefault="00304643" w:rsidP="0048088A">
      <w:pPr>
        <w:autoSpaceDE w:val="0"/>
        <w:autoSpaceDN w:val="0"/>
        <w:adjustRightInd w:val="0"/>
        <w:spacing w:after="0" w:line="240" w:lineRule="auto"/>
        <w:ind w:firstLine="720"/>
        <w:rPr>
          <w:rFonts w:cstheme="minorHAnsi"/>
          <w:bCs/>
        </w:rPr>
      </w:pPr>
      <w:r w:rsidRPr="0048088A">
        <w:rPr>
          <w:rFonts w:cstheme="minorHAnsi"/>
          <w:bCs/>
          <w:color w:val="C00000"/>
        </w:rPr>
        <w:t>1 Perfect agreement</w:t>
      </w:r>
      <w:r w:rsidRPr="0048088A" w:rsidDel="00A913F5">
        <w:rPr>
          <w:rFonts w:cstheme="minorHAnsi"/>
          <w:bCs/>
          <w:color w:val="C00000"/>
        </w:rPr>
        <w:t xml:space="preserve"> </w:t>
      </w:r>
    </w:p>
    <w:p w14:paraId="6EAA761A" w14:textId="77777777" w:rsidR="008F55E7" w:rsidRPr="008F55E7" w:rsidRDefault="008F55E7" w:rsidP="008F55E7">
      <w:pPr>
        <w:autoSpaceDE w:val="0"/>
        <w:autoSpaceDN w:val="0"/>
        <w:adjustRightInd w:val="0"/>
        <w:spacing w:before="120" w:after="120" w:line="240" w:lineRule="auto"/>
        <w:rPr>
          <w:rFonts w:cstheme="minorHAnsi"/>
          <w:bCs/>
          <w:color w:val="C00000"/>
        </w:rPr>
      </w:pPr>
      <w:r w:rsidRPr="008F55E7">
        <w:rPr>
          <w:rFonts w:cstheme="minorHAnsi"/>
          <w:bCs/>
          <w:color w:val="C00000"/>
        </w:rPr>
        <w:t xml:space="preserve">The split-sample reliability score of 0.428, discussed in the previous section, represents the lower bound of estimate of the true measure reliability. </w:t>
      </w:r>
    </w:p>
    <w:p w14:paraId="65DBCA52" w14:textId="34428FFE" w:rsidR="0048088A" w:rsidRDefault="00304643" w:rsidP="0048088A">
      <w:pPr>
        <w:autoSpaceDE w:val="0"/>
        <w:autoSpaceDN w:val="0"/>
        <w:adjustRightInd w:val="0"/>
        <w:spacing w:before="120" w:after="120" w:line="240" w:lineRule="auto"/>
        <w:rPr>
          <w:color w:val="C00000"/>
        </w:rPr>
      </w:pPr>
      <w:r w:rsidRPr="0048088A">
        <w:rPr>
          <w:color w:val="C00000"/>
        </w:rPr>
        <w:t>In the absence of empirically supported standards, our position is that ‘acceptability’ depends on context. For simple concepts or constructs, such as a patient’s weight, the expectation is that the test-retest reliability of a measure of that construct should be quite high. However, for complex constructs, such as clinical severity, patient comorbidity, or symptom profiles used to identify a condition or clinical state, reliability of measures used to define these constructs is quite a bit lower.</w:t>
      </w:r>
    </w:p>
    <w:p w14:paraId="76FFF49D" w14:textId="77777777" w:rsidR="008F55E7" w:rsidRDefault="008F55E7" w:rsidP="008F55E7">
      <w:pPr>
        <w:autoSpaceDE w:val="0"/>
        <w:autoSpaceDN w:val="0"/>
        <w:adjustRightInd w:val="0"/>
        <w:spacing w:before="120" w:after="120" w:line="240" w:lineRule="auto"/>
        <w:rPr>
          <w:rFonts w:cstheme="minorHAnsi"/>
          <w:bCs/>
          <w:color w:val="C00000"/>
        </w:rPr>
      </w:pPr>
      <w:r w:rsidRPr="0048088A">
        <w:rPr>
          <w:rFonts w:cstheme="minorHAnsi"/>
          <w:bCs/>
          <w:color w:val="C00000"/>
        </w:rPr>
        <w:t>Taken together, these results indicate that there is moderate reliability in the measure score.</w:t>
      </w:r>
    </w:p>
    <w:p w14:paraId="5D615885" w14:textId="77777777" w:rsidR="0048088A" w:rsidRDefault="00304643" w:rsidP="0048088A">
      <w:pPr>
        <w:autoSpaceDE w:val="0"/>
        <w:autoSpaceDN w:val="0"/>
        <w:adjustRightInd w:val="0"/>
        <w:spacing w:before="120" w:after="120" w:line="240" w:lineRule="auto"/>
        <w:rPr>
          <w:rFonts w:cstheme="minorHAnsi"/>
          <w:bCs/>
        </w:rPr>
      </w:pPr>
      <w:r w:rsidRPr="0048088A">
        <w:rPr>
          <w:rFonts w:cstheme="minorHAnsi"/>
          <w:bCs/>
          <w:noProof/>
          <w:color w:val="C00000"/>
          <w:u w:val="single"/>
        </w:rPr>
        <w:t>References:</w:t>
      </w:r>
    </w:p>
    <w:p w14:paraId="4353B4D3" w14:textId="77777777" w:rsidR="0048088A" w:rsidRPr="0048088A" w:rsidRDefault="00304643" w:rsidP="0048088A">
      <w:pPr>
        <w:autoSpaceDE w:val="0"/>
        <w:autoSpaceDN w:val="0"/>
        <w:adjustRightInd w:val="0"/>
        <w:spacing w:before="120" w:after="120" w:line="240" w:lineRule="auto"/>
        <w:rPr>
          <w:rFonts w:cstheme="minorHAnsi"/>
          <w:bCs/>
          <w:color w:val="7030A0"/>
        </w:rPr>
      </w:pPr>
      <w:r w:rsidRPr="0048088A">
        <w:rPr>
          <w:rFonts w:cstheme="minorHAnsi"/>
          <w:bCs/>
          <w:noProof/>
          <w:color w:val="7030A0"/>
        </w:rPr>
        <w:t>Landis J, Koch G. The measurement of observer agreement for categorical data, Biometrics 1977;33:159-174.</w:t>
      </w:r>
    </w:p>
    <w:p w14:paraId="24757D45" w14:textId="77777777" w:rsidR="0048088A" w:rsidRDefault="00304643" w:rsidP="0048088A">
      <w:pPr>
        <w:autoSpaceDE w:val="0"/>
        <w:autoSpaceDN w:val="0"/>
        <w:adjustRightInd w:val="0"/>
        <w:spacing w:before="120" w:after="120" w:line="240" w:lineRule="auto"/>
        <w:rPr>
          <w:rFonts w:cstheme="minorHAnsi"/>
          <w:bCs/>
        </w:rPr>
      </w:pPr>
      <w:r w:rsidRPr="0048088A">
        <w:rPr>
          <w:rFonts w:cstheme="minorHAnsi"/>
          <w:bCs/>
          <w:noProof/>
          <w:color w:val="C00000"/>
        </w:rPr>
        <w:t>Adams J, Mehrota, A, Thoman J, McGlynn, E. (2010). Physician cost profiling – reliability and risk of misclassification. NEJM, 362(11): 1014-1021.</w:t>
      </w:r>
    </w:p>
    <w:p w14:paraId="1972895C" w14:textId="42E9F554" w:rsidR="00304643" w:rsidRPr="0048088A" w:rsidRDefault="00304643" w:rsidP="0048088A">
      <w:pPr>
        <w:autoSpaceDE w:val="0"/>
        <w:autoSpaceDN w:val="0"/>
        <w:adjustRightInd w:val="0"/>
        <w:spacing w:before="120" w:after="120" w:line="240" w:lineRule="auto"/>
        <w:rPr>
          <w:rFonts w:cstheme="minorHAnsi"/>
          <w:bCs/>
        </w:rPr>
      </w:pPr>
      <w:r w:rsidRPr="0048088A">
        <w:rPr>
          <w:rFonts w:cstheme="minorHAnsi"/>
          <w:bCs/>
          <w:noProof/>
          <w:color w:val="C00000"/>
        </w:rPr>
        <w:t>Yu, H, Mehrota, A, Adams J. (2013). Reliability of utilization measures for primary care physician profiling. Healthcare, 1, 22-29.</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271C3DBD" w:rsidR="00696262" w:rsidRPr="00A25024" w:rsidRDefault="00CD0CB6" w:rsidP="00696262">
      <w:pPr>
        <w:autoSpaceDE w:val="0"/>
        <w:autoSpaceDN w:val="0"/>
        <w:adjustRightInd w:val="0"/>
        <w:spacing w:after="0" w:line="240" w:lineRule="auto"/>
        <w:rPr>
          <w:rFonts w:cstheme="minorHAnsi"/>
          <w:b/>
          <w:bCs/>
        </w:rPr>
      </w:pPr>
      <w:sdt>
        <w:sdtPr>
          <w:rPr>
            <w:rFonts w:cstheme="minorHAnsi"/>
            <w:bCs/>
            <w:color w:val="7030A0"/>
          </w:rPr>
          <w:id w:val="-1767844731"/>
          <w14:checkbox>
            <w14:checked w14:val="1"/>
            <w14:checkedState w14:val="2612" w14:font="MS Gothic"/>
            <w14:uncheckedState w14:val="2610" w14:font="MS Gothic"/>
          </w14:checkbox>
        </w:sdtPr>
        <w:sdtEndPr/>
        <w:sdtContent>
          <w:r w:rsidR="0048088A">
            <w:rPr>
              <w:rFonts w:ascii="MS Gothic" w:eastAsia="MS Gothic" w:hAnsi="MS Gothic" w:cstheme="minorHAnsi" w:hint="eastAsia"/>
              <w:bCs/>
              <w:color w:val="7030A0"/>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2E2E6F95" w:rsidR="000574AB" w:rsidRPr="00A25024" w:rsidRDefault="00CD0CB6" w:rsidP="00696262">
      <w:pPr>
        <w:autoSpaceDE w:val="0"/>
        <w:autoSpaceDN w:val="0"/>
        <w:adjustRightInd w:val="0"/>
        <w:spacing w:after="0" w:line="240" w:lineRule="auto"/>
        <w:ind w:left="255"/>
        <w:rPr>
          <w:rFonts w:cstheme="minorHAnsi"/>
          <w:bCs/>
        </w:rPr>
      </w:pPr>
      <w:sdt>
        <w:sdtPr>
          <w:rPr>
            <w:rFonts w:cstheme="minorHAnsi"/>
            <w:bCs/>
            <w:color w:val="7030A0"/>
          </w:rPr>
          <w:id w:val="-114983144"/>
          <w14:checkbox>
            <w14:checked w14:val="1"/>
            <w14:checkedState w14:val="2612" w14:font="MS Gothic"/>
            <w14:uncheckedState w14:val="2610" w14:font="MS Gothic"/>
          </w14:checkbox>
        </w:sdtPr>
        <w:sdtEndPr/>
        <w:sdtContent>
          <w:r w:rsidR="0048088A">
            <w:rPr>
              <w:rFonts w:ascii="MS Gothic" w:eastAsia="MS Gothic" w:hAnsi="MS Gothic" w:cstheme="minorHAnsi" w:hint="eastAsia"/>
              <w:bCs/>
              <w:color w:val="7030A0"/>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7030A0"/>
          </w:rPr>
          <w:id w:val="-1042279617"/>
          <w14:checkbox>
            <w14:checked w14:val="1"/>
            <w14:checkedState w14:val="2612" w14:font="MS Gothic"/>
            <w14:uncheckedState w14:val="2610" w14:font="MS Gothic"/>
          </w14:checkbox>
        </w:sdtPr>
        <w:sdtEndPr/>
        <w:sdtContent>
          <w:r w:rsidR="0048088A" w:rsidRPr="0048088A">
            <w:rPr>
              <w:rFonts w:ascii="MS Gothic" w:eastAsia="MS Gothic" w:hAnsi="MS Gothic" w:cstheme="minorHAnsi" w:hint="eastAsia"/>
              <w:bCs/>
              <w:color w:val="7030A0"/>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84071B">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w:t>
      </w:r>
      <w:r w:rsidR="0084071B">
        <w:rPr>
          <w:rFonts w:eastAsia="MS Gothic" w:cstheme="minorHAnsi"/>
          <w:bCs/>
        </w:rPr>
        <w:t xml:space="preserve"> </w:t>
      </w:r>
      <w:r w:rsidR="00275563">
        <w:rPr>
          <w:rFonts w:eastAsia="MS Gothic" w:cstheme="minorHAnsi"/>
          <w:bCs/>
        </w:rPr>
        <w:t>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21F0265C" w14:textId="77777777" w:rsidR="00BC292B" w:rsidRDefault="009C7513" w:rsidP="0048088A">
      <w:pPr>
        <w:autoSpaceDE w:val="0"/>
        <w:autoSpaceDN w:val="0"/>
        <w:adjustRightInd w:val="0"/>
        <w:spacing w:before="120" w:after="12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2A80FFDA" w14:textId="16003B50" w:rsidR="0048088A" w:rsidRPr="00F1628C" w:rsidRDefault="0048088A" w:rsidP="0048088A">
      <w:pPr>
        <w:autoSpaceDE w:val="0"/>
        <w:autoSpaceDN w:val="0"/>
        <w:adjustRightInd w:val="0"/>
        <w:spacing w:before="120" w:after="120" w:line="240" w:lineRule="auto"/>
        <w:rPr>
          <w:rFonts w:cstheme="minorHAnsi"/>
          <w:bCs/>
          <w:color w:val="C00000"/>
          <w:u w:val="single"/>
        </w:rPr>
      </w:pPr>
      <w:r w:rsidRPr="00F1628C">
        <w:rPr>
          <w:rFonts w:cstheme="minorHAnsi"/>
          <w:bCs/>
          <w:color w:val="C00000"/>
          <w:u w:val="single"/>
        </w:rPr>
        <w:t>Empirical Validity</w:t>
      </w:r>
    </w:p>
    <w:p w14:paraId="31E418FA" w14:textId="071D193A" w:rsidR="0048088A" w:rsidRPr="00F1628C" w:rsidRDefault="0048088A" w:rsidP="0048088A">
      <w:pPr>
        <w:autoSpaceDE w:val="0"/>
        <w:autoSpaceDN w:val="0"/>
        <w:adjustRightInd w:val="0"/>
        <w:spacing w:before="120" w:after="120" w:line="240" w:lineRule="auto"/>
        <w:rPr>
          <w:rFonts w:cstheme="minorHAnsi"/>
          <w:bCs/>
          <w:color w:val="C00000"/>
        </w:rPr>
      </w:pPr>
      <w:r w:rsidRPr="00F1628C">
        <w:rPr>
          <w:rFonts w:cstheme="minorHAnsi"/>
          <w:bCs/>
          <w:color w:val="C00000"/>
        </w:rPr>
        <w:lastRenderedPageBreak/>
        <w:t xml:space="preserve">Stewards of NQF-endorsed measures going through the re-endorsement process are required to demonstrate external validity testing at the time of maintenance review, or if this is not possible, justify the use of face validity only. To meet this requirement for the </w:t>
      </w:r>
      <w:r w:rsidR="00D2108C">
        <w:rPr>
          <w:rFonts w:cstheme="minorHAnsi"/>
          <w:bCs/>
          <w:color w:val="C00000"/>
        </w:rPr>
        <w:t>AMI</w:t>
      </w:r>
      <w:r w:rsidRPr="00F1628C">
        <w:rPr>
          <w:rFonts w:cstheme="minorHAnsi"/>
          <w:bCs/>
          <w:color w:val="C00000"/>
        </w:rPr>
        <w:t xml:space="preserve"> mortality measure, we identified and assessed the measure’s correlation with other measures that target the same domain of quality (e.g. complications, safety, or post-procedure utilization) for the same or similar populations. The goal was to identify if better performance in this measure was related to better performance on other relevant structural or outcomes measures. After literature review and consultations with measures experts in the field, there were very few measures identified that assess the same domains of quality. Given that challenge, we selected the following to use for validity testing.</w:t>
      </w:r>
      <w:r w:rsidR="0084071B">
        <w:rPr>
          <w:rFonts w:cstheme="minorHAnsi"/>
          <w:bCs/>
          <w:color w:val="C00000"/>
        </w:rPr>
        <w:t xml:space="preserve"> </w:t>
      </w:r>
    </w:p>
    <w:p w14:paraId="69F47CEA" w14:textId="3872EA4E" w:rsidR="0048088A" w:rsidRPr="00F1628C" w:rsidRDefault="0048088A" w:rsidP="0048088A">
      <w:pPr>
        <w:autoSpaceDE w:val="0"/>
        <w:autoSpaceDN w:val="0"/>
        <w:adjustRightInd w:val="0"/>
        <w:spacing w:before="120" w:after="120" w:line="240" w:lineRule="auto"/>
        <w:rPr>
          <w:rFonts w:cstheme="minorHAnsi"/>
          <w:bCs/>
        </w:rPr>
      </w:pPr>
      <w:r w:rsidRPr="00F1628C">
        <w:rPr>
          <w:rFonts w:cstheme="minorHAnsi"/>
          <w:bCs/>
          <w:color w:val="C00000"/>
        </w:rPr>
        <w:t xml:space="preserve">1. Hospital Star Rating mortality group score: CMS’s Hospital Star Rating </w:t>
      </w:r>
      <w:r>
        <w:rPr>
          <w:rFonts w:cstheme="minorHAnsi"/>
          <w:bCs/>
          <w:color w:val="C00000"/>
        </w:rPr>
        <w:t xml:space="preserve">mortality group score </w:t>
      </w:r>
      <w:r w:rsidRPr="00F1628C">
        <w:rPr>
          <w:rFonts w:cstheme="minorHAnsi"/>
          <w:bCs/>
          <w:color w:val="C00000"/>
        </w:rPr>
        <w:t xml:space="preserve">assesses hospitals’ overall performance (expressed on Hospital Compare graphically, as stars) based on a weighted average of group scores from </w:t>
      </w:r>
      <w:r>
        <w:rPr>
          <w:rFonts w:cstheme="minorHAnsi"/>
          <w:bCs/>
          <w:color w:val="C00000"/>
        </w:rPr>
        <w:t>the mortality domain</w:t>
      </w:r>
      <w:r w:rsidRPr="00F1628C">
        <w:rPr>
          <w:rFonts w:cstheme="minorHAnsi"/>
          <w:bCs/>
          <w:color w:val="C00000"/>
        </w:rPr>
        <w:t>. The mortality group is comprised of the mortality measures that are publicly reported on Hospital Compare</w:t>
      </w:r>
      <w:r w:rsidR="008F55E7">
        <w:rPr>
          <w:rFonts w:cstheme="minorHAnsi"/>
          <w:bCs/>
          <w:color w:val="C00000"/>
        </w:rPr>
        <w:t>, including this measure</w:t>
      </w:r>
      <w:r w:rsidRPr="00F1628C">
        <w:rPr>
          <w:rFonts w:cstheme="minorHAnsi"/>
          <w:bCs/>
          <w:color w:val="C00000"/>
        </w:rPr>
        <w:t>. The mortality group score is derived from a latent-variable model that identifies an underlying quality trait for that group. For the validity testing presented in this testing form, we used mortality group scores from 4</w:t>
      </w:r>
      <w:r w:rsidR="00194676">
        <w:rPr>
          <w:rFonts w:cstheme="minorHAnsi"/>
          <w:bCs/>
          <w:color w:val="C00000"/>
        </w:rPr>
        <w:t>,246</w:t>
      </w:r>
      <w:r w:rsidRPr="00F1628C">
        <w:rPr>
          <w:rFonts w:cstheme="minorHAnsi"/>
          <w:bCs/>
          <w:color w:val="C00000"/>
        </w:rPr>
        <w:t xml:space="preserve"> Medicare FFS hospitals from July 2019. The full methodology for the Overall Hospital Star Rating can be found at: </w:t>
      </w:r>
      <w:hyperlink r:id="rId16" w:history="1">
        <w:r w:rsidR="004047BD" w:rsidRPr="004047BD">
          <w:rPr>
            <w:rStyle w:val="Hyperlink"/>
          </w:rPr>
          <w:t>https://www.qualitynet.org/inpatient/public-reporting/overall-ratings/resources</w:t>
        </w:r>
      </w:hyperlink>
      <w:r w:rsidR="00194676">
        <w:rPr>
          <w:rFonts w:cstheme="minorHAnsi"/>
          <w:bCs/>
        </w:rPr>
        <w:t>.</w:t>
      </w:r>
    </w:p>
    <w:p w14:paraId="510B83E0" w14:textId="55B0B1C6" w:rsidR="0048088A" w:rsidRPr="00F1628C" w:rsidRDefault="00751E8B" w:rsidP="0048088A">
      <w:pPr>
        <w:autoSpaceDE w:val="0"/>
        <w:autoSpaceDN w:val="0"/>
        <w:adjustRightInd w:val="0"/>
        <w:spacing w:before="120" w:after="120" w:line="240" w:lineRule="auto"/>
        <w:rPr>
          <w:rFonts w:cstheme="minorHAnsi"/>
          <w:bCs/>
        </w:rPr>
      </w:pPr>
      <w:r>
        <w:rPr>
          <w:rFonts w:cstheme="minorHAnsi"/>
          <w:bCs/>
          <w:color w:val="C00000"/>
        </w:rPr>
        <w:t>2</w:t>
      </w:r>
      <w:r w:rsidR="0048088A" w:rsidRPr="00F1628C">
        <w:rPr>
          <w:rFonts w:cstheme="minorHAnsi"/>
          <w:bCs/>
          <w:color w:val="C00000"/>
        </w:rPr>
        <w:t xml:space="preserve">. Overall Hospital Star Rating: CMS’s Overall Hospital Star Rating assesses hospitals’ overall performance (expressed on Hospital Compare graphically, as stars) based on a weighted average of “group scores” from different domains of quality (mortality, readmissions, safety, patient experience, imaging, effectiveness </w:t>
      </w:r>
      <w:r w:rsidR="0048088A">
        <w:rPr>
          <w:rFonts w:cstheme="minorHAnsi"/>
          <w:bCs/>
          <w:color w:val="C00000"/>
        </w:rPr>
        <w:t xml:space="preserve">of care, timeliness of care). </w:t>
      </w:r>
      <w:r w:rsidR="0048088A" w:rsidRPr="00F1628C">
        <w:rPr>
          <w:rFonts w:cstheme="minorHAnsi"/>
          <w:bCs/>
          <w:color w:val="C00000"/>
        </w:rPr>
        <w:t>Each group has within it, measures that are reported on Hospital Compare.</w:t>
      </w:r>
      <w:r w:rsidR="0084071B">
        <w:rPr>
          <w:rFonts w:cstheme="minorHAnsi"/>
          <w:bCs/>
          <w:color w:val="C00000"/>
        </w:rPr>
        <w:t xml:space="preserve"> </w:t>
      </w:r>
      <w:r w:rsidR="0048088A" w:rsidRPr="00F1628C">
        <w:rPr>
          <w:rFonts w:cstheme="minorHAnsi"/>
          <w:bCs/>
          <w:color w:val="C00000"/>
        </w:rPr>
        <w:t>Group scores for each individual group are derived from latent-variable models that identify an underlying quality trait for each group.</w:t>
      </w:r>
      <w:r w:rsidR="0084071B">
        <w:rPr>
          <w:rFonts w:cstheme="minorHAnsi"/>
          <w:bCs/>
          <w:color w:val="C00000"/>
        </w:rPr>
        <w:t xml:space="preserve"> </w:t>
      </w:r>
      <w:r w:rsidR="0048088A" w:rsidRPr="00F1628C">
        <w:rPr>
          <w:rFonts w:cstheme="minorHAnsi"/>
          <w:bCs/>
          <w:color w:val="C00000"/>
        </w:rPr>
        <w:t>Group scores are combined into an overall hospital score using fixed weights; overall hospital scores are then clustered, using k-means clustering, into five groups and are assigned one-to-five stars (the hospital’s Star Rating).</w:t>
      </w:r>
      <w:r w:rsidR="0084071B">
        <w:rPr>
          <w:rFonts w:cstheme="minorHAnsi"/>
          <w:bCs/>
          <w:color w:val="C00000"/>
        </w:rPr>
        <w:t xml:space="preserve"> </w:t>
      </w:r>
      <w:r w:rsidR="0048088A" w:rsidRPr="00F1628C">
        <w:rPr>
          <w:rFonts w:cstheme="minorHAnsi"/>
          <w:bCs/>
          <w:color w:val="C00000"/>
        </w:rPr>
        <w:t>For the validity testing presented in this testing form, we used h</w:t>
      </w:r>
      <w:r w:rsidR="00194676">
        <w:rPr>
          <w:rFonts w:cstheme="minorHAnsi"/>
          <w:bCs/>
          <w:color w:val="C00000"/>
        </w:rPr>
        <w:t xml:space="preserve">ospital’s Star Ratings from 4,246 </w:t>
      </w:r>
      <w:r w:rsidR="0048088A" w:rsidRPr="00F1628C">
        <w:rPr>
          <w:rFonts w:cstheme="minorHAnsi"/>
          <w:bCs/>
          <w:color w:val="C00000"/>
        </w:rPr>
        <w:t xml:space="preserve">Medicare FFS hospitals from July 2019. The full methodology for the Overall Hospital Star Rating can be found at </w:t>
      </w:r>
      <w:hyperlink r:id="rId17" w:history="1">
        <w:r w:rsidR="004047BD">
          <w:rPr>
            <w:rStyle w:val="Hyperlink"/>
            <w:rFonts w:cstheme="minorHAnsi"/>
          </w:rPr>
          <w:t>https://www.qualitynet.org/inpatient/public-reporting/overall-ratings/resources</w:t>
        </w:r>
      </w:hyperlink>
      <w:r w:rsidR="0048088A" w:rsidRPr="00F1628C">
        <w:rPr>
          <w:rFonts w:cstheme="minorHAnsi"/>
          <w:bCs/>
        </w:rPr>
        <w:t xml:space="preserve">. </w:t>
      </w:r>
    </w:p>
    <w:p w14:paraId="0C9447F8" w14:textId="3763F096" w:rsidR="0048088A" w:rsidRDefault="0048088A" w:rsidP="0048088A">
      <w:pPr>
        <w:autoSpaceDE w:val="0"/>
        <w:autoSpaceDN w:val="0"/>
        <w:adjustRightInd w:val="0"/>
        <w:spacing w:before="120" w:after="120" w:line="240" w:lineRule="auto"/>
        <w:rPr>
          <w:rFonts w:cstheme="minorHAnsi"/>
          <w:bCs/>
          <w:color w:val="C00000"/>
        </w:rPr>
      </w:pPr>
      <w:r w:rsidRPr="00F1628C">
        <w:rPr>
          <w:rFonts w:cstheme="minorHAnsi"/>
          <w:bCs/>
          <w:color w:val="C00000"/>
        </w:rPr>
        <w:t xml:space="preserve">We examined the relationship of performance the </w:t>
      </w:r>
      <w:r w:rsidR="00D2108C">
        <w:rPr>
          <w:rFonts w:cstheme="minorHAnsi"/>
          <w:bCs/>
          <w:color w:val="C00000"/>
        </w:rPr>
        <w:t>AMI</w:t>
      </w:r>
      <w:r w:rsidRPr="00F1628C">
        <w:rPr>
          <w:rFonts w:cstheme="minorHAnsi"/>
          <w:bCs/>
          <w:color w:val="C00000"/>
        </w:rPr>
        <w:t xml:space="preserve"> mortality measure scores (RSMR) with each of the external</w:t>
      </w:r>
      <w:r>
        <w:rPr>
          <w:rFonts w:cstheme="minorHAnsi"/>
          <w:bCs/>
          <w:color w:val="C00000"/>
        </w:rPr>
        <w:t xml:space="preserve"> measures of hospital quality. </w:t>
      </w:r>
      <w:r w:rsidRPr="00F1628C">
        <w:rPr>
          <w:rFonts w:cstheme="minorHAnsi"/>
          <w:bCs/>
          <w:color w:val="C00000"/>
        </w:rPr>
        <w:t>For the external measures, the comparison was against performance within quartiles of the mortality group score, or in the case of Star Ratings, to the St</w:t>
      </w:r>
      <w:r>
        <w:rPr>
          <w:rFonts w:cstheme="minorHAnsi"/>
          <w:bCs/>
          <w:color w:val="C00000"/>
        </w:rPr>
        <w:t>ar Rating category (1-5 Stars).</w:t>
      </w:r>
      <w:r w:rsidR="008F55E7">
        <w:rPr>
          <w:rFonts w:cstheme="minorHAnsi"/>
          <w:bCs/>
          <w:color w:val="C00000"/>
        </w:rPr>
        <w:t xml:space="preserve"> </w:t>
      </w:r>
      <w:r w:rsidR="008F55E7">
        <w:rPr>
          <w:color w:val="C00000"/>
        </w:rPr>
        <w:t>We predicted the AMI mortality scores would be more strongly associated with the Hospital Star Rating mortality group score than the Overall Star Ratings scores, with lower RSMRs associated with better Star Ratings.</w:t>
      </w:r>
    </w:p>
    <w:p w14:paraId="787C6AF6" w14:textId="60EB15BC" w:rsidR="0006640A" w:rsidRPr="0006640A" w:rsidRDefault="0006640A" w:rsidP="0006640A">
      <w:pPr>
        <w:autoSpaceDE w:val="0"/>
        <w:autoSpaceDN w:val="0"/>
        <w:adjustRightInd w:val="0"/>
        <w:spacing w:before="120" w:after="120" w:line="240" w:lineRule="auto"/>
        <w:rPr>
          <w:rFonts w:cstheme="minorHAnsi"/>
          <w:bCs/>
          <w:color w:val="7030A0"/>
        </w:rPr>
      </w:pPr>
      <w:r w:rsidRPr="0006640A">
        <w:rPr>
          <w:color w:val="7030A0"/>
          <w:u w:val="single"/>
        </w:rPr>
        <w:t>Medical Record Model Validation</w:t>
      </w:r>
    </w:p>
    <w:p w14:paraId="424147F9" w14:textId="03E2FC43" w:rsidR="0006640A" w:rsidRPr="0006640A" w:rsidRDefault="0006640A" w:rsidP="0006640A">
      <w:pPr>
        <w:autoSpaceDE w:val="0"/>
        <w:autoSpaceDN w:val="0"/>
        <w:adjustRightInd w:val="0"/>
        <w:spacing w:before="120" w:after="120" w:line="240" w:lineRule="auto"/>
        <w:rPr>
          <w:color w:val="7030A0"/>
        </w:rPr>
      </w:pPr>
      <w:r w:rsidRPr="0006640A">
        <w:rPr>
          <w:color w:val="7030A0"/>
        </w:rPr>
        <w:t>During original measure development, we validated the AMI mortality administrative model against a medical record model in the same cohort of patients for which hospital-level AMI mortality medi</w:t>
      </w:r>
      <w:r w:rsidR="00A3089B">
        <w:rPr>
          <w:color w:val="7030A0"/>
        </w:rPr>
        <w:t>cal record data were available (Krumholz et al, 2006).</w:t>
      </w:r>
    </w:p>
    <w:p w14:paraId="22E984DF" w14:textId="77777777" w:rsidR="0006640A" w:rsidRPr="0006640A" w:rsidRDefault="0006640A" w:rsidP="0006640A">
      <w:pPr>
        <w:autoSpaceDE w:val="0"/>
        <w:autoSpaceDN w:val="0"/>
        <w:adjustRightInd w:val="0"/>
        <w:spacing w:before="120" w:after="120" w:line="240" w:lineRule="auto"/>
        <w:rPr>
          <w:color w:val="7030A0"/>
        </w:rPr>
      </w:pPr>
      <w:r w:rsidRPr="0006640A">
        <w:rPr>
          <w:color w:val="7030A0"/>
        </w:rPr>
        <w:t xml:space="preserve">For the derivation of the chart-based model, we used cases identified through the Cooperative Cardiovascular Project (CCP) initiative and provided by the Health Care Financing Administration (now CMS). The CCP initiative included more than 200,000 admissions to non-governmental, acute care hospitals in the United States and Puerto Rico (Krumholz et al., 1998; Marciniak et al., 1998). In the CCP study, CMS sampled all claims from FFS Medicare patients during an approximately 8-month period (varying by state) in 1994 and 1995 who were discharged with a principal diagnosis of AMI (ICD-9-CM </w:t>
      </w:r>
      <w:r w:rsidRPr="0006640A">
        <w:rPr>
          <w:color w:val="7030A0"/>
        </w:rPr>
        <w:lastRenderedPageBreak/>
        <w:t xml:space="preserve">code 410, excluding 410.x2). These patients were matched to the Medicare enrollment database to determine survival and, where applicable, the date of death. Corresponding medical records were abstracted by 2 clinical data abstraction centers (DynKePRO [York, PA] and FMAS Corporation [Rockville, MD]), and the clinical data used to confirm the diagnosis of AMI. </w:t>
      </w:r>
    </w:p>
    <w:p w14:paraId="055C48F5" w14:textId="77777777" w:rsidR="0006640A" w:rsidRPr="0006640A" w:rsidRDefault="0006640A" w:rsidP="0006640A">
      <w:pPr>
        <w:autoSpaceDE w:val="0"/>
        <w:autoSpaceDN w:val="0"/>
        <w:adjustRightInd w:val="0"/>
        <w:spacing w:before="120" w:after="120" w:line="240" w:lineRule="auto"/>
        <w:rPr>
          <w:color w:val="7030A0"/>
        </w:rPr>
      </w:pPr>
      <w:r w:rsidRPr="0006640A">
        <w:rPr>
          <w:color w:val="7030A0"/>
        </w:rPr>
        <w:t>The test sample contained 178,188 cases with an unadjusted mortality rate of 19.0%.</w:t>
      </w:r>
    </w:p>
    <w:p w14:paraId="390DE78D" w14:textId="77777777" w:rsidR="0006640A" w:rsidRPr="0006640A" w:rsidRDefault="0006640A" w:rsidP="0006640A">
      <w:pPr>
        <w:autoSpaceDE w:val="0"/>
        <w:autoSpaceDN w:val="0"/>
        <w:adjustRightInd w:val="0"/>
        <w:spacing w:before="120" w:after="120" w:line="240" w:lineRule="auto"/>
        <w:rPr>
          <w:color w:val="7030A0"/>
        </w:rPr>
      </w:pPr>
      <w:r w:rsidRPr="0006640A">
        <w:rPr>
          <w:color w:val="7030A0"/>
        </w:rPr>
        <w:t xml:space="preserve">The medical record model validation included clinician and hospital outpatient data. The same coding and transfer rules described in the AMI administrative dataset were used in defining the AMI medical record dataset. </w:t>
      </w:r>
    </w:p>
    <w:p w14:paraId="76AAC37B" w14:textId="77777777" w:rsidR="0006640A" w:rsidRPr="0006640A" w:rsidRDefault="0006640A" w:rsidP="0006640A">
      <w:pPr>
        <w:autoSpaceDE w:val="0"/>
        <w:autoSpaceDN w:val="0"/>
        <w:adjustRightInd w:val="0"/>
        <w:spacing w:before="120" w:after="120" w:line="240" w:lineRule="auto"/>
        <w:rPr>
          <w:color w:val="7030A0"/>
        </w:rPr>
      </w:pPr>
      <w:r w:rsidRPr="0006640A">
        <w:rPr>
          <w:color w:val="7030A0"/>
          <w:u w:val="single"/>
        </w:rPr>
        <w:t>Validity Indicated by Established Measure Development Guidelines</w:t>
      </w:r>
      <w:r w:rsidRPr="0006640A">
        <w:rPr>
          <w:color w:val="7030A0"/>
        </w:rPr>
        <w:t>:</w:t>
      </w:r>
    </w:p>
    <w:p w14:paraId="705C35B5" w14:textId="00535946" w:rsidR="0006640A" w:rsidRPr="0006640A" w:rsidRDefault="0006640A" w:rsidP="0006640A">
      <w:pPr>
        <w:autoSpaceDE w:val="0"/>
        <w:autoSpaceDN w:val="0"/>
        <w:adjustRightInd w:val="0"/>
        <w:spacing w:before="120" w:after="120" w:line="240" w:lineRule="auto"/>
        <w:rPr>
          <w:color w:val="7030A0"/>
        </w:rPr>
      </w:pPr>
      <w:r w:rsidRPr="0006640A">
        <w:rPr>
          <w:color w:val="7030A0"/>
        </w:rPr>
        <w:t>We developed this measure in consultation with national guidelines for publicly reported outcomes measures, with outside experts, and with the public. The measure is consistent with the technical approach to outcomes measurement set forth in NQF guidance for outcomes measures (National Quality Forum, 2010), CMS Measure Management System (MMS) guidance, and the guidance articulated in the American Heart Association scientific statement, “Standards for Statistical Models Used for Public Reporting of Health Outcomes” (Krumholz, Brindis, et al. 2006).</w:t>
      </w:r>
    </w:p>
    <w:p w14:paraId="4804EB85" w14:textId="77777777" w:rsidR="0006640A" w:rsidRPr="0006640A" w:rsidRDefault="0006640A" w:rsidP="0006640A">
      <w:pPr>
        <w:autoSpaceDE w:val="0"/>
        <w:autoSpaceDN w:val="0"/>
        <w:adjustRightInd w:val="0"/>
        <w:spacing w:before="120" w:after="120" w:line="240" w:lineRule="auto"/>
        <w:rPr>
          <w:color w:val="7030A0"/>
        </w:rPr>
      </w:pPr>
      <w:r w:rsidRPr="0006640A">
        <w:rPr>
          <w:color w:val="7030A0"/>
        </w:rPr>
        <w:t>References:</w:t>
      </w:r>
    </w:p>
    <w:p w14:paraId="695CB09D" w14:textId="77777777" w:rsidR="0006640A" w:rsidRPr="00A3089B" w:rsidRDefault="0006640A" w:rsidP="0006640A">
      <w:pPr>
        <w:autoSpaceDE w:val="0"/>
        <w:autoSpaceDN w:val="0"/>
        <w:adjustRightInd w:val="0"/>
        <w:spacing w:before="120" w:after="120" w:line="240" w:lineRule="auto"/>
        <w:rPr>
          <w:color w:val="00B0F0"/>
        </w:rPr>
      </w:pPr>
      <w:r w:rsidRPr="00A3089B">
        <w:rPr>
          <w:color w:val="00B0F0"/>
        </w:rPr>
        <w:t>Krumholz HM, Wang Y, Mattera JA, et al. An administrative claims model suitable for profiling hospital performance based on 30-day mortality rates among patients with an acute myocardial infarction. Circulation 2006;113(13):1683-92.</w:t>
      </w:r>
    </w:p>
    <w:p w14:paraId="063F526A" w14:textId="77777777" w:rsidR="0006640A" w:rsidRPr="0006640A" w:rsidRDefault="0006640A" w:rsidP="0006640A">
      <w:pPr>
        <w:autoSpaceDE w:val="0"/>
        <w:autoSpaceDN w:val="0"/>
        <w:adjustRightInd w:val="0"/>
        <w:spacing w:before="120" w:after="120" w:line="240" w:lineRule="auto"/>
        <w:rPr>
          <w:color w:val="7030A0"/>
        </w:rPr>
      </w:pPr>
      <w:r w:rsidRPr="0006640A">
        <w:rPr>
          <w:color w:val="7030A0"/>
        </w:rPr>
        <w:t>Krumholz HM, Radford MJ, Wang Y et al. National use and effectiveness of beta-blockers for the treatment of elderly patients after acute myocardial infarction: National Cooperative Cardiovascular Project. JAMA. 1998;280:623-629.</w:t>
      </w:r>
    </w:p>
    <w:p w14:paraId="59325D33" w14:textId="77777777" w:rsidR="0006640A" w:rsidRPr="0006640A" w:rsidRDefault="0006640A" w:rsidP="0006640A">
      <w:pPr>
        <w:autoSpaceDE w:val="0"/>
        <w:autoSpaceDN w:val="0"/>
        <w:adjustRightInd w:val="0"/>
        <w:spacing w:before="120" w:after="120" w:line="240" w:lineRule="auto"/>
        <w:rPr>
          <w:color w:val="7030A0"/>
        </w:rPr>
      </w:pPr>
      <w:r w:rsidRPr="0006640A">
        <w:rPr>
          <w:color w:val="7030A0"/>
        </w:rPr>
        <w:t>Marciniak TA, Ellerbeck EF, Radford MJ et al. Improving the quality of care for Medicare patients with acute myocardial infarction: results from the Cooperative Cardiovascular Project. JAMA. 1998;279:1351-1357.</w:t>
      </w:r>
    </w:p>
    <w:p w14:paraId="518B0AB5" w14:textId="77777777" w:rsidR="0006640A" w:rsidRPr="0006640A" w:rsidRDefault="0006640A" w:rsidP="0006640A">
      <w:pPr>
        <w:autoSpaceDE w:val="0"/>
        <w:autoSpaceDN w:val="0"/>
        <w:adjustRightInd w:val="0"/>
        <w:spacing w:before="120" w:after="120" w:line="240" w:lineRule="auto"/>
        <w:rPr>
          <w:color w:val="7030A0"/>
        </w:rPr>
      </w:pPr>
      <w:r w:rsidRPr="0006640A">
        <w:rPr>
          <w:color w:val="7030A0"/>
        </w:rPr>
        <w:t>National Quality Forum. National voluntary consensus standards for patient outcomes, first report for phases 1 and 2: A consensus report http://www.qualityforum.org/projects/Patient_Outcome_Measures_Phases1-2.aspx. Accessed August 19, 2010.</w:t>
      </w:r>
    </w:p>
    <w:p w14:paraId="1568784D" w14:textId="09AD1F00" w:rsidR="00304643" w:rsidRPr="0006640A" w:rsidRDefault="0006640A" w:rsidP="0006640A">
      <w:pPr>
        <w:autoSpaceDE w:val="0"/>
        <w:autoSpaceDN w:val="0"/>
        <w:adjustRightInd w:val="0"/>
        <w:spacing w:before="120" w:after="120" w:line="240" w:lineRule="auto"/>
        <w:rPr>
          <w:color w:val="7030A0"/>
        </w:rPr>
      </w:pPr>
      <w:r w:rsidRPr="0006640A">
        <w:rPr>
          <w:color w:val="7030A0"/>
        </w:rPr>
        <w:t>Krumholz HM, Brindis RG,Brush JE, et al. Standards for Statistical Models Used for Public Reporting of Health Outcomes: An American Heart Association Scientific Statement From the Quality of Care and Outcomes Research Interdisciplinary Writing Group: Cosponsored by the Council on Epidemiology and Prevention and the Stroke Council Endorsed by the American College of Cardiology Foundation. Circulation. January 24, 2006 2006;113(3):456-462.</w:t>
      </w:r>
    </w:p>
    <w:p w14:paraId="4BB65486" w14:textId="77777777" w:rsidR="00B26DF0" w:rsidRDefault="009C7513" w:rsidP="00B26DF0">
      <w:pPr>
        <w:autoSpaceDE w:val="0"/>
        <w:autoSpaceDN w:val="0"/>
        <w:adjustRightInd w:val="0"/>
        <w:spacing w:before="120"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1FECE3DE" w14:textId="17CA6CA3" w:rsidR="0006640A" w:rsidRPr="00B26DF0" w:rsidRDefault="0006640A" w:rsidP="00B26DF0">
      <w:pPr>
        <w:autoSpaceDE w:val="0"/>
        <w:autoSpaceDN w:val="0"/>
        <w:adjustRightInd w:val="0"/>
        <w:spacing w:before="120" w:after="0" w:line="240" w:lineRule="auto"/>
        <w:rPr>
          <w:rFonts w:cstheme="minorHAnsi"/>
          <w:bCs/>
        </w:rPr>
      </w:pPr>
      <w:r w:rsidRPr="00C01913">
        <w:rPr>
          <w:rFonts w:cstheme="minorHAnsi"/>
          <w:bCs/>
          <w:color w:val="C00000"/>
          <w:u w:val="single"/>
        </w:rPr>
        <w:t>Comparison to Star-Rating Mortality</w:t>
      </w:r>
      <w:r>
        <w:rPr>
          <w:rFonts w:cstheme="minorHAnsi"/>
          <w:bCs/>
          <w:color w:val="C00000"/>
          <w:u w:val="single"/>
        </w:rPr>
        <w:t xml:space="preserve"> Scores</w:t>
      </w:r>
    </w:p>
    <w:p w14:paraId="1D301089" w14:textId="15D3A6B7" w:rsidR="0006640A" w:rsidRDefault="008F55E7" w:rsidP="0006640A">
      <w:pPr>
        <w:autoSpaceDE w:val="0"/>
        <w:autoSpaceDN w:val="0"/>
        <w:adjustRightInd w:val="0"/>
        <w:spacing w:before="120" w:after="0" w:line="240" w:lineRule="auto"/>
        <w:rPr>
          <w:rFonts w:cstheme="minorHAnsi"/>
          <w:bCs/>
          <w:color w:val="C00000"/>
          <w:u w:val="single"/>
        </w:rPr>
      </w:pPr>
      <w:r>
        <w:rPr>
          <w:rFonts w:cstheme="minorHAnsi"/>
          <w:bCs/>
          <w:color w:val="C00000"/>
        </w:rPr>
        <w:t>Figure 1</w:t>
      </w:r>
      <w:r w:rsidR="008A5F33" w:rsidRPr="0048088A">
        <w:rPr>
          <w:rFonts w:cstheme="minorHAnsi"/>
          <w:bCs/>
          <w:color w:val="C00000"/>
        </w:rPr>
        <w:t xml:space="preserve"> shows the box-whisker plots of the AMI mortality measure RSMRs within each quartile of Star-Rating mortality scores. The blue circles represent the mean RSMRs of Star-Rating mortality score quartiles. The correlation between AMI RSMRs and Star-Rating mortality score is -0.</w:t>
      </w:r>
      <w:r w:rsidR="0003566C" w:rsidRPr="0048088A">
        <w:rPr>
          <w:rFonts w:cstheme="minorHAnsi"/>
          <w:bCs/>
          <w:color w:val="C00000"/>
        </w:rPr>
        <w:t>409</w:t>
      </w:r>
      <w:r w:rsidR="008A5F33" w:rsidRPr="0048088A">
        <w:rPr>
          <w:rFonts w:cstheme="minorHAnsi"/>
          <w:bCs/>
          <w:color w:val="C00000"/>
        </w:rPr>
        <w:t>, which suggests that hospitals with lower AMI RSMRs are more likely to have higher Star-Rating mortality scores.</w:t>
      </w:r>
    </w:p>
    <w:p w14:paraId="60C2ECA5" w14:textId="3AAA2FFB" w:rsidR="00B26DF0" w:rsidRDefault="008F55E7" w:rsidP="00B26DF0">
      <w:pPr>
        <w:autoSpaceDE w:val="0"/>
        <w:autoSpaceDN w:val="0"/>
        <w:adjustRightInd w:val="0"/>
        <w:spacing w:before="120" w:after="0" w:line="240" w:lineRule="auto"/>
        <w:rPr>
          <w:rFonts w:cstheme="minorHAnsi"/>
          <w:b/>
          <w:bCs/>
          <w:color w:val="C00000"/>
        </w:rPr>
      </w:pPr>
      <w:r>
        <w:rPr>
          <w:rFonts w:cstheme="minorHAnsi"/>
          <w:b/>
          <w:bCs/>
          <w:color w:val="C00000"/>
        </w:rPr>
        <w:t>Figure 1</w:t>
      </w:r>
    </w:p>
    <w:p w14:paraId="2E444F0E" w14:textId="4A01DE14" w:rsidR="00B26DF0" w:rsidRDefault="00F4071D" w:rsidP="00B26DF0">
      <w:pPr>
        <w:autoSpaceDE w:val="0"/>
        <w:autoSpaceDN w:val="0"/>
        <w:adjustRightInd w:val="0"/>
        <w:spacing w:before="120" w:after="0" w:line="240" w:lineRule="auto"/>
        <w:rPr>
          <w:rFonts w:cstheme="minorHAnsi"/>
          <w:bCs/>
          <w:color w:val="C00000"/>
          <w:u w:val="single"/>
        </w:rPr>
      </w:pPr>
      <w:r w:rsidRPr="00F4071D">
        <w:rPr>
          <w:rFonts w:cstheme="minorHAnsi"/>
          <w:bCs/>
          <w:noProof/>
          <w:color w:val="C00000"/>
        </w:rPr>
        <w:lastRenderedPageBreak/>
        <w:drawing>
          <wp:inline distT="0" distB="0" distL="0" distR="0" wp14:anchorId="667C99A3" wp14:editId="703AE4AF">
            <wp:extent cx="4756150" cy="3568844"/>
            <wp:effectExtent l="0" t="0" r="6350" b="0"/>
            <wp:docPr id="4" name="Picture 4" descr="Figure 1 shows the box-whisker plots of the AMI mortality measure RSMRs within each quartile of Star-Rating mortality scores. The blue circles represent the mean RSMRs of Star-Rating mortality score quartiles. The correlation between AMI RSMRs and Star-Rating mortality score is -0.409, which suggests that hospitals with lower AMI RSMRs are more likely to have higher Star-Rating mortality sc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59081" cy="3571043"/>
                    </a:xfrm>
                    <a:prstGeom prst="rect">
                      <a:avLst/>
                    </a:prstGeom>
                    <a:noFill/>
                  </pic:spPr>
                </pic:pic>
              </a:graphicData>
            </a:graphic>
          </wp:inline>
        </w:drawing>
      </w:r>
    </w:p>
    <w:p w14:paraId="3FA18869" w14:textId="6B1176B8" w:rsidR="00C079DA" w:rsidRPr="00B26DF0" w:rsidRDefault="00C079DA" w:rsidP="00C079DA">
      <w:pPr>
        <w:autoSpaceDE w:val="0"/>
        <w:autoSpaceDN w:val="0"/>
        <w:adjustRightInd w:val="0"/>
        <w:spacing w:before="120" w:after="0" w:line="240" w:lineRule="auto"/>
        <w:rPr>
          <w:rFonts w:cstheme="minorHAnsi"/>
          <w:bCs/>
        </w:rPr>
      </w:pPr>
      <w:r w:rsidRPr="00C01913">
        <w:rPr>
          <w:rFonts w:cstheme="minorHAnsi"/>
          <w:bCs/>
          <w:color w:val="C00000"/>
          <w:u w:val="single"/>
        </w:rPr>
        <w:t>Com</w:t>
      </w:r>
      <w:r>
        <w:rPr>
          <w:rFonts w:cstheme="minorHAnsi"/>
          <w:bCs/>
          <w:color w:val="C00000"/>
          <w:u w:val="single"/>
        </w:rPr>
        <w:t>parison to Overall Star-Rating Scores</w:t>
      </w:r>
    </w:p>
    <w:p w14:paraId="624D428D" w14:textId="138E3454" w:rsidR="00B26DF0" w:rsidRDefault="00B26DF0" w:rsidP="00B26DF0">
      <w:pPr>
        <w:autoSpaceDE w:val="0"/>
        <w:autoSpaceDN w:val="0"/>
        <w:adjustRightInd w:val="0"/>
        <w:spacing w:before="120" w:after="0" w:line="240" w:lineRule="auto"/>
        <w:rPr>
          <w:rFonts w:cstheme="minorHAnsi"/>
          <w:bCs/>
          <w:color w:val="C00000"/>
        </w:rPr>
      </w:pPr>
      <w:r>
        <w:rPr>
          <w:rFonts w:cstheme="minorHAnsi"/>
          <w:bCs/>
          <w:color w:val="C00000"/>
        </w:rPr>
        <w:t>F</w:t>
      </w:r>
      <w:r w:rsidR="008F55E7">
        <w:rPr>
          <w:rFonts w:cstheme="minorHAnsi"/>
          <w:bCs/>
          <w:color w:val="C00000"/>
        </w:rPr>
        <w:t>igure 2</w:t>
      </w:r>
      <w:r w:rsidR="008A5F33" w:rsidRPr="0048088A">
        <w:rPr>
          <w:rFonts w:cstheme="minorHAnsi"/>
          <w:bCs/>
          <w:color w:val="C00000"/>
        </w:rPr>
        <w:t xml:space="preserve"> shows the Box-whisker plots of the AMI mortality measure RSMRs within each quartile of Star-Rating summary scores. The blue circles represent the mean RSMRs of Star-Rating summary score quartiles. The correlation between AMI RSMRs and Star-Rating summary score is -0.</w:t>
      </w:r>
      <w:r w:rsidR="0003566C" w:rsidRPr="0048088A">
        <w:rPr>
          <w:rFonts w:cstheme="minorHAnsi"/>
          <w:bCs/>
          <w:color w:val="C00000"/>
        </w:rPr>
        <w:t>204</w:t>
      </w:r>
      <w:r w:rsidR="008A5F33" w:rsidRPr="0048088A">
        <w:rPr>
          <w:rFonts w:cstheme="minorHAnsi"/>
          <w:bCs/>
          <w:color w:val="C00000"/>
        </w:rPr>
        <w:t>, which suggests that hospitals with lower AMI RSMRs are more likely to have higher Star-Rating summary scores.</w:t>
      </w:r>
    </w:p>
    <w:p w14:paraId="71AA27CB" w14:textId="77777777" w:rsidR="00A3089B" w:rsidRDefault="00A3089B" w:rsidP="00B26DF0">
      <w:pPr>
        <w:autoSpaceDE w:val="0"/>
        <w:autoSpaceDN w:val="0"/>
        <w:adjustRightInd w:val="0"/>
        <w:spacing w:before="120" w:after="0" w:line="240" w:lineRule="auto"/>
        <w:rPr>
          <w:rFonts w:cstheme="minorHAnsi"/>
          <w:b/>
          <w:bCs/>
          <w:color w:val="C00000"/>
        </w:rPr>
      </w:pPr>
    </w:p>
    <w:p w14:paraId="513C859B" w14:textId="77777777" w:rsidR="00A3089B" w:rsidRDefault="00A3089B" w:rsidP="00B26DF0">
      <w:pPr>
        <w:autoSpaceDE w:val="0"/>
        <w:autoSpaceDN w:val="0"/>
        <w:adjustRightInd w:val="0"/>
        <w:spacing w:before="120" w:after="0" w:line="240" w:lineRule="auto"/>
        <w:rPr>
          <w:rFonts w:cstheme="minorHAnsi"/>
          <w:b/>
          <w:bCs/>
          <w:color w:val="C00000"/>
        </w:rPr>
      </w:pPr>
    </w:p>
    <w:p w14:paraId="635B6AEB" w14:textId="77777777" w:rsidR="00A3089B" w:rsidRDefault="00A3089B" w:rsidP="00B26DF0">
      <w:pPr>
        <w:autoSpaceDE w:val="0"/>
        <w:autoSpaceDN w:val="0"/>
        <w:adjustRightInd w:val="0"/>
        <w:spacing w:before="120" w:after="0" w:line="240" w:lineRule="auto"/>
        <w:rPr>
          <w:rFonts w:cstheme="minorHAnsi"/>
          <w:b/>
          <w:bCs/>
          <w:color w:val="C00000"/>
        </w:rPr>
      </w:pPr>
    </w:p>
    <w:p w14:paraId="657293ED" w14:textId="77777777" w:rsidR="00A3089B" w:rsidRDefault="00A3089B" w:rsidP="00B26DF0">
      <w:pPr>
        <w:autoSpaceDE w:val="0"/>
        <w:autoSpaceDN w:val="0"/>
        <w:adjustRightInd w:val="0"/>
        <w:spacing w:before="120" w:after="0" w:line="240" w:lineRule="auto"/>
        <w:rPr>
          <w:rFonts w:cstheme="minorHAnsi"/>
          <w:b/>
          <w:bCs/>
          <w:color w:val="C00000"/>
        </w:rPr>
      </w:pPr>
    </w:p>
    <w:p w14:paraId="7C7E9E9A" w14:textId="77777777" w:rsidR="00A3089B" w:rsidRDefault="00A3089B" w:rsidP="00B26DF0">
      <w:pPr>
        <w:autoSpaceDE w:val="0"/>
        <w:autoSpaceDN w:val="0"/>
        <w:adjustRightInd w:val="0"/>
        <w:spacing w:before="120" w:after="0" w:line="240" w:lineRule="auto"/>
        <w:rPr>
          <w:rFonts w:cstheme="minorHAnsi"/>
          <w:b/>
          <w:bCs/>
          <w:color w:val="C00000"/>
        </w:rPr>
      </w:pPr>
    </w:p>
    <w:p w14:paraId="09FE32AF" w14:textId="77777777" w:rsidR="00A3089B" w:rsidRDefault="00A3089B" w:rsidP="00B26DF0">
      <w:pPr>
        <w:autoSpaceDE w:val="0"/>
        <w:autoSpaceDN w:val="0"/>
        <w:adjustRightInd w:val="0"/>
        <w:spacing w:before="120" w:after="0" w:line="240" w:lineRule="auto"/>
        <w:rPr>
          <w:rFonts w:cstheme="minorHAnsi"/>
          <w:b/>
          <w:bCs/>
          <w:color w:val="C00000"/>
        </w:rPr>
      </w:pPr>
    </w:p>
    <w:p w14:paraId="03EA50DE" w14:textId="77777777" w:rsidR="00A3089B" w:rsidRDefault="00A3089B" w:rsidP="00B26DF0">
      <w:pPr>
        <w:autoSpaceDE w:val="0"/>
        <w:autoSpaceDN w:val="0"/>
        <w:adjustRightInd w:val="0"/>
        <w:spacing w:before="120" w:after="0" w:line="240" w:lineRule="auto"/>
        <w:rPr>
          <w:rFonts w:cstheme="minorHAnsi"/>
          <w:b/>
          <w:bCs/>
          <w:color w:val="C00000"/>
        </w:rPr>
      </w:pPr>
    </w:p>
    <w:p w14:paraId="43B4F972" w14:textId="77777777" w:rsidR="00A3089B" w:rsidRDefault="00A3089B" w:rsidP="00B26DF0">
      <w:pPr>
        <w:autoSpaceDE w:val="0"/>
        <w:autoSpaceDN w:val="0"/>
        <w:adjustRightInd w:val="0"/>
        <w:spacing w:before="120" w:after="0" w:line="240" w:lineRule="auto"/>
        <w:rPr>
          <w:rFonts w:cstheme="minorHAnsi"/>
          <w:b/>
          <w:bCs/>
          <w:color w:val="C00000"/>
        </w:rPr>
      </w:pPr>
    </w:p>
    <w:p w14:paraId="29AA8D80" w14:textId="77777777" w:rsidR="00A3089B" w:rsidRDefault="00A3089B" w:rsidP="00B26DF0">
      <w:pPr>
        <w:autoSpaceDE w:val="0"/>
        <w:autoSpaceDN w:val="0"/>
        <w:adjustRightInd w:val="0"/>
        <w:spacing w:before="120" w:after="0" w:line="240" w:lineRule="auto"/>
        <w:rPr>
          <w:rFonts w:cstheme="minorHAnsi"/>
          <w:b/>
          <w:bCs/>
          <w:color w:val="C00000"/>
        </w:rPr>
      </w:pPr>
    </w:p>
    <w:p w14:paraId="42126236" w14:textId="77777777" w:rsidR="00A3089B" w:rsidRDefault="00A3089B" w:rsidP="00B26DF0">
      <w:pPr>
        <w:autoSpaceDE w:val="0"/>
        <w:autoSpaceDN w:val="0"/>
        <w:adjustRightInd w:val="0"/>
        <w:spacing w:before="120" w:after="0" w:line="240" w:lineRule="auto"/>
        <w:rPr>
          <w:rFonts w:cstheme="minorHAnsi"/>
          <w:b/>
          <w:bCs/>
          <w:color w:val="C00000"/>
        </w:rPr>
      </w:pPr>
    </w:p>
    <w:p w14:paraId="57E412FE" w14:textId="77777777" w:rsidR="00A3089B" w:rsidRDefault="00A3089B" w:rsidP="00B26DF0">
      <w:pPr>
        <w:autoSpaceDE w:val="0"/>
        <w:autoSpaceDN w:val="0"/>
        <w:adjustRightInd w:val="0"/>
        <w:spacing w:before="120" w:after="0" w:line="240" w:lineRule="auto"/>
        <w:rPr>
          <w:rFonts w:cstheme="minorHAnsi"/>
          <w:b/>
          <w:bCs/>
          <w:color w:val="C00000"/>
        </w:rPr>
      </w:pPr>
    </w:p>
    <w:p w14:paraId="1D70AE52" w14:textId="77777777" w:rsidR="00A3089B" w:rsidRDefault="00A3089B" w:rsidP="00B26DF0">
      <w:pPr>
        <w:autoSpaceDE w:val="0"/>
        <w:autoSpaceDN w:val="0"/>
        <w:adjustRightInd w:val="0"/>
        <w:spacing w:before="120" w:after="0" w:line="240" w:lineRule="auto"/>
        <w:rPr>
          <w:rFonts w:cstheme="minorHAnsi"/>
          <w:b/>
          <w:bCs/>
          <w:color w:val="C00000"/>
        </w:rPr>
      </w:pPr>
    </w:p>
    <w:p w14:paraId="2BEDE5D9" w14:textId="77777777" w:rsidR="00A3089B" w:rsidRDefault="00A3089B" w:rsidP="00B26DF0">
      <w:pPr>
        <w:autoSpaceDE w:val="0"/>
        <w:autoSpaceDN w:val="0"/>
        <w:adjustRightInd w:val="0"/>
        <w:spacing w:before="120" w:after="0" w:line="240" w:lineRule="auto"/>
        <w:rPr>
          <w:rFonts w:cstheme="minorHAnsi"/>
          <w:b/>
          <w:bCs/>
          <w:color w:val="C00000"/>
        </w:rPr>
      </w:pPr>
    </w:p>
    <w:p w14:paraId="63664945" w14:textId="77777777" w:rsidR="00A3089B" w:rsidRDefault="00A3089B" w:rsidP="00B26DF0">
      <w:pPr>
        <w:autoSpaceDE w:val="0"/>
        <w:autoSpaceDN w:val="0"/>
        <w:adjustRightInd w:val="0"/>
        <w:spacing w:before="120" w:after="0" w:line="240" w:lineRule="auto"/>
        <w:rPr>
          <w:rFonts w:cstheme="minorHAnsi"/>
          <w:b/>
          <w:bCs/>
          <w:color w:val="C00000"/>
        </w:rPr>
      </w:pPr>
    </w:p>
    <w:p w14:paraId="6F782BDE" w14:textId="15F4978A" w:rsidR="00B26DF0" w:rsidRDefault="008F55E7" w:rsidP="00B26DF0">
      <w:pPr>
        <w:autoSpaceDE w:val="0"/>
        <w:autoSpaceDN w:val="0"/>
        <w:adjustRightInd w:val="0"/>
        <w:spacing w:before="120" w:after="0" w:line="240" w:lineRule="auto"/>
        <w:rPr>
          <w:rFonts w:cstheme="minorHAnsi"/>
          <w:b/>
          <w:bCs/>
          <w:color w:val="C00000"/>
        </w:rPr>
      </w:pPr>
      <w:r>
        <w:rPr>
          <w:rFonts w:cstheme="minorHAnsi"/>
          <w:b/>
          <w:bCs/>
          <w:color w:val="C00000"/>
        </w:rPr>
        <w:lastRenderedPageBreak/>
        <w:t>Figure 2</w:t>
      </w:r>
    </w:p>
    <w:p w14:paraId="7B55B09E" w14:textId="7F9702C8" w:rsidR="0003566C" w:rsidRPr="0048088A" w:rsidRDefault="00F4071D" w:rsidP="00B26DF0">
      <w:pPr>
        <w:autoSpaceDE w:val="0"/>
        <w:autoSpaceDN w:val="0"/>
        <w:adjustRightInd w:val="0"/>
        <w:spacing w:before="120" w:after="0" w:line="240" w:lineRule="auto"/>
        <w:rPr>
          <w:rFonts w:cstheme="minorHAnsi"/>
          <w:b/>
          <w:bCs/>
          <w:color w:val="C00000"/>
        </w:rPr>
      </w:pPr>
      <w:r>
        <w:rPr>
          <w:rFonts w:cstheme="minorHAnsi"/>
          <w:b/>
          <w:bCs/>
          <w:noProof/>
          <w:color w:val="C00000"/>
        </w:rPr>
        <w:drawing>
          <wp:inline distT="0" distB="0" distL="0" distR="0" wp14:anchorId="1F750CD5" wp14:editId="060D692A">
            <wp:extent cx="4660900" cy="3497372"/>
            <wp:effectExtent l="0" t="0" r="6350" b="8255"/>
            <wp:docPr id="7" name="Picture 7" descr="Figure 2 shows the Box-whisker plots of the AMI mortality measure RSMRs within each quartile of Star-Rating summary scores. The blue circles represent the mean RSMRs of Star-Rating summary score quartiles. The correlation between AMI RSMRs and Star-Rating summary score is -0.204, which suggests that hospitals with lower AMI RSMRs are more likely to have higher Star-Rating summary sc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64643" cy="3500180"/>
                    </a:xfrm>
                    <a:prstGeom prst="rect">
                      <a:avLst/>
                    </a:prstGeom>
                    <a:noFill/>
                  </pic:spPr>
                </pic:pic>
              </a:graphicData>
            </a:graphic>
          </wp:inline>
        </w:drawing>
      </w:r>
    </w:p>
    <w:p w14:paraId="4EB9ABF5" w14:textId="77777777" w:rsidR="00A3089B" w:rsidRDefault="00A3089B" w:rsidP="00E80E35">
      <w:pPr>
        <w:autoSpaceDE w:val="0"/>
        <w:autoSpaceDN w:val="0"/>
        <w:adjustRightInd w:val="0"/>
        <w:spacing w:before="120" w:after="0" w:line="240" w:lineRule="auto"/>
        <w:rPr>
          <w:rFonts w:cstheme="minorHAnsi"/>
          <w:b/>
          <w:bCs/>
        </w:rPr>
      </w:pPr>
    </w:p>
    <w:p w14:paraId="3AA2DB66" w14:textId="33BBA570" w:rsidR="00A3089B" w:rsidRPr="00A3089B" w:rsidRDefault="00A3089B" w:rsidP="00A3089B">
      <w:pPr>
        <w:autoSpaceDE w:val="0"/>
        <w:autoSpaceDN w:val="0"/>
        <w:adjustRightInd w:val="0"/>
        <w:spacing w:before="120" w:after="120" w:line="240" w:lineRule="auto"/>
        <w:rPr>
          <w:color w:val="00B0F0"/>
          <w:u w:val="single"/>
        </w:rPr>
      </w:pPr>
      <w:r w:rsidRPr="00A3089B">
        <w:rPr>
          <w:color w:val="00B0F0"/>
          <w:u w:val="single"/>
        </w:rPr>
        <w:t>Medical-Record-Based Validation</w:t>
      </w:r>
    </w:p>
    <w:p w14:paraId="140DFD49" w14:textId="26D6A1C8" w:rsidR="00A3089B" w:rsidRDefault="00A3089B" w:rsidP="00A3089B">
      <w:pPr>
        <w:autoSpaceDE w:val="0"/>
        <w:autoSpaceDN w:val="0"/>
        <w:adjustRightInd w:val="0"/>
        <w:spacing w:before="120" w:after="120" w:line="240" w:lineRule="auto"/>
        <w:rPr>
          <w:color w:val="00B0F0"/>
        </w:rPr>
      </w:pPr>
      <w:r w:rsidRPr="00A3089B">
        <w:rPr>
          <w:color w:val="00B0F0"/>
        </w:rPr>
        <w:t>CORE validated the performance of the claims-based model and a medical records-based model</w:t>
      </w:r>
      <w:r>
        <w:rPr>
          <w:color w:val="00B0F0"/>
        </w:rPr>
        <w:t>, as described above,</w:t>
      </w:r>
      <w:r w:rsidRPr="00A3089B">
        <w:rPr>
          <w:color w:val="00B0F0"/>
        </w:rPr>
        <w:t xml:space="preserve"> and found the performance was similar. The areas under the receiver operatin</w:t>
      </w:r>
      <w:r>
        <w:rPr>
          <w:color w:val="00B0F0"/>
        </w:rPr>
        <w:t>g characteristic (ROC) curve were</w:t>
      </w:r>
      <w:r w:rsidRPr="00A3089B">
        <w:rPr>
          <w:color w:val="00B0F0"/>
        </w:rPr>
        <w:t xml:space="preserve"> 0.69 and 0.77, respectively, for the two models. We estimated hospital-level RSMRs using the corresponding hierarchical logistic regression administrative and medical record models for the linked patient sample. We then examined the linear relationship between the two sets of estimates using regression techniques and weighting by the total number of cases in each hospital. The correlation coefficient of the standardized rates from the administrat</w:t>
      </w:r>
      <w:r>
        <w:rPr>
          <w:color w:val="00B0F0"/>
        </w:rPr>
        <w:t>ive and medical record models was</w:t>
      </w:r>
      <w:r w:rsidRPr="00A3089B">
        <w:rPr>
          <w:color w:val="00B0F0"/>
        </w:rPr>
        <w:t xml:space="preserve"> 0.91 which shows that there was a strong correlation in rates calculated from the clinical and administrative models.</w:t>
      </w:r>
    </w:p>
    <w:p w14:paraId="1520B9BF" w14:textId="0C4CBC90" w:rsidR="00A3089B" w:rsidRPr="004D25F6" w:rsidRDefault="004D25F6" w:rsidP="00A3089B">
      <w:pPr>
        <w:autoSpaceDE w:val="0"/>
        <w:autoSpaceDN w:val="0"/>
        <w:adjustRightInd w:val="0"/>
        <w:spacing w:before="120" w:after="120" w:line="240" w:lineRule="auto"/>
        <w:rPr>
          <w:color w:val="00B0F0"/>
        </w:rPr>
      </w:pPr>
      <w:r w:rsidRPr="004D25F6">
        <w:rPr>
          <w:color w:val="00B0F0"/>
        </w:rPr>
        <w:t>Reference</w:t>
      </w:r>
      <w:r w:rsidR="00A3089B" w:rsidRPr="004D25F6">
        <w:rPr>
          <w:color w:val="00B0F0"/>
        </w:rPr>
        <w:t>:</w:t>
      </w:r>
    </w:p>
    <w:p w14:paraId="59725774" w14:textId="23829055" w:rsidR="00A3089B" w:rsidRPr="00A3089B" w:rsidRDefault="00A3089B" w:rsidP="00A3089B">
      <w:pPr>
        <w:autoSpaceDE w:val="0"/>
        <w:autoSpaceDN w:val="0"/>
        <w:adjustRightInd w:val="0"/>
        <w:spacing w:before="120" w:after="120" w:line="240" w:lineRule="auto"/>
        <w:rPr>
          <w:color w:val="00B0F0"/>
        </w:rPr>
      </w:pPr>
      <w:r w:rsidRPr="00A3089B">
        <w:rPr>
          <w:color w:val="00B0F0"/>
        </w:rPr>
        <w:t>Krumholz HM, Wang Y, Mattera JA, Wang Y, Han LF, Ingber MJ, Roman S, Normand SL. An administrative claims model suitable for profiling hospital performance based on 30-day mortality rates among patients with an acute myocardial infarction. Circulation. 2006 Apr 4;113(13):1683-92.</w:t>
      </w:r>
    </w:p>
    <w:p w14:paraId="32EB8FC7" w14:textId="68C97803" w:rsidR="00B26DF0" w:rsidRDefault="009C7513" w:rsidP="00E80E35">
      <w:pPr>
        <w:autoSpaceDE w:val="0"/>
        <w:autoSpaceDN w:val="0"/>
        <w:adjustRightInd w:val="0"/>
        <w:spacing w:before="120"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11F79F49" w14:textId="77777777" w:rsidR="00B26DF0" w:rsidRPr="00B763C3" w:rsidRDefault="00B26DF0" w:rsidP="00B26DF0">
      <w:pPr>
        <w:autoSpaceDE w:val="0"/>
        <w:autoSpaceDN w:val="0"/>
        <w:adjustRightInd w:val="0"/>
        <w:spacing w:before="120" w:after="120" w:line="240" w:lineRule="auto"/>
        <w:rPr>
          <w:rFonts w:cstheme="minorHAnsi"/>
          <w:bCs/>
          <w:color w:val="C00000"/>
          <w:u w:val="single"/>
        </w:rPr>
      </w:pPr>
      <w:r w:rsidRPr="00B763C3">
        <w:rPr>
          <w:rFonts w:cstheme="minorHAnsi"/>
          <w:bCs/>
          <w:color w:val="C00000"/>
          <w:u w:val="single"/>
        </w:rPr>
        <w:t>Empirical Validity Testing</w:t>
      </w:r>
    </w:p>
    <w:p w14:paraId="00B71348" w14:textId="278C04FD" w:rsidR="000857BA" w:rsidRDefault="000857BA" w:rsidP="00DB3627">
      <w:pPr>
        <w:autoSpaceDE w:val="0"/>
        <w:autoSpaceDN w:val="0"/>
        <w:adjustRightInd w:val="0"/>
        <w:spacing w:after="0" w:line="240" w:lineRule="auto"/>
        <w:rPr>
          <w:rFonts w:cstheme="minorHAnsi"/>
          <w:bCs/>
          <w:color w:val="C00000"/>
        </w:rPr>
      </w:pPr>
      <w:r w:rsidRPr="000857BA">
        <w:rPr>
          <w:rFonts w:cstheme="minorHAnsi"/>
          <w:bCs/>
          <w:color w:val="C00000"/>
        </w:rPr>
        <w:t>This validation ap</w:t>
      </w:r>
      <w:r>
        <w:rPr>
          <w:rFonts w:cstheme="minorHAnsi"/>
          <w:bCs/>
          <w:color w:val="C00000"/>
        </w:rPr>
        <w:t xml:space="preserve">proach compares the 30-day AMI </w:t>
      </w:r>
      <w:r w:rsidRPr="000857BA">
        <w:rPr>
          <w:rFonts w:cstheme="minorHAnsi"/>
          <w:bCs/>
          <w:color w:val="C00000"/>
        </w:rPr>
        <w:t xml:space="preserve">mortality measure results against the star rating mortality domain and overall summary scores. Figure 1 and 2 Box Plots results demonstrate an observed trend of lower risk-standardized mortality with higher star ratings score, especially at the extremes, which supports measure score validity. The correlation coefficients associated with the star rating </w:t>
      </w:r>
      <w:r w:rsidRPr="000857BA">
        <w:rPr>
          <w:rFonts w:cstheme="minorHAnsi"/>
          <w:bCs/>
          <w:color w:val="C00000"/>
        </w:rPr>
        <w:lastRenderedPageBreak/>
        <w:t>morta</w:t>
      </w:r>
      <w:r>
        <w:rPr>
          <w:rFonts w:cstheme="minorHAnsi"/>
          <w:bCs/>
          <w:color w:val="C00000"/>
        </w:rPr>
        <w:t xml:space="preserve">lity domain scores and the AMI </w:t>
      </w:r>
      <w:r w:rsidRPr="000857BA">
        <w:rPr>
          <w:rFonts w:cstheme="minorHAnsi"/>
          <w:bCs/>
          <w:color w:val="C00000"/>
        </w:rPr>
        <w:t xml:space="preserve">mortality </w:t>
      </w:r>
      <w:r>
        <w:rPr>
          <w:rFonts w:cstheme="minorHAnsi"/>
          <w:bCs/>
          <w:color w:val="C00000"/>
        </w:rPr>
        <w:t xml:space="preserve">measure scores indicate a moderate association. A </w:t>
      </w:r>
      <w:r w:rsidRPr="000857BA">
        <w:rPr>
          <w:rFonts w:cstheme="minorHAnsi"/>
          <w:bCs/>
          <w:color w:val="C00000"/>
        </w:rPr>
        <w:t xml:space="preserve">moderate association is </w:t>
      </w:r>
      <w:r>
        <w:rPr>
          <w:rFonts w:cstheme="minorHAnsi"/>
          <w:bCs/>
          <w:color w:val="C00000"/>
        </w:rPr>
        <w:t xml:space="preserve">also </w:t>
      </w:r>
      <w:r w:rsidRPr="000857BA">
        <w:rPr>
          <w:rFonts w:cstheme="minorHAnsi"/>
          <w:bCs/>
          <w:color w:val="C00000"/>
        </w:rPr>
        <w:t>seen with the overall star ratings score, which is to be expected given the measures are calculated by complex statistical models. Overall, the results above show that the trend and direction of this association is in line with what would be expected.</w:t>
      </w:r>
    </w:p>
    <w:p w14:paraId="0CABCFE0" w14:textId="69085BCF"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BC292B">
        <w:rPr>
          <w:rFonts w:eastAsia="MS Gothic" w:cstheme="minorHAnsi"/>
          <w:b/>
          <w:bCs/>
          <w:color w:val="0000FF"/>
        </w:rPr>
        <w:t>—</w:t>
      </w:r>
      <w:r w:rsidRPr="00BC292B">
        <w:rPr>
          <w:rFonts w:cstheme="minorHAnsi"/>
          <w:b/>
          <w:bCs/>
          <w:i/>
        </w:rPr>
        <w:t xml:space="preserve"> </w:t>
      </w:r>
      <w:r w:rsidR="00B037BA" w:rsidRPr="00BC292B">
        <w:rPr>
          <w:rFonts w:cstheme="minorHAnsi"/>
          <w:b/>
          <w:bCs/>
          <w:i/>
        </w:rPr>
        <w:t xml:space="preserve">skip </w:t>
      </w:r>
      <w:r w:rsidR="008A4C13" w:rsidRPr="00BC292B">
        <w:rPr>
          <w:rFonts w:cstheme="minorHAnsi"/>
          <w:b/>
          <w:bCs/>
          <w:i/>
        </w:rPr>
        <w:t xml:space="preserve">to </w:t>
      </w:r>
      <w:r w:rsidR="00BE592D" w:rsidRPr="00BC292B">
        <w:rPr>
          <w:rFonts w:cstheme="minorHAnsi"/>
          <w:b/>
          <w:bCs/>
          <w:i/>
        </w:rPr>
        <w:t xml:space="preserve">section </w:t>
      </w:r>
      <w:hyperlink w:anchor="section2b4" w:history="1">
        <w:r w:rsidR="00483E94" w:rsidRPr="00BC292B">
          <w:rPr>
            <w:rStyle w:val="Hyperlink"/>
            <w:rFonts w:cstheme="minorHAnsi"/>
            <w:b/>
            <w:bCs/>
            <w:i/>
          </w:rPr>
          <w:t>2b</w:t>
        </w:r>
        <w:r w:rsidR="00AC1D8E" w:rsidRPr="00BC292B">
          <w:rPr>
            <w:rStyle w:val="Hyperlink"/>
            <w:rFonts w:cstheme="minorHAnsi"/>
            <w:b/>
            <w:bCs/>
            <w:i/>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5084E859" w14:textId="77777777" w:rsidR="00E80E35" w:rsidRDefault="00092566" w:rsidP="00F87477">
      <w:pPr>
        <w:autoSpaceDE w:val="0"/>
        <w:autoSpaceDN w:val="0"/>
        <w:adjustRightInd w:val="0"/>
        <w:spacing w:before="120" w:after="12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2C82C91E" w14:textId="3C9E82E1" w:rsidR="00F87477" w:rsidRPr="00B763C3" w:rsidRDefault="00F87477" w:rsidP="00F87477">
      <w:pPr>
        <w:autoSpaceDE w:val="0"/>
        <w:autoSpaceDN w:val="0"/>
        <w:adjustRightInd w:val="0"/>
        <w:spacing w:before="120" w:after="120" w:line="240" w:lineRule="auto"/>
        <w:rPr>
          <w:rFonts w:cstheme="minorHAnsi"/>
          <w:bCs/>
        </w:rPr>
      </w:pPr>
      <w:r w:rsidRPr="00B763C3">
        <w:rPr>
          <w:rFonts w:cstheme="minorHAnsi"/>
          <w:bCs/>
          <w:color w:val="7030A0"/>
        </w:rPr>
        <w:t>All exclusions were determined by careful clinical review and have been made based on clinically relevant decisions to ensure accurate calculation of the measure. To ascertain impact of exclusions on the cohort, we examined overall frequencies and proportions of the total cohort excluded for each exclusion criterion (</w:t>
      </w:r>
      <w:r w:rsidR="00BC292B" w:rsidRPr="00BC292B">
        <w:rPr>
          <w:rFonts w:cstheme="minorHAnsi"/>
          <w:b/>
          <w:bCs/>
          <w:color w:val="C00000"/>
        </w:rPr>
        <w:t>Testing</w:t>
      </w:r>
      <w:r w:rsidRPr="00BC292B">
        <w:rPr>
          <w:rFonts w:cstheme="minorHAnsi"/>
          <w:b/>
          <w:bCs/>
          <w:color w:val="C00000"/>
        </w:rPr>
        <w:t xml:space="preserve"> Dataset</w:t>
      </w:r>
      <w:r w:rsidRPr="00B763C3">
        <w:rPr>
          <w:rFonts w:cstheme="minorHAnsi"/>
          <w:bCs/>
          <w:color w:val="7030A0"/>
        </w:rPr>
        <w:t>). These exclusions are consistent with similar NQF-endor</w:t>
      </w:r>
      <w:r w:rsidR="005959C3">
        <w:rPr>
          <w:rFonts w:cstheme="minorHAnsi"/>
          <w:bCs/>
          <w:color w:val="7030A0"/>
        </w:rPr>
        <w:t>sed outcome measures. Rationales</w:t>
      </w:r>
      <w:r w:rsidRPr="00B763C3">
        <w:rPr>
          <w:rFonts w:cstheme="minorHAnsi"/>
          <w:bCs/>
          <w:color w:val="7030A0"/>
        </w:rPr>
        <w:t xml:space="preserve"> for the exclusions</w:t>
      </w:r>
      <w:r w:rsidR="005959C3">
        <w:rPr>
          <w:rFonts w:cstheme="minorHAnsi"/>
          <w:bCs/>
          <w:color w:val="7030A0"/>
        </w:rPr>
        <w:t xml:space="preserve"> are detailed in data field S.9</w:t>
      </w:r>
      <w:r w:rsidRPr="00B763C3">
        <w:rPr>
          <w:rFonts w:cstheme="minorHAnsi"/>
          <w:bCs/>
          <w:color w:val="7030A0"/>
        </w:rPr>
        <w:t xml:space="preserve"> (Denominator Exclusions).</w:t>
      </w:r>
    </w:p>
    <w:p w14:paraId="37E7A403" w14:textId="4EF93701" w:rsidR="00F87477" w:rsidRDefault="00092566" w:rsidP="00E80E35">
      <w:pPr>
        <w:autoSpaceDE w:val="0"/>
        <w:autoSpaceDN w:val="0"/>
        <w:adjustRightInd w:val="0"/>
        <w:spacing w:after="12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49BFF9C7" w14:textId="607C903E" w:rsidR="00BC292B" w:rsidRDefault="00BC292B" w:rsidP="00E80E35">
      <w:pPr>
        <w:autoSpaceDE w:val="0"/>
        <w:autoSpaceDN w:val="0"/>
        <w:adjustRightInd w:val="0"/>
        <w:spacing w:after="120" w:line="240" w:lineRule="auto"/>
        <w:rPr>
          <w:rFonts w:cstheme="minorHAnsi"/>
          <w:bCs/>
        </w:rPr>
      </w:pPr>
      <w:r w:rsidRPr="00B763C3">
        <w:rPr>
          <w:rFonts w:cstheme="minorHAnsi"/>
          <w:bCs/>
          <w:color w:val="7030A0"/>
        </w:rPr>
        <w:t xml:space="preserve">In the </w:t>
      </w:r>
      <w:r w:rsidRPr="00BC292B">
        <w:rPr>
          <w:rFonts w:cstheme="minorHAnsi"/>
          <w:b/>
          <w:bCs/>
          <w:color w:val="C00000"/>
        </w:rPr>
        <w:t>Testing Dataset</w:t>
      </w:r>
      <w:r w:rsidR="00B06C11">
        <w:rPr>
          <w:rFonts w:cstheme="minorHAnsi"/>
          <w:b/>
          <w:bCs/>
          <w:color w:val="C00000"/>
        </w:rPr>
        <w:t xml:space="preserve"> (Table 3)</w:t>
      </w:r>
      <w:r w:rsidRPr="00B763C3">
        <w:rPr>
          <w:rFonts w:cstheme="minorHAnsi"/>
          <w:bCs/>
          <w:color w:val="7030A0"/>
        </w:rPr>
        <w:t>, below is the distribution of exclusions among hospitals with 25 or more admissions:</w:t>
      </w:r>
    </w:p>
    <w:tbl>
      <w:tblPr>
        <w:tblStyle w:val="TableGrid"/>
        <w:tblW w:w="10548" w:type="dxa"/>
        <w:tblLayout w:type="fixed"/>
        <w:tblLook w:val="04A0" w:firstRow="1" w:lastRow="0" w:firstColumn="1" w:lastColumn="0" w:noHBand="0" w:noVBand="1"/>
      </w:tblPr>
      <w:tblGrid>
        <w:gridCol w:w="4675"/>
        <w:gridCol w:w="1162"/>
        <w:gridCol w:w="1168"/>
        <w:gridCol w:w="3543"/>
      </w:tblGrid>
      <w:tr w:rsidR="00F87477" w:rsidRPr="00BE142B" w14:paraId="71DA59C1" w14:textId="77777777" w:rsidTr="00624D06">
        <w:trPr>
          <w:cantSplit/>
          <w:trHeight w:val="999"/>
          <w:tblHeader/>
        </w:trPr>
        <w:tc>
          <w:tcPr>
            <w:tcW w:w="4675" w:type="dxa"/>
            <w:shd w:val="clear" w:color="auto" w:fill="8DB3E2" w:themeFill="text2" w:themeFillTint="66"/>
            <w:vAlign w:val="center"/>
          </w:tcPr>
          <w:p w14:paraId="567A33FC" w14:textId="1E55BD85" w:rsidR="00F87477" w:rsidRPr="00BE142B" w:rsidRDefault="00833325" w:rsidP="00624D06">
            <w:pPr>
              <w:rPr>
                <w:b/>
              </w:rPr>
            </w:pPr>
            <w:r w:rsidRPr="00A25024">
              <w:rPr>
                <w:rFonts w:cstheme="minorHAnsi"/>
                <w:bCs/>
              </w:rPr>
              <w:br/>
            </w:r>
            <w:bookmarkStart w:id="12" w:name="_Hlk37167973"/>
            <w:r w:rsidR="00F87477" w:rsidRPr="00BE142B">
              <w:rPr>
                <w:b/>
              </w:rPr>
              <w:t>Exclusion</w:t>
            </w:r>
          </w:p>
        </w:tc>
        <w:tc>
          <w:tcPr>
            <w:tcW w:w="1162" w:type="dxa"/>
            <w:shd w:val="clear" w:color="auto" w:fill="8DB3E2" w:themeFill="text2" w:themeFillTint="66"/>
            <w:vAlign w:val="center"/>
          </w:tcPr>
          <w:p w14:paraId="29292A62" w14:textId="77777777" w:rsidR="00F87477" w:rsidRPr="00BE142B" w:rsidRDefault="00F87477" w:rsidP="00624D06">
            <w:pPr>
              <w:jc w:val="center"/>
              <w:rPr>
                <w:b/>
              </w:rPr>
            </w:pPr>
            <w:r w:rsidRPr="00BE142B">
              <w:rPr>
                <w:b/>
              </w:rPr>
              <w:t>N</w:t>
            </w:r>
          </w:p>
        </w:tc>
        <w:tc>
          <w:tcPr>
            <w:tcW w:w="1168" w:type="dxa"/>
            <w:shd w:val="clear" w:color="auto" w:fill="8DB3E2" w:themeFill="text2" w:themeFillTint="66"/>
            <w:vAlign w:val="center"/>
          </w:tcPr>
          <w:p w14:paraId="2B4BB14B" w14:textId="77777777" w:rsidR="00F87477" w:rsidRPr="00BE142B" w:rsidRDefault="00F87477" w:rsidP="00624D06">
            <w:pPr>
              <w:jc w:val="center"/>
              <w:rPr>
                <w:b/>
              </w:rPr>
            </w:pPr>
            <w:r w:rsidRPr="00BE142B">
              <w:rPr>
                <w:b/>
              </w:rPr>
              <w:t>%</w:t>
            </w:r>
          </w:p>
        </w:tc>
        <w:tc>
          <w:tcPr>
            <w:tcW w:w="3543" w:type="dxa"/>
            <w:shd w:val="clear" w:color="auto" w:fill="8DB3E2" w:themeFill="text2" w:themeFillTint="66"/>
            <w:vAlign w:val="center"/>
          </w:tcPr>
          <w:p w14:paraId="11DD4CDC" w14:textId="77777777" w:rsidR="00F87477" w:rsidRPr="00BE142B" w:rsidRDefault="00F87477" w:rsidP="00624D06">
            <w:pPr>
              <w:jc w:val="center"/>
              <w:rPr>
                <w:b/>
              </w:rPr>
            </w:pPr>
            <w:r>
              <w:rPr>
                <w:b/>
              </w:rPr>
              <w:t xml:space="preserve">Distribution across hospitals </w:t>
            </w:r>
            <w:r w:rsidRPr="00BE142B">
              <w:rPr>
                <w:b/>
              </w:rPr>
              <w:t>N=</w:t>
            </w:r>
            <w:r w:rsidRPr="009C2BF8">
              <w:rPr>
                <w:b/>
                <w:color w:val="C00000"/>
              </w:rPr>
              <w:t>3,854</w:t>
            </w:r>
            <w:r w:rsidRPr="00BE142B">
              <w:rPr>
                <w:b/>
              </w:rPr>
              <w:t xml:space="preserve"> </w:t>
            </w:r>
            <w:r>
              <w:rPr>
                <w:b/>
              </w:rPr>
              <w:t>(</w:t>
            </w:r>
            <w:r w:rsidRPr="00BE142B">
              <w:rPr>
                <w:b/>
              </w:rPr>
              <w:t>Min, 25</w:t>
            </w:r>
            <w:r w:rsidRPr="00BE142B">
              <w:rPr>
                <w:b/>
                <w:vertAlign w:val="superscript"/>
              </w:rPr>
              <w:t>th</w:t>
            </w:r>
            <w:r w:rsidRPr="00BE142B">
              <w:rPr>
                <w:b/>
              </w:rPr>
              <w:t>, 50</w:t>
            </w:r>
            <w:r w:rsidRPr="00BE142B">
              <w:rPr>
                <w:b/>
                <w:vertAlign w:val="superscript"/>
              </w:rPr>
              <w:t>th</w:t>
            </w:r>
            <w:r w:rsidRPr="00BE142B">
              <w:rPr>
                <w:b/>
              </w:rPr>
              <w:t>, 75</w:t>
            </w:r>
            <w:r w:rsidRPr="00BE142B">
              <w:rPr>
                <w:b/>
                <w:vertAlign w:val="superscript"/>
              </w:rPr>
              <w:t>th</w:t>
            </w:r>
            <w:r w:rsidRPr="00BE142B">
              <w:rPr>
                <w:b/>
              </w:rPr>
              <w:t xml:space="preserve"> percentile, max</w:t>
            </w:r>
            <w:r>
              <w:rPr>
                <w:b/>
              </w:rPr>
              <w:t>)</w:t>
            </w:r>
          </w:p>
        </w:tc>
      </w:tr>
      <w:tr w:rsidR="00F87477" w:rsidRPr="00BE142B" w14:paraId="4B5D4EB7" w14:textId="77777777" w:rsidTr="00624D06">
        <w:trPr>
          <w:cantSplit/>
          <w:trHeight w:val="603"/>
          <w:tblHeader/>
        </w:trPr>
        <w:tc>
          <w:tcPr>
            <w:tcW w:w="4675" w:type="dxa"/>
          </w:tcPr>
          <w:p w14:paraId="60B2260A" w14:textId="77777777" w:rsidR="00F87477" w:rsidRPr="00B763C3" w:rsidRDefault="00F87477" w:rsidP="00624D06">
            <w:pPr>
              <w:rPr>
                <w:color w:val="7030A0"/>
              </w:rPr>
            </w:pPr>
            <w:r w:rsidRPr="00B763C3">
              <w:rPr>
                <w:rFonts w:cs="Arial"/>
                <w:color w:val="7030A0"/>
              </w:rPr>
              <w:t>1. Discharged alive on the day of admission or the following day who were not transferred to another acute care facility</w:t>
            </w:r>
          </w:p>
        </w:tc>
        <w:tc>
          <w:tcPr>
            <w:tcW w:w="1162" w:type="dxa"/>
          </w:tcPr>
          <w:p w14:paraId="2D6A4140" w14:textId="6A26F52D" w:rsidR="00F87477" w:rsidRPr="00BE142B" w:rsidRDefault="00F87477" w:rsidP="00624D06">
            <w:pPr>
              <w:jc w:val="center"/>
              <w:rPr>
                <w:color w:val="FF0000"/>
              </w:rPr>
            </w:pPr>
            <w:r>
              <w:rPr>
                <w:color w:val="C00000"/>
              </w:rPr>
              <w:t>36,251</w:t>
            </w:r>
          </w:p>
        </w:tc>
        <w:tc>
          <w:tcPr>
            <w:tcW w:w="1168" w:type="dxa"/>
          </w:tcPr>
          <w:p w14:paraId="6055F224" w14:textId="0E46D15F" w:rsidR="00F87477" w:rsidRPr="00BE142B" w:rsidRDefault="00F87477" w:rsidP="00624D06">
            <w:pPr>
              <w:jc w:val="center"/>
              <w:rPr>
                <w:color w:val="FF0000"/>
              </w:rPr>
            </w:pPr>
            <w:r>
              <w:rPr>
                <w:color w:val="C00000"/>
              </w:rPr>
              <w:t>6.81</w:t>
            </w:r>
            <w:r w:rsidRPr="009C2BF8">
              <w:rPr>
                <w:color w:val="C00000"/>
              </w:rPr>
              <w:t>%</w:t>
            </w:r>
          </w:p>
        </w:tc>
        <w:tc>
          <w:tcPr>
            <w:tcW w:w="3543" w:type="dxa"/>
          </w:tcPr>
          <w:p w14:paraId="5C372A44" w14:textId="1CA3EBE4" w:rsidR="00F87477" w:rsidRPr="009C2BF8" w:rsidRDefault="00F87477" w:rsidP="00624D06">
            <w:pPr>
              <w:jc w:val="center"/>
              <w:rPr>
                <w:color w:val="C00000"/>
              </w:rPr>
            </w:pPr>
            <w:r w:rsidRPr="009C2BF8">
              <w:rPr>
                <w:color w:val="C00000"/>
              </w:rPr>
              <w:t xml:space="preserve">(0.00, </w:t>
            </w:r>
            <w:r>
              <w:rPr>
                <w:color w:val="C00000"/>
              </w:rPr>
              <w:t>3.38</w:t>
            </w:r>
            <w:r w:rsidRPr="009C2BF8">
              <w:rPr>
                <w:color w:val="C00000"/>
              </w:rPr>
              <w:t xml:space="preserve">, </w:t>
            </w:r>
            <w:r>
              <w:rPr>
                <w:color w:val="C00000"/>
              </w:rPr>
              <w:t>5.83</w:t>
            </w:r>
            <w:r w:rsidRPr="009C2BF8">
              <w:rPr>
                <w:color w:val="C00000"/>
              </w:rPr>
              <w:t>,</w:t>
            </w:r>
            <w:r>
              <w:rPr>
                <w:color w:val="C00000"/>
              </w:rPr>
              <w:t xml:space="preserve"> 9.25</w:t>
            </w:r>
            <w:r w:rsidRPr="009C2BF8">
              <w:rPr>
                <w:color w:val="C00000"/>
              </w:rPr>
              <w:t>, 35.</w:t>
            </w:r>
            <w:r>
              <w:rPr>
                <w:color w:val="C00000"/>
              </w:rPr>
              <w:t>3</w:t>
            </w:r>
            <w:r w:rsidRPr="009C2BF8">
              <w:rPr>
                <w:color w:val="C00000"/>
              </w:rPr>
              <w:t>)</w:t>
            </w:r>
          </w:p>
        </w:tc>
      </w:tr>
      <w:tr w:rsidR="00F87477" w:rsidRPr="00BE142B" w14:paraId="2C0179FA" w14:textId="77777777" w:rsidTr="00624D06">
        <w:trPr>
          <w:cantSplit/>
          <w:trHeight w:val="595"/>
          <w:tblHeader/>
        </w:trPr>
        <w:tc>
          <w:tcPr>
            <w:tcW w:w="4675" w:type="dxa"/>
          </w:tcPr>
          <w:p w14:paraId="55A19E6B" w14:textId="77777777" w:rsidR="00F87477" w:rsidRPr="00B763C3" w:rsidRDefault="00F87477" w:rsidP="00624D06">
            <w:pPr>
              <w:rPr>
                <w:rFonts w:cs="Arial"/>
                <w:color w:val="7030A0"/>
              </w:rPr>
            </w:pPr>
            <w:r w:rsidRPr="00B763C3">
              <w:rPr>
                <w:rFonts w:cs="Arial"/>
                <w:color w:val="7030A0"/>
              </w:rPr>
              <w:t>2. Inconsistent or unknown vital status or other unreliable demographic (age and gender) data</w:t>
            </w:r>
          </w:p>
        </w:tc>
        <w:tc>
          <w:tcPr>
            <w:tcW w:w="1162" w:type="dxa"/>
          </w:tcPr>
          <w:p w14:paraId="344743D7" w14:textId="36485D7D" w:rsidR="00F87477" w:rsidRPr="00BE142B" w:rsidRDefault="00F87477" w:rsidP="00624D06">
            <w:pPr>
              <w:jc w:val="center"/>
              <w:rPr>
                <w:color w:val="FF0000"/>
              </w:rPr>
            </w:pPr>
            <w:r>
              <w:rPr>
                <w:color w:val="C00000"/>
              </w:rPr>
              <w:t>23</w:t>
            </w:r>
          </w:p>
        </w:tc>
        <w:tc>
          <w:tcPr>
            <w:tcW w:w="1168" w:type="dxa"/>
          </w:tcPr>
          <w:p w14:paraId="2D026832" w14:textId="77777777" w:rsidR="00F87477" w:rsidRPr="00BE142B" w:rsidRDefault="00F87477" w:rsidP="00624D06">
            <w:pPr>
              <w:tabs>
                <w:tab w:val="left" w:pos="1390"/>
              </w:tabs>
              <w:jc w:val="center"/>
              <w:rPr>
                <w:color w:val="FF0000"/>
              </w:rPr>
            </w:pPr>
            <w:r w:rsidRPr="009C2BF8">
              <w:rPr>
                <w:color w:val="C00000"/>
              </w:rPr>
              <w:t>0.00%</w:t>
            </w:r>
          </w:p>
        </w:tc>
        <w:tc>
          <w:tcPr>
            <w:tcW w:w="3543" w:type="dxa"/>
          </w:tcPr>
          <w:p w14:paraId="50641EE1" w14:textId="29D290ED" w:rsidR="00F87477" w:rsidRPr="009C2BF8" w:rsidRDefault="00F87477" w:rsidP="00624D06">
            <w:pPr>
              <w:jc w:val="center"/>
              <w:rPr>
                <w:color w:val="C00000"/>
              </w:rPr>
            </w:pPr>
            <w:r w:rsidRPr="009C2BF8">
              <w:rPr>
                <w:color w:val="C00000"/>
              </w:rPr>
              <w:t>(0.00, 0.00, 0.00,</w:t>
            </w:r>
            <w:r w:rsidR="00DD1908">
              <w:rPr>
                <w:color w:val="C00000"/>
              </w:rPr>
              <w:t xml:space="preserve"> </w:t>
            </w:r>
            <w:r w:rsidRPr="009C2BF8">
              <w:rPr>
                <w:color w:val="C00000"/>
              </w:rPr>
              <w:t xml:space="preserve">0.00, </w:t>
            </w:r>
            <w:r>
              <w:rPr>
                <w:color w:val="C00000"/>
              </w:rPr>
              <w:t>1.56</w:t>
            </w:r>
            <w:r w:rsidRPr="009C2BF8">
              <w:rPr>
                <w:color w:val="C00000"/>
              </w:rPr>
              <w:t>)</w:t>
            </w:r>
          </w:p>
        </w:tc>
      </w:tr>
      <w:tr w:rsidR="00F87477" w:rsidRPr="00BE142B" w14:paraId="15E8B607" w14:textId="77777777" w:rsidTr="00624D06">
        <w:trPr>
          <w:cantSplit/>
          <w:trHeight w:val="1006"/>
          <w:tblHeader/>
        </w:trPr>
        <w:tc>
          <w:tcPr>
            <w:tcW w:w="4675" w:type="dxa"/>
          </w:tcPr>
          <w:p w14:paraId="4FB1364C" w14:textId="77777777" w:rsidR="00F87477" w:rsidRPr="00B763C3" w:rsidRDefault="00F87477" w:rsidP="00624D06">
            <w:pPr>
              <w:rPr>
                <w:color w:val="7030A0"/>
              </w:rPr>
            </w:pPr>
            <w:r w:rsidRPr="00B763C3">
              <w:rPr>
                <w:rFonts w:cs="Arial"/>
                <w:color w:val="7030A0"/>
              </w:rPr>
              <w:t>3. Enrolled in the Medicare hospice program or used VA hospice services any time in the 12 months prior to the index admission, including the first day of the index admission</w:t>
            </w:r>
          </w:p>
        </w:tc>
        <w:tc>
          <w:tcPr>
            <w:tcW w:w="1162" w:type="dxa"/>
          </w:tcPr>
          <w:p w14:paraId="5C7CF094" w14:textId="450BC4CC" w:rsidR="00F87477" w:rsidRPr="00BE142B" w:rsidRDefault="00F87477" w:rsidP="00624D06">
            <w:pPr>
              <w:jc w:val="center"/>
              <w:rPr>
                <w:color w:val="FF0000"/>
              </w:rPr>
            </w:pPr>
            <w:r>
              <w:rPr>
                <w:color w:val="C00000"/>
              </w:rPr>
              <w:t>3,694</w:t>
            </w:r>
          </w:p>
        </w:tc>
        <w:tc>
          <w:tcPr>
            <w:tcW w:w="1168" w:type="dxa"/>
          </w:tcPr>
          <w:p w14:paraId="402637FB" w14:textId="396E5375" w:rsidR="00F87477" w:rsidRPr="00BE142B" w:rsidRDefault="00F87477" w:rsidP="00624D06">
            <w:pPr>
              <w:jc w:val="center"/>
              <w:rPr>
                <w:color w:val="FF0000"/>
              </w:rPr>
            </w:pPr>
            <w:r>
              <w:rPr>
                <w:color w:val="C00000"/>
              </w:rPr>
              <w:t>0</w:t>
            </w:r>
            <w:r w:rsidRPr="009C2BF8">
              <w:rPr>
                <w:color w:val="C00000"/>
              </w:rPr>
              <w:t>.</w:t>
            </w:r>
            <w:r w:rsidR="00BD6039">
              <w:rPr>
                <w:color w:val="C00000"/>
              </w:rPr>
              <w:t>69</w:t>
            </w:r>
            <w:r w:rsidRPr="009C2BF8">
              <w:rPr>
                <w:color w:val="C00000"/>
              </w:rPr>
              <w:t>%</w:t>
            </w:r>
          </w:p>
        </w:tc>
        <w:tc>
          <w:tcPr>
            <w:tcW w:w="3543" w:type="dxa"/>
          </w:tcPr>
          <w:p w14:paraId="153E6656" w14:textId="456CD2CB" w:rsidR="00F87477" w:rsidRPr="009C2BF8" w:rsidRDefault="00F87477" w:rsidP="00624D06">
            <w:pPr>
              <w:jc w:val="center"/>
              <w:rPr>
                <w:color w:val="C00000"/>
              </w:rPr>
            </w:pPr>
            <w:r w:rsidRPr="009C2BF8">
              <w:rPr>
                <w:color w:val="C00000"/>
              </w:rPr>
              <w:t>(0.00, 0.</w:t>
            </w:r>
            <w:r w:rsidR="00BD6039">
              <w:rPr>
                <w:color w:val="C00000"/>
              </w:rPr>
              <w:t>00, 0.42</w:t>
            </w:r>
            <w:r w:rsidRPr="009C2BF8">
              <w:rPr>
                <w:color w:val="C00000"/>
              </w:rPr>
              <w:t>,</w:t>
            </w:r>
            <w:r w:rsidR="00BD6039">
              <w:rPr>
                <w:color w:val="C00000"/>
              </w:rPr>
              <w:t xml:space="preserve"> </w:t>
            </w:r>
            <w:r w:rsidRPr="009C2BF8">
              <w:rPr>
                <w:color w:val="C00000"/>
              </w:rPr>
              <w:t>1.</w:t>
            </w:r>
            <w:r w:rsidR="00BD6039">
              <w:rPr>
                <w:color w:val="C00000"/>
              </w:rPr>
              <w:t>13</w:t>
            </w:r>
            <w:r w:rsidRPr="009C2BF8">
              <w:rPr>
                <w:color w:val="C00000"/>
              </w:rPr>
              <w:t xml:space="preserve">, </w:t>
            </w:r>
            <w:r w:rsidR="00BD6039">
              <w:rPr>
                <w:color w:val="C00000"/>
              </w:rPr>
              <w:t>37.2</w:t>
            </w:r>
            <w:r w:rsidRPr="009C2BF8">
              <w:rPr>
                <w:color w:val="C00000"/>
              </w:rPr>
              <w:t>)</w:t>
            </w:r>
          </w:p>
        </w:tc>
      </w:tr>
      <w:tr w:rsidR="00F87477" w:rsidRPr="00BE142B" w14:paraId="63A1DD33" w14:textId="77777777" w:rsidTr="00624D06">
        <w:trPr>
          <w:cantSplit/>
          <w:trHeight w:val="401"/>
          <w:tblHeader/>
        </w:trPr>
        <w:tc>
          <w:tcPr>
            <w:tcW w:w="4675" w:type="dxa"/>
          </w:tcPr>
          <w:p w14:paraId="18B201E6" w14:textId="3A46CFED" w:rsidR="00F87477" w:rsidRPr="00B763C3" w:rsidRDefault="00E20883" w:rsidP="00624D06">
            <w:pPr>
              <w:rPr>
                <w:rFonts w:cs="Arial"/>
                <w:color w:val="7030A0"/>
              </w:rPr>
            </w:pPr>
            <w:r>
              <w:rPr>
                <w:rFonts w:cs="Arial"/>
                <w:color w:val="7030A0"/>
              </w:rPr>
              <w:t>4</w:t>
            </w:r>
            <w:r w:rsidR="00F87477" w:rsidRPr="00B763C3">
              <w:rPr>
                <w:rFonts w:cs="Arial"/>
                <w:color w:val="7030A0"/>
              </w:rPr>
              <w:t>. Discharged against medical advice (AMA)</w:t>
            </w:r>
          </w:p>
        </w:tc>
        <w:tc>
          <w:tcPr>
            <w:tcW w:w="1162" w:type="dxa"/>
          </w:tcPr>
          <w:p w14:paraId="7FFF81BC" w14:textId="4A1C48E2" w:rsidR="00F87477" w:rsidRPr="00BE142B" w:rsidRDefault="00F87477" w:rsidP="00624D06">
            <w:pPr>
              <w:jc w:val="center"/>
              <w:rPr>
                <w:color w:val="FF0000"/>
              </w:rPr>
            </w:pPr>
            <w:r>
              <w:rPr>
                <w:color w:val="C00000"/>
              </w:rPr>
              <w:t>3,302</w:t>
            </w:r>
          </w:p>
        </w:tc>
        <w:tc>
          <w:tcPr>
            <w:tcW w:w="1168" w:type="dxa"/>
          </w:tcPr>
          <w:p w14:paraId="0821051A" w14:textId="3276A052" w:rsidR="00F87477" w:rsidRDefault="00F87477" w:rsidP="00624D06">
            <w:pPr>
              <w:jc w:val="center"/>
              <w:rPr>
                <w:color w:val="FF0000"/>
              </w:rPr>
            </w:pPr>
            <w:r w:rsidRPr="009C2BF8">
              <w:rPr>
                <w:color w:val="C00000"/>
              </w:rPr>
              <w:t>0.6</w:t>
            </w:r>
            <w:r>
              <w:rPr>
                <w:color w:val="C00000"/>
              </w:rPr>
              <w:t>2</w:t>
            </w:r>
            <w:r w:rsidRPr="009C2BF8">
              <w:rPr>
                <w:color w:val="C00000"/>
              </w:rPr>
              <w:t>%</w:t>
            </w:r>
          </w:p>
        </w:tc>
        <w:tc>
          <w:tcPr>
            <w:tcW w:w="3543" w:type="dxa"/>
          </w:tcPr>
          <w:p w14:paraId="75CD64D3" w14:textId="07CEA64B" w:rsidR="00F87477" w:rsidRPr="009C2BF8" w:rsidRDefault="00F87477" w:rsidP="00624D06">
            <w:pPr>
              <w:jc w:val="center"/>
              <w:rPr>
                <w:color w:val="C00000"/>
              </w:rPr>
            </w:pPr>
            <w:r w:rsidRPr="009C2BF8">
              <w:rPr>
                <w:color w:val="C00000"/>
              </w:rPr>
              <w:t>(0.00, 0.00, 0.</w:t>
            </w:r>
            <w:r>
              <w:rPr>
                <w:color w:val="C00000"/>
              </w:rPr>
              <w:t>34</w:t>
            </w:r>
            <w:r w:rsidRPr="009C2BF8">
              <w:rPr>
                <w:color w:val="C00000"/>
              </w:rPr>
              <w:t>,</w:t>
            </w:r>
            <w:r>
              <w:rPr>
                <w:color w:val="C00000"/>
              </w:rPr>
              <w:t xml:space="preserve"> 0.97</w:t>
            </w:r>
            <w:r w:rsidRPr="009C2BF8">
              <w:rPr>
                <w:color w:val="C00000"/>
              </w:rPr>
              <w:t xml:space="preserve">, </w:t>
            </w:r>
            <w:r>
              <w:rPr>
                <w:color w:val="C00000"/>
              </w:rPr>
              <w:t>11.8</w:t>
            </w:r>
            <w:r w:rsidRPr="009C2BF8">
              <w:rPr>
                <w:color w:val="C00000"/>
              </w:rPr>
              <w:t>)</w:t>
            </w:r>
          </w:p>
        </w:tc>
      </w:tr>
      <w:bookmarkEnd w:id="12"/>
    </w:tbl>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4033D255" w14:textId="77777777" w:rsidR="008F55E7" w:rsidRDefault="00092566" w:rsidP="008F55E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s.</w:t>
      </w:r>
      <w:r w:rsidR="0084071B">
        <w:rPr>
          <w:rFonts w:cstheme="minorHAnsi"/>
          <w:bCs/>
          <w:i/>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28A33CE8" w14:textId="1985E1CA" w:rsidR="008F55E7" w:rsidRPr="008F55E7" w:rsidRDefault="008A5F33" w:rsidP="008F55E7">
      <w:pPr>
        <w:autoSpaceDE w:val="0"/>
        <w:autoSpaceDN w:val="0"/>
        <w:adjustRightInd w:val="0"/>
        <w:spacing w:before="120" w:after="120" w:line="240" w:lineRule="auto"/>
        <w:rPr>
          <w:rFonts w:cstheme="minorHAnsi"/>
          <w:bCs/>
          <w:color w:val="7030A0"/>
        </w:rPr>
      </w:pPr>
      <w:r w:rsidRPr="008F55E7">
        <w:rPr>
          <w:rFonts w:cstheme="minorHAnsi"/>
          <w:b/>
          <w:bCs/>
          <w:color w:val="7030A0"/>
          <w:u w:val="single"/>
        </w:rPr>
        <w:t>Exclusion 1</w:t>
      </w:r>
      <w:r w:rsidRPr="008F55E7">
        <w:rPr>
          <w:rFonts w:cstheme="minorHAnsi"/>
          <w:bCs/>
          <w:color w:val="7030A0"/>
        </w:rPr>
        <w:t xml:space="preserve"> (patients who were discharged alive on the day of admission or the following day who were not transferred to another acute care facility) accounts for </w:t>
      </w:r>
      <w:r w:rsidR="00BD6039" w:rsidRPr="008F55E7">
        <w:rPr>
          <w:rFonts w:cstheme="minorHAnsi"/>
          <w:bCs/>
          <w:color w:val="C00000"/>
        </w:rPr>
        <w:t>6.81</w:t>
      </w:r>
      <w:r w:rsidRPr="008F55E7">
        <w:rPr>
          <w:rFonts w:cstheme="minorHAnsi"/>
          <w:bCs/>
          <w:color w:val="7030A0"/>
        </w:rPr>
        <w:t xml:space="preserve">% of all index admissions excluded from the initial index cohort. This exclusion represents the majority of all exclusions, and is meant to ensure a clinically coherent cohort. This exclusion prevents inclusion of patients who likely did not </w:t>
      </w:r>
      <w:r w:rsidR="00EE5930" w:rsidRPr="008F55E7">
        <w:rPr>
          <w:rFonts w:cstheme="minorHAnsi"/>
          <w:bCs/>
          <w:color w:val="7030A0"/>
        </w:rPr>
        <w:t>have clinically significant AMI</w:t>
      </w:r>
      <w:r w:rsidRPr="008F55E7">
        <w:rPr>
          <w:rFonts w:cstheme="minorHAnsi"/>
          <w:bCs/>
          <w:color w:val="7030A0"/>
        </w:rPr>
        <w:t>.</w:t>
      </w:r>
    </w:p>
    <w:p w14:paraId="0FDE8896" w14:textId="7AE7586B" w:rsidR="008F55E7" w:rsidRPr="008F55E7" w:rsidRDefault="008A5F33" w:rsidP="008F55E7">
      <w:pPr>
        <w:autoSpaceDE w:val="0"/>
        <w:autoSpaceDN w:val="0"/>
        <w:adjustRightInd w:val="0"/>
        <w:spacing w:before="120" w:after="120" w:line="240" w:lineRule="auto"/>
        <w:rPr>
          <w:rFonts w:cstheme="minorHAnsi"/>
          <w:bCs/>
          <w:color w:val="7030A0"/>
        </w:rPr>
      </w:pPr>
      <w:r w:rsidRPr="008F55E7">
        <w:rPr>
          <w:rFonts w:cstheme="minorHAnsi"/>
          <w:b/>
          <w:bCs/>
          <w:color w:val="7030A0"/>
          <w:u w:val="single"/>
        </w:rPr>
        <w:lastRenderedPageBreak/>
        <w:t>Exclusion 2</w:t>
      </w:r>
      <w:r w:rsidRPr="008F55E7">
        <w:rPr>
          <w:rFonts w:cstheme="minorHAnsi"/>
          <w:bCs/>
          <w:color w:val="7030A0"/>
        </w:rPr>
        <w:t xml:space="preserve"> (patients with inconsistent or unknown vital status or other unrelia</w:t>
      </w:r>
      <w:r w:rsidR="008F55E7">
        <w:rPr>
          <w:rFonts w:cstheme="minorHAnsi"/>
          <w:bCs/>
          <w:color w:val="7030A0"/>
        </w:rPr>
        <w:t>ble demographic [age and gender]</w:t>
      </w:r>
      <w:r w:rsidRPr="008F55E7">
        <w:rPr>
          <w:rFonts w:cstheme="minorHAnsi"/>
          <w:bCs/>
          <w:color w:val="7030A0"/>
        </w:rPr>
        <w:t xml:space="preserve"> data) accounts for </w:t>
      </w:r>
      <w:r w:rsidR="008F55E7" w:rsidRPr="008F55E7">
        <w:rPr>
          <w:rFonts w:cstheme="minorHAnsi"/>
          <w:bCs/>
          <w:color w:val="C00000"/>
        </w:rPr>
        <w:t>less than</w:t>
      </w:r>
      <w:r w:rsidR="00BC292B" w:rsidRPr="008F55E7">
        <w:rPr>
          <w:rFonts w:cstheme="minorHAnsi"/>
          <w:bCs/>
          <w:color w:val="C00000"/>
        </w:rPr>
        <w:t xml:space="preserve"> </w:t>
      </w:r>
      <w:r w:rsidR="008F55E7" w:rsidRPr="008F55E7">
        <w:rPr>
          <w:rFonts w:cstheme="minorHAnsi"/>
          <w:bCs/>
          <w:color w:val="C00000"/>
        </w:rPr>
        <w:t>0.01</w:t>
      </w:r>
      <w:r w:rsidRPr="008F55E7">
        <w:rPr>
          <w:rFonts w:cstheme="minorHAnsi"/>
          <w:bCs/>
          <w:color w:val="7030A0"/>
        </w:rPr>
        <w:t xml:space="preserve">% of all index admissions excluded from the initial index cohort. We do not include stays for patients where the age is greater than 115, where the gender is neither male nor female, where the admission date is after the date of death in the Medicare Enrollment Database, or where the date of death occurs before the date of discharge but the patient was discharged alive. </w:t>
      </w:r>
    </w:p>
    <w:p w14:paraId="0BF863D9" w14:textId="77777777" w:rsidR="008F55E7" w:rsidRPr="008F55E7" w:rsidRDefault="008A5F33" w:rsidP="008F55E7">
      <w:pPr>
        <w:autoSpaceDE w:val="0"/>
        <w:autoSpaceDN w:val="0"/>
        <w:adjustRightInd w:val="0"/>
        <w:spacing w:before="120" w:after="120" w:line="240" w:lineRule="auto"/>
        <w:rPr>
          <w:rFonts w:cstheme="minorHAnsi"/>
          <w:bCs/>
          <w:color w:val="7030A0"/>
        </w:rPr>
      </w:pPr>
      <w:r w:rsidRPr="008F55E7">
        <w:rPr>
          <w:rFonts w:cstheme="minorHAnsi"/>
          <w:b/>
          <w:bCs/>
          <w:color w:val="7030A0"/>
          <w:u w:val="single"/>
        </w:rPr>
        <w:t>Exclusion 3</w:t>
      </w:r>
      <w:r w:rsidRPr="008F55E7">
        <w:rPr>
          <w:rFonts w:cstheme="minorHAnsi"/>
          <w:bCs/>
          <w:color w:val="7030A0"/>
        </w:rPr>
        <w:t xml:space="preserve"> (patients enrolled in the Medicare hospice program or used VA hospice services any time in the 12 months prior to the index admission, including the first day of the index admission) accounts for </w:t>
      </w:r>
      <w:r w:rsidR="00BD6039" w:rsidRPr="008F55E7">
        <w:rPr>
          <w:rFonts w:cstheme="minorHAnsi"/>
          <w:bCs/>
          <w:color w:val="C00000"/>
        </w:rPr>
        <w:t>0.69</w:t>
      </w:r>
      <w:r w:rsidRPr="008F55E7">
        <w:rPr>
          <w:rFonts w:cstheme="minorHAnsi"/>
          <w:bCs/>
          <w:color w:val="7030A0"/>
        </w:rPr>
        <w:t xml:space="preserve">% of all index admissions excluded from the initial index cohort. These patients are likely continuing to seek comfort measures only; thus, mortality is not necessarily an adverse outcome or signal of poor quality care. </w:t>
      </w:r>
    </w:p>
    <w:p w14:paraId="259B4BA8" w14:textId="77777777" w:rsidR="008F55E7" w:rsidRPr="008F55E7" w:rsidRDefault="008A5F33" w:rsidP="008F55E7">
      <w:pPr>
        <w:autoSpaceDE w:val="0"/>
        <w:autoSpaceDN w:val="0"/>
        <w:adjustRightInd w:val="0"/>
        <w:spacing w:before="120" w:after="120" w:line="240" w:lineRule="auto"/>
        <w:rPr>
          <w:rFonts w:cstheme="minorHAnsi"/>
          <w:bCs/>
          <w:color w:val="7030A0"/>
        </w:rPr>
      </w:pPr>
      <w:r w:rsidRPr="008F55E7">
        <w:rPr>
          <w:rFonts w:cstheme="minorHAnsi"/>
          <w:b/>
          <w:bCs/>
          <w:color w:val="7030A0"/>
          <w:u w:val="single"/>
        </w:rPr>
        <w:t>Exclusion 4</w:t>
      </w:r>
      <w:r w:rsidRPr="008F55E7">
        <w:rPr>
          <w:rFonts w:cstheme="minorHAnsi"/>
          <w:bCs/>
          <w:color w:val="7030A0"/>
        </w:rPr>
        <w:t xml:space="preserve"> (patients who are discharged AMA) accounts for </w:t>
      </w:r>
      <w:r w:rsidRPr="008F55E7">
        <w:rPr>
          <w:rFonts w:cstheme="minorHAnsi"/>
          <w:bCs/>
          <w:color w:val="C00000"/>
        </w:rPr>
        <w:t>0.</w:t>
      </w:r>
      <w:r w:rsidR="00BD6039" w:rsidRPr="008F55E7">
        <w:rPr>
          <w:rFonts w:cstheme="minorHAnsi"/>
          <w:bCs/>
          <w:color w:val="C00000"/>
        </w:rPr>
        <w:t>62</w:t>
      </w:r>
      <w:r w:rsidRPr="008F55E7">
        <w:rPr>
          <w:rFonts w:cstheme="minorHAnsi"/>
          <w:bCs/>
          <w:color w:val="7030A0"/>
        </w:rPr>
        <w:t>% of all index admissions excluded from the initial index cohort. This exclusion is needed for acceptability of the measure to hospitals, who do not have the opportunity to deliver full care and prepare the patient for discharge. Given that a very small percentage of patients are being excluded, it is unlikely this exclusion affects the measure score.</w:t>
      </w:r>
    </w:p>
    <w:p w14:paraId="646DC653" w14:textId="7FDC7208" w:rsidR="008A5F33" w:rsidRPr="008F55E7" w:rsidRDefault="008A5F33" w:rsidP="008F55E7">
      <w:pPr>
        <w:autoSpaceDE w:val="0"/>
        <w:autoSpaceDN w:val="0"/>
        <w:adjustRightInd w:val="0"/>
        <w:spacing w:before="120" w:after="120" w:line="240" w:lineRule="auto"/>
        <w:rPr>
          <w:rFonts w:cstheme="minorHAnsi"/>
          <w:bCs/>
        </w:rPr>
      </w:pPr>
      <w:r w:rsidRPr="00BD6039">
        <w:rPr>
          <w:rFonts w:cstheme="minorHAnsi"/>
          <w:bCs/>
          <w:color w:val="7030A0"/>
        </w:rPr>
        <w:t>After all exclusions are applied, the measure randomly selects one index admission per patient per year for inclusion in the cohort so that each episode of care is mu</w:t>
      </w:r>
      <w:r w:rsidR="00A07C76">
        <w:rPr>
          <w:rFonts w:cstheme="minorHAnsi"/>
          <w:bCs/>
          <w:color w:val="7030A0"/>
        </w:rPr>
        <w:t>tually independent with a similar</w:t>
      </w:r>
      <w:r w:rsidRPr="00BD6039">
        <w:rPr>
          <w:rFonts w:cstheme="minorHAnsi"/>
          <w:bCs/>
          <w:color w:val="7030A0"/>
        </w:rPr>
        <w:t xml:space="preserve"> probability of the outcome. For each patient, the probability of death </w:t>
      </w:r>
      <w:r w:rsidR="000857BA">
        <w:rPr>
          <w:rFonts w:cstheme="minorHAnsi"/>
          <w:bCs/>
          <w:color w:val="7030A0"/>
        </w:rPr>
        <w:t>may increase</w:t>
      </w:r>
      <w:r w:rsidRPr="00BD6039">
        <w:rPr>
          <w:rFonts w:cstheme="minorHAnsi"/>
          <w:bCs/>
          <w:color w:val="7030A0"/>
        </w:rPr>
        <w:t xml:space="preserve"> with each subsequent admission, and therefore, the episodes of care are not mutually independent. Similarly, for the three-year combined data, when index admissions occur during the transition between measure reporting periods (June and July of each year) and both are randomly selected for inclusion in the measure, the measure includes only the June admission. The July admissions are excluded to avoid assigning a single death to two admissions.</w:t>
      </w:r>
    </w:p>
    <w:p w14:paraId="0CABCFE9" w14:textId="6D8601A4"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3" w:name="section2b4"/>
      <w:bookmarkEnd w:id="13"/>
      <w:r w:rsidRPr="00BC292B">
        <w:rPr>
          <w:rFonts w:cstheme="minorHAnsi"/>
          <w:b/>
          <w:bCs/>
        </w:rPr>
        <w:t>2b</w:t>
      </w:r>
      <w:r w:rsidR="009C7513" w:rsidRPr="00BC292B">
        <w:rPr>
          <w:rFonts w:cstheme="minorHAnsi"/>
          <w:b/>
          <w:bCs/>
        </w:rPr>
        <w:t>3</w:t>
      </w:r>
      <w:r w:rsidRPr="00BC292B">
        <w:rPr>
          <w:rFonts w:cstheme="minorHAnsi"/>
          <w:b/>
          <w:bCs/>
        </w:rPr>
        <w:t>. RISK ADJUSTMENT/STRATIFICATION FOR OUTCOME OR RESOURCE USE MEASURES</w:t>
      </w:r>
      <w:r w:rsidRPr="00BC292B">
        <w:rPr>
          <w:rFonts w:cstheme="minorHAnsi"/>
          <w:bCs/>
        </w:rPr>
        <w:br/>
      </w:r>
      <w:r w:rsidR="00AC1D8E" w:rsidRPr="00BC292B">
        <w:rPr>
          <w:rFonts w:cstheme="minorHAnsi"/>
          <w:b/>
          <w:bCs/>
          <w:i/>
        </w:rPr>
        <w:t>If not an intermediate or health outcome</w:t>
      </w:r>
      <w:r w:rsidR="00127C06" w:rsidRPr="00BC292B">
        <w:rPr>
          <w:rFonts w:cstheme="minorHAnsi"/>
          <w:b/>
          <w:bCs/>
          <w:i/>
        </w:rPr>
        <w:t>,</w:t>
      </w:r>
      <w:r w:rsidR="00AC1D8E" w:rsidRPr="00BC292B">
        <w:rPr>
          <w:rFonts w:cstheme="minorHAnsi"/>
          <w:b/>
          <w:bCs/>
          <w:i/>
        </w:rPr>
        <w:t xml:space="preserve"> </w:t>
      </w:r>
      <w:r w:rsidR="00127C06" w:rsidRPr="00BC292B">
        <w:rPr>
          <w:rFonts w:cstheme="minorHAnsi"/>
          <w:b/>
          <w:bCs/>
          <w:i/>
        </w:rPr>
        <w:t xml:space="preserve">or PRO-PM, </w:t>
      </w:r>
      <w:r w:rsidR="00AC1D8E" w:rsidRPr="00BC292B">
        <w:rPr>
          <w:rFonts w:cstheme="minorHAnsi"/>
          <w:b/>
          <w:bCs/>
          <w:i/>
        </w:rPr>
        <w:t xml:space="preserve">or resource use measure, </w:t>
      </w:r>
      <w:r w:rsidR="00BE592D" w:rsidRPr="00BC292B">
        <w:rPr>
          <w:rFonts w:cstheme="minorHAnsi"/>
          <w:b/>
          <w:bCs/>
          <w:i/>
        </w:rPr>
        <w:t xml:space="preserve">skip to section </w:t>
      </w:r>
      <w:hyperlink w:anchor="section2b5" w:history="1">
        <w:r w:rsidR="00BE592D" w:rsidRPr="00BC292B">
          <w:rPr>
            <w:rStyle w:val="Hyperlink"/>
            <w:rFonts w:cstheme="minorHAnsi"/>
            <w:b/>
            <w:bCs/>
            <w:i/>
          </w:rPr>
          <w:t>2b5</w:t>
        </w:r>
      </w:hyperlink>
      <w:r w:rsidR="00BE592D" w:rsidRPr="00BC292B">
        <w:rPr>
          <w:rFonts w:cstheme="minorHAnsi"/>
          <w:b/>
          <w:bCs/>
          <w:i/>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77777777" w:rsidR="00033038" w:rsidRPr="005232D6" w:rsidRDefault="00CD0CB6"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1D4344D1" w:rsidR="00743E46" w:rsidRPr="005232D6" w:rsidRDefault="00CD0CB6"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1"/>
            <w14:checkedState w14:val="2612" w14:font="MS Gothic"/>
            <w14:uncheckedState w14:val="2610" w14:font="MS Gothic"/>
          </w14:checkbox>
        </w:sdtPr>
        <w:sdtEndPr/>
        <w:sdtContent>
          <w:r w:rsidR="008A5F33">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color w:val="7030A0"/>
            <w:u w:val="none"/>
          </w:rPr>
          <w:id w:val="309760327"/>
          <w:text/>
        </w:sdtPr>
        <w:sdtEndPr>
          <w:rPr>
            <w:rStyle w:val="DefaultParagraphFont"/>
            <w:rFonts w:asciiTheme="minorHAnsi" w:hAnsiTheme="minorHAnsi" w:cstheme="minorHAnsi"/>
            <w:b w:val="0"/>
            <w:bCs/>
          </w:rPr>
        </w:sdtEndPr>
        <w:sdtContent>
          <w:r w:rsidR="00600CD6">
            <w:rPr>
              <w:rStyle w:val="Style4"/>
              <w:color w:val="7030A0"/>
              <w:u w:val="none"/>
            </w:rPr>
            <w:t>27</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CD0CB6"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CD0CB6"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52663A7E" w14:textId="77777777" w:rsidR="00BD6039" w:rsidRDefault="000B7D57" w:rsidP="00BD6039">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48DCDECC" w14:textId="2D453099" w:rsidR="008A5F33" w:rsidRPr="00BD6039" w:rsidRDefault="008A5F33" w:rsidP="00BD6039">
      <w:pPr>
        <w:autoSpaceDE w:val="0"/>
        <w:autoSpaceDN w:val="0"/>
        <w:adjustRightInd w:val="0"/>
        <w:spacing w:before="120" w:after="120" w:line="240" w:lineRule="auto"/>
        <w:rPr>
          <w:rFonts w:cstheme="minorHAnsi"/>
          <w:bCs/>
          <w:color w:val="7030A0"/>
        </w:rPr>
      </w:pPr>
      <w:r w:rsidRPr="00BD6039">
        <w:rPr>
          <w:rFonts w:cstheme="minorHAnsi"/>
          <w:noProof/>
          <w:color w:val="7030A0"/>
        </w:rPr>
        <w:t>See risk model specifications in Section 2b3.4a and the attached data dictionary.</w:t>
      </w:r>
    </w:p>
    <w:p w14:paraId="59567FFF" w14:textId="77777777" w:rsidR="00BD6039" w:rsidRDefault="009C7513" w:rsidP="00BD6039">
      <w:pPr>
        <w:spacing w:after="120"/>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0CABCFF4" w14:textId="3E838D0F" w:rsidR="009D3882" w:rsidRPr="00BD6039" w:rsidRDefault="008A5F33" w:rsidP="00BD6039">
      <w:pPr>
        <w:spacing w:before="120" w:after="120"/>
        <w:rPr>
          <w:rFonts w:cs="Calibri"/>
          <w:bCs/>
          <w:color w:val="7030A0"/>
        </w:rPr>
      </w:pPr>
      <w:r w:rsidRPr="00BD6039">
        <w:rPr>
          <w:rFonts w:cstheme="minorHAnsi"/>
          <w:bCs/>
          <w:color w:val="7030A0"/>
        </w:rPr>
        <w:t>N/A. This measure is risk adjusted.</w:t>
      </w:r>
    </w:p>
    <w:p w14:paraId="0CABCFF6" w14:textId="47DEADD5" w:rsidR="00001D73"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 xml:space="preserve">literature and/or expert panel; regression analysis; statistical </w:t>
      </w:r>
      <w:r w:rsidR="00092566" w:rsidRPr="00A25024">
        <w:rPr>
          <w:rFonts w:cstheme="minorHAnsi"/>
          <w:bCs/>
          <w:i/>
        </w:rPr>
        <w:lastRenderedPageBreak/>
        <w:t>significance of p&lt;0.10; correlation of x or higher</w:t>
      </w:r>
      <w:r w:rsidR="005363F1">
        <w:rPr>
          <w:rFonts w:cstheme="minorHAnsi"/>
          <w:bCs/>
          <w:i/>
        </w:rPr>
        <w:t>; patient factors should be present at the start of care</w:t>
      </w:r>
      <w:r w:rsidR="00092566" w:rsidRPr="00A25024">
        <w:rPr>
          <w:rFonts w:cstheme="minorHAnsi"/>
          <w:bCs/>
        </w:rPr>
        <w:t>)</w:t>
      </w:r>
      <w:r w:rsidR="0084071B">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53CF52A5" w14:textId="77777777" w:rsidR="00B666ED" w:rsidRPr="00196D80" w:rsidRDefault="00B666ED" w:rsidP="00B666ED">
      <w:pPr>
        <w:spacing w:before="120"/>
        <w:rPr>
          <w:rFonts w:cstheme="minorHAnsi"/>
          <w:b/>
          <w:noProof/>
          <w:color w:val="7030A0"/>
        </w:rPr>
      </w:pPr>
      <w:r w:rsidRPr="00196D80">
        <w:rPr>
          <w:rFonts w:cstheme="minorHAnsi"/>
          <w:b/>
          <w:noProof/>
          <w:color w:val="7030A0"/>
        </w:rPr>
        <w:t>Selecting Risk Variables</w:t>
      </w:r>
    </w:p>
    <w:p w14:paraId="53A253E4" w14:textId="77777777" w:rsidR="00B666ED" w:rsidRPr="00196D80" w:rsidRDefault="00B666ED" w:rsidP="00B666ED">
      <w:pPr>
        <w:spacing w:before="120" w:line="240" w:lineRule="auto"/>
        <w:rPr>
          <w:rFonts w:cstheme="minorHAnsi"/>
          <w:b/>
          <w:noProof/>
          <w:color w:val="7030A0"/>
        </w:rPr>
      </w:pPr>
      <w:r w:rsidRPr="00196D80">
        <w:rPr>
          <w:rFonts w:cstheme="minorHAnsi"/>
          <w:noProof/>
          <w:color w:val="7030A0"/>
        </w:rPr>
        <w:t>Our goal in selecting risk factors for adjustment was to develop parsimonious models that included clinically relevant variables strongly associated with the risk of mortality in the 30 days following an index admission. We used a two stage approach, first identifying the comorbidity or clinical status risk factors that were most important in predicting the outcome, then considering the potential addition of social risk factors.</w:t>
      </w:r>
    </w:p>
    <w:p w14:paraId="15793B68" w14:textId="77777777" w:rsidR="00B666ED" w:rsidRPr="00196D80" w:rsidRDefault="00B666ED" w:rsidP="00B666ED">
      <w:pPr>
        <w:spacing w:before="120" w:line="240" w:lineRule="auto"/>
        <w:rPr>
          <w:rFonts w:cstheme="minorHAnsi"/>
          <w:b/>
          <w:noProof/>
          <w:color w:val="7030A0"/>
        </w:rPr>
      </w:pPr>
      <w:r w:rsidRPr="00196D80">
        <w:rPr>
          <w:rFonts w:cstheme="minorHAnsi"/>
          <w:noProof/>
          <w:color w:val="7030A0"/>
        </w:rPr>
        <w:t>The original measure was developed with ICD-9. When ICD-10 became effective in 2015, we transitioned the measure to use ICD-10 codes as well. ICD-10 codes were identified using 2015 GEM mapping software. We then enlisted the help of clinicians with expertise in relevant areas to select and evaluate which ICD-10 codes map to the ICD-9 codes used to define this measure during development. A code set is attached in field S.2b. (Data Dictionary).</w:t>
      </w:r>
    </w:p>
    <w:p w14:paraId="66E8B5A2" w14:textId="77777777" w:rsidR="00B666ED" w:rsidRPr="00196D80" w:rsidRDefault="00B666ED" w:rsidP="00B666ED">
      <w:pPr>
        <w:spacing w:before="120" w:line="240" w:lineRule="auto"/>
        <w:rPr>
          <w:rFonts w:cstheme="minorHAnsi"/>
          <w:b/>
          <w:noProof/>
          <w:color w:val="7030A0"/>
        </w:rPr>
      </w:pPr>
      <w:r w:rsidRPr="00196D80">
        <w:rPr>
          <w:rFonts w:cstheme="minorHAnsi"/>
          <w:noProof/>
          <w:color w:val="7030A0"/>
        </w:rPr>
        <w:t>For risk model development, we started with Condition Categories (CCs) which are part of CMS’s Hierarchical Condition Categories (HCCs). The current HCC system groups the 70,000+ ICD-10-CM and 17,000+ ICD-9-CM codes into larger clinically coherent groups (201 CCs) that are used in models to predict mortality or other outcomes (Pope et al. 2001; 2011). The HCC system groups ICD- codes into larger groups that are used in models to predict medical care utilization, mortality, or other related measures.</w:t>
      </w:r>
    </w:p>
    <w:p w14:paraId="088CF22E" w14:textId="77777777" w:rsidR="00B666ED" w:rsidRPr="00196D80" w:rsidRDefault="00B666ED" w:rsidP="00B666ED">
      <w:pPr>
        <w:spacing w:before="120" w:line="240" w:lineRule="auto"/>
        <w:rPr>
          <w:rFonts w:cstheme="minorHAnsi"/>
          <w:b/>
          <w:noProof/>
          <w:color w:val="7030A0"/>
        </w:rPr>
      </w:pPr>
      <w:r w:rsidRPr="00196D80">
        <w:rPr>
          <w:rFonts w:ascii="Calibri" w:hAnsi="Calibri" w:cs="Calibri"/>
          <w:color w:val="7030A0"/>
        </w:rPr>
        <w:t>To select candidate variables, a team of clinicians reviewed all CCs and excluded those that were not relevant to the Medicare population or that were not clinically relevant to the mortality outcome (for example, attention deficit disorder, female infertility). All potentially clinically relevant CCs were included as candidate variables and, consistent with CMS’s other claims-based mortality measures, some of those CCs were then combined into clinically coherent CC groupings.</w:t>
      </w:r>
    </w:p>
    <w:p w14:paraId="22337886" w14:textId="77777777" w:rsidR="00B666ED" w:rsidRPr="00196D80" w:rsidRDefault="00B666ED" w:rsidP="00B666ED">
      <w:pPr>
        <w:spacing w:before="120" w:line="240" w:lineRule="auto"/>
        <w:rPr>
          <w:rFonts w:cstheme="minorHAnsi"/>
          <w:b/>
          <w:noProof/>
          <w:color w:val="7030A0"/>
        </w:rPr>
      </w:pPr>
      <w:r w:rsidRPr="00196D80">
        <w:rPr>
          <w:rFonts w:ascii="Calibri" w:eastAsia="SimSun" w:hAnsi="Calibri" w:cs="Calibri"/>
          <w:color w:val="7030A0"/>
        </w:rPr>
        <w:t>To inform final variable selection, a modified approach to stepwise logistic regression was performed. The Development Sample was used to create 1,000 “bootstrap” samples. For each sample, we ran a logistic stepwise regression that included the candidate variables. The results (not shown in this report) were summarized to show the percentage of times that each of the candidate variables was significantly associated with mortality (p&lt;0.01) in each of the 1,000 repeated samples (for example, 90 percent would mean that the candidate variable was selected as significant at p&lt;0.01 in 90 percent of the times). We also assessed the direction and magnitude of the regression coefficients.</w:t>
      </w:r>
    </w:p>
    <w:p w14:paraId="2BA36DCB" w14:textId="3871AD37" w:rsidR="00B666ED" w:rsidRPr="00196D80" w:rsidRDefault="00B666ED" w:rsidP="00B666ED">
      <w:pPr>
        <w:spacing w:before="120" w:line="240" w:lineRule="auto"/>
        <w:rPr>
          <w:rFonts w:cstheme="minorHAnsi"/>
          <w:b/>
          <w:noProof/>
          <w:color w:val="7030A0"/>
        </w:rPr>
      </w:pPr>
      <w:r w:rsidRPr="00196D80">
        <w:rPr>
          <w:rFonts w:ascii="Calibri" w:eastAsia="SimSun" w:hAnsi="Calibri" w:cs="Calibri"/>
          <w:color w:val="7030A0"/>
        </w:rPr>
        <w:t xml:space="preserve">The clinical team reviewed these results and decided to retain risk adjustment variables above a predetermined cutoff, because they demonstrated a strong and stable association with risk of mortality and were clinically relevant. Additionally, specific variables with particular clinical relevance to the risk of mortality were forced into the model (regardless of percent selection) to ensure appropriate risk adjustment for </w:t>
      </w:r>
      <w:r w:rsidR="00D2108C" w:rsidRPr="00196D80">
        <w:rPr>
          <w:rFonts w:ascii="Calibri" w:eastAsia="SimSun" w:hAnsi="Calibri" w:cs="Calibri"/>
          <w:color w:val="7030A0"/>
        </w:rPr>
        <w:t>AMI</w:t>
      </w:r>
      <w:r w:rsidRPr="00196D80">
        <w:rPr>
          <w:rFonts w:ascii="Calibri" w:eastAsia="SimSun" w:hAnsi="Calibri" w:cs="Calibri"/>
          <w:color w:val="7030A0"/>
        </w:rPr>
        <w:t>. These included variables representing markers for end of life/frailty, such as:</w:t>
      </w:r>
    </w:p>
    <w:p w14:paraId="37B7D8AB" w14:textId="77777777" w:rsidR="00B666ED" w:rsidRPr="00196D80" w:rsidRDefault="00B666ED" w:rsidP="00B666ED">
      <w:pPr>
        <w:pStyle w:val="ListParagraph"/>
        <w:numPr>
          <w:ilvl w:val="0"/>
          <w:numId w:val="31"/>
        </w:numPr>
        <w:spacing w:before="120" w:line="240" w:lineRule="auto"/>
        <w:rPr>
          <w:rFonts w:cstheme="minorHAnsi"/>
          <w:b/>
          <w:noProof/>
          <w:color w:val="7030A0"/>
        </w:rPr>
      </w:pPr>
      <w:r w:rsidRPr="00196D80">
        <w:rPr>
          <w:rFonts w:ascii="Calibri" w:eastAsia="SimSun" w:hAnsi="Calibri" w:cs="Calibri"/>
          <w:color w:val="7030A0"/>
        </w:rPr>
        <w:t>Metastatic and other severe cancers (CC 8-CC 9)</w:t>
      </w:r>
    </w:p>
    <w:p w14:paraId="22FFDC62" w14:textId="77777777" w:rsidR="00B666ED" w:rsidRPr="00196D80" w:rsidRDefault="00B666ED" w:rsidP="00B666ED">
      <w:pPr>
        <w:pStyle w:val="ListParagraph"/>
        <w:numPr>
          <w:ilvl w:val="0"/>
          <w:numId w:val="31"/>
        </w:numPr>
        <w:spacing w:before="120" w:line="240" w:lineRule="auto"/>
        <w:rPr>
          <w:rFonts w:cstheme="minorHAnsi"/>
          <w:noProof/>
          <w:color w:val="7030A0"/>
        </w:rPr>
      </w:pPr>
      <w:r w:rsidRPr="00196D80">
        <w:rPr>
          <w:rFonts w:cstheme="minorHAnsi"/>
          <w:noProof/>
          <w:color w:val="7030A0"/>
        </w:rPr>
        <w:t>Hemiplegia, paraplegia, paralysis, functional disability (CC 70-CC 74, CC 103, CC 104, CC 189-CC 190)</w:t>
      </w:r>
    </w:p>
    <w:p w14:paraId="4CB66149" w14:textId="77777777" w:rsidR="00B666ED" w:rsidRPr="00196D80" w:rsidRDefault="00B666ED" w:rsidP="00B666ED">
      <w:pPr>
        <w:pStyle w:val="ListParagraph"/>
        <w:numPr>
          <w:ilvl w:val="0"/>
          <w:numId w:val="31"/>
        </w:numPr>
        <w:spacing w:before="120" w:line="240" w:lineRule="auto"/>
        <w:rPr>
          <w:rFonts w:cstheme="minorHAnsi"/>
          <w:noProof/>
          <w:color w:val="7030A0"/>
        </w:rPr>
      </w:pPr>
      <w:r w:rsidRPr="00196D80">
        <w:rPr>
          <w:rFonts w:cstheme="minorHAnsi"/>
          <w:noProof/>
          <w:color w:val="7030A0"/>
        </w:rPr>
        <w:t>Stroke (CC 99-CC 100)</w:t>
      </w:r>
    </w:p>
    <w:p w14:paraId="0BBF0484" w14:textId="77777777" w:rsidR="00B666ED" w:rsidRPr="00196D80" w:rsidRDefault="00B666ED" w:rsidP="00B666ED">
      <w:pPr>
        <w:pStyle w:val="ListParagraph"/>
        <w:numPr>
          <w:ilvl w:val="0"/>
          <w:numId w:val="31"/>
        </w:numPr>
        <w:spacing w:before="120" w:line="240" w:lineRule="auto"/>
        <w:rPr>
          <w:rFonts w:cstheme="minorHAnsi"/>
          <w:noProof/>
          <w:color w:val="7030A0"/>
        </w:rPr>
      </w:pPr>
      <w:r w:rsidRPr="00196D80">
        <w:rPr>
          <w:rFonts w:cstheme="minorHAnsi"/>
          <w:noProof/>
          <w:color w:val="7030A0"/>
        </w:rPr>
        <w:lastRenderedPageBreak/>
        <w:t>Chronic kidney disease, stage 5 (CC 136)</w:t>
      </w:r>
    </w:p>
    <w:p w14:paraId="3A1CEB02" w14:textId="77777777" w:rsidR="00B666ED" w:rsidRPr="00196D80" w:rsidRDefault="00B666ED" w:rsidP="00B666ED">
      <w:pPr>
        <w:pStyle w:val="ListParagraph"/>
        <w:numPr>
          <w:ilvl w:val="0"/>
          <w:numId w:val="31"/>
        </w:numPr>
        <w:spacing w:before="120" w:line="240" w:lineRule="auto"/>
        <w:rPr>
          <w:rFonts w:cstheme="minorHAnsi"/>
          <w:noProof/>
          <w:color w:val="7030A0"/>
        </w:rPr>
      </w:pPr>
      <w:r w:rsidRPr="00196D80">
        <w:rPr>
          <w:rFonts w:cstheme="minorHAnsi"/>
          <w:noProof/>
          <w:color w:val="7030A0"/>
        </w:rPr>
        <w:t>End-stage liver disease (CC 27)</w:t>
      </w:r>
    </w:p>
    <w:p w14:paraId="322858B1" w14:textId="7FB5ACE3" w:rsidR="00B666ED" w:rsidRPr="00196D80" w:rsidRDefault="00B666ED" w:rsidP="00B666ED">
      <w:pPr>
        <w:spacing w:before="120" w:line="240" w:lineRule="auto"/>
        <w:rPr>
          <w:rFonts w:cstheme="minorHAnsi"/>
          <w:noProof/>
          <w:color w:val="7030A0"/>
        </w:rPr>
      </w:pPr>
      <w:r w:rsidRPr="00196D80">
        <w:rPr>
          <w:rFonts w:cstheme="minorHAnsi"/>
          <w:noProof/>
          <w:color w:val="7030A0"/>
        </w:rPr>
        <w:t>This resulted in a final risk-a</w:t>
      </w:r>
      <w:r w:rsidR="0084071B" w:rsidRPr="00196D80">
        <w:rPr>
          <w:rFonts w:cstheme="minorHAnsi"/>
          <w:noProof/>
          <w:color w:val="7030A0"/>
        </w:rPr>
        <w:t>djustment model that included 27</w:t>
      </w:r>
      <w:r w:rsidRPr="00196D80">
        <w:rPr>
          <w:rFonts w:cstheme="minorHAnsi"/>
          <w:noProof/>
          <w:color w:val="7030A0"/>
        </w:rPr>
        <w:t xml:space="preserve"> variables.</w:t>
      </w:r>
    </w:p>
    <w:p w14:paraId="50DF5CC9" w14:textId="77777777" w:rsidR="00B666ED" w:rsidRPr="0064787C" w:rsidRDefault="00B666ED" w:rsidP="00B666ED">
      <w:pPr>
        <w:spacing w:before="120" w:line="240" w:lineRule="auto"/>
        <w:rPr>
          <w:rFonts w:cstheme="minorHAnsi"/>
          <w:noProof/>
          <w:color w:val="C00000"/>
        </w:rPr>
      </w:pPr>
      <w:r w:rsidRPr="0064787C">
        <w:rPr>
          <w:rFonts w:cstheme="minorHAnsi"/>
          <w:bCs/>
          <w:color w:val="C00000"/>
          <w:u w:val="single"/>
        </w:rPr>
        <w:t>Social Risk Factors</w:t>
      </w:r>
    </w:p>
    <w:p w14:paraId="23F77DBD" w14:textId="77777777" w:rsidR="00B666ED" w:rsidRPr="0097798F" w:rsidRDefault="00B666ED" w:rsidP="00B666ED">
      <w:pPr>
        <w:spacing w:before="120" w:after="120" w:line="240" w:lineRule="auto"/>
        <w:rPr>
          <w:rFonts w:cstheme="minorHAnsi"/>
          <w:noProof/>
          <w:color w:val="C00000"/>
        </w:rPr>
      </w:pPr>
      <w:r w:rsidRPr="0097798F">
        <w:rPr>
          <w:rFonts w:cstheme="minorHAnsi"/>
          <w:noProof/>
          <w:color w:val="C00000"/>
        </w:rPr>
        <w:t>We weigh SRF adjustment using a comprehensive approach that evaluates the following:</w:t>
      </w:r>
    </w:p>
    <w:p w14:paraId="689F72A8" w14:textId="77777777" w:rsidR="00B666ED" w:rsidRPr="0097798F" w:rsidRDefault="00B666ED" w:rsidP="00B666ED">
      <w:pPr>
        <w:pStyle w:val="ListParagraph"/>
        <w:numPr>
          <w:ilvl w:val="0"/>
          <w:numId w:val="34"/>
        </w:numPr>
        <w:spacing w:before="120" w:after="120" w:line="240" w:lineRule="auto"/>
        <w:rPr>
          <w:rFonts w:cstheme="minorHAnsi"/>
          <w:noProof/>
          <w:color w:val="C00000"/>
        </w:rPr>
      </w:pPr>
      <w:r w:rsidRPr="0097798F">
        <w:rPr>
          <w:rFonts w:cstheme="minorHAnsi"/>
          <w:noProof/>
          <w:color w:val="C00000"/>
        </w:rPr>
        <w:t>Well-supported conceptual model for influence of SRFs on measure outcome (detailed below);</w:t>
      </w:r>
    </w:p>
    <w:p w14:paraId="47FE7D4F" w14:textId="77777777" w:rsidR="00B666ED" w:rsidRPr="0097798F" w:rsidRDefault="00B666ED" w:rsidP="00B666ED">
      <w:pPr>
        <w:pStyle w:val="ListParagraph"/>
        <w:numPr>
          <w:ilvl w:val="0"/>
          <w:numId w:val="34"/>
        </w:numPr>
        <w:spacing w:before="120" w:after="120" w:line="240" w:lineRule="auto"/>
        <w:rPr>
          <w:rFonts w:cstheme="minorHAnsi"/>
          <w:noProof/>
          <w:color w:val="C00000"/>
        </w:rPr>
      </w:pPr>
      <w:r w:rsidRPr="0097798F">
        <w:rPr>
          <w:rFonts w:cstheme="minorHAnsi"/>
          <w:noProof/>
          <w:color w:val="C00000"/>
        </w:rPr>
        <w:t>Feasibility of testing meaningful SRFs in available data (section 1.8); and</w:t>
      </w:r>
    </w:p>
    <w:p w14:paraId="091A1738" w14:textId="77777777" w:rsidR="00B666ED" w:rsidRPr="0097798F" w:rsidRDefault="00B666ED" w:rsidP="00B666ED">
      <w:pPr>
        <w:pStyle w:val="ListParagraph"/>
        <w:numPr>
          <w:ilvl w:val="0"/>
          <w:numId w:val="34"/>
        </w:numPr>
        <w:spacing w:before="120" w:after="120" w:line="240" w:lineRule="auto"/>
        <w:rPr>
          <w:rFonts w:cstheme="minorHAnsi"/>
          <w:noProof/>
          <w:color w:val="C00000"/>
        </w:rPr>
      </w:pPr>
      <w:r w:rsidRPr="0097798F">
        <w:rPr>
          <w:rFonts w:cstheme="minorHAnsi"/>
          <w:noProof/>
          <w:color w:val="C00000"/>
        </w:rPr>
        <w:t>Empiric testing of SRFs (section 2b3.4b).</w:t>
      </w:r>
    </w:p>
    <w:p w14:paraId="48F978D0" w14:textId="77777777" w:rsidR="00B666ED" w:rsidRPr="0097798F" w:rsidRDefault="00B666ED" w:rsidP="00B666ED">
      <w:pPr>
        <w:spacing w:before="120" w:after="120" w:line="240" w:lineRule="auto"/>
        <w:rPr>
          <w:rFonts w:cstheme="minorHAnsi"/>
          <w:noProof/>
          <w:color w:val="C00000"/>
        </w:rPr>
      </w:pPr>
      <w:r w:rsidRPr="0097798F">
        <w:rPr>
          <w:rFonts w:cstheme="minorHAnsi"/>
          <w:noProof/>
          <w:color w:val="C00000"/>
        </w:rPr>
        <w:t>Below, we summarize the findings of the literature review and conceptual pathways by which social risk factors may influence risk of the outcome, as well as the statistical methods for SRF empiric testing. Our conceptualization of the pathways by which patients’ social risk factors affect the outcome is informed by the literature cited below and IMPACT Act–funded work by the National Academy of Science, Engineering and Medicine (NASEM) and the Department of Health and Human Services Assistant Secretary for Policy and Evaluation (ASPE).</w:t>
      </w:r>
    </w:p>
    <w:p w14:paraId="259CA99E" w14:textId="77777777" w:rsidR="00B666ED" w:rsidRPr="00B666ED" w:rsidRDefault="00B666ED" w:rsidP="00B666ED">
      <w:pPr>
        <w:spacing w:before="120" w:line="240" w:lineRule="auto"/>
        <w:rPr>
          <w:rFonts w:cstheme="minorHAnsi"/>
          <w:noProof/>
          <w:color w:val="C00000"/>
        </w:rPr>
      </w:pPr>
      <w:r w:rsidRPr="00B666ED">
        <w:rPr>
          <w:rFonts w:cstheme="minorHAnsi"/>
          <w:noProof/>
          <w:color w:val="C00000"/>
          <w:u w:val="single"/>
        </w:rPr>
        <w:t>Causal Pathways for Social Risk Variable Selection</w:t>
      </w:r>
    </w:p>
    <w:p w14:paraId="0623D503" w14:textId="1D2E445E" w:rsidR="00B666ED" w:rsidRPr="00B666ED" w:rsidRDefault="00B666ED" w:rsidP="00B666ED">
      <w:pPr>
        <w:spacing w:before="120" w:line="240" w:lineRule="auto"/>
        <w:rPr>
          <w:rFonts w:cstheme="minorHAnsi"/>
          <w:noProof/>
          <w:color w:val="C00000"/>
        </w:rPr>
      </w:pPr>
      <w:r w:rsidRPr="00B666ED">
        <w:rPr>
          <w:rFonts w:cstheme="minorHAnsi"/>
          <w:noProof/>
          <w:color w:val="C00000"/>
        </w:rPr>
        <w:t xml:space="preserve">Although some recent literature evaluates the relationship between patient SRFs and the mortality outcome, few studies directly address causal pathways or examine the role of the hospital in these pathways (see, for example, Chang et al 2007; Gopaldas et al., 2009; Kim et al., 2007; LaPar et al., 2010; 2012; </w:t>
      </w:r>
      <w:r w:rsidR="00C0013A">
        <w:rPr>
          <w:rFonts w:cstheme="minorHAnsi"/>
          <w:noProof/>
          <w:color w:val="C00000"/>
        </w:rPr>
        <w:t xml:space="preserve">Bernheim et al., 2007; </w:t>
      </w:r>
      <w:r w:rsidRPr="00B666ED">
        <w:rPr>
          <w:rFonts w:cstheme="minorHAnsi"/>
          <w:noProof/>
          <w:color w:val="C00000"/>
        </w:rPr>
        <w:t>Lindenauer et al., 2013; Trivedi et al., 2014; B</w:t>
      </w:r>
      <w:r w:rsidR="00AF5F18">
        <w:rPr>
          <w:rFonts w:cstheme="minorHAnsi"/>
          <w:noProof/>
          <w:color w:val="C00000"/>
        </w:rPr>
        <w:t>untin et al., 2017</w:t>
      </w:r>
      <w:r w:rsidRPr="00B666ED">
        <w:rPr>
          <w:rFonts w:cstheme="minorHAnsi"/>
          <w:noProof/>
          <w:color w:val="C00000"/>
        </w:rPr>
        <w:t>; Kosar et al., 2020). Moreover, the current literature examines a wide range of conditions and risk variables with no clear consensus on which risk factors demonstrate the strongest relationship with mortality.</w:t>
      </w:r>
    </w:p>
    <w:p w14:paraId="27AF99ED" w14:textId="77777777" w:rsidR="00B666ED" w:rsidRDefault="00B666ED" w:rsidP="00B666ED">
      <w:pPr>
        <w:spacing w:before="120" w:line="240" w:lineRule="auto"/>
        <w:rPr>
          <w:rFonts w:cstheme="minorHAnsi"/>
          <w:noProof/>
          <w:color w:val="C00000"/>
        </w:rPr>
      </w:pPr>
      <w:r w:rsidRPr="009C2BF8">
        <w:rPr>
          <w:rFonts w:cstheme="minorHAnsi"/>
          <w:noProof/>
          <w:color w:val="C00000"/>
        </w:rPr>
        <w:t>The social risk factors that have been examined in the literature can be categorized into three domains: (1) patient-level variables, (2) neighborhood/community-level variables, and (3) hospital-level variables.</w:t>
      </w:r>
    </w:p>
    <w:p w14:paraId="16B0D7AA" w14:textId="4CE9F848" w:rsidR="00B666ED" w:rsidRPr="00B666ED" w:rsidRDefault="00B666ED" w:rsidP="00B666ED">
      <w:pPr>
        <w:spacing w:before="120" w:line="240" w:lineRule="auto"/>
        <w:rPr>
          <w:rFonts w:cstheme="minorHAnsi"/>
          <w:noProof/>
          <w:color w:val="C00000"/>
        </w:rPr>
      </w:pPr>
      <w:r w:rsidRPr="009C2BF8">
        <w:rPr>
          <w:rFonts w:cstheme="minorHAnsi"/>
          <w:noProof/>
          <w:color w:val="C00000"/>
        </w:rPr>
        <w:t>Patient-level variables describe characteristics of individual patients, and include the patient’s income or education level (Eapen et al., 2015). Neighborhood/community-level variables use information from sources such as the American Community Survey as either a proxy for individual patient-level data or to measure environmental factors. Studies using these variables use one dimensional measures such as median household income or composite measures such as the AHRQ-validated SES index score (Blum et al., 2014). Some of these variables may include the local availability of clinical providers (Herrin et al., 2015; Herrin et al., 2016). Hospital-level variables measure attributes of the hospital which may be related to patient risk</w:t>
      </w:r>
      <w:r>
        <w:rPr>
          <w:rFonts w:cstheme="minorHAnsi"/>
          <w:noProof/>
          <w:color w:val="C00000"/>
        </w:rPr>
        <w:t xml:space="preserve"> (</w:t>
      </w:r>
      <w:r w:rsidRPr="006F606C">
        <w:rPr>
          <w:rFonts w:cstheme="minorHAnsi"/>
          <w:color w:val="C00000"/>
          <w:shd w:val="clear" w:color="auto" w:fill="FFFFFF"/>
        </w:rPr>
        <w:t>Roshanghalb</w:t>
      </w:r>
      <w:r>
        <w:rPr>
          <w:rFonts w:cstheme="minorHAnsi"/>
          <w:color w:val="C00000"/>
          <w:shd w:val="clear" w:color="auto" w:fill="FFFFFF"/>
        </w:rPr>
        <w:t xml:space="preserve"> et al., 2019</w:t>
      </w:r>
      <w:r w:rsidR="00C0013A">
        <w:rPr>
          <w:rFonts w:cstheme="minorHAnsi"/>
          <w:color w:val="C00000"/>
          <w:shd w:val="clear" w:color="auto" w:fill="FFFFFF"/>
        </w:rPr>
        <w:t>; Alghanem et al., 2020</w:t>
      </w:r>
      <w:r>
        <w:rPr>
          <w:rFonts w:cstheme="minorHAnsi"/>
          <w:color w:val="C00000"/>
          <w:shd w:val="clear" w:color="auto" w:fill="FFFFFF"/>
        </w:rPr>
        <w:t>)</w:t>
      </w:r>
      <w:r w:rsidRPr="009C2BF8">
        <w:rPr>
          <w:rFonts w:cstheme="minorHAnsi"/>
          <w:noProof/>
          <w:color w:val="C00000"/>
        </w:rPr>
        <w:t>. Examples of hospital-level variables used in studies are ZIP code characteristics aggregated to the hospital level or the proportion of Medicaid patients served in the hospita</w:t>
      </w:r>
      <w:r>
        <w:rPr>
          <w:rFonts w:cstheme="minorHAnsi"/>
          <w:noProof/>
          <w:color w:val="C00000"/>
        </w:rPr>
        <w:t>l (Gilman et al., 2014</w:t>
      </w:r>
      <w:r w:rsidRPr="009C2BF8">
        <w:rPr>
          <w:rFonts w:cstheme="minorHAnsi"/>
          <w:noProof/>
          <w:color w:val="C00000"/>
        </w:rPr>
        <w:t xml:space="preserve">; </w:t>
      </w:r>
      <w:r w:rsidRPr="00B666ED">
        <w:rPr>
          <w:rFonts w:cstheme="minorHAnsi"/>
          <w:noProof/>
          <w:color w:val="C00000"/>
        </w:rPr>
        <w:t>Jha et al., 2013).</w:t>
      </w:r>
    </w:p>
    <w:p w14:paraId="194E61F0" w14:textId="77777777" w:rsidR="00B666ED" w:rsidRPr="00B666ED" w:rsidRDefault="00B666ED" w:rsidP="00B666ED">
      <w:pPr>
        <w:spacing w:before="120" w:line="240" w:lineRule="auto"/>
        <w:rPr>
          <w:rFonts w:cstheme="minorHAnsi"/>
          <w:noProof/>
          <w:color w:val="C00000"/>
        </w:rPr>
      </w:pPr>
      <w:r w:rsidRPr="00B666ED">
        <w:rPr>
          <w:rFonts w:cstheme="minorHAnsi"/>
          <w:noProof/>
          <w:color w:val="C00000"/>
        </w:rPr>
        <w:t>The conceptual relationship, or potential causal pathways by which these possible social risk factors influence the risk of mortality following an acute illness or major surgery, like the factors themselves, are varied and complex. There are at least four potential pathways that are important to consider:</w:t>
      </w:r>
    </w:p>
    <w:p w14:paraId="6F0FEB1B" w14:textId="77777777" w:rsidR="00B666ED" w:rsidRPr="00B666ED" w:rsidRDefault="00B666ED" w:rsidP="00B666ED">
      <w:pPr>
        <w:pStyle w:val="ListParagraph"/>
        <w:numPr>
          <w:ilvl w:val="0"/>
          <w:numId w:val="33"/>
        </w:numPr>
        <w:spacing w:before="120" w:line="240" w:lineRule="auto"/>
        <w:ind w:left="360"/>
        <w:rPr>
          <w:rFonts w:cstheme="minorHAnsi"/>
          <w:noProof/>
          <w:color w:val="C00000"/>
        </w:rPr>
      </w:pPr>
      <w:r w:rsidRPr="00B666ED">
        <w:rPr>
          <w:rFonts w:cstheme="minorHAnsi"/>
          <w:b/>
          <w:noProof/>
          <w:color w:val="C00000"/>
        </w:rPr>
        <w:t>Patients with social risk factors may have worse health at the time of hospital admission</w:t>
      </w:r>
      <w:r w:rsidRPr="00B666ED">
        <w:rPr>
          <w:rFonts w:cstheme="minorHAnsi"/>
          <w:noProof/>
          <w:color w:val="C00000"/>
        </w:rPr>
        <w:t xml:space="preserve">. Patients who have lower income/education/literacy or unstable housing may have a worse general health status and may present for their hospitalization or procedure with a greater severity of underlying illness. These social risk factors, which are characterized by patient-level or </w:t>
      </w:r>
      <w:r w:rsidRPr="00B666ED">
        <w:rPr>
          <w:rFonts w:cstheme="minorHAnsi"/>
          <w:noProof/>
          <w:color w:val="C00000"/>
        </w:rPr>
        <w:lastRenderedPageBreak/>
        <w:t>neighborhood/community-level (as proxy for patient-level) variables, may contribute to worse health status at admission due to competing priorities (restrictions based on job), lack of access to care (geographic, cultural, or financial), or lack of health insurance. Given that these risk factors all lead to worse general health status, this causal pathway should be largely accounted for by current clinical risk-adjustment.</w:t>
      </w:r>
    </w:p>
    <w:p w14:paraId="50BB707B" w14:textId="77777777" w:rsidR="00B666ED" w:rsidRPr="00B666ED" w:rsidRDefault="00B666ED" w:rsidP="00B666ED">
      <w:pPr>
        <w:pStyle w:val="ListParagraph"/>
        <w:numPr>
          <w:ilvl w:val="0"/>
          <w:numId w:val="33"/>
        </w:numPr>
        <w:spacing w:before="120" w:line="240" w:lineRule="auto"/>
        <w:ind w:left="360"/>
        <w:rPr>
          <w:rFonts w:cstheme="minorHAnsi"/>
          <w:noProof/>
          <w:color w:val="C00000"/>
        </w:rPr>
      </w:pPr>
      <w:r w:rsidRPr="00B666ED">
        <w:rPr>
          <w:rFonts w:cstheme="minorHAnsi"/>
          <w:b/>
          <w:noProof/>
          <w:color w:val="C00000"/>
        </w:rPr>
        <w:t>Patients with social risk factors often receive care at lower quality hospitals</w:t>
      </w:r>
      <w:r w:rsidRPr="00B666ED">
        <w:rPr>
          <w:rFonts w:cstheme="minorHAnsi"/>
          <w:noProof/>
          <w:color w:val="C00000"/>
        </w:rPr>
        <w:t>. Patients of lower income, lower education, or unstable housing have inequitable access to high quality facilities, in part, because such facilities are less likely to be found in geographic areas with large populations of poor patients. Thus, patients with low income are more likely to be seen in lower quality hospitals, which can explain increased risk of mortality following hospitalization.</w:t>
      </w:r>
    </w:p>
    <w:p w14:paraId="41D6FA52" w14:textId="77777777" w:rsidR="00B666ED" w:rsidRPr="00B666ED" w:rsidRDefault="00B666ED" w:rsidP="00B666ED">
      <w:pPr>
        <w:pStyle w:val="ListParagraph"/>
        <w:numPr>
          <w:ilvl w:val="0"/>
          <w:numId w:val="33"/>
        </w:numPr>
        <w:spacing w:before="120" w:line="240" w:lineRule="auto"/>
        <w:ind w:left="360"/>
        <w:rPr>
          <w:rFonts w:cstheme="minorHAnsi"/>
          <w:noProof/>
          <w:color w:val="C00000"/>
        </w:rPr>
      </w:pPr>
      <w:r w:rsidRPr="00B666ED">
        <w:rPr>
          <w:rFonts w:cstheme="minorHAnsi"/>
          <w:b/>
          <w:noProof/>
          <w:color w:val="C00000"/>
        </w:rPr>
        <w:t>Patients with social risk factors may receive differential care within a hospital</w:t>
      </w:r>
      <w:r w:rsidRPr="00B666ED">
        <w:rPr>
          <w:rFonts w:cstheme="minorHAnsi"/>
          <w:noProof/>
          <w:color w:val="C00000"/>
        </w:rPr>
        <w:t>. The third major pathway by which social risk factors may contribute to mortality risk is that patients may not receive equivalent care within a facility. For example, patients with social risk factors such as lower education may require differentiated care (e.g. provision of lower literacy information – that they do not receive).</w:t>
      </w:r>
    </w:p>
    <w:p w14:paraId="6F4DFB3F" w14:textId="77777777" w:rsidR="00B666ED" w:rsidRPr="00B666ED" w:rsidRDefault="00B666ED" w:rsidP="00B666ED">
      <w:pPr>
        <w:pStyle w:val="ListParagraph"/>
        <w:numPr>
          <w:ilvl w:val="0"/>
          <w:numId w:val="33"/>
        </w:numPr>
        <w:spacing w:before="120" w:line="240" w:lineRule="auto"/>
        <w:ind w:left="360"/>
        <w:rPr>
          <w:rFonts w:cstheme="minorHAnsi"/>
          <w:noProof/>
          <w:color w:val="C00000"/>
        </w:rPr>
      </w:pPr>
      <w:r w:rsidRPr="00B666ED">
        <w:rPr>
          <w:rFonts w:cstheme="minorHAnsi"/>
          <w:b/>
          <w:noProof/>
          <w:color w:val="C00000"/>
        </w:rPr>
        <w:t>Patients with social risk factors may experience worse health outcomes beyond the control of the health care system.</w:t>
      </w:r>
      <w:r w:rsidRPr="00B666ED">
        <w:rPr>
          <w:rFonts w:cstheme="minorHAnsi"/>
          <w:noProof/>
          <w:color w:val="C00000"/>
        </w:rPr>
        <w:t xml:space="preserve"> Some social risk factors, such as income or wealth, may affect the likelihood of mortality without directly affecting health status at admission or the quality of care received during the hospital stay. For instance, while a hospital may make appropriate care decisions and provide tailored care and education, a lower-income patient may have a worse outcome post-discharge due to competing financial priorities which don’t allow for adequate recuperation or access to needed treatments, or a lack of access to care outside of the hospital.</w:t>
      </w:r>
    </w:p>
    <w:p w14:paraId="1DAC8977" w14:textId="77777777" w:rsidR="00B666ED" w:rsidRPr="00B666ED" w:rsidRDefault="00B666ED" w:rsidP="00B666ED">
      <w:pPr>
        <w:spacing w:before="120" w:line="240" w:lineRule="auto"/>
        <w:rPr>
          <w:rFonts w:cstheme="minorHAnsi"/>
          <w:noProof/>
          <w:color w:val="C00000"/>
        </w:rPr>
      </w:pPr>
      <w:r w:rsidRPr="00F35632">
        <w:rPr>
          <w:rFonts w:cstheme="minorHAnsi"/>
          <w:noProof/>
          <w:color w:val="C00000"/>
        </w:rPr>
        <w:t>Although we analytically aim to separate these pathways to the extent possible</w:t>
      </w:r>
      <w:r>
        <w:rPr>
          <w:rFonts w:cstheme="minorHAnsi"/>
          <w:noProof/>
          <w:color w:val="7030A0"/>
        </w:rPr>
        <w:t xml:space="preserve">, </w:t>
      </w:r>
      <w:r w:rsidRPr="00B666ED">
        <w:rPr>
          <w:rFonts w:cstheme="minorHAnsi"/>
          <w:noProof/>
          <w:color w:val="C00000"/>
        </w:rPr>
        <w:t xml:space="preserve">we acknowledge that risk factors often act on multiple pathways, and as such, individual pathways are complex to distinguish analytically. Further, some social risk factors, despite having a strong conceptual relationship with worse outcomes, may not have statistically meaningful effects on the risk model. They also have different implications on the decision to risk adjust or not. </w:t>
      </w:r>
    </w:p>
    <w:p w14:paraId="7F224B28" w14:textId="77777777" w:rsidR="00B666ED" w:rsidRPr="009C75A7" w:rsidRDefault="00B666ED" w:rsidP="00B666ED">
      <w:pPr>
        <w:spacing w:before="120" w:line="240" w:lineRule="auto"/>
        <w:rPr>
          <w:rFonts w:cstheme="minorHAnsi"/>
          <w:noProof/>
          <w:color w:val="7030A0"/>
        </w:rPr>
      </w:pPr>
      <w:r w:rsidRPr="009C75A7">
        <w:rPr>
          <w:rFonts w:cstheme="minorHAnsi"/>
          <w:noProof/>
          <w:color w:val="7030A0"/>
        </w:rPr>
        <w:t>Based on this model and the conside</w:t>
      </w:r>
      <w:r>
        <w:rPr>
          <w:rFonts w:cstheme="minorHAnsi"/>
          <w:noProof/>
          <w:color w:val="7030A0"/>
        </w:rPr>
        <w:t xml:space="preserve">rations outlined in section 1.8 – </w:t>
      </w:r>
      <w:r w:rsidRPr="00F35632">
        <w:rPr>
          <w:rFonts w:cstheme="minorHAnsi"/>
          <w:noProof/>
          <w:color w:val="C00000"/>
        </w:rPr>
        <w:t xml:space="preserve">namely, that the AHRQ SES index and dual eligibility variables aim to capture the SRFs that are likely to influence these pathways (income, education, housing, and community factors) - </w:t>
      </w:r>
      <w:r w:rsidRPr="009C75A7">
        <w:rPr>
          <w:rFonts w:cstheme="minorHAnsi"/>
          <w:noProof/>
          <w:color w:val="7030A0"/>
        </w:rPr>
        <w:t>the following social risk variables were considered for risk-adjustment:</w:t>
      </w:r>
    </w:p>
    <w:p w14:paraId="61AA2ED2" w14:textId="77777777" w:rsidR="00B666ED" w:rsidRPr="009C75A7" w:rsidRDefault="00B666ED" w:rsidP="00B666ED">
      <w:pPr>
        <w:pStyle w:val="ListParagraph"/>
        <w:numPr>
          <w:ilvl w:val="0"/>
          <w:numId w:val="32"/>
        </w:numPr>
        <w:spacing w:before="120" w:line="240" w:lineRule="auto"/>
        <w:rPr>
          <w:rFonts w:cstheme="minorHAnsi"/>
          <w:noProof/>
          <w:color w:val="7030A0"/>
        </w:rPr>
      </w:pPr>
      <w:r w:rsidRPr="009C75A7">
        <w:rPr>
          <w:rFonts w:cstheme="minorHAnsi"/>
          <w:noProof/>
          <w:color w:val="7030A0"/>
        </w:rPr>
        <w:t>Dual eligible status</w:t>
      </w:r>
    </w:p>
    <w:p w14:paraId="58D320B4" w14:textId="77777777" w:rsidR="00B666ED" w:rsidRPr="009C75A7" w:rsidRDefault="00B666ED" w:rsidP="00B666ED">
      <w:pPr>
        <w:pStyle w:val="ListParagraph"/>
        <w:numPr>
          <w:ilvl w:val="0"/>
          <w:numId w:val="32"/>
        </w:numPr>
        <w:spacing w:before="120" w:line="240" w:lineRule="auto"/>
        <w:rPr>
          <w:rFonts w:cstheme="minorHAnsi"/>
          <w:noProof/>
          <w:color w:val="7030A0"/>
        </w:rPr>
      </w:pPr>
      <w:r w:rsidRPr="009C75A7">
        <w:rPr>
          <w:rFonts w:cstheme="minorHAnsi"/>
          <w:noProof/>
          <w:color w:val="7030A0"/>
        </w:rPr>
        <w:t>AHRQ SES index</w:t>
      </w:r>
    </w:p>
    <w:p w14:paraId="699FEEC0" w14:textId="77777777" w:rsidR="00B666ED" w:rsidRDefault="00B666ED" w:rsidP="00B666ED">
      <w:pPr>
        <w:spacing w:before="120" w:line="240" w:lineRule="auto"/>
        <w:rPr>
          <w:rFonts w:cstheme="minorHAnsi"/>
          <w:noProof/>
          <w:color w:val="C00000"/>
        </w:rPr>
      </w:pPr>
      <w:r w:rsidRPr="009C2BF8">
        <w:rPr>
          <w:rFonts w:cstheme="minorHAnsi"/>
          <w:noProof/>
          <w:color w:val="C00000"/>
          <w:u w:val="single"/>
        </w:rPr>
        <w:t>References</w:t>
      </w:r>
    </w:p>
    <w:p w14:paraId="3243CED1" w14:textId="6ADB9E00" w:rsidR="0084071B" w:rsidRPr="0084071B" w:rsidRDefault="0084071B" w:rsidP="00B666ED">
      <w:pPr>
        <w:spacing w:before="120" w:line="240" w:lineRule="auto"/>
        <w:rPr>
          <w:rFonts w:cstheme="minorHAnsi"/>
          <w:bCs/>
          <w:color w:val="C00000"/>
        </w:rPr>
      </w:pPr>
      <w:r w:rsidRPr="0084071B">
        <w:rPr>
          <w:rFonts w:cstheme="minorHAnsi"/>
          <w:color w:val="C00000"/>
          <w:shd w:val="clear" w:color="auto" w:fill="FFFFFF"/>
        </w:rPr>
        <w:t>Alghanem F, Clements JM. Narrowing performance gap between rural and urban hospitals for acute myocardial infarction care. </w:t>
      </w:r>
      <w:r w:rsidRPr="0084071B">
        <w:rPr>
          <w:rFonts w:cstheme="minorHAnsi"/>
          <w:i/>
          <w:iCs/>
          <w:color w:val="C00000"/>
          <w:shd w:val="clear" w:color="auto" w:fill="FFFFFF"/>
        </w:rPr>
        <w:t>Am J Emerg Med</w:t>
      </w:r>
      <w:r w:rsidRPr="0084071B">
        <w:rPr>
          <w:rFonts w:cstheme="minorHAnsi"/>
          <w:color w:val="C00000"/>
          <w:shd w:val="clear" w:color="auto" w:fill="FFFFFF"/>
        </w:rPr>
        <w:t>. 2020;38(1):89-94. doi:10.1016/j.ajem.2019.04.030</w:t>
      </w:r>
      <w:r>
        <w:rPr>
          <w:rFonts w:cstheme="minorHAnsi"/>
          <w:color w:val="C00000"/>
          <w:shd w:val="clear" w:color="auto" w:fill="FFFFFF"/>
        </w:rPr>
        <w:t xml:space="preserve">. </w:t>
      </w:r>
    </w:p>
    <w:p w14:paraId="379729AC" w14:textId="70F936F4" w:rsidR="00B666ED" w:rsidRDefault="00B666ED" w:rsidP="00B666ED">
      <w:pPr>
        <w:spacing w:before="120" w:line="240" w:lineRule="auto"/>
        <w:rPr>
          <w:rFonts w:cstheme="minorHAnsi"/>
          <w:bCs/>
          <w:color w:val="7030A0"/>
        </w:rPr>
      </w:pPr>
      <w:r w:rsidRPr="00950AD7">
        <w:rPr>
          <w:rFonts w:cstheme="minorHAnsi"/>
          <w:bCs/>
          <w:color w:val="7030A0"/>
        </w:rPr>
        <w:t>Barnato AE, Lucas FL, Staiger D, Wennberg DE, Chandra A. Hospital-level Racial Disparities in Acute Myocardial Infarction Treatment and Outcomes. Medical care. 2005;43(4):308-319.</w:t>
      </w:r>
    </w:p>
    <w:p w14:paraId="23BE2135" w14:textId="602BEFC0" w:rsidR="00C0013A" w:rsidRPr="00C0013A" w:rsidRDefault="00C0013A" w:rsidP="00B666ED">
      <w:pPr>
        <w:spacing w:before="120" w:line="240" w:lineRule="auto"/>
        <w:rPr>
          <w:rFonts w:cstheme="minorHAnsi"/>
          <w:bCs/>
          <w:color w:val="C00000"/>
        </w:rPr>
      </w:pPr>
      <w:r w:rsidRPr="00C0013A">
        <w:rPr>
          <w:rFonts w:cstheme="minorHAnsi"/>
          <w:color w:val="C00000"/>
          <w:shd w:val="clear" w:color="auto" w:fill="FFFFFF"/>
        </w:rPr>
        <w:t>Bernheim SM, Spertus JA, Reid KJ, et al. Socioeconomic disparities in outcomes after acute myocardial infarction. </w:t>
      </w:r>
      <w:r w:rsidRPr="00C0013A">
        <w:rPr>
          <w:rFonts w:cstheme="minorHAnsi"/>
          <w:i/>
          <w:iCs/>
          <w:color w:val="C00000"/>
          <w:shd w:val="clear" w:color="auto" w:fill="FFFFFF"/>
        </w:rPr>
        <w:t>Am Heart J</w:t>
      </w:r>
      <w:r w:rsidRPr="00C0013A">
        <w:rPr>
          <w:rFonts w:cstheme="minorHAnsi"/>
          <w:color w:val="C00000"/>
          <w:shd w:val="clear" w:color="auto" w:fill="FFFFFF"/>
        </w:rPr>
        <w:t xml:space="preserve">. 2007;153(2):313-319. doi:10.1016/j.ahj.2006.10.037. </w:t>
      </w:r>
    </w:p>
    <w:p w14:paraId="3D2670DE"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Blum AB, Egorova NN, Sosunov EA, et al. Impact of socioeconomic status measures on hospital profiling in New York City. Circulation Cardiovascular quality and outcomes 2014; 7:391-7.</w:t>
      </w:r>
    </w:p>
    <w:p w14:paraId="06C4D622"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lastRenderedPageBreak/>
        <w:t xml:space="preserve">Buntin MB, Ayanian JZ. Social Risk Factors and Equity in Medicare Payment. </w:t>
      </w:r>
      <w:r w:rsidRPr="009C75A7">
        <w:rPr>
          <w:rFonts w:cstheme="minorHAnsi"/>
          <w:bCs/>
          <w:i/>
          <w:iCs/>
          <w:color w:val="C00000"/>
        </w:rPr>
        <w:t xml:space="preserve">New England Journal of Medicine. </w:t>
      </w:r>
      <w:r w:rsidRPr="009C75A7">
        <w:rPr>
          <w:rFonts w:cstheme="minorHAnsi"/>
          <w:bCs/>
          <w:color w:val="C00000"/>
        </w:rPr>
        <w:t>2017;376(6):507-510.</w:t>
      </w:r>
    </w:p>
    <w:p w14:paraId="485795E4"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Calvillo-King L, Arnold D, Eubank KJ, et al. Impact of social factors on risk of readmission or mortality in pneumonia and heart failure: systematic review. J Gen Intern Med. 2013 Feb; 28(2):269-82. doi: 10.1007/s11606-012-2235-x. Epub 2012 Oct 6.</w:t>
      </w:r>
    </w:p>
    <w:p w14:paraId="631E26DD" w14:textId="4F7A02E0" w:rsidR="00B666ED" w:rsidRDefault="00B666ED" w:rsidP="00B666ED">
      <w:pPr>
        <w:spacing w:before="120" w:line="240" w:lineRule="auto"/>
        <w:rPr>
          <w:rFonts w:cstheme="minorHAnsi"/>
          <w:bCs/>
          <w:color w:val="C00000"/>
        </w:rPr>
      </w:pPr>
      <w:r w:rsidRPr="009C75A7">
        <w:rPr>
          <w:rFonts w:cstheme="minorHAnsi"/>
          <w:bCs/>
          <w:color w:val="C00000"/>
        </w:rPr>
        <w:t>Chang W-C, Kaul P, Westerhout C M, Graham M. M., Armstrong Paul W., “Effects of Socioeconomic Status on Mortality after Acute Myocardial Infarction.” The American Journal of Medicine. 2007; 120(1): 33-39.</w:t>
      </w:r>
    </w:p>
    <w:p w14:paraId="1E794651" w14:textId="77777777" w:rsidR="006673B5" w:rsidRPr="009C75A7" w:rsidRDefault="006673B5" w:rsidP="006673B5">
      <w:pPr>
        <w:spacing w:before="120" w:line="240" w:lineRule="auto"/>
        <w:rPr>
          <w:rFonts w:cstheme="minorHAnsi"/>
          <w:bCs/>
          <w:color w:val="C00000"/>
        </w:rPr>
      </w:pPr>
      <w:r w:rsidRPr="009C75A7">
        <w:rPr>
          <w:rFonts w:cstheme="minorHAnsi"/>
          <w:bCs/>
          <w:color w:val="C00000"/>
        </w:rPr>
        <w:t>Committee on Accounting for Socioeconomic Status in Medicare Payment Programs; Board on Population Health and Public Health Practice; Board on Health Care Services; Institute of Medicine; National Academies of Sciences, Engineering, and Medicine. Accounting for Social Risk Factors in Medicare Payment: Identifying Social Risk Factors. Washington (DC): National Academies Press (US); 2016 Jan 12. (</w:t>
      </w:r>
      <w:hyperlink r:id="rId20" w:history="1">
        <w:r w:rsidRPr="009C75A7">
          <w:rPr>
            <w:rStyle w:val="Hyperlink"/>
            <w:rFonts w:cstheme="minorHAnsi"/>
            <w:color w:val="C00000"/>
          </w:rPr>
          <w:t>https://www.ncbi.nlm.nih.gov/books/NBK338754/doi:10.17226/21858</w:t>
        </w:r>
      </w:hyperlink>
    </w:p>
    <w:p w14:paraId="10D44DDC" w14:textId="77777777" w:rsidR="006673B5" w:rsidRDefault="006673B5" w:rsidP="006673B5">
      <w:pPr>
        <w:spacing w:before="120" w:line="240" w:lineRule="auto"/>
        <w:rPr>
          <w:rFonts w:cstheme="minorHAnsi"/>
          <w:bCs/>
          <w:color w:val="C00000"/>
        </w:rPr>
      </w:pPr>
      <w:r w:rsidRPr="009C75A7">
        <w:rPr>
          <w:rFonts w:cstheme="minorHAnsi"/>
          <w:bCs/>
          <w:color w:val="C00000"/>
        </w:rPr>
        <w:t>Department of Health and Human Services, Office of the Assistant Secretary of Planning and Evaluation. Report to Congress: Social Risk Factors and Performance under Medicare’s Value-based Payment Programs. December 21, 2016. (</w:t>
      </w:r>
      <w:hyperlink r:id="rId21" w:history="1">
        <w:r w:rsidRPr="009C75A7">
          <w:rPr>
            <w:rStyle w:val="Hyperlink"/>
            <w:rFonts w:cstheme="minorHAnsi"/>
            <w:color w:val="C00000"/>
          </w:rPr>
          <w:t>https://aspe.hhs.gov/pdf-report/report-congress-social-risk-factors-and-performance-under-medicares-value-based-purchasing-programs</w:t>
        </w:r>
      </w:hyperlink>
      <w:r>
        <w:rPr>
          <w:rFonts w:cstheme="minorHAnsi"/>
          <w:bCs/>
          <w:color w:val="C00000"/>
        </w:rPr>
        <w:t>.</w:t>
      </w:r>
    </w:p>
    <w:p w14:paraId="3BBBB149" w14:textId="77777777" w:rsidR="006673B5" w:rsidRPr="009C75A7" w:rsidRDefault="006673B5" w:rsidP="006673B5">
      <w:pPr>
        <w:spacing w:before="120" w:line="240" w:lineRule="auto"/>
        <w:rPr>
          <w:rFonts w:cstheme="minorHAnsi"/>
          <w:noProof/>
          <w:color w:val="C00000"/>
        </w:rPr>
      </w:pPr>
      <w:r w:rsidRPr="006364DF">
        <w:rPr>
          <w:rFonts w:cstheme="minorHAnsi"/>
          <w:noProof/>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22" w:history="1">
        <w:r w:rsidRPr="00185587">
          <w:rPr>
            <w:rStyle w:val="Hyperlink"/>
            <w:rFonts w:cstheme="minorHAnsi"/>
            <w:noProof/>
          </w:rPr>
          <w:t>https://aspe.hhs.gov/system/files/pdf/263676/Social-Risk-in-Medicare%E2%80%99s-VBP-2nd-Report.pdf</w:t>
        </w:r>
      </w:hyperlink>
      <w:r w:rsidRPr="006364DF">
        <w:rPr>
          <w:rFonts w:cstheme="minorHAnsi"/>
          <w:noProof/>
          <w:color w:val="C00000"/>
        </w:rPr>
        <w:t>. Accessed July 2, 2020.</w:t>
      </w:r>
    </w:p>
    <w:p w14:paraId="16C5E0BA"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Eapen ZJ, McCoy LA, Fonarow GC, Yancy CW, Miranda ML, Peterson ED, Califf RM, Hernandez AF. Utility of socioeconomic status in predicting 30-day outcomes after heart failure hospitalization. Circ Heart Fail. May 2015; 8(3):473-80.</w:t>
      </w:r>
    </w:p>
    <w:p w14:paraId="404AFD63"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Gilman M, Adams EK, Hockenberry JM, et al. California safety-net hospitals likely to be penalized by ACA value, readmissio</w:t>
      </w:r>
      <w:r>
        <w:rPr>
          <w:rFonts w:cstheme="minorHAnsi"/>
          <w:bCs/>
          <w:color w:val="C00000"/>
        </w:rPr>
        <w:t xml:space="preserve">n, and meaningful-use programs. </w:t>
      </w:r>
      <w:r w:rsidRPr="009C75A7">
        <w:rPr>
          <w:rFonts w:cstheme="minorHAnsi"/>
          <w:bCs/>
          <w:color w:val="C00000"/>
        </w:rPr>
        <w:t>Health Aff (Millwood). Aug 2014; 33(8):1314-22.</w:t>
      </w:r>
    </w:p>
    <w:p w14:paraId="17E79330"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Gopaldas R R, Chu D., “Predictors of surgical mortality and discharge status after coronary artery bypass grafting in patients 80 years and older.” The American Journal of Surgery. 2009; 198(5): 633-638.</w:t>
      </w:r>
    </w:p>
    <w:p w14:paraId="2A065235" w14:textId="77777777" w:rsidR="00B666ED" w:rsidRPr="009C75A7" w:rsidRDefault="00B666ED" w:rsidP="00B666ED">
      <w:pPr>
        <w:spacing w:before="120" w:line="240" w:lineRule="auto"/>
        <w:rPr>
          <w:rFonts w:cstheme="minorHAnsi"/>
          <w:bCs/>
          <w:color w:val="7030A0"/>
        </w:rPr>
      </w:pPr>
      <w:r w:rsidRPr="009C75A7">
        <w:rPr>
          <w:rFonts w:cstheme="minorHAnsi"/>
          <w:bCs/>
          <w:color w:val="7030A0"/>
        </w:rPr>
        <w:t>Hasnain-Wynia R, Kang R, Landrum MB, Vogeli C, Baker DW, Weissman JS. Racial and ethnic disparities within and between hospitals for inpatient quality of care: an examination of patient-level Hospital Quality Alliance measures. Journal of health care for the poor and underserved. May 2010;21(2):629-648.</w:t>
      </w:r>
    </w:p>
    <w:p w14:paraId="4F8C96D1"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Herrin J, Kenward K, Joshi MS, Audet AM, Hines SJ. Assessing Community Quality of Health Care. Health Serv Res. 2016 Feb;51(1):98-116. doi: 10.1111/1475-6773.12322. Epub 2015 Jun 11. PMID: 26096649; PMCID: PMC4722214.</w:t>
      </w:r>
    </w:p>
    <w:p w14:paraId="5F82A86A"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Herrin J, St Andre J, Kenward K, Joshi MS, Audet AM, Hines SC. Community factors and hospital readmission rates. Health Serv Res. 2015 Feb;50(1):20-39. doi: 10.1111/1475-6773.12177. Epub 2014 Apr 9. PMID: 24712374; PMCID: PMC4319869.</w:t>
      </w:r>
    </w:p>
    <w:p w14:paraId="3283D834" w14:textId="77777777" w:rsidR="00B666ED" w:rsidRPr="00950AD7" w:rsidRDefault="00B666ED" w:rsidP="00B666ED">
      <w:pPr>
        <w:spacing w:before="120" w:line="240" w:lineRule="auto"/>
        <w:rPr>
          <w:rFonts w:cstheme="minorHAnsi"/>
          <w:bCs/>
          <w:color w:val="7030A0"/>
        </w:rPr>
      </w:pPr>
      <w:r w:rsidRPr="00950AD7">
        <w:rPr>
          <w:rFonts w:cstheme="minorHAnsi"/>
          <w:bCs/>
          <w:color w:val="7030A0"/>
        </w:rPr>
        <w:lastRenderedPageBreak/>
        <w:t>Jha AK, Orav EJ, Epstein AM. Low-quality, high-cost hospitals, mainly in South, care for sharply higher shares of elderly black, Hispanic, and medicaid patients. Health affairs 2011; 30:1904-11.</w:t>
      </w:r>
    </w:p>
    <w:p w14:paraId="070A19BC" w14:textId="77777777" w:rsidR="00B666ED" w:rsidRDefault="00B666ED" w:rsidP="00B666ED">
      <w:pPr>
        <w:spacing w:before="120" w:line="240" w:lineRule="auto"/>
        <w:rPr>
          <w:rFonts w:cstheme="minorHAnsi"/>
          <w:bCs/>
          <w:color w:val="C00000"/>
        </w:rPr>
      </w:pPr>
      <w:r w:rsidRPr="009C75A7">
        <w:rPr>
          <w:rFonts w:cstheme="minorHAnsi"/>
          <w:bCs/>
          <w:color w:val="C00000"/>
        </w:rPr>
        <w:t>Kim C, Diez A V, Diez Roux T, Hofer P, Nallamothu B K, Bernstein S J, Rogers M, “Area socioeconomic status and mortality after coronary artery bypass graft surgery: The role of hospital volume.” Clinical Investigation Outcomes, Health Policy, and Managed Care. 2007; 154(2): 385-390.</w:t>
      </w:r>
    </w:p>
    <w:p w14:paraId="298A08C8" w14:textId="77777777" w:rsidR="00B666ED" w:rsidRPr="00D246FD" w:rsidRDefault="00B666ED" w:rsidP="00B666ED">
      <w:pPr>
        <w:autoSpaceDE w:val="0"/>
        <w:autoSpaceDN w:val="0"/>
        <w:adjustRightInd w:val="0"/>
        <w:spacing w:before="120" w:after="0" w:line="240" w:lineRule="auto"/>
        <w:rPr>
          <w:rFonts w:cstheme="minorHAnsi"/>
          <w:bCs/>
          <w:iCs/>
          <w:color w:val="C00000"/>
        </w:rPr>
      </w:pPr>
      <w:r w:rsidRPr="002E1B22">
        <w:rPr>
          <w:rFonts w:cstheme="minorHAnsi"/>
          <w:color w:val="C00000"/>
          <w:shd w:val="clear" w:color="auto" w:fill="FFFFFF"/>
        </w:rPr>
        <w:t>Kosar CM, Loomer L, Ferdows NB, Trivedi AN, Panagiotou OA, Rahman M. Assessment of Rural-Urban Differences in Postacute Care Utilization and Outcomes Among Older US Adults. </w:t>
      </w:r>
      <w:r w:rsidRPr="002E1B22">
        <w:rPr>
          <w:rFonts w:cstheme="minorHAnsi"/>
          <w:i/>
          <w:iCs/>
          <w:color w:val="C00000"/>
          <w:shd w:val="clear" w:color="auto" w:fill="FFFFFF"/>
        </w:rPr>
        <w:t>JAMA Netw Open</w:t>
      </w:r>
      <w:r w:rsidRPr="002E1B22">
        <w:rPr>
          <w:rFonts w:cstheme="minorHAnsi"/>
          <w:color w:val="C00000"/>
          <w:shd w:val="clear" w:color="auto" w:fill="FFFFFF"/>
        </w:rPr>
        <w:t>. 2020;3(1):e1918738. Published 2020 Jan 3. doi:10.1001/jamanetworkopen.2019.18738.</w:t>
      </w:r>
    </w:p>
    <w:p w14:paraId="2F7F9F13" w14:textId="77777777" w:rsidR="00B666ED" w:rsidRDefault="00B666ED" w:rsidP="00B666ED">
      <w:pPr>
        <w:spacing w:before="120" w:line="240" w:lineRule="auto"/>
        <w:rPr>
          <w:rFonts w:cstheme="minorHAnsi"/>
          <w:bCs/>
          <w:color w:val="7030A0"/>
        </w:rPr>
      </w:pPr>
      <w:r w:rsidRPr="009C75A7">
        <w:rPr>
          <w:rFonts w:cstheme="minorHAnsi"/>
          <w:bCs/>
          <w:color w:val="7030A0"/>
        </w:rPr>
        <w:t>Krumholz HM, Brindis RG, Brush JE, et al. Standards for statistical models used for public reporting of health outcomes. Circulation. 2006; 113: 456-462. Available at: http://circ.ahajournals.org/content/113/3/456.full.pdf+html. Accessed January 14, 2020.</w:t>
      </w:r>
    </w:p>
    <w:p w14:paraId="64E3599B"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LaPar D J, Bhamidipati C M, et al. “Primary Payer Status Affects Mortality for Major Surgical Operations.” Annals of Surgery. 2010; 252(3): 544-551.</w:t>
      </w:r>
    </w:p>
    <w:p w14:paraId="00F16DDF"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LaPar D J, Stukenborg G J, et al “Primary Payer Status Is Associated With Mortality and Resource Utilization for Coronary Artery Bypass Grafting.” Circulation. 2012; 126:132-139.</w:t>
      </w:r>
    </w:p>
    <w:p w14:paraId="4910C054"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 xml:space="preserve">Lindenauer PK, Lagu T, Rothberg MB, </w:t>
      </w:r>
      <w:r>
        <w:rPr>
          <w:rFonts w:cstheme="minorHAnsi"/>
          <w:bCs/>
          <w:color w:val="C00000"/>
        </w:rPr>
        <w:t>et al. Income inequality and 30-</w:t>
      </w:r>
      <w:r w:rsidRPr="009C75A7">
        <w:rPr>
          <w:rFonts w:cstheme="minorHAnsi"/>
          <w:bCs/>
          <w:color w:val="C00000"/>
        </w:rPr>
        <w:t>day outcomes after acute myocardial infarction, heart failure, and pneumonia: retrospective cohort study. BMJ. 2013 Feb 14; 346:f521. doi: 10.1136/bmj.f521.</w:t>
      </w:r>
    </w:p>
    <w:p w14:paraId="22AF38D3" w14:textId="77777777" w:rsidR="00B666ED" w:rsidRPr="009C75A7" w:rsidRDefault="00B666ED" w:rsidP="00B666ED">
      <w:pPr>
        <w:spacing w:before="120" w:line="240" w:lineRule="auto"/>
        <w:rPr>
          <w:rFonts w:cstheme="minorHAnsi"/>
          <w:bCs/>
          <w:color w:val="7030A0"/>
        </w:rPr>
      </w:pPr>
      <w:r w:rsidRPr="009C75A7">
        <w:rPr>
          <w:rFonts w:cstheme="minorHAnsi"/>
          <w:bCs/>
          <w:color w:val="7030A0"/>
        </w:rPr>
        <w:t>Normand S-LT, Shahian DM. Statistical and Clinical Aspects of Hospital Outcomes Profiling. 2007/05 2007:206-226.</w:t>
      </w:r>
    </w:p>
    <w:p w14:paraId="3723C195"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 xml:space="preserve">Pope GC, Ellis RP, Ash AS, et al. Diagnostic cost group hierarchical condition category models for Medicare risk adjustment. Final Report to the Health Care Financing Administration under Contract Number 500-95-048. 2000; </w:t>
      </w:r>
      <w:hyperlink r:id="rId23" w:history="1">
        <w:r w:rsidRPr="009C75A7">
          <w:rPr>
            <w:rStyle w:val="Hyperlink"/>
            <w:rFonts w:cstheme="minorHAnsi"/>
            <w:color w:val="C00000"/>
          </w:rPr>
          <w:t>http://www.cms.hhs.gov/Reports/downloads/pope_2000_2.pdf</w:t>
        </w:r>
      </w:hyperlink>
      <w:r w:rsidRPr="009C75A7">
        <w:rPr>
          <w:rFonts w:cstheme="minorHAnsi"/>
          <w:bCs/>
          <w:color w:val="C00000"/>
        </w:rPr>
        <w:t>. Accessed February 25, 2020.</w:t>
      </w:r>
    </w:p>
    <w:p w14:paraId="71C63D2E"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 xml:space="preserve">Pope GC, Kautter J, Ingber MJ, et al. Evaluation of the CMS-HCC Risk Adjustment Model: Final Report. 2011; </w:t>
      </w:r>
      <w:hyperlink r:id="rId24" w:history="1">
        <w:r w:rsidRPr="009C75A7">
          <w:rPr>
            <w:rStyle w:val="Hyperlink"/>
            <w:rFonts w:cstheme="minorHAnsi"/>
            <w:color w:val="C00000"/>
          </w:rPr>
          <w:t>https://www.cms.gov/Medicare/Health-Plans/MedicareAdvtgSpecRateStats/downloads/evaluation_risk_adj_model_2011.pdf</w:t>
        </w:r>
      </w:hyperlink>
      <w:r w:rsidRPr="009C75A7">
        <w:rPr>
          <w:rFonts w:cstheme="minorHAnsi"/>
          <w:bCs/>
          <w:color w:val="C00000"/>
        </w:rPr>
        <w:t>. Accessed February 25, 2020.</w:t>
      </w:r>
    </w:p>
    <w:p w14:paraId="144A65DD" w14:textId="77777777" w:rsidR="00B666ED" w:rsidRPr="001A56AB" w:rsidRDefault="00B666ED" w:rsidP="00B666ED">
      <w:pPr>
        <w:spacing w:before="120" w:line="240" w:lineRule="auto"/>
        <w:rPr>
          <w:rFonts w:cstheme="minorHAnsi"/>
          <w:iCs/>
          <w:color w:val="C00000"/>
        </w:rPr>
      </w:pPr>
      <w:r w:rsidRPr="006F606C">
        <w:rPr>
          <w:rFonts w:cstheme="minorHAnsi"/>
          <w:color w:val="C00000"/>
          <w:shd w:val="clear" w:color="auto" w:fill="FFFFFF"/>
        </w:rPr>
        <w:t>Roshanghalb A, Mazzali C, Lettieri E. Multi-level models for heart failure patients' 30-day mortality and readmission rates: the relation between patient and hospital factors in administrative data. </w:t>
      </w:r>
      <w:r w:rsidRPr="006F606C">
        <w:rPr>
          <w:rFonts w:cstheme="minorHAnsi"/>
          <w:i/>
          <w:iCs/>
          <w:color w:val="C00000"/>
          <w:shd w:val="clear" w:color="auto" w:fill="FFFFFF"/>
        </w:rPr>
        <w:t>BMC Health Serv Res</w:t>
      </w:r>
      <w:r w:rsidRPr="006F606C">
        <w:rPr>
          <w:rFonts w:cstheme="minorHAnsi"/>
          <w:color w:val="C00000"/>
          <w:shd w:val="clear" w:color="auto" w:fill="FFFFFF"/>
        </w:rPr>
        <w:t>. 2019;19(1):1012. Published 2019 Dec 30. doi:10.1186/s12913-019-4818-2.</w:t>
      </w:r>
      <w:r w:rsidRPr="006F606C">
        <w:rPr>
          <w:rFonts w:cstheme="minorHAnsi"/>
          <w:i/>
          <w:color w:val="C00000"/>
        </w:rPr>
        <w:t xml:space="preserve"> </w:t>
      </w:r>
    </w:p>
    <w:p w14:paraId="7F53530D" w14:textId="77777777" w:rsidR="00B666ED" w:rsidRPr="009C75A7" w:rsidRDefault="00B666ED" w:rsidP="00B666ED">
      <w:pPr>
        <w:spacing w:before="120" w:line="240" w:lineRule="auto"/>
        <w:rPr>
          <w:rFonts w:cstheme="minorHAnsi"/>
          <w:bCs/>
          <w:color w:val="C00000"/>
        </w:rPr>
      </w:pPr>
      <w:r w:rsidRPr="009C75A7">
        <w:rPr>
          <w:rFonts w:cstheme="minorHAnsi"/>
          <w:bCs/>
          <w:color w:val="C00000"/>
        </w:rPr>
        <w:t>Trivedi AN, Nsa W, Hausmann LR, et al. Quality and equity of care in U.S. hospitals. The New England journal of medicine 2014; 371:2298-308.</w:t>
      </w:r>
    </w:p>
    <w:p w14:paraId="4260792A" w14:textId="0414B3D1"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w:t>
      </w:r>
      <w:r w:rsidR="0084071B">
        <w:rPr>
          <w:rFonts w:cstheme="minorHAnsi"/>
          <w:b/>
          <w:bCs/>
        </w:rPr>
        <w:t xml:space="preserve"> </w:t>
      </w:r>
      <w:r>
        <w:rPr>
          <w:rFonts w:cstheme="minorHAnsi"/>
          <w:b/>
          <w:bCs/>
        </w:rPr>
        <w:t>Please check all that apply:</w:t>
      </w:r>
    </w:p>
    <w:p w14:paraId="2B47DA83" w14:textId="1176E502" w:rsidR="00275563" w:rsidRPr="005232D6" w:rsidRDefault="00CD0CB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EndPr/>
        <w:sdtContent>
          <w:r w:rsidR="00EE5930">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34FEEC26" w:rsidR="00275563" w:rsidRPr="005232D6" w:rsidRDefault="00CD0CB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EndPr/>
        <w:sdtContent>
          <w:r w:rsidR="00EE5930">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CD0CB6"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6B551DE8" w14:textId="77777777" w:rsidR="00A4045F" w:rsidRDefault="009C7513" w:rsidP="00A4045F">
      <w:pPr>
        <w:autoSpaceDE w:val="0"/>
        <w:autoSpaceDN w:val="0"/>
        <w:adjustRightInd w:val="0"/>
        <w:spacing w:after="0" w:line="240" w:lineRule="auto"/>
        <w:rPr>
          <w:rFonts w:cstheme="minorHAnsi"/>
          <w:b/>
          <w:bCs/>
        </w:rPr>
      </w:pPr>
      <w:r>
        <w:rPr>
          <w:rFonts w:cstheme="minorHAnsi"/>
          <w:b/>
          <w:bCs/>
        </w:rPr>
        <w:lastRenderedPageBreak/>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09A5B196" w14:textId="77777777" w:rsidR="00A4045F" w:rsidRDefault="00EE5930" w:rsidP="00A4045F">
      <w:pPr>
        <w:autoSpaceDE w:val="0"/>
        <w:autoSpaceDN w:val="0"/>
        <w:adjustRightInd w:val="0"/>
        <w:spacing w:before="120" w:after="120" w:line="240" w:lineRule="auto"/>
        <w:rPr>
          <w:rFonts w:cstheme="minorHAnsi"/>
          <w:b/>
          <w:bCs/>
        </w:rPr>
      </w:pPr>
      <w:r w:rsidRPr="00A4045F">
        <w:rPr>
          <w:rFonts w:cstheme="minorHAnsi"/>
          <w:bCs/>
          <w:color w:val="7030A0"/>
        </w:rPr>
        <w:t>The table below shows the final variables in the model in the testing dataset with associated odds ratios (OR) and 95 percent confidence intervals (CI).</w:t>
      </w:r>
    </w:p>
    <w:p w14:paraId="1D779B23" w14:textId="0F6B41D4" w:rsidR="00EE5930" w:rsidRPr="00A4045F" w:rsidRDefault="00196D80" w:rsidP="00A4045F">
      <w:pPr>
        <w:autoSpaceDE w:val="0"/>
        <w:autoSpaceDN w:val="0"/>
        <w:adjustRightInd w:val="0"/>
        <w:spacing w:before="120" w:after="120" w:line="240" w:lineRule="auto"/>
        <w:rPr>
          <w:rFonts w:cstheme="minorHAnsi"/>
          <w:b/>
          <w:bCs/>
        </w:rPr>
      </w:pPr>
      <w:r>
        <w:rPr>
          <w:rFonts w:cstheme="minorHAnsi"/>
          <w:bCs/>
          <w:color w:val="C00000"/>
        </w:rPr>
        <w:t>Table 4</w:t>
      </w:r>
      <w:r w:rsidR="00EE5930" w:rsidRPr="0048088A">
        <w:rPr>
          <w:rFonts w:cstheme="minorHAnsi"/>
          <w:bCs/>
          <w:color w:val="C00000"/>
        </w:rPr>
        <w:t xml:space="preserve">. </w:t>
      </w:r>
      <w:r w:rsidR="00EE5930" w:rsidRPr="0048088A">
        <w:rPr>
          <w:color w:val="C00000"/>
        </w:rPr>
        <w:t xml:space="preserve">Adjusted OR and 95% CIs for the </w:t>
      </w:r>
      <w:r w:rsidR="00D2108C">
        <w:rPr>
          <w:color w:val="C00000"/>
        </w:rPr>
        <w:t>AMI</w:t>
      </w:r>
      <w:r w:rsidR="00EE5930" w:rsidRPr="0048088A">
        <w:rPr>
          <w:color w:val="C00000"/>
        </w:rPr>
        <w:t xml:space="preserve"> Mortality Hierarchical Logistic Regression Model over Different Time Periods</w:t>
      </w:r>
      <w:r w:rsidR="00EE5930" w:rsidRPr="0048088A">
        <w:rPr>
          <w:rFonts w:cstheme="minorHAnsi"/>
          <w:bCs/>
          <w:color w:val="C00000"/>
        </w:rPr>
        <w:t xml:space="preserve"> in the </w:t>
      </w:r>
      <w:r w:rsidR="00BC292B">
        <w:rPr>
          <w:rFonts w:cstheme="minorHAnsi"/>
          <w:b/>
          <w:bCs/>
          <w:color w:val="C00000"/>
        </w:rPr>
        <w:t>Testing</w:t>
      </w:r>
      <w:r w:rsidR="00EE5930" w:rsidRPr="0048088A">
        <w:rPr>
          <w:rFonts w:cstheme="minorHAnsi"/>
          <w:b/>
          <w:bCs/>
          <w:color w:val="C00000"/>
        </w:rPr>
        <w:t xml:space="preserve"> Dataset</w:t>
      </w:r>
      <w:r w:rsidR="00EE5930" w:rsidRPr="0048088A">
        <w:rPr>
          <w:rFonts w:cstheme="minorHAnsi"/>
          <w:bCs/>
          <w:color w:val="C00000"/>
        </w:rPr>
        <w:t xml:space="preserve"> </w:t>
      </w:r>
    </w:p>
    <w:tbl>
      <w:tblPr>
        <w:tblW w:w="9532" w:type="dxa"/>
        <w:jc w:val="center"/>
        <w:tblLayout w:type="fixed"/>
        <w:tblCellMar>
          <w:left w:w="0" w:type="dxa"/>
          <w:right w:w="0" w:type="dxa"/>
        </w:tblCellMar>
        <w:tblLook w:val="0000" w:firstRow="0" w:lastRow="0" w:firstColumn="0" w:lastColumn="0" w:noHBand="0" w:noVBand="0"/>
      </w:tblPr>
      <w:tblGrid>
        <w:gridCol w:w="3592"/>
        <w:gridCol w:w="1440"/>
        <w:gridCol w:w="1530"/>
        <w:gridCol w:w="1440"/>
        <w:gridCol w:w="1530"/>
      </w:tblGrid>
      <w:tr w:rsidR="000F3C09" w:rsidRPr="000F3C09" w14:paraId="5CE87FFB" w14:textId="77777777" w:rsidTr="0011045A">
        <w:trPr>
          <w:cantSplit/>
          <w:tblHeader/>
          <w:jc w:val="center"/>
        </w:trPr>
        <w:tc>
          <w:tcPr>
            <w:tcW w:w="3592" w:type="dxa"/>
            <w:tcBorders>
              <w:top w:val="single" w:sz="6" w:space="0" w:color="000000"/>
              <w:left w:val="single" w:sz="6" w:space="0" w:color="000000"/>
              <w:bottom w:val="single" w:sz="2" w:space="0" w:color="000000"/>
              <w:right w:val="nil"/>
            </w:tcBorders>
            <w:shd w:val="clear" w:color="auto" w:fill="BBBBBB"/>
            <w:tcMar>
              <w:left w:w="60" w:type="dxa"/>
              <w:right w:w="60" w:type="dxa"/>
            </w:tcMar>
            <w:vAlign w:val="center"/>
          </w:tcPr>
          <w:p w14:paraId="06330A1B" w14:textId="25819FC0" w:rsidR="000F3C09" w:rsidRPr="000F3C09" w:rsidRDefault="000F3C09" w:rsidP="0011045A">
            <w:pPr>
              <w:keepNext/>
              <w:autoSpaceDE w:val="0"/>
              <w:autoSpaceDN w:val="0"/>
              <w:adjustRightInd w:val="0"/>
              <w:spacing w:before="60" w:after="60" w:line="240" w:lineRule="auto"/>
              <w:jc w:val="center"/>
              <w:rPr>
                <w:rFonts w:eastAsia="Times New Roman" w:cstheme="minorHAnsi"/>
                <w:b/>
                <w:bCs/>
                <w:color w:val="FF0000"/>
                <w:lang w:eastAsia="zh-CN"/>
              </w:rPr>
            </w:pPr>
            <w:r w:rsidRPr="0048088A">
              <w:rPr>
                <w:rFonts w:eastAsia="Times New Roman" w:cstheme="minorHAnsi"/>
                <w:b/>
                <w:bCs/>
                <w:color w:val="C00000"/>
                <w:lang w:eastAsia="zh-CN"/>
              </w:rPr>
              <w:t>Variable</w:t>
            </w:r>
          </w:p>
        </w:tc>
        <w:tc>
          <w:tcPr>
            <w:tcW w:w="1440"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0D789D5D" w14:textId="77777777" w:rsidR="000F3C09" w:rsidRPr="0048088A" w:rsidRDefault="000F3C09" w:rsidP="0011045A">
            <w:pPr>
              <w:keepNext/>
              <w:autoSpaceDE w:val="0"/>
              <w:autoSpaceDN w:val="0"/>
              <w:adjustRightInd w:val="0"/>
              <w:spacing w:before="60" w:after="60" w:line="240" w:lineRule="auto"/>
              <w:jc w:val="center"/>
              <w:rPr>
                <w:rFonts w:eastAsia="Times New Roman" w:cstheme="minorHAnsi"/>
                <w:b/>
                <w:bCs/>
                <w:color w:val="C00000"/>
                <w:lang w:eastAsia="zh-CN"/>
              </w:rPr>
            </w:pPr>
            <w:r w:rsidRPr="0048088A">
              <w:rPr>
                <w:rFonts w:eastAsia="Times New Roman" w:cstheme="minorHAnsi"/>
                <w:b/>
                <w:bCs/>
                <w:color w:val="C00000"/>
                <w:lang w:eastAsia="zh-CN"/>
              </w:rPr>
              <w:t>07/2016-06/2017</w:t>
            </w:r>
          </w:p>
          <w:p w14:paraId="6F175751" w14:textId="6739B9AC" w:rsidR="000F3C09" w:rsidRPr="000F3C09" w:rsidRDefault="000F3C09" w:rsidP="0011045A">
            <w:pPr>
              <w:keepNext/>
              <w:autoSpaceDE w:val="0"/>
              <w:autoSpaceDN w:val="0"/>
              <w:adjustRightInd w:val="0"/>
              <w:spacing w:before="60" w:after="60" w:line="240" w:lineRule="auto"/>
              <w:jc w:val="center"/>
              <w:rPr>
                <w:rFonts w:eastAsia="Times New Roman" w:cstheme="minorHAnsi"/>
                <w:b/>
                <w:bCs/>
                <w:color w:val="FF0000"/>
                <w:lang w:eastAsia="zh-CN"/>
              </w:rPr>
            </w:pPr>
            <w:r w:rsidRPr="0048088A">
              <w:rPr>
                <w:rFonts w:eastAsia="Times New Roman" w:cstheme="minorHAnsi"/>
                <w:b/>
                <w:color w:val="C00000"/>
              </w:rPr>
              <w:t>OR (95% CI)</w:t>
            </w:r>
          </w:p>
        </w:tc>
        <w:tc>
          <w:tcPr>
            <w:tcW w:w="1530"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66834EE8" w14:textId="77777777" w:rsidR="000F3C09" w:rsidRPr="0048088A" w:rsidRDefault="000F3C09" w:rsidP="0011045A">
            <w:pPr>
              <w:keepNext/>
              <w:autoSpaceDE w:val="0"/>
              <w:autoSpaceDN w:val="0"/>
              <w:adjustRightInd w:val="0"/>
              <w:spacing w:before="60" w:after="60" w:line="240" w:lineRule="auto"/>
              <w:jc w:val="center"/>
              <w:rPr>
                <w:rFonts w:eastAsia="Times New Roman" w:cstheme="minorHAnsi"/>
                <w:b/>
                <w:bCs/>
                <w:color w:val="C00000"/>
                <w:lang w:eastAsia="zh-CN"/>
              </w:rPr>
            </w:pPr>
            <w:r w:rsidRPr="0048088A">
              <w:rPr>
                <w:rFonts w:eastAsia="Times New Roman" w:cstheme="minorHAnsi"/>
                <w:b/>
                <w:bCs/>
                <w:color w:val="C00000"/>
                <w:lang w:eastAsia="zh-CN"/>
              </w:rPr>
              <w:t>07/2017-06/2018</w:t>
            </w:r>
          </w:p>
          <w:p w14:paraId="6D7DB064" w14:textId="56770534" w:rsidR="000F3C09" w:rsidRPr="000F3C09" w:rsidRDefault="000F3C09" w:rsidP="0011045A">
            <w:pPr>
              <w:keepNext/>
              <w:autoSpaceDE w:val="0"/>
              <w:autoSpaceDN w:val="0"/>
              <w:adjustRightInd w:val="0"/>
              <w:spacing w:before="60" w:after="60" w:line="240" w:lineRule="auto"/>
              <w:jc w:val="center"/>
              <w:rPr>
                <w:rFonts w:eastAsia="Times New Roman" w:cstheme="minorHAnsi"/>
                <w:b/>
                <w:bCs/>
                <w:color w:val="FF0000"/>
                <w:lang w:eastAsia="zh-CN"/>
              </w:rPr>
            </w:pPr>
            <w:r w:rsidRPr="0048088A">
              <w:rPr>
                <w:rFonts w:eastAsia="Times New Roman" w:cstheme="minorHAnsi"/>
                <w:b/>
                <w:color w:val="C00000"/>
              </w:rPr>
              <w:t>OR (95% CI)</w:t>
            </w:r>
          </w:p>
        </w:tc>
        <w:tc>
          <w:tcPr>
            <w:tcW w:w="1440" w:type="dxa"/>
            <w:tcBorders>
              <w:top w:val="single" w:sz="6" w:space="0" w:color="000000"/>
              <w:left w:val="single" w:sz="2" w:space="0" w:color="000000"/>
              <w:bottom w:val="single" w:sz="2" w:space="0" w:color="000000"/>
              <w:right w:val="nil"/>
            </w:tcBorders>
            <w:shd w:val="clear" w:color="auto" w:fill="BBBBBB"/>
            <w:tcMar>
              <w:left w:w="60" w:type="dxa"/>
              <w:right w:w="60" w:type="dxa"/>
            </w:tcMar>
            <w:vAlign w:val="bottom"/>
          </w:tcPr>
          <w:p w14:paraId="004C6B4A" w14:textId="77777777" w:rsidR="000F3C09" w:rsidRPr="0048088A" w:rsidRDefault="000F3C09" w:rsidP="0011045A">
            <w:pPr>
              <w:keepNext/>
              <w:autoSpaceDE w:val="0"/>
              <w:autoSpaceDN w:val="0"/>
              <w:adjustRightInd w:val="0"/>
              <w:spacing w:before="60" w:after="60" w:line="240" w:lineRule="auto"/>
              <w:jc w:val="center"/>
              <w:rPr>
                <w:rFonts w:eastAsia="Times New Roman" w:cstheme="minorHAnsi"/>
                <w:b/>
                <w:bCs/>
                <w:color w:val="C00000"/>
                <w:lang w:eastAsia="zh-CN"/>
              </w:rPr>
            </w:pPr>
            <w:r w:rsidRPr="0048088A">
              <w:rPr>
                <w:rFonts w:eastAsia="Times New Roman" w:cstheme="minorHAnsi"/>
                <w:b/>
                <w:bCs/>
                <w:color w:val="C00000"/>
                <w:lang w:eastAsia="zh-CN"/>
              </w:rPr>
              <w:t>07/2018-06/2019</w:t>
            </w:r>
          </w:p>
          <w:p w14:paraId="09E4D0D0" w14:textId="0EBCA671" w:rsidR="000F3C09" w:rsidRPr="000F3C09" w:rsidRDefault="000F3C09" w:rsidP="0011045A">
            <w:pPr>
              <w:keepNext/>
              <w:autoSpaceDE w:val="0"/>
              <w:autoSpaceDN w:val="0"/>
              <w:adjustRightInd w:val="0"/>
              <w:spacing w:before="60" w:after="60" w:line="240" w:lineRule="auto"/>
              <w:jc w:val="center"/>
              <w:rPr>
                <w:rFonts w:eastAsia="Times New Roman" w:cstheme="minorHAnsi"/>
                <w:b/>
                <w:bCs/>
                <w:color w:val="FF0000"/>
                <w:lang w:eastAsia="zh-CN"/>
              </w:rPr>
            </w:pPr>
            <w:r w:rsidRPr="0048088A">
              <w:rPr>
                <w:rFonts w:eastAsia="Times New Roman" w:cstheme="minorHAnsi"/>
                <w:b/>
                <w:color w:val="C00000"/>
              </w:rPr>
              <w:t>OR (95% CI)</w:t>
            </w:r>
          </w:p>
        </w:tc>
        <w:tc>
          <w:tcPr>
            <w:tcW w:w="1530" w:type="dxa"/>
            <w:tcBorders>
              <w:top w:val="single" w:sz="6" w:space="0" w:color="000000"/>
              <w:left w:val="single" w:sz="2" w:space="0" w:color="000000"/>
              <w:bottom w:val="single" w:sz="2" w:space="0" w:color="000000"/>
              <w:right w:val="single" w:sz="6" w:space="0" w:color="000000"/>
            </w:tcBorders>
            <w:shd w:val="clear" w:color="auto" w:fill="BBBBBB"/>
            <w:tcMar>
              <w:left w:w="60" w:type="dxa"/>
              <w:right w:w="60" w:type="dxa"/>
            </w:tcMar>
            <w:vAlign w:val="bottom"/>
          </w:tcPr>
          <w:p w14:paraId="0BE85EBE" w14:textId="77777777" w:rsidR="000F3C09" w:rsidRPr="0048088A" w:rsidRDefault="000F3C09" w:rsidP="0011045A">
            <w:pPr>
              <w:keepNext/>
              <w:autoSpaceDE w:val="0"/>
              <w:autoSpaceDN w:val="0"/>
              <w:adjustRightInd w:val="0"/>
              <w:spacing w:before="60" w:after="60" w:line="240" w:lineRule="auto"/>
              <w:jc w:val="center"/>
              <w:rPr>
                <w:rFonts w:eastAsia="Times New Roman" w:cstheme="minorHAnsi"/>
                <w:b/>
                <w:bCs/>
                <w:color w:val="C00000"/>
                <w:lang w:eastAsia="zh-CN"/>
              </w:rPr>
            </w:pPr>
            <w:r w:rsidRPr="0048088A">
              <w:rPr>
                <w:rFonts w:eastAsia="Times New Roman" w:cstheme="minorHAnsi"/>
                <w:b/>
                <w:bCs/>
                <w:color w:val="C00000"/>
                <w:lang w:eastAsia="zh-CN"/>
              </w:rPr>
              <w:t>07/2016-06/2019</w:t>
            </w:r>
          </w:p>
          <w:p w14:paraId="2A2B5F01" w14:textId="6C8761C8" w:rsidR="000F3C09" w:rsidRPr="0048088A" w:rsidRDefault="000F3C09" w:rsidP="0011045A">
            <w:pPr>
              <w:keepNext/>
              <w:autoSpaceDE w:val="0"/>
              <w:autoSpaceDN w:val="0"/>
              <w:adjustRightInd w:val="0"/>
              <w:spacing w:before="60" w:after="60" w:line="240" w:lineRule="auto"/>
              <w:jc w:val="center"/>
              <w:rPr>
                <w:rFonts w:eastAsia="Times New Roman" w:cstheme="minorHAnsi"/>
                <w:b/>
                <w:bCs/>
                <w:color w:val="C00000"/>
                <w:lang w:eastAsia="zh-CN"/>
              </w:rPr>
            </w:pPr>
            <w:r w:rsidRPr="0048088A">
              <w:rPr>
                <w:rFonts w:eastAsia="Times New Roman" w:cstheme="minorHAnsi"/>
                <w:b/>
                <w:color w:val="C00000"/>
              </w:rPr>
              <w:t>OR (95% CI)</w:t>
            </w:r>
          </w:p>
        </w:tc>
      </w:tr>
      <w:tr w:rsidR="000F3C09" w:rsidRPr="000F3C09" w14:paraId="16A9D1AF"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5E82991F"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Age minus 65 (years above 65, continuous)</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53392B67" w14:textId="6BFBABD1"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1.06</w:t>
            </w:r>
            <w:r w:rsidR="00A4045F">
              <w:rPr>
                <w:rFonts w:eastAsia="Times New Roman" w:cstheme="minorHAnsi"/>
                <w:color w:val="C00000"/>
                <w:lang w:eastAsia="zh-CN"/>
              </w:rPr>
              <w:br/>
              <w:t>(</w:t>
            </w:r>
            <w:r w:rsidRPr="0048088A">
              <w:rPr>
                <w:rFonts w:eastAsia="Times New Roman" w:cstheme="minorHAnsi"/>
                <w:color w:val="C00000"/>
                <w:lang w:eastAsia="zh-CN"/>
              </w:rPr>
              <w:t>1.05-1.06)</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5342F2E5" w14:textId="0394FB51"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1.06</w:t>
            </w:r>
            <w:r w:rsidR="00A4045F">
              <w:rPr>
                <w:rFonts w:eastAsia="Times New Roman" w:cstheme="minorHAnsi"/>
                <w:color w:val="C00000"/>
                <w:lang w:eastAsia="zh-CN"/>
              </w:rPr>
              <w:br/>
            </w:r>
            <w:r w:rsidRPr="0048088A">
              <w:rPr>
                <w:rFonts w:eastAsia="Times New Roman" w:cstheme="minorHAnsi"/>
                <w:color w:val="C00000"/>
                <w:lang w:eastAsia="zh-CN"/>
              </w:rPr>
              <w:t>(1.06-1.06)</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4A6D2B49" w14:textId="35084096"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 xml:space="preserve">1.06 </w:t>
            </w:r>
            <w:r w:rsidR="00A4045F">
              <w:rPr>
                <w:rFonts w:eastAsia="Times New Roman" w:cstheme="minorHAnsi"/>
                <w:color w:val="C00000"/>
                <w:lang w:eastAsia="zh-CN"/>
              </w:rPr>
              <w:br/>
            </w:r>
            <w:r w:rsidRPr="0048088A">
              <w:rPr>
                <w:rFonts w:eastAsia="Times New Roman" w:cstheme="minorHAnsi"/>
                <w:color w:val="C00000"/>
                <w:lang w:eastAsia="zh-CN"/>
              </w:rPr>
              <w:t>(1.06-1.06)</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9225F2B" w14:textId="2FA5B81D" w:rsidR="000F3C09" w:rsidRPr="0048088A" w:rsidRDefault="000F3C09" w:rsidP="00A4045F">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1.06</w:t>
            </w:r>
            <w:r w:rsidR="00A4045F">
              <w:rPr>
                <w:rFonts w:eastAsia="Times New Roman" w:cstheme="minorHAnsi"/>
                <w:color w:val="C00000"/>
                <w:lang w:eastAsia="zh-CN"/>
              </w:rPr>
              <w:br/>
            </w:r>
            <w:r w:rsidRPr="0048088A">
              <w:rPr>
                <w:rFonts w:eastAsia="Times New Roman" w:cstheme="minorHAnsi"/>
                <w:color w:val="C00000"/>
                <w:lang w:eastAsia="zh-CN"/>
              </w:rPr>
              <w:t>(1.06-1.06)</w:t>
            </w:r>
          </w:p>
        </w:tc>
      </w:tr>
      <w:tr w:rsidR="000F3C09" w:rsidRPr="000F3C09" w14:paraId="51F25869"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0BDDF0FB"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Male</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5C728ED2" w14:textId="4E6676B8" w:rsidR="000F3C09" w:rsidRPr="000F3C09" w:rsidRDefault="00A4045F" w:rsidP="00A4045F">
            <w:pPr>
              <w:autoSpaceDE w:val="0"/>
              <w:autoSpaceDN w:val="0"/>
              <w:adjustRightInd w:val="0"/>
              <w:spacing w:before="60" w:after="60" w:line="240" w:lineRule="auto"/>
              <w:jc w:val="center"/>
              <w:rPr>
                <w:rFonts w:eastAsia="Times New Roman" w:cstheme="minorHAnsi"/>
                <w:color w:val="FF0000"/>
                <w:lang w:eastAsia="zh-CN"/>
              </w:rPr>
            </w:pPr>
            <w:r>
              <w:rPr>
                <w:rFonts w:eastAsia="Times New Roman" w:cstheme="minorHAnsi"/>
                <w:color w:val="C00000"/>
                <w:lang w:eastAsia="zh-CN"/>
              </w:rPr>
              <w:t>1.10</w:t>
            </w:r>
            <w:r>
              <w:rPr>
                <w:rFonts w:eastAsia="Times New Roman" w:cstheme="minorHAnsi"/>
                <w:color w:val="C00000"/>
                <w:lang w:eastAsia="zh-CN"/>
              </w:rPr>
              <w:br/>
            </w:r>
            <w:r w:rsidR="000F3C09" w:rsidRPr="0048088A">
              <w:rPr>
                <w:rFonts w:eastAsia="Times New Roman" w:cstheme="minorHAnsi"/>
                <w:color w:val="C00000"/>
                <w:lang w:eastAsia="zh-CN"/>
              </w:rPr>
              <w:t>(1.06-1.13)</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31DDECA0" w14:textId="5E642C93" w:rsidR="000F3C09" w:rsidRPr="000F3C09" w:rsidRDefault="00A4045F" w:rsidP="00A4045F">
            <w:pPr>
              <w:autoSpaceDE w:val="0"/>
              <w:autoSpaceDN w:val="0"/>
              <w:adjustRightInd w:val="0"/>
              <w:spacing w:before="60" w:after="60" w:line="240" w:lineRule="auto"/>
              <w:jc w:val="center"/>
              <w:rPr>
                <w:rFonts w:eastAsia="Times New Roman" w:cstheme="minorHAnsi"/>
                <w:color w:val="FF0000"/>
                <w:lang w:eastAsia="zh-CN"/>
              </w:rPr>
            </w:pPr>
            <w:r>
              <w:rPr>
                <w:rFonts w:eastAsia="Times New Roman" w:cstheme="minorHAnsi"/>
                <w:color w:val="C00000"/>
                <w:lang w:eastAsia="zh-CN"/>
              </w:rPr>
              <w:t>1.07</w:t>
            </w:r>
            <w:r>
              <w:rPr>
                <w:rFonts w:eastAsia="Times New Roman" w:cstheme="minorHAnsi"/>
                <w:color w:val="C00000"/>
                <w:lang w:eastAsia="zh-CN"/>
              </w:rPr>
              <w:br/>
            </w:r>
            <w:r w:rsidR="000F3C09" w:rsidRPr="0048088A">
              <w:rPr>
                <w:rFonts w:eastAsia="Times New Roman" w:cstheme="minorHAnsi"/>
                <w:color w:val="C00000"/>
                <w:lang w:eastAsia="zh-CN"/>
              </w:rPr>
              <w:t>(1.04-1.11)</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29CB83E7" w14:textId="09F6DD70"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1.04</w:t>
            </w:r>
            <w:r w:rsidR="00A4045F">
              <w:rPr>
                <w:rFonts w:eastAsia="Times New Roman" w:cstheme="minorHAnsi"/>
                <w:color w:val="C00000"/>
                <w:lang w:eastAsia="zh-CN"/>
              </w:rPr>
              <w:br/>
            </w:r>
            <w:r w:rsidRPr="0048088A">
              <w:rPr>
                <w:rFonts w:eastAsia="Times New Roman" w:cstheme="minorHAnsi"/>
                <w:color w:val="C00000"/>
                <w:lang w:eastAsia="zh-CN"/>
              </w:rPr>
              <w:t>(1.01-1.08)</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F8FFD38" w14:textId="4FED5A74" w:rsidR="000F3C09" w:rsidRPr="0048088A" w:rsidRDefault="00A4045F" w:rsidP="00A4045F">
            <w:pPr>
              <w:autoSpaceDE w:val="0"/>
              <w:autoSpaceDN w:val="0"/>
              <w:adjustRightInd w:val="0"/>
              <w:spacing w:before="60" w:after="60" w:line="240" w:lineRule="auto"/>
              <w:jc w:val="center"/>
              <w:rPr>
                <w:rFonts w:eastAsia="Times New Roman" w:cstheme="minorHAnsi"/>
                <w:color w:val="C00000"/>
                <w:lang w:eastAsia="zh-CN"/>
              </w:rPr>
            </w:pPr>
            <w:r>
              <w:rPr>
                <w:rFonts w:eastAsia="Times New Roman" w:cstheme="minorHAnsi"/>
                <w:color w:val="C00000"/>
                <w:lang w:eastAsia="zh-CN"/>
              </w:rPr>
              <w:t>1.08</w:t>
            </w:r>
            <w:r>
              <w:rPr>
                <w:rFonts w:eastAsia="Times New Roman" w:cstheme="minorHAnsi"/>
                <w:color w:val="C00000"/>
                <w:lang w:eastAsia="zh-CN"/>
              </w:rPr>
              <w:br/>
            </w:r>
            <w:r w:rsidR="000F3C09" w:rsidRPr="0048088A">
              <w:rPr>
                <w:rFonts w:eastAsia="Times New Roman" w:cstheme="minorHAnsi"/>
                <w:color w:val="C00000"/>
                <w:lang w:eastAsia="zh-CN"/>
              </w:rPr>
              <w:t>(1.05-1.10)</w:t>
            </w:r>
          </w:p>
        </w:tc>
      </w:tr>
      <w:tr w:rsidR="000F3C09" w:rsidRPr="000F3C09" w14:paraId="1BFB3151"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593692C7"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Anterior myocardial infarction</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1DA9C5F2" w14:textId="71AF8414" w:rsidR="000F3C09" w:rsidRPr="000F3C09" w:rsidRDefault="00A4045F" w:rsidP="00A4045F">
            <w:pPr>
              <w:autoSpaceDE w:val="0"/>
              <w:autoSpaceDN w:val="0"/>
              <w:adjustRightInd w:val="0"/>
              <w:spacing w:before="60" w:after="60" w:line="240" w:lineRule="auto"/>
              <w:jc w:val="center"/>
              <w:rPr>
                <w:rFonts w:eastAsia="Times New Roman" w:cstheme="minorHAnsi"/>
                <w:color w:val="FF0000"/>
                <w:lang w:eastAsia="zh-CN"/>
              </w:rPr>
            </w:pPr>
            <w:r>
              <w:rPr>
                <w:rFonts w:eastAsia="Times New Roman" w:cstheme="minorHAnsi"/>
                <w:color w:val="C00000"/>
                <w:lang w:eastAsia="zh-CN"/>
              </w:rPr>
              <w:t>2.62</w:t>
            </w:r>
            <w:r>
              <w:rPr>
                <w:rFonts w:eastAsia="Times New Roman" w:cstheme="minorHAnsi"/>
                <w:color w:val="C00000"/>
                <w:lang w:eastAsia="zh-CN"/>
              </w:rPr>
              <w:br/>
            </w:r>
            <w:r w:rsidR="000F3C09" w:rsidRPr="0048088A">
              <w:rPr>
                <w:rFonts w:eastAsia="Times New Roman" w:cstheme="minorHAnsi"/>
                <w:color w:val="C00000"/>
                <w:lang w:eastAsia="zh-CN"/>
              </w:rPr>
              <w:t>(2.48-2.76)</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151B8CBD" w14:textId="488EAEC5" w:rsidR="000F3C09" w:rsidRPr="000F3C09" w:rsidRDefault="00A4045F" w:rsidP="00A4045F">
            <w:pPr>
              <w:autoSpaceDE w:val="0"/>
              <w:autoSpaceDN w:val="0"/>
              <w:adjustRightInd w:val="0"/>
              <w:spacing w:before="60" w:after="60" w:line="240" w:lineRule="auto"/>
              <w:jc w:val="center"/>
              <w:rPr>
                <w:rFonts w:eastAsia="Times New Roman" w:cstheme="minorHAnsi"/>
                <w:color w:val="FF0000"/>
                <w:lang w:eastAsia="zh-CN"/>
              </w:rPr>
            </w:pPr>
            <w:r>
              <w:rPr>
                <w:rFonts w:eastAsia="Times New Roman" w:cstheme="minorHAnsi"/>
                <w:color w:val="C00000"/>
                <w:lang w:eastAsia="zh-CN"/>
              </w:rPr>
              <w:t>2.74</w:t>
            </w:r>
            <w:r>
              <w:rPr>
                <w:rFonts w:eastAsia="Times New Roman" w:cstheme="minorHAnsi"/>
                <w:color w:val="C00000"/>
                <w:lang w:eastAsia="zh-CN"/>
              </w:rPr>
              <w:br/>
            </w:r>
            <w:r w:rsidR="000F3C09" w:rsidRPr="0048088A">
              <w:rPr>
                <w:rFonts w:eastAsia="Times New Roman" w:cstheme="minorHAnsi"/>
                <w:color w:val="C00000"/>
                <w:lang w:eastAsia="zh-CN"/>
              </w:rPr>
              <w:t>(2.60-2.90)</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5CF2EE7F" w14:textId="626B1879"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2.89</w:t>
            </w:r>
            <w:r w:rsidR="00A4045F">
              <w:rPr>
                <w:rFonts w:eastAsia="Times New Roman" w:cstheme="minorHAnsi"/>
                <w:color w:val="C00000"/>
                <w:lang w:eastAsia="zh-CN"/>
              </w:rPr>
              <w:br/>
            </w:r>
            <w:r w:rsidRPr="0048088A">
              <w:rPr>
                <w:rFonts w:eastAsia="Times New Roman" w:cstheme="minorHAnsi"/>
                <w:color w:val="C00000"/>
                <w:lang w:eastAsia="zh-CN"/>
              </w:rPr>
              <w:t>(2.74-3.05)</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EB4750C" w14:textId="2A1AFCE1" w:rsidR="000F3C09" w:rsidRPr="0048088A" w:rsidRDefault="00A4045F" w:rsidP="00A4045F">
            <w:pPr>
              <w:autoSpaceDE w:val="0"/>
              <w:autoSpaceDN w:val="0"/>
              <w:adjustRightInd w:val="0"/>
              <w:spacing w:before="60" w:after="60" w:line="240" w:lineRule="auto"/>
              <w:jc w:val="center"/>
              <w:rPr>
                <w:rFonts w:eastAsia="Times New Roman" w:cstheme="minorHAnsi"/>
                <w:color w:val="C00000"/>
                <w:lang w:eastAsia="zh-CN"/>
              </w:rPr>
            </w:pPr>
            <w:r>
              <w:rPr>
                <w:rFonts w:eastAsia="Times New Roman" w:cstheme="minorHAnsi"/>
                <w:color w:val="C00000"/>
                <w:lang w:eastAsia="zh-CN"/>
              </w:rPr>
              <w:t>2.75</w:t>
            </w:r>
            <w:r>
              <w:rPr>
                <w:rFonts w:eastAsia="Times New Roman" w:cstheme="minorHAnsi"/>
                <w:color w:val="C00000"/>
                <w:lang w:eastAsia="zh-CN"/>
              </w:rPr>
              <w:br/>
            </w:r>
            <w:r w:rsidR="000F3C09" w:rsidRPr="0048088A">
              <w:rPr>
                <w:rFonts w:eastAsia="Times New Roman" w:cstheme="minorHAnsi"/>
                <w:color w:val="C00000"/>
                <w:lang w:eastAsia="zh-CN"/>
              </w:rPr>
              <w:t>(2.66-2.84)</w:t>
            </w:r>
          </w:p>
        </w:tc>
      </w:tr>
      <w:tr w:rsidR="000F3C09" w:rsidRPr="000F3C09" w14:paraId="717026E3"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0E9FAFE5"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Non-anterior location of myocardial infarction</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1F2B91E6" w14:textId="22759B11"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2.52</w:t>
            </w:r>
            <w:r w:rsidR="00A4045F">
              <w:rPr>
                <w:rFonts w:eastAsia="Times New Roman" w:cstheme="minorHAnsi"/>
                <w:color w:val="C00000"/>
                <w:lang w:eastAsia="zh-CN"/>
              </w:rPr>
              <w:br/>
            </w:r>
            <w:r w:rsidRPr="0048088A">
              <w:rPr>
                <w:rFonts w:eastAsia="Times New Roman" w:cstheme="minorHAnsi"/>
                <w:color w:val="C00000"/>
                <w:lang w:eastAsia="zh-CN"/>
              </w:rPr>
              <w:t>(2.42-2.62)</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6588F6C0" w14:textId="3E2ABC29"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2.61</w:t>
            </w:r>
            <w:r w:rsidR="00A4045F">
              <w:rPr>
                <w:rFonts w:eastAsia="Times New Roman" w:cstheme="minorHAnsi"/>
                <w:color w:val="C00000"/>
                <w:lang w:eastAsia="zh-CN"/>
              </w:rPr>
              <w:br/>
            </w:r>
            <w:r w:rsidRPr="0048088A">
              <w:rPr>
                <w:rFonts w:eastAsia="Times New Roman" w:cstheme="minorHAnsi"/>
                <w:color w:val="C00000"/>
                <w:lang w:eastAsia="zh-CN"/>
              </w:rPr>
              <w:t>(2.50-2.72)</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526F078E" w14:textId="64E30B89"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2.63</w:t>
            </w:r>
            <w:r w:rsidR="00A4045F">
              <w:rPr>
                <w:rFonts w:eastAsia="Times New Roman" w:cstheme="minorHAnsi"/>
                <w:color w:val="C00000"/>
                <w:lang w:eastAsia="zh-CN"/>
              </w:rPr>
              <w:br/>
            </w:r>
            <w:r w:rsidRPr="0048088A">
              <w:rPr>
                <w:rFonts w:eastAsia="Times New Roman" w:cstheme="minorHAnsi"/>
                <w:color w:val="C00000"/>
                <w:lang w:eastAsia="zh-CN"/>
              </w:rPr>
              <w:t>(2.52-2.75)</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881AA55" w14:textId="7524114E" w:rsidR="000F3C09" w:rsidRPr="0048088A" w:rsidRDefault="000F3C09" w:rsidP="00A4045F">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2.58</w:t>
            </w:r>
            <w:r w:rsidR="00A4045F">
              <w:rPr>
                <w:rFonts w:eastAsia="Times New Roman" w:cstheme="minorHAnsi"/>
                <w:color w:val="C00000"/>
                <w:lang w:eastAsia="zh-CN"/>
              </w:rPr>
              <w:br/>
            </w:r>
            <w:r w:rsidRPr="0048088A">
              <w:rPr>
                <w:rFonts w:eastAsia="Times New Roman" w:cstheme="minorHAnsi"/>
                <w:color w:val="C00000"/>
                <w:lang w:eastAsia="zh-CN"/>
              </w:rPr>
              <w:t>(2.52-2.65)</w:t>
            </w:r>
          </w:p>
        </w:tc>
      </w:tr>
      <w:tr w:rsidR="000F3C09" w:rsidRPr="000F3C09" w14:paraId="107F3E8A"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7690D284"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History of coronary artery bypass graft (CABG) surgery</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2CE8FC21" w14:textId="66DB4015"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1.09</w:t>
            </w:r>
            <w:r w:rsidR="00A4045F">
              <w:rPr>
                <w:rFonts w:eastAsia="Times New Roman" w:cstheme="minorHAnsi"/>
                <w:color w:val="C00000"/>
                <w:lang w:eastAsia="zh-CN"/>
              </w:rPr>
              <w:br/>
            </w:r>
            <w:r w:rsidRPr="0048088A">
              <w:rPr>
                <w:rFonts w:eastAsia="Times New Roman" w:cstheme="minorHAnsi"/>
                <w:color w:val="C00000"/>
                <w:lang w:eastAsia="zh-CN"/>
              </w:rPr>
              <w:t>(1.04-1.14)</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011D404E" w14:textId="352716FA"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1.11</w:t>
            </w:r>
            <w:r w:rsidR="00A4045F">
              <w:rPr>
                <w:rFonts w:eastAsia="Times New Roman" w:cstheme="minorHAnsi"/>
                <w:color w:val="C00000"/>
                <w:lang w:eastAsia="zh-CN"/>
              </w:rPr>
              <w:br/>
            </w:r>
            <w:r w:rsidRPr="0048088A">
              <w:rPr>
                <w:rFonts w:eastAsia="Times New Roman" w:cstheme="minorHAnsi"/>
                <w:color w:val="C00000"/>
                <w:lang w:eastAsia="zh-CN"/>
              </w:rPr>
              <w:t>(1.07-1.16)</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5A389A4B" w14:textId="71C902C4"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1.14</w:t>
            </w:r>
            <w:r w:rsidR="00A4045F">
              <w:rPr>
                <w:rFonts w:eastAsia="Times New Roman" w:cstheme="minorHAnsi"/>
                <w:color w:val="C00000"/>
                <w:lang w:eastAsia="zh-CN"/>
              </w:rPr>
              <w:br/>
            </w:r>
            <w:r w:rsidRPr="0048088A">
              <w:rPr>
                <w:rFonts w:eastAsia="Times New Roman" w:cstheme="minorHAnsi"/>
                <w:color w:val="C00000"/>
                <w:lang w:eastAsia="zh-CN"/>
              </w:rPr>
              <w:t>(1.09-1.19)</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88424A9" w14:textId="7EB69ECC" w:rsidR="000F3C09" w:rsidRPr="0048088A" w:rsidRDefault="000F3C09" w:rsidP="00A4045F">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1.11</w:t>
            </w:r>
            <w:r w:rsidR="00A4045F">
              <w:rPr>
                <w:rFonts w:eastAsia="Times New Roman" w:cstheme="minorHAnsi"/>
                <w:color w:val="C00000"/>
                <w:lang w:eastAsia="zh-CN"/>
              </w:rPr>
              <w:br/>
            </w:r>
            <w:r w:rsidRPr="0048088A">
              <w:rPr>
                <w:rFonts w:eastAsia="Times New Roman" w:cstheme="minorHAnsi"/>
                <w:color w:val="C00000"/>
                <w:lang w:eastAsia="zh-CN"/>
              </w:rPr>
              <w:t>(1.08-1.14)</w:t>
            </w:r>
          </w:p>
        </w:tc>
      </w:tr>
      <w:tr w:rsidR="000F3C09" w:rsidRPr="000F3C09" w14:paraId="15CE71C0"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7C8EF11F"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History of percutaneous transluminal coronary angioplasty (PTCA)</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12C52CEC" w14:textId="57921426"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0.84</w:t>
            </w:r>
            <w:r w:rsidR="00A4045F">
              <w:rPr>
                <w:rFonts w:eastAsia="Times New Roman" w:cstheme="minorHAnsi"/>
                <w:color w:val="C00000"/>
                <w:lang w:eastAsia="zh-CN"/>
              </w:rPr>
              <w:br/>
            </w:r>
            <w:r w:rsidRPr="0048088A">
              <w:rPr>
                <w:rFonts w:eastAsia="Times New Roman" w:cstheme="minorHAnsi"/>
                <w:color w:val="C00000"/>
                <w:lang w:eastAsia="zh-CN"/>
              </w:rPr>
              <w:t>(0.81-0.88)</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31591A8C" w14:textId="66560E4A"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0.78</w:t>
            </w:r>
            <w:r w:rsidR="00A4045F">
              <w:rPr>
                <w:rFonts w:eastAsia="Times New Roman" w:cstheme="minorHAnsi"/>
                <w:color w:val="C00000"/>
                <w:lang w:eastAsia="zh-CN"/>
              </w:rPr>
              <w:br/>
            </w:r>
            <w:r w:rsidRPr="0048088A">
              <w:rPr>
                <w:rFonts w:eastAsia="Times New Roman" w:cstheme="minorHAnsi"/>
                <w:color w:val="C00000"/>
                <w:lang w:eastAsia="zh-CN"/>
              </w:rPr>
              <w:t>(0.75-0.81)</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425C4B45" w14:textId="759BEB65"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0.78</w:t>
            </w:r>
            <w:r w:rsidR="00A4045F">
              <w:rPr>
                <w:rFonts w:eastAsia="Times New Roman" w:cstheme="minorHAnsi"/>
                <w:color w:val="C00000"/>
                <w:lang w:eastAsia="zh-CN"/>
              </w:rPr>
              <w:br/>
            </w:r>
            <w:r w:rsidRPr="0048088A">
              <w:rPr>
                <w:rFonts w:eastAsia="Times New Roman" w:cstheme="minorHAnsi"/>
                <w:color w:val="C00000"/>
                <w:lang w:eastAsia="zh-CN"/>
              </w:rPr>
              <w:t>(0.74-0.81)</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9C06ACF" w14:textId="24A67B1E" w:rsidR="000F3C09" w:rsidRPr="0048088A" w:rsidRDefault="000F3C09" w:rsidP="00A4045F">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0.80</w:t>
            </w:r>
            <w:r w:rsidR="00A4045F">
              <w:rPr>
                <w:rFonts w:eastAsia="Times New Roman" w:cstheme="minorHAnsi"/>
                <w:color w:val="C00000"/>
                <w:lang w:eastAsia="zh-CN"/>
              </w:rPr>
              <w:br/>
            </w:r>
            <w:r w:rsidRPr="0048088A">
              <w:rPr>
                <w:rFonts w:eastAsia="Times New Roman" w:cstheme="minorHAnsi"/>
                <w:color w:val="C00000"/>
                <w:lang w:eastAsia="zh-CN"/>
              </w:rPr>
              <w:t>(0.78-0.82)</w:t>
            </w:r>
          </w:p>
        </w:tc>
      </w:tr>
      <w:tr w:rsidR="000F3C09" w:rsidRPr="000F3C09" w14:paraId="035E6E90"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2BEE9177"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Metastatic cancer, acute leukemia and other severe cancers (CC 8-9)</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7A4F5D57" w14:textId="3ABCDECD"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1.89</w:t>
            </w:r>
            <w:r w:rsidR="00A4045F">
              <w:rPr>
                <w:rFonts w:eastAsia="Times New Roman" w:cstheme="minorHAnsi"/>
                <w:color w:val="C00000"/>
                <w:lang w:eastAsia="zh-CN"/>
              </w:rPr>
              <w:br/>
            </w:r>
            <w:r w:rsidRPr="0048088A">
              <w:rPr>
                <w:rFonts w:eastAsia="Times New Roman" w:cstheme="minorHAnsi"/>
                <w:color w:val="C00000"/>
                <w:lang w:eastAsia="zh-CN"/>
              </w:rPr>
              <w:t>(1.78-2.01)</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51BCCE03" w14:textId="1F4543B5"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1.94</w:t>
            </w:r>
            <w:r w:rsidR="00A4045F">
              <w:rPr>
                <w:rFonts w:eastAsia="Times New Roman" w:cstheme="minorHAnsi"/>
                <w:color w:val="C00000"/>
                <w:lang w:eastAsia="zh-CN"/>
              </w:rPr>
              <w:br/>
            </w:r>
            <w:r w:rsidRPr="0048088A">
              <w:rPr>
                <w:rFonts w:eastAsia="Times New Roman" w:cstheme="minorHAnsi"/>
                <w:color w:val="C00000"/>
                <w:lang w:eastAsia="zh-CN"/>
              </w:rPr>
              <w:t>(1.83-2.07)</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53382939" w14:textId="0F08677D"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1.78</w:t>
            </w:r>
            <w:r w:rsidR="00A4045F">
              <w:rPr>
                <w:rFonts w:eastAsia="Times New Roman" w:cstheme="minorHAnsi"/>
                <w:color w:val="C00000"/>
                <w:lang w:eastAsia="zh-CN"/>
              </w:rPr>
              <w:br/>
            </w:r>
            <w:r w:rsidRPr="0048088A">
              <w:rPr>
                <w:rFonts w:eastAsia="Times New Roman" w:cstheme="minorHAnsi"/>
                <w:color w:val="C00000"/>
                <w:lang w:eastAsia="zh-CN"/>
              </w:rPr>
              <w:t>(1.67-1.90)</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C924B45" w14:textId="7A74EC6D" w:rsidR="000F3C09" w:rsidRPr="0048088A" w:rsidRDefault="000F3C09" w:rsidP="00A4045F">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1.88</w:t>
            </w:r>
            <w:r w:rsidR="00A4045F">
              <w:rPr>
                <w:rFonts w:eastAsia="Times New Roman" w:cstheme="minorHAnsi"/>
                <w:color w:val="C00000"/>
                <w:lang w:eastAsia="zh-CN"/>
              </w:rPr>
              <w:br/>
            </w:r>
            <w:r w:rsidRPr="0048088A">
              <w:rPr>
                <w:rFonts w:eastAsia="Times New Roman" w:cstheme="minorHAnsi"/>
                <w:color w:val="C00000"/>
                <w:lang w:eastAsia="zh-CN"/>
              </w:rPr>
              <w:t>(1.81-1.95)</w:t>
            </w:r>
          </w:p>
        </w:tc>
      </w:tr>
      <w:tr w:rsidR="000F3C09" w:rsidRPr="000F3C09" w14:paraId="7397C6E6"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58C42B48"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Diabetes mellitus (DM) or DM complications except proliferative retinopathy (CC 17-19, 123)</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78BD3FFF" w14:textId="5BD6B314"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1.11</w:t>
            </w:r>
            <w:r w:rsidR="00A4045F">
              <w:rPr>
                <w:rFonts w:eastAsia="Times New Roman" w:cstheme="minorHAnsi"/>
                <w:color w:val="C00000"/>
                <w:lang w:eastAsia="zh-CN"/>
              </w:rPr>
              <w:br/>
            </w:r>
            <w:r w:rsidRPr="0048088A">
              <w:rPr>
                <w:rFonts w:eastAsia="Times New Roman" w:cstheme="minorHAnsi"/>
                <w:color w:val="C00000"/>
                <w:lang w:eastAsia="zh-CN"/>
              </w:rPr>
              <w:t>(1.08-1.15)</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0F4D077C" w14:textId="78FB0CDA"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1.14</w:t>
            </w:r>
            <w:r w:rsidR="00A4045F">
              <w:rPr>
                <w:rFonts w:eastAsia="Times New Roman" w:cstheme="minorHAnsi"/>
                <w:color w:val="C00000"/>
                <w:lang w:eastAsia="zh-CN"/>
              </w:rPr>
              <w:br/>
            </w:r>
            <w:r w:rsidRPr="0048088A">
              <w:rPr>
                <w:rFonts w:eastAsia="Times New Roman" w:cstheme="minorHAnsi"/>
                <w:color w:val="C00000"/>
                <w:lang w:eastAsia="zh-CN"/>
              </w:rPr>
              <w:t>(1.11-1.18)</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1924DE9D" w14:textId="08BD8072"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1.13</w:t>
            </w:r>
            <w:r w:rsidR="00A4045F">
              <w:rPr>
                <w:rFonts w:eastAsia="Times New Roman" w:cstheme="minorHAnsi"/>
                <w:color w:val="C00000"/>
                <w:lang w:eastAsia="zh-CN"/>
              </w:rPr>
              <w:br/>
            </w:r>
            <w:r w:rsidRPr="0048088A">
              <w:rPr>
                <w:rFonts w:eastAsia="Times New Roman" w:cstheme="minorHAnsi"/>
                <w:color w:val="C00000"/>
                <w:lang w:eastAsia="zh-CN"/>
              </w:rPr>
              <w:t>(1.09-1.17)</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67CFA36" w14:textId="26B1F0B7" w:rsidR="000F3C09" w:rsidRPr="0048088A" w:rsidRDefault="000F3C09" w:rsidP="00A4045F">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1.13</w:t>
            </w:r>
            <w:r w:rsidR="00A4045F">
              <w:rPr>
                <w:rFonts w:eastAsia="Times New Roman" w:cstheme="minorHAnsi"/>
                <w:color w:val="C00000"/>
                <w:lang w:eastAsia="zh-CN"/>
              </w:rPr>
              <w:br/>
            </w:r>
            <w:r w:rsidRPr="0048088A">
              <w:rPr>
                <w:rFonts w:eastAsia="Times New Roman" w:cstheme="minorHAnsi"/>
                <w:color w:val="C00000"/>
                <w:lang w:eastAsia="zh-CN"/>
              </w:rPr>
              <w:t>(1.10-1.15)</w:t>
            </w:r>
          </w:p>
        </w:tc>
      </w:tr>
      <w:tr w:rsidR="000F3C09" w:rsidRPr="000F3C09" w14:paraId="29F7B5C7"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20B66B3B"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Protein-calorie malnutrition (CC 21)</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113C6BB6" w14:textId="105380BF"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1.79</w:t>
            </w:r>
            <w:r w:rsidR="00A4045F">
              <w:rPr>
                <w:rFonts w:eastAsia="Times New Roman" w:cstheme="minorHAnsi"/>
                <w:color w:val="C00000"/>
                <w:lang w:eastAsia="zh-CN"/>
              </w:rPr>
              <w:br/>
            </w:r>
            <w:r w:rsidRPr="0048088A">
              <w:rPr>
                <w:rFonts w:eastAsia="Times New Roman" w:cstheme="minorHAnsi"/>
                <w:color w:val="C00000"/>
                <w:lang w:eastAsia="zh-CN"/>
              </w:rPr>
              <w:t>(1.70-1.88)</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55FCDE36" w14:textId="79EBDD57"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1.79</w:t>
            </w:r>
            <w:r w:rsidR="00A4045F">
              <w:rPr>
                <w:rFonts w:eastAsia="Times New Roman" w:cstheme="minorHAnsi"/>
                <w:color w:val="C00000"/>
                <w:lang w:eastAsia="zh-CN"/>
              </w:rPr>
              <w:br/>
            </w:r>
            <w:r w:rsidRPr="0048088A">
              <w:rPr>
                <w:rFonts w:eastAsia="Times New Roman" w:cstheme="minorHAnsi"/>
                <w:color w:val="C00000"/>
                <w:lang w:eastAsia="zh-CN"/>
              </w:rPr>
              <w:t>(1.70-1.88)</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60E5A731" w14:textId="5E0DDCC4"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1.75</w:t>
            </w:r>
            <w:r w:rsidR="00A4045F">
              <w:rPr>
                <w:rFonts w:eastAsia="Times New Roman" w:cstheme="minorHAnsi"/>
                <w:color w:val="C00000"/>
                <w:lang w:eastAsia="zh-CN"/>
              </w:rPr>
              <w:br/>
            </w:r>
            <w:r w:rsidRPr="0048088A">
              <w:rPr>
                <w:rFonts w:eastAsia="Times New Roman" w:cstheme="minorHAnsi"/>
                <w:color w:val="C00000"/>
                <w:lang w:eastAsia="zh-CN"/>
              </w:rPr>
              <w:t>(1.66-1.84)</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654BDA04" w14:textId="4071B714" w:rsidR="000F3C09" w:rsidRPr="0048088A" w:rsidRDefault="000F3C09" w:rsidP="00A4045F">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1.79</w:t>
            </w:r>
            <w:r w:rsidR="00A4045F">
              <w:rPr>
                <w:rFonts w:eastAsia="Times New Roman" w:cstheme="minorHAnsi"/>
                <w:color w:val="C00000"/>
                <w:lang w:eastAsia="zh-CN"/>
              </w:rPr>
              <w:br/>
            </w:r>
            <w:r w:rsidRPr="0048088A">
              <w:rPr>
                <w:rFonts w:eastAsia="Times New Roman" w:cstheme="minorHAnsi"/>
                <w:color w:val="C00000"/>
                <w:lang w:eastAsia="zh-CN"/>
              </w:rPr>
              <w:t>(1.73-1.84)</w:t>
            </w:r>
          </w:p>
        </w:tc>
      </w:tr>
      <w:tr w:rsidR="000F3C09" w:rsidRPr="000F3C09" w14:paraId="651B3E8C"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1F056378"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Chronic liver disease (CC 27-29)</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2CC5B3B5" w14:textId="11BCE1D9"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1.77</w:t>
            </w:r>
            <w:r w:rsidR="00A4045F">
              <w:rPr>
                <w:rFonts w:eastAsia="Times New Roman" w:cstheme="minorHAnsi"/>
                <w:color w:val="C00000"/>
                <w:lang w:eastAsia="zh-CN"/>
              </w:rPr>
              <w:br/>
            </w:r>
            <w:r w:rsidRPr="0048088A">
              <w:rPr>
                <w:rFonts w:eastAsia="Times New Roman" w:cstheme="minorHAnsi"/>
                <w:color w:val="C00000"/>
                <w:lang w:eastAsia="zh-CN"/>
              </w:rPr>
              <w:t>(1.62-1.94)</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378BFAAD" w14:textId="725EC56A"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1.67</w:t>
            </w:r>
            <w:r w:rsidR="00A4045F">
              <w:rPr>
                <w:rFonts w:eastAsia="Times New Roman" w:cstheme="minorHAnsi"/>
                <w:color w:val="C00000"/>
                <w:lang w:eastAsia="zh-CN"/>
              </w:rPr>
              <w:br/>
            </w:r>
            <w:r w:rsidRPr="0048088A">
              <w:rPr>
                <w:rFonts w:eastAsia="Times New Roman" w:cstheme="minorHAnsi"/>
                <w:color w:val="C00000"/>
                <w:lang w:eastAsia="zh-CN"/>
              </w:rPr>
              <w:t>(1.52-1.83)</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101C831C" w14:textId="7DC3D695"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1.69</w:t>
            </w:r>
            <w:r w:rsidR="00A4045F">
              <w:rPr>
                <w:rFonts w:eastAsia="Times New Roman" w:cstheme="minorHAnsi"/>
                <w:color w:val="C00000"/>
                <w:lang w:eastAsia="zh-CN"/>
              </w:rPr>
              <w:br/>
            </w:r>
            <w:r w:rsidRPr="0048088A">
              <w:rPr>
                <w:rFonts w:eastAsia="Times New Roman" w:cstheme="minorHAnsi"/>
                <w:color w:val="C00000"/>
                <w:lang w:eastAsia="zh-CN"/>
              </w:rPr>
              <w:t>(1.53-1.86)</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0DE8EDB" w14:textId="34DA252C" w:rsidR="000F3C09" w:rsidRPr="0048088A" w:rsidRDefault="000F3C09" w:rsidP="00A4045F">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1.71</w:t>
            </w:r>
            <w:r w:rsidR="00A4045F">
              <w:rPr>
                <w:rFonts w:eastAsia="Times New Roman" w:cstheme="minorHAnsi"/>
                <w:color w:val="C00000"/>
                <w:lang w:eastAsia="zh-CN"/>
              </w:rPr>
              <w:br/>
            </w:r>
            <w:r w:rsidRPr="0048088A">
              <w:rPr>
                <w:rFonts w:eastAsia="Times New Roman" w:cstheme="minorHAnsi"/>
                <w:color w:val="C00000"/>
                <w:lang w:eastAsia="zh-CN"/>
              </w:rPr>
              <w:t>(1.63-1.81)</w:t>
            </w:r>
          </w:p>
        </w:tc>
      </w:tr>
      <w:tr w:rsidR="000F3C09" w:rsidRPr="000F3C09" w14:paraId="2D88C557"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613B7CA4"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Dementia or other specified brain disorders (CC 51-53)</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42297C1D" w14:textId="15AF0770"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1.53</w:t>
            </w:r>
            <w:r w:rsidR="00A4045F">
              <w:rPr>
                <w:rFonts w:eastAsia="Times New Roman" w:cstheme="minorHAnsi"/>
                <w:color w:val="C00000"/>
                <w:lang w:eastAsia="zh-CN"/>
              </w:rPr>
              <w:br/>
            </w:r>
            <w:r w:rsidRPr="0048088A">
              <w:rPr>
                <w:rFonts w:eastAsia="Times New Roman" w:cstheme="minorHAnsi"/>
                <w:color w:val="C00000"/>
                <w:lang w:eastAsia="zh-CN"/>
              </w:rPr>
              <w:t>(1.47-1.58)</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4C8B4AE3" w14:textId="397E6914"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1.50</w:t>
            </w:r>
            <w:r w:rsidR="00A4045F">
              <w:rPr>
                <w:rFonts w:eastAsia="Times New Roman" w:cstheme="minorHAnsi"/>
                <w:color w:val="C00000"/>
                <w:lang w:eastAsia="zh-CN"/>
              </w:rPr>
              <w:br/>
            </w:r>
            <w:r w:rsidRPr="0048088A">
              <w:rPr>
                <w:rFonts w:eastAsia="Times New Roman" w:cstheme="minorHAnsi"/>
                <w:color w:val="C00000"/>
                <w:lang w:eastAsia="zh-CN"/>
              </w:rPr>
              <w:t>(1.45-1.56)</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16C4C4F4" w14:textId="2B587F4F"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1.48</w:t>
            </w:r>
            <w:r w:rsidR="00A4045F">
              <w:rPr>
                <w:rFonts w:eastAsia="Times New Roman" w:cstheme="minorHAnsi"/>
                <w:color w:val="C00000"/>
                <w:lang w:eastAsia="zh-CN"/>
              </w:rPr>
              <w:br/>
            </w:r>
            <w:r w:rsidRPr="0048088A">
              <w:rPr>
                <w:rFonts w:eastAsia="Times New Roman" w:cstheme="minorHAnsi"/>
                <w:color w:val="C00000"/>
                <w:lang w:eastAsia="zh-CN"/>
              </w:rPr>
              <w:t>(1.42-1.54)</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15C479FE" w14:textId="7C5B21A8" w:rsidR="000F3C09" w:rsidRPr="0048088A" w:rsidRDefault="000F3C09" w:rsidP="00A4045F">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1.50</w:t>
            </w:r>
            <w:r w:rsidR="00A4045F">
              <w:rPr>
                <w:rFonts w:eastAsia="Times New Roman" w:cstheme="minorHAnsi"/>
                <w:color w:val="C00000"/>
                <w:lang w:eastAsia="zh-CN"/>
              </w:rPr>
              <w:br/>
            </w:r>
            <w:r w:rsidRPr="0048088A">
              <w:rPr>
                <w:rFonts w:eastAsia="Times New Roman" w:cstheme="minorHAnsi"/>
                <w:color w:val="C00000"/>
                <w:lang w:eastAsia="zh-CN"/>
              </w:rPr>
              <w:t>(1.47-1.54)</w:t>
            </w:r>
          </w:p>
        </w:tc>
      </w:tr>
      <w:tr w:rsidR="000F3C09" w:rsidRPr="000F3C09" w14:paraId="673CC6E8"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730759B1"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Major psychiatric disorders (CC 57-59)</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7C08D940" w14:textId="4BEE31C2"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1.04</w:t>
            </w:r>
            <w:r w:rsidR="00A4045F">
              <w:rPr>
                <w:rFonts w:eastAsia="Times New Roman" w:cstheme="minorHAnsi"/>
                <w:color w:val="C00000"/>
                <w:lang w:eastAsia="zh-CN"/>
              </w:rPr>
              <w:br/>
            </w:r>
            <w:r w:rsidRPr="0048088A">
              <w:rPr>
                <w:rFonts w:eastAsia="Times New Roman" w:cstheme="minorHAnsi"/>
                <w:color w:val="C00000"/>
                <w:lang w:eastAsia="zh-CN"/>
              </w:rPr>
              <w:t>(0.98-1.10)</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7A83797D" w14:textId="3A731FC1"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0.97</w:t>
            </w:r>
            <w:r w:rsidR="00A4045F">
              <w:rPr>
                <w:rFonts w:eastAsia="Times New Roman" w:cstheme="minorHAnsi"/>
                <w:color w:val="C00000"/>
                <w:lang w:eastAsia="zh-CN"/>
              </w:rPr>
              <w:br/>
            </w:r>
            <w:r w:rsidRPr="0048088A">
              <w:rPr>
                <w:rFonts w:eastAsia="Times New Roman" w:cstheme="minorHAnsi"/>
                <w:color w:val="C00000"/>
                <w:lang w:eastAsia="zh-CN"/>
              </w:rPr>
              <w:t>(0.91-1.03)</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20D89963" w14:textId="1026ABF8" w:rsidR="000F3C09" w:rsidRPr="000F3C09" w:rsidRDefault="000F3C09" w:rsidP="00A4045F">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1.03</w:t>
            </w:r>
            <w:r w:rsidR="00624D06">
              <w:rPr>
                <w:rFonts w:eastAsia="Times New Roman" w:cstheme="minorHAnsi"/>
                <w:color w:val="C00000"/>
                <w:lang w:eastAsia="zh-CN"/>
              </w:rPr>
              <w:br/>
            </w:r>
            <w:r w:rsidRPr="0048088A">
              <w:rPr>
                <w:rFonts w:eastAsia="Times New Roman" w:cstheme="minorHAnsi"/>
                <w:color w:val="C00000"/>
                <w:lang w:eastAsia="zh-CN"/>
              </w:rPr>
              <w:t>(0.96-1.09)</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08130E0" w14:textId="33DCD0E0"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1.02</w:t>
            </w:r>
            <w:r w:rsidR="00624D06">
              <w:rPr>
                <w:rFonts w:eastAsia="Times New Roman" w:cstheme="minorHAnsi"/>
                <w:color w:val="C00000"/>
                <w:lang w:eastAsia="zh-CN"/>
              </w:rPr>
              <w:br/>
            </w:r>
            <w:r w:rsidRPr="0048088A">
              <w:rPr>
                <w:rFonts w:eastAsia="Times New Roman" w:cstheme="minorHAnsi"/>
                <w:color w:val="C00000"/>
                <w:lang w:eastAsia="zh-CN"/>
              </w:rPr>
              <w:t>(0.98-1.05)</w:t>
            </w:r>
          </w:p>
        </w:tc>
      </w:tr>
      <w:tr w:rsidR="000F3C09" w:rsidRPr="000F3C09" w14:paraId="1F7CB6C3"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21A7A1B4"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Hemiplegia, paraplegia, paralysis, functional disability (CC 70-74, 103-104, 189-190)</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36F32DB0" w14:textId="1ED7DD39"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1.36</w:t>
            </w:r>
            <w:r w:rsidR="00624D06">
              <w:rPr>
                <w:rFonts w:eastAsia="Times New Roman" w:cstheme="minorHAnsi"/>
                <w:color w:val="C00000"/>
                <w:lang w:eastAsia="zh-CN"/>
              </w:rPr>
              <w:br/>
            </w:r>
            <w:r w:rsidRPr="0048088A">
              <w:rPr>
                <w:rFonts w:eastAsia="Times New Roman" w:cstheme="minorHAnsi"/>
                <w:color w:val="C00000"/>
                <w:lang w:eastAsia="zh-CN"/>
              </w:rPr>
              <w:t>(1.28-1.44)</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2A2C94BA" w14:textId="3E8E3A28"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1.23</w:t>
            </w:r>
            <w:r w:rsidR="00624D06">
              <w:rPr>
                <w:rFonts w:eastAsia="Times New Roman" w:cstheme="minorHAnsi"/>
                <w:color w:val="C00000"/>
                <w:lang w:eastAsia="zh-CN"/>
              </w:rPr>
              <w:br/>
            </w:r>
            <w:r w:rsidRPr="0048088A">
              <w:rPr>
                <w:rFonts w:eastAsia="Times New Roman" w:cstheme="minorHAnsi"/>
                <w:color w:val="C00000"/>
                <w:lang w:eastAsia="zh-CN"/>
              </w:rPr>
              <w:t>(1.16-1.32)</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0B526A9B" w14:textId="6CEDF728"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1.24</w:t>
            </w:r>
            <w:r w:rsidR="00624D06">
              <w:rPr>
                <w:rFonts w:eastAsia="Times New Roman" w:cstheme="minorHAnsi"/>
                <w:color w:val="C00000"/>
                <w:lang w:eastAsia="zh-CN"/>
              </w:rPr>
              <w:br/>
            </w:r>
            <w:r w:rsidRPr="0048088A">
              <w:rPr>
                <w:rFonts w:eastAsia="Times New Roman" w:cstheme="minorHAnsi"/>
                <w:color w:val="C00000"/>
                <w:lang w:eastAsia="zh-CN"/>
              </w:rPr>
              <w:t>(1.16-1.32)</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3D07746" w14:textId="49DAC026"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1.28</w:t>
            </w:r>
            <w:r w:rsidR="00624D06">
              <w:rPr>
                <w:rFonts w:eastAsia="Times New Roman" w:cstheme="minorHAnsi"/>
                <w:color w:val="C00000"/>
                <w:lang w:eastAsia="zh-CN"/>
              </w:rPr>
              <w:br/>
            </w:r>
            <w:r w:rsidRPr="0048088A">
              <w:rPr>
                <w:rFonts w:eastAsia="Times New Roman" w:cstheme="minorHAnsi"/>
                <w:color w:val="C00000"/>
                <w:lang w:eastAsia="zh-CN"/>
              </w:rPr>
              <w:t>(1.23-1.32)</w:t>
            </w:r>
          </w:p>
        </w:tc>
      </w:tr>
      <w:tr w:rsidR="000F3C09" w:rsidRPr="000F3C09" w14:paraId="24F47218"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0E7C13E9"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lastRenderedPageBreak/>
              <w:t>Cardio-respiratory failure and shock (CC 84 plus ICD-10-CM codes R09.01 and R09.02, for discharges on or after October 1, 2015; CC 84 plus ICD-9-CM codes 799.01 and 799.02, for discharges prior to October 1, 2015)</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4914868B" w14:textId="13821248"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1.21</w:t>
            </w:r>
            <w:r w:rsidR="00624D06">
              <w:rPr>
                <w:rFonts w:eastAsia="Times New Roman" w:cstheme="minorHAnsi"/>
                <w:color w:val="C00000"/>
                <w:lang w:eastAsia="zh-CN"/>
              </w:rPr>
              <w:br/>
            </w:r>
            <w:r w:rsidRPr="0048088A">
              <w:rPr>
                <w:rFonts w:eastAsia="Times New Roman" w:cstheme="minorHAnsi"/>
                <w:color w:val="C00000"/>
                <w:lang w:eastAsia="zh-CN"/>
              </w:rPr>
              <w:t>(1.16-1.27)</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337A657A" w14:textId="368B992E"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1.17</w:t>
            </w:r>
            <w:r w:rsidR="00624D06">
              <w:rPr>
                <w:rFonts w:eastAsia="Times New Roman" w:cstheme="minorHAnsi"/>
                <w:color w:val="C00000"/>
                <w:lang w:eastAsia="zh-CN"/>
              </w:rPr>
              <w:br/>
            </w:r>
            <w:r w:rsidRPr="0048088A">
              <w:rPr>
                <w:rFonts w:eastAsia="Times New Roman" w:cstheme="minorHAnsi"/>
                <w:color w:val="C00000"/>
                <w:lang w:eastAsia="zh-CN"/>
              </w:rPr>
              <w:t>(1.11-1.23)</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7993D122" w14:textId="66970FD8"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1.18</w:t>
            </w:r>
            <w:r w:rsidR="00624D06">
              <w:rPr>
                <w:rFonts w:eastAsia="Times New Roman" w:cstheme="minorHAnsi"/>
                <w:color w:val="C00000"/>
                <w:lang w:eastAsia="zh-CN"/>
              </w:rPr>
              <w:br/>
            </w:r>
            <w:r w:rsidRPr="0048088A">
              <w:rPr>
                <w:rFonts w:eastAsia="Times New Roman" w:cstheme="minorHAnsi"/>
                <w:color w:val="C00000"/>
                <w:lang w:eastAsia="zh-CN"/>
              </w:rPr>
              <w:t>(1.13-1.25)</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6CB010F" w14:textId="79A56C44"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1.19</w:t>
            </w:r>
            <w:r w:rsidR="00624D06">
              <w:rPr>
                <w:rFonts w:eastAsia="Times New Roman" w:cstheme="minorHAnsi"/>
                <w:color w:val="C00000"/>
                <w:lang w:eastAsia="zh-CN"/>
              </w:rPr>
              <w:br/>
            </w:r>
            <w:r w:rsidRPr="0048088A">
              <w:rPr>
                <w:rFonts w:eastAsia="Times New Roman" w:cstheme="minorHAnsi"/>
                <w:color w:val="C00000"/>
                <w:lang w:eastAsia="zh-CN"/>
              </w:rPr>
              <w:t>(1.16-1.23)</w:t>
            </w:r>
          </w:p>
        </w:tc>
      </w:tr>
      <w:tr w:rsidR="000F3C09" w:rsidRPr="000F3C09" w14:paraId="67B6ACD2"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50C9CDCC"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Congestive heart failure (CC 85)</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68E8E519" w14:textId="1AC178F6"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1.26</w:t>
            </w:r>
            <w:r w:rsidR="00624D06">
              <w:rPr>
                <w:rFonts w:eastAsia="Times New Roman" w:cstheme="minorHAnsi"/>
                <w:color w:val="C00000"/>
                <w:lang w:eastAsia="zh-CN"/>
              </w:rPr>
              <w:br/>
            </w:r>
            <w:r w:rsidRPr="0048088A">
              <w:rPr>
                <w:rFonts w:eastAsia="Times New Roman" w:cstheme="minorHAnsi"/>
                <w:color w:val="C00000"/>
                <w:lang w:eastAsia="zh-CN"/>
              </w:rPr>
              <w:t>(1.21-1.31)</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49A9CFB1" w14:textId="374FD52B"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1.22</w:t>
            </w:r>
            <w:r w:rsidR="00624D06">
              <w:rPr>
                <w:rFonts w:eastAsia="Times New Roman" w:cstheme="minorHAnsi"/>
                <w:color w:val="C00000"/>
                <w:lang w:eastAsia="zh-CN"/>
              </w:rPr>
              <w:br/>
            </w:r>
            <w:r w:rsidRPr="0048088A">
              <w:rPr>
                <w:rFonts w:eastAsia="Times New Roman" w:cstheme="minorHAnsi"/>
                <w:color w:val="C00000"/>
                <w:lang w:eastAsia="zh-CN"/>
              </w:rPr>
              <w:t>(1.18-1.27)</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12918A74" w14:textId="146BFC7C"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1.21</w:t>
            </w:r>
            <w:r w:rsidR="00624D06">
              <w:rPr>
                <w:rFonts w:eastAsia="Times New Roman" w:cstheme="minorHAnsi"/>
                <w:color w:val="C00000"/>
                <w:lang w:eastAsia="zh-CN"/>
              </w:rPr>
              <w:br/>
            </w:r>
            <w:r w:rsidRPr="0048088A">
              <w:rPr>
                <w:rFonts w:eastAsia="Times New Roman" w:cstheme="minorHAnsi"/>
                <w:color w:val="C00000"/>
                <w:lang w:eastAsia="zh-CN"/>
              </w:rPr>
              <w:t>(1.16-1.26)</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4792CC0" w14:textId="630267D2"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1.23</w:t>
            </w:r>
            <w:r w:rsidR="00624D06">
              <w:rPr>
                <w:rFonts w:eastAsia="Times New Roman" w:cstheme="minorHAnsi"/>
                <w:color w:val="C00000"/>
                <w:lang w:eastAsia="zh-CN"/>
              </w:rPr>
              <w:br/>
            </w:r>
            <w:r w:rsidRPr="0048088A">
              <w:rPr>
                <w:rFonts w:eastAsia="Times New Roman" w:cstheme="minorHAnsi"/>
                <w:color w:val="C00000"/>
                <w:lang w:eastAsia="zh-CN"/>
              </w:rPr>
              <w:t>(1.20-1.26)</w:t>
            </w:r>
          </w:p>
        </w:tc>
      </w:tr>
      <w:tr w:rsidR="000F3C09" w:rsidRPr="000F3C09" w14:paraId="3190D06D"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6610E3DB"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Acute myocardial infarction (CC 86)</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31023428" w14:textId="6C08B85B"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1.01</w:t>
            </w:r>
            <w:r w:rsidR="00624D06">
              <w:rPr>
                <w:rFonts w:eastAsia="Times New Roman" w:cstheme="minorHAnsi"/>
                <w:color w:val="C00000"/>
                <w:lang w:eastAsia="zh-CN"/>
              </w:rPr>
              <w:br/>
            </w:r>
            <w:r w:rsidRPr="0048088A">
              <w:rPr>
                <w:rFonts w:eastAsia="Times New Roman" w:cstheme="minorHAnsi"/>
                <w:color w:val="C00000"/>
                <w:lang w:eastAsia="zh-CN"/>
              </w:rPr>
              <w:t>(0.96-1.05)</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3C97B614" w14:textId="6D9EC506"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0.98</w:t>
            </w:r>
            <w:r w:rsidR="00624D06">
              <w:rPr>
                <w:rFonts w:eastAsia="Times New Roman" w:cstheme="minorHAnsi"/>
                <w:color w:val="C00000"/>
                <w:lang w:eastAsia="zh-CN"/>
              </w:rPr>
              <w:br/>
            </w:r>
            <w:r w:rsidRPr="0048088A">
              <w:rPr>
                <w:rFonts w:eastAsia="Times New Roman" w:cstheme="minorHAnsi"/>
                <w:color w:val="C00000"/>
                <w:lang w:eastAsia="zh-CN"/>
              </w:rPr>
              <w:t>(0.93-1.02)</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2330E50D" w14:textId="3F580B1C"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1.03</w:t>
            </w:r>
            <w:r w:rsidR="00624D06">
              <w:rPr>
                <w:rFonts w:eastAsia="Times New Roman" w:cstheme="minorHAnsi"/>
                <w:color w:val="C00000"/>
                <w:lang w:eastAsia="zh-CN"/>
              </w:rPr>
              <w:br/>
            </w:r>
            <w:r w:rsidRPr="0048088A">
              <w:rPr>
                <w:rFonts w:eastAsia="Times New Roman" w:cstheme="minorHAnsi"/>
                <w:color w:val="C00000"/>
                <w:lang w:eastAsia="zh-CN"/>
              </w:rPr>
              <w:t>(0.98-1.08)</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5CFD7A6" w14:textId="6A09BAF7"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1.00</w:t>
            </w:r>
            <w:r w:rsidR="00624D06">
              <w:rPr>
                <w:rFonts w:eastAsia="Times New Roman" w:cstheme="minorHAnsi"/>
                <w:color w:val="C00000"/>
                <w:lang w:eastAsia="zh-CN"/>
              </w:rPr>
              <w:br/>
            </w:r>
            <w:r w:rsidRPr="0048088A">
              <w:rPr>
                <w:rFonts w:eastAsia="Times New Roman" w:cstheme="minorHAnsi"/>
                <w:color w:val="C00000"/>
                <w:lang w:eastAsia="zh-CN"/>
              </w:rPr>
              <w:t>(0.97-1.03)</w:t>
            </w:r>
          </w:p>
        </w:tc>
      </w:tr>
      <w:tr w:rsidR="000F3C09" w:rsidRPr="000F3C09" w14:paraId="1E439F35"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1B98A643"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Unstable angina and other acute ischemic heart disease (CC 87)</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4A2F28D0" w14:textId="51E3CD78"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0.86</w:t>
            </w:r>
            <w:r w:rsidR="00624D06">
              <w:rPr>
                <w:rFonts w:eastAsia="Times New Roman" w:cstheme="minorHAnsi"/>
                <w:color w:val="C00000"/>
                <w:lang w:eastAsia="zh-CN"/>
              </w:rPr>
              <w:br/>
            </w:r>
            <w:r w:rsidRPr="0048088A">
              <w:rPr>
                <w:rFonts w:eastAsia="Times New Roman" w:cstheme="minorHAnsi"/>
                <w:color w:val="C00000"/>
                <w:lang w:eastAsia="zh-CN"/>
              </w:rPr>
              <w:t>(0.81-0.91)</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0E3D908D" w14:textId="345BF06D"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0.90</w:t>
            </w:r>
            <w:r w:rsidR="00624D06">
              <w:rPr>
                <w:rFonts w:eastAsia="Times New Roman" w:cstheme="minorHAnsi"/>
                <w:color w:val="C00000"/>
                <w:lang w:eastAsia="zh-CN"/>
              </w:rPr>
              <w:br/>
            </w:r>
            <w:r w:rsidRPr="0048088A">
              <w:rPr>
                <w:rFonts w:eastAsia="Times New Roman" w:cstheme="minorHAnsi"/>
                <w:color w:val="C00000"/>
                <w:lang w:eastAsia="zh-CN"/>
              </w:rPr>
              <w:t>(0.85-0.96)</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6ADF34A8" w14:textId="08B3206C"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0.91</w:t>
            </w:r>
            <w:r w:rsidR="00624D06">
              <w:rPr>
                <w:rFonts w:eastAsia="Times New Roman" w:cstheme="minorHAnsi"/>
                <w:color w:val="C00000"/>
                <w:lang w:eastAsia="zh-CN"/>
              </w:rPr>
              <w:br/>
            </w:r>
            <w:r w:rsidRPr="0048088A">
              <w:rPr>
                <w:rFonts w:eastAsia="Times New Roman" w:cstheme="minorHAnsi"/>
                <w:color w:val="C00000"/>
                <w:lang w:eastAsia="zh-CN"/>
              </w:rPr>
              <w:t>(0.85-0.97)</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FF3FD28" w14:textId="1CF11873"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0.89</w:t>
            </w:r>
            <w:r w:rsidR="00624D06">
              <w:rPr>
                <w:rFonts w:eastAsia="Times New Roman" w:cstheme="minorHAnsi"/>
                <w:color w:val="C00000"/>
                <w:lang w:eastAsia="zh-CN"/>
              </w:rPr>
              <w:br/>
            </w:r>
            <w:r w:rsidRPr="0048088A">
              <w:rPr>
                <w:rFonts w:eastAsia="Times New Roman" w:cstheme="minorHAnsi"/>
                <w:color w:val="C00000"/>
                <w:lang w:eastAsia="zh-CN"/>
              </w:rPr>
              <w:t>(0.86-0.92)</w:t>
            </w:r>
          </w:p>
        </w:tc>
      </w:tr>
      <w:tr w:rsidR="000F3C09" w:rsidRPr="000F3C09" w14:paraId="1AF2D418"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233F6629"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Coronary atherosclerosis or angina (CC 88-89)</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523EE552" w14:textId="75D90D5B"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0.70</w:t>
            </w:r>
            <w:r w:rsidR="00624D06">
              <w:rPr>
                <w:rFonts w:eastAsia="Times New Roman" w:cstheme="minorHAnsi"/>
                <w:color w:val="C00000"/>
                <w:lang w:eastAsia="zh-CN"/>
              </w:rPr>
              <w:br/>
            </w:r>
            <w:r w:rsidRPr="0048088A">
              <w:rPr>
                <w:rFonts w:eastAsia="Times New Roman" w:cstheme="minorHAnsi"/>
                <w:color w:val="C00000"/>
                <w:lang w:eastAsia="zh-CN"/>
              </w:rPr>
              <w:t>(0.67-0.72)</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51F05DFE" w14:textId="5FB85692"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0.71</w:t>
            </w:r>
            <w:r w:rsidR="00624D06">
              <w:rPr>
                <w:rFonts w:eastAsia="Times New Roman" w:cstheme="minorHAnsi"/>
                <w:color w:val="C00000"/>
                <w:lang w:eastAsia="zh-CN"/>
              </w:rPr>
              <w:br/>
            </w:r>
            <w:r w:rsidRPr="0048088A">
              <w:rPr>
                <w:rFonts w:eastAsia="Times New Roman" w:cstheme="minorHAnsi"/>
                <w:color w:val="C00000"/>
                <w:lang w:eastAsia="zh-CN"/>
              </w:rPr>
              <w:t>(0.68-0.74)</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0D52C5FF" w14:textId="08C9B418"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0.74</w:t>
            </w:r>
            <w:r w:rsidR="00624D06">
              <w:rPr>
                <w:rFonts w:eastAsia="Times New Roman" w:cstheme="minorHAnsi"/>
                <w:color w:val="C00000"/>
                <w:lang w:eastAsia="zh-CN"/>
              </w:rPr>
              <w:br/>
            </w:r>
            <w:r w:rsidRPr="0048088A">
              <w:rPr>
                <w:rFonts w:eastAsia="Times New Roman" w:cstheme="minorHAnsi"/>
                <w:color w:val="C00000"/>
                <w:lang w:eastAsia="zh-CN"/>
              </w:rPr>
              <w:t>(0.71-0.77)</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B82909E" w14:textId="771A24E0"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0.71</w:t>
            </w:r>
            <w:r w:rsidR="00624D06">
              <w:rPr>
                <w:rFonts w:eastAsia="Times New Roman" w:cstheme="minorHAnsi"/>
                <w:color w:val="C00000"/>
                <w:lang w:eastAsia="zh-CN"/>
              </w:rPr>
              <w:br/>
            </w:r>
            <w:r w:rsidRPr="0048088A">
              <w:rPr>
                <w:rFonts w:eastAsia="Times New Roman" w:cstheme="minorHAnsi"/>
                <w:color w:val="C00000"/>
                <w:lang w:eastAsia="zh-CN"/>
              </w:rPr>
              <w:t>(0.70-0.73)</w:t>
            </w:r>
          </w:p>
        </w:tc>
      </w:tr>
      <w:tr w:rsidR="000F3C09" w:rsidRPr="000F3C09" w14:paraId="4B47D0F5"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70BF5643"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Valvular and rheumatic heart disease (CC 91)</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775D355C" w14:textId="11B384D2"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1.13</w:t>
            </w:r>
            <w:r w:rsidR="00624D06">
              <w:rPr>
                <w:rFonts w:eastAsia="Times New Roman" w:cstheme="minorHAnsi"/>
                <w:color w:val="C00000"/>
                <w:lang w:eastAsia="zh-CN"/>
              </w:rPr>
              <w:br/>
            </w:r>
            <w:r w:rsidRPr="0048088A">
              <w:rPr>
                <w:rFonts w:eastAsia="Times New Roman" w:cstheme="minorHAnsi"/>
                <w:color w:val="C00000"/>
                <w:lang w:eastAsia="zh-CN"/>
              </w:rPr>
              <w:t>(1.09-1.17)</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4DD4EF5A" w14:textId="764E6DB9"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1.11</w:t>
            </w:r>
            <w:r w:rsidR="00624D06">
              <w:rPr>
                <w:rFonts w:eastAsia="Times New Roman" w:cstheme="minorHAnsi"/>
                <w:color w:val="C00000"/>
                <w:lang w:eastAsia="zh-CN"/>
              </w:rPr>
              <w:br/>
            </w:r>
            <w:r w:rsidRPr="0048088A">
              <w:rPr>
                <w:rFonts w:eastAsia="Times New Roman" w:cstheme="minorHAnsi"/>
                <w:color w:val="C00000"/>
                <w:lang w:eastAsia="zh-CN"/>
              </w:rPr>
              <w:t>(1.08-1.15)</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7CEF1CF1" w14:textId="1D62663F"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1.14</w:t>
            </w:r>
            <w:r w:rsidR="00624D06">
              <w:rPr>
                <w:rFonts w:eastAsia="Times New Roman" w:cstheme="minorHAnsi"/>
                <w:color w:val="C00000"/>
                <w:lang w:eastAsia="zh-CN"/>
              </w:rPr>
              <w:br/>
            </w:r>
            <w:r w:rsidRPr="0048088A">
              <w:rPr>
                <w:rFonts w:eastAsia="Times New Roman" w:cstheme="minorHAnsi"/>
                <w:color w:val="C00000"/>
                <w:lang w:eastAsia="zh-CN"/>
              </w:rPr>
              <w:t>(1.10-1.18)</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C36542A" w14:textId="103B66DC"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1.13</w:t>
            </w:r>
            <w:r w:rsidR="00624D06">
              <w:rPr>
                <w:rFonts w:eastAsia="Times New Roman" w:cstheme="minorHAnsi"/>
                <w:color w:val="C00000"/>
                <w:lang w:eastAsia="zh-CN"/>
              </w:rPr>
              <w:br/>
            </w:r>
            <w:r w:rsidRPr="0048088A">
              <w:rPr>
                <w:rFonts w:eastAsia="Times New Roman" w:cstheme="minorHAnsi"/>
                <w:color w:val="C00000"/>
                <w:lang w:eastAsia="zh-CN"/>
              </w:rPr>
              <w:t>(1.11-1.15)</w:t>
            </w:r>
          </w:p>
        </w:tc>
      </w:tr>
      <w:tr w:rsidR="000F3C09" w:rsidRPr="000F3C09" w14:paraId="14B970C4"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1D283108"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Hypertension (CC 95)</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29EDB435" w14:textId="4DAEDD5D"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0.72</w:t>
            </w:r>
            <w:r w:rsidR="00624D06">
              <w:rPr>
                <w:rFonts w:eastAsia="Times New Roman" w:cstheme="minorHAnsi"/>
                <w:color w:val="C00000"/>
                <w:lang w:eastAsia="zh-CN"/>
              </w:rPr>
              <w:br/>
            </w:r>
            <w:r w:rsidRPr="0048088A">
              <w:rPr>
                <w:rFonts w:eastAsia="Times New Roman" w:cstheme="minorHAnsi"/>
                <w:color w:val="C00000"/>
                <w:lang w:eastAsia="zh-CN"/>
              </w:rPr>
              <w:t>(0.70-0.75)</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1F2726DA" w14:textId="494CFF0E"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0.72</w:t>
            </w:r>
            <w:r w:rsidR="00624D06">
              <w:rPr>
                <w:rFonts w:eastAsia="Times New Roman" w:cstheme="minorHAnsi"/>
                <w:color w:val="C00000"/>
                <w:lang w:eastAsia="zh-CN"/>
              </w:rPr>
              <w:br/>
            </w:r>
            <w:r w:rsidRPr="0048088A">
              <w:rPr>
                <w:rFonts w:eastAsia="Times New Roman" w:cstheme="minorHAnsi"/>
                <w:color w:val="C00000"/>
                <w:lang w:eastAsia="zh-CN"/>
              </w:rPr>
              <w:t>(0.69-0.75)</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3C0A4B9E" w14:textId="604DD7C6"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0.74</w:t>
            </w:r>
            <w:r w:rsidR="00624D06">
              <w:rPr>
                <w:rFonts w:eastAsia="Times New Roman" w:cstheme="minorHAnsi"/>
                <w:color w:val="C00000"/>
                <w:lang w:eastAsia="zh-CN"/>
              </w:rPr>
              <w:br/>
            </w:r>
            <w:r w:rsidRPr="0048088A">
              <w:rPr>
                <w:rFonts w:eastAsia="Times New Roman" w:cstheme="minorHAnsi"/>
                <w:color w:val="C00000"/>
                <w:lang w:eastAsia="zh-CN"/>
              </w:rPr>
              <w:t>(0.71-0.77)</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203BEBE" w14:textId="786788CC"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0.73</w:t>
            </w:r>
            <w:r w:rsidR="00624D06">
              <w:rPr>
                <w:rFonts w:eastAsia="Times New Roman" w:cstheme="minorHAnsi"/>
                <w:color w:val="C00000"/>
                <w:lang w:eastAsia="zh-CN"/>
              </w:rPr>
              <w:br/>
            </w:r>
            <w:r w:rsidRPr="0048088A">
              <w:rPr>
                <w:rFonts w:eastAsia="Times New Roman" w:cstheme="minorHAnsi"/>
                <w:color w:val="C00000"/>
                <w:lang w:eastAsia="zh-CN"/>
              </w:rPr>
              <w:t>(0.71-0.74)</w:t>
            </w:r>
          </w:p>
        </w:tc>
      </w:tr>
      <w:tr w:rsidR="000F3C09" w:rsidRPr="000F3C09" w14:paraId="6EDFA6CD"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2927DEDB"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Stroke (CC 99-100)</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799D2E41" w14:textId="6AD956E3"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0.94</w:t>
            </w:r>
            <w:r w:rsidR="00624D06">
              <w:rPr>
                <w:rFonts w:eastAsia="Times New Roman" w:cstheme="minorHAnsi"/>
                <w:color w:val="C00000"/>
                <w:lang w:eastAsia="zh-CN"/>
              </w:rPr>
              <w:br/>
            </w:r>
            <w:r w:rsidRPr="0048088A">
              <w:rPr>
                <w:rFonts w:eastAsia="Times New Roman" w:cstheme="minorHAnsi"/>
                <w:color w:val="C00000"/>
                <w:lang w:eastAsia="zh-CN"/>
              </w:rPr>
              <w:t>(0.89-1.00)</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1E046462" w14:textId="7504792F"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0.93</w:t>
            </w:r>
            <w:r w:rsidR="00624D06">
              <w:rPr>
                <w:rFonts w:eastAsia="Times New Roman" w:cstheme="minorHAnsi"/>
                <w:color w:val="C00000"/>
                <w:lang w:eastAsia="zh-CN"/>
              </w:rPr>
              <w:br/>
            </w:r>
            <w:r w:rsidRPr="0048088A">
              <w:rPr>
                <w:rFonts w:eastAsia="Times New Roman" w:cstheme="minorHAnsi"/>
                <w:color w:val="C00000"/>
                <w:lang w:eastAsia="zh-CN"/>
              </w:rPr>
              <w:t>(0.87-0.99)</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298BC551" w14:textId="5E1629EB"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1.01</w:t>
            </w:r>
            <w:r w:rsidR="00624D06">
              <w:rPr>
                <w:rFonts w:eastAsia="Times New Roman" w:cstheme="minorHAnsi"/>
                <w:color w:val="C00000"/>
                <w:lang w:eastAsia="zh-CN"/>
              </w:rPr>
              <w:br/>
            </w:r>
            <w:r w:rsidRPr="0048088A">
              <w:rPr>
                <w:rFonts w:eastAsia="Times New Roman" w:cstheme="minorHAnsi"/>
                <w:color w:val="C00000"/>
                <w:lang w:eastAsia="zh-CN"/>
              </w:rPr>
              <w:t>(0.95-1.08)</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721D735D" w14:textId="71FB58EE"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0.96</w:t>
            </w:r>
            <w:r w:rsidR="00624D06">
              <w:rPr>
                <w:rFonts w:eastAsia="Times New Roman" w:cstheme="minorHAnsi"/>
                <w:color w:val="C00000"/>
                <w:lang w:eastAsia="zh-CN"/>
              </w:rPr>
              <w:br/>
            </w:r>
            <w:r w:rsidRPr="0048088A">
              <w:rPr>
                <w:rFonts w:eastAsia="Times New Roman" w:cstheme="minorHAnsi"/>
                <w:color w:val="C00000"/>
                <w:lang w:eastAsia="zh-CN"/>
              </w:rPr>
              <w:t>(0.92-0.99)</w:t>
            </w:r>
          </w:p>
        </w:tc>
      </w:tr>
      <w:tr w:rsidR="000F3C09" w:rsidRPr="000F3C09" w14:paraId="43DC43A6"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150EF598"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Cerebrovascular disease (CC 101-102, 105)</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79F08A14" w14:textId="6BBF0129"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1.01</w:t>
            </w:r>
            <w:r w:rsidR="00624D06">
              <w:rPr>
                <w:rFonts w:eastAsia="Times New Roman" w:cstheme="minorHAnsi"/>
                <w:color w:val="C00000"/>
                <w:lang w:eastAsia="zh-CN"/>
              </w:rPr>
              <w:br/>
            </w:r>
            <w:r w:rsidRPr="0048088A">
              <w:rPr>
                <w:rFonts w:eastAsia="Times New Roman" w:cstheme="minorHAnsi"/>
                <w:color w:val="C00000"/>
                <w:lang w:eastAsia="zh-CN"/>
              </w:rPr>
              <w:t>(0.97-1.05)</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1BEE1482" w14:textId="21048FC4"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1.04</w:t>
            </w:r>
            <w:r w:rsidR="00624D06">
              <w:rPr>
                <w:rFonts w:eastAsia="Times New Roman" w:cstheme="minorHAnsi"/>
                <w:color w:val="C00000"/>
                <w:lang w:eastAsia="zh-CN"/>
              </w:rPr>
              <w:br/>
            </w:r>
            <w:r w:rsidRPr="0048088A">
              <w:rPr>
                <w:rFonts w:eastAsia="Times New Roman" w:cstheme="minorHAnsi"/>
                <w:color w:val="C00000"/>
                <w:lang w:eastAsia="zh-CN"/>
              </w:rPr>
              <w:t>(1.00-1.09)</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179580CB" w14:textId="3311D815"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1.05</w:t>
            </w:r>
            <w:r w:rsidR="00624D06">
              <w:rPr>
                <w:rFonts w:eastAsia="Times New Roman" w:cstheme="minorHAnsi"/>
                <w:color w:val="C00000"/>
                <w:lang w:eastAsia="zh-CN"/>
              </w:rPr>
              <w:br/>
            </w:r>
            <w:r w:rsidRPr="0048088A">
              <w:rPr>
                <w:rFonts w:eastAsia="Times New Roman" w:cstheme="minorHAnsi"/>
                <w:color w:val="C00000"/>
                <w:lang w:eastAsia="zh-CN"/>
              </w:rPr>
              <w:t>(1.00-1.09)</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5D7A9CBF" w14:textId="3C31F48D"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1.03</w:t>
            </w:r>
            <w:r w:rsidR="00624D06">
              <w:rPr>
                <w:rFonts w:eastAsia="Times New Roman" w:cstheme="minorHAnsi"/>
                <w:color w:val="C00000"/>
                <w:lang w:eastAsia="zh-CN"/>
              </w:rPr>
              <w:br/>
            </w:r>
            <w:r w:rsidRPr="0048088A">
              <w:rPr>
                <w:rFonts w:eastAsia="Times New Roman" w:cstheme="minorHAnsi"/>
                <w:color w:val="C00000"/>
                <w:lang w:eastAsia="zh-CN"/>
              </w:rPr>
              <w:t>(1.01-1.06)</w:t>
            </w:r>
          </w:p>
        </w:tc>
      </w:tr>
      <w:tr w:rsidR="000F3C09" w:rsidRPr="000F3C09" w14:paraId="5E2F43B6"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741BFF3C"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Vascular disease and complications (CC 106-108)</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711B8905" w14:textId="33228DAF"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1.11</w:t>
            </w:r>
            <w:r w:rsidR="00624D06">
              <w:rPr>
                <w:rFonts w:eastAsia="Times New Roman" w:cstheme="minorHAnsi"/>
                <w:color w:val="C00000"/>
                <w:lang w:eastAsia="zh-CN"/>
              </w:rPr>
              <w:br/>
            </w:r>
            <w:r w:rsidRPr="0048088A">
              <w:rPr>
                <w:rFonts w:eastAsia="Times New Roman" w:cstheme="minorHAnsi"/>
                <w:color w:val="C00000"/>
                <w:lang w:eastAsia="zh-CN"/>
              </w:rPr>
              <w:t>(1.07-1.15)</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48647822" w14:textId="1CA2DAFD"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1.15</w:t>
            </w:r>
            <w:r w:rsidR="00624D06">
              <w:rPr>
                <w:rFonts w:eastAsia="Times New Roman" w:cstheme="minorHAnsi"/>
                <w:color w:val="C00000"/>
                <w:lang w:eastAsia="zh-CN"/>
              </w:rPr>
              <w:br/>
            </w:r>
            <w:r w:rsidRPr="0048088A">
              <w:rPr>
                <w:rFonts w:eastAsia="Times New Roman" w:cstheme="minorHAnsi"/>
                <w:color w:val="C00000"/>
                <w:lang w:eastAsia="zh-CN"/>
              </w:rPr>
              <w:t>(1.10-1.19)</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516178CE" w14:textId="5FBDD68E"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1.08</w:t>
            </w:r>
            <w:r w:rsidR="00624D06">
              <w:rPr>
                <w:rFonts w:eastAsia="Times New Roman" w:cstheme="minorHAnsi"/>
                <w:color w:val="C00000"/>
                <w:lang w:eastAsia="zh-CN"/>
              </w:rPr>
              <w:br/>
            </w:r>
            <w:r w:rsidRPr="0048088A">
              <w:rPr>
                <w:rFonts w:eastAsia="Times New Roman" w:cstheme="minorHAnsi"/>
                <w:color w:val="C00000"/>
                <w:lang w:eastAsia="zh-CN"/>
              </w:rPr>
              <w:t>(1.04-1.13)</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2364697A" w14:textId="048E091C"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1.12</w:t>
            </w:r>
            <w:r w:rsidR="00624D06">
              <w:rPr>
                <w:rFonts w:eastAsia="Times New Roman" w:cstheme="minorHAnsi"/>
                <w:color w:val="C00000"/>
                <w:lang w:eastAsia="zh-CN"/>
              </w:rPr>
              <w:br/>
            </w:r>
            <w:r w:rsidRPr="0048088A">
              <w:rPr>
                <w:rFonts w:eastAsia="Times New Roman" w:cstheme="minorHAnsi"/>
                <w:color w:val="C00000"/>
                <w:lang w:eastAsia="zh-CN"/>
              </w:rPr>
              <w:t>(1.09-1.14)</w:t>
            </w:r>
          </w:p>
        </w:tc>
      </w:tr>
      <w:tr w:rsidR="000F3C09" w:rsidRPr="000F3C09" w14:paraId="4ED4C425"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56458784"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Chronic obstructive pulmonary disease (COPD) (CC 111)</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446CAA18" w14:textId="1990928E"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1.12</w:t>
            </w:r>
            <w:r w:rsidR="00624D06">
              <w:rPr>
                <w:rFonts w:eastAsia="Times New Roman" w:cstheme="minorHAnsi"/>
                <w:color w:val="C00000"/>
                <w:lang w:eastAsia="zh-CN"/>
              </w:rPr>
              <w:br/>
            </w:r>
            <w:r w:rsidRPr="0048088A">
              <w:rPr>
                <w:rFonts w:eastAsia="Times New Roman" w:cstheme="minorHAnsi"/>
                <w:color w:val="C00000"/>
                <w:lang w:eastAsia="zh-CN"/>
              </w:rPr>
              <w:t>(1.08-1.16)</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17C63E14" w14:textId="42993313"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1.17</w:t>
            </w:r>
            <w:r w:rsidR="00624D06">
              <w:rPr>
                <w:rFonts w:eastAsia="Times New Roman" w:cstheme="minorHAnsi"/>
                <w:color w:val="C00000"/>
                <w:lang w:eastAsia="zh-CN"/>
              </w:rPr>
              <w:br/>
            </w:r>
            <w:r w:rsidRPr="0048088A">
              <w:rPr>
                <w:rFonts w:eastAsia="Times New Roman" w:cstheme="minorHAnsi"/>
                <w:color w:val="C00000"/>
                <w:lang w:eastAsia="zh-CN"/>
              </w:rPr>
              <w:t>(1.12-1.21)</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2B483333" w14:textId="340E38A8"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1.13</w:t>
            </w:r>
            <w:r w:rsidR="00624D06">
              <w:rPr>
                <w:rFonts w:eastAsia="Times New Roman" w:cstheme="minorHAnsi"/>
                <w:color w:val="C00000"/>
                <w:lang w:eastAsia="zh-CN"/>
              </w:rPr>
              <w:br/>
            </w:r>
            <w:r w:rsidRPr="0048088A">
              <w:rPr>
                <w:rFonts w:eastAsia="Times New Roman" w:cstheme="minorHAnsi"/>
                <w:color w:val="C00000"/>
                <w:lang w:eastAsia="zh-CN"/>
              </w:rPr>
              <w:t>(1.09-1.18)</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0BE0EC45" w14:textId="41C9552D"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1.13</w:t>
            </w:r>
            <w:r w:rsidR="00624D06">
              <w:rPr>
                <w:rFonts w:eastAsia="Times New Roman" w:cstheme="minorHAnsi"/>
                <w:color w:val="C00000"/>
                <w:lang w:eastAsia="zh-CN"/>
              </w:rPr>
              <w:br/>
            </w:r>
            <w:r w:rsidRPr="0048088A">
              <w:rPr>
                <w:rFonts w:eastAsia="Times New Roman" w:cstheme="minorHAnsi"/>
                <w:color w:val="C00000"/>
                <w:lang w:eastAsia="zh-CN"/>
              </w:rPr>
              <w:t>(1.11-1.16)</w:t>
            </w:r>
          </w:p>
        </w:tc>
      </w:tr>
      <w:tr w:rsidR="000F3C09" w:rsidRPr="000F3C09" w14:paraId="478A56E1"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5375984E"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Pneumonia (CC 114-116)</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6160D282" w14:textId="119980F7"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1.47</w:t>
            </w:r>
            <w:r w:rsidR="00624D06">
              <w:rPr>
                <w:rFonts w:eastAsia="Times New Roman" w:cstheme="minorHAnsi"/>
                <w:color w:val="C00000"/>
                <w:lang w:eastAsia="zh-CN"/>
              </w:rPr>
              <w:br/>
            </w:r>
            <w:r w:rsidRPr="0048088A">
              <w:rPr>
                <w:rFonts w:eastAsia="Times New Roman" w:cstheme="minorHAnsi"/>
                <w:color w:val="C00000"/>
                <w:lang w:eastAsia="zh-CN"/>
              </w:rPr>
              <w:t>(1.42-1.53)</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5A78ADD3" w14:textId="00F22DD6"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1.48</w:t>
            </w:r>
            <w:r w:rsidR="00624D06">
              <w:rPr>
                <w:rFonts w:eastAsia="Times New Roman" w:cstheme="minorHAnsi"/>
                <w:color w:val="C00000"/>
                <w:lang w:eastAsia="zh-CN"/>
              </w:rPr>
              <w:br/>
            </w:r>
            <w:r w:rsidRPr="0048088A">
              <w:rPr>
                <w:rFonts w:eastAsia="Times New Roman" w:cstheme="minorHAnsi"/>
                <w:color w:val="C00000"/>
                <w:lang w:eastAsia="zh-CN"/>
              </w:rPr>
              <w:t>(1.42-1.54)</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62B1675E" w14:textId="3D1D2EB2"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1.44</w:t>
            </w:r>
            <w:r w:rsidR="00624D06">
              <w:rPr>
                <w:rFonts w:eastAsia="Times New Roman" w:cstheme="minorHAnsi"/>
                <w:color w:val="C00000"/>
                <w:lang w:eastAsia="zh-CN"/>
              </w:rPr>
              <w:br/>
            </w:r>
            <w:r w:rsidRPr="0048088A">
              <w:rPr>
                <w:rFonts w:eastAsia="Times New Roman" w:cstheme="minorHAnsi"/>
                <w:color w:val="C00000"/>
                <w:lang w:eastAsia="zh-CN"/>
              </w:rPr>
              <w:t>(1.38-1.50)</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4AD77AAF" w14:textId="3086A3CB"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1.46</w:t>
            </w:r>
            <w:r w:rsidR="00624D06">
              <w:rPr>
                <w:rFonts w:eastAsia="Times New Roman" w:cstheme="minorHAnsi"/>
                <w:color w:val="C00000"/>
                <w:lang w:eastAsia="zh-CN"/>
              </w:rPr>
              <w:br/>
            </w:r>
            <w:r w:rsidRPr="0048088A">
              <w:rPr>
                <w:rFonts w:eastAsia="Times New Roman" w:cstheme="minorHAnsi"/>
                <w:color w:val="C00000"/>
                <w:lang w:eastAsia="zh-CN"/>
              </w:rPr>
              <w:t>(1.43-1.49)</w:t>
            </w:r>
          </w:p>
        </w:tc>
      </w:tr>
      <w:tr w:rsidR="000F3C09" w:rsidRPr="000F3C09" w14:paraId="7D1571A1" w14:textId="77777777" w:rsidTr="000F3C09">
        <w:trPr>
          <w:cantSplit/>
          <w:jc w:val="center"/>
        </w:trPr>
        <w:tc>
          <w:tcPr>
            <w:tcW w:w="3592" w:type="dxa"/>
            <w:tcBorders>
              <w:top w:val="nil"/>
              <w:left w:val="single" w:sz="6" w:space="0" w:color="000000"/>
              <w:bottom w:val="single" w:sz="2" w:space="0" w:color="000000"/>
              <w:right w:val="nil"/>
            </w:tcBorders>
            <w:shd w:val="clear" w:color="auto" w:fill="FFFFFF"/>
            <w:tcMar>
              <w:left w:w="60" w:type="dxa"/>
              <w:right w:w="60" w:type="dxa"/>
            </w:tcMar>
          </w:tcPr>
          <w:p w14:paraId="2133BE45" w14:textId="77777777" w:rsidR="000F3C09" w:rsidRPr="000F3C09" w:rsidRDefault="000F3C09" w:rsidP="000F3C09">
            <w:pPr>
              <w:keepNext/>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Renal failure (CC 135-140)</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5917304F" w14:textId="499C93FB" w:rsidR="000F3C09" w:rsidRPr="000F3C09" w:rsidRDefault="000F3C09" w:rsidP="00624D06">
            <w:pPr>
              <w:keepNext/>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1.39</w:t>
            </w:r>
            <w:r w:rsidR="00624D06">
              <w:rPr>
                <w:rFonts w:eastAsia="Times New Roman" w:cstheme="minorHAnsi"/>
                <w:color w:val="C00000"/>
                <w:lang w:eastAsia="zh-CN"/>
              </w:rPr>
              <w:br/>
            </w:r>
            <w:r w:rsidRPr="0048088A">
              <w:rPr>
                <w:rFonts w:eastAsia="Times New Roman" w:cstheme="minorHAnsi"/>
                <w:color w:val="C00000"/>
                <w:lang w:eastAsia="zh-CN"/>
              </w:rPr>
              <w:t>(1.35-1.44)</w:t>
            </w:r>
          </w:p>
        </w:tc>
        <w:tc>
          <w:tcPr>
            <w:tcW w:w="1530" w:type="dxa"/>
            <w:tcBorders>
              <w:top w:val="nil"/>
              <w:left w:val="single" w:sz="2" w:space="0" w:color="000000"/>
              <w:bottom w:val="single" w:sz="2" w:space="0" w:color="000000"/>
              <w:right w:val="nil"/>
            </w:tcBorders>
            <w:shd w:val="clear" w:color="auto" w:fill="FFFFFF"/>
            <w:tcMar>
              <w:left w:w="60" w:type="dxa"/>
              <w:right w:w="60" w:type="dxa"/>
            </w:tcMar>
          </w:tcPr>
          <w:p w14:paraId="69A53F55" w14:textId="2CC76C85" w:rsidR="000F3C09" w:rsidRPr="000F3C09" w:rsidRDefault="000F3C09" w:rsidP="00624D06">
            <w:pPr>
              <w:keepNext/>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1.43</w:t>
            </w:r>
            <w:r w:rsidR="00624D06">
              <w:rPr>
                <w:rFonts w:eastAsia="Times New Roman" w:cstheme="minorHAnsi"/>
                <w:color w:val="C00000"/>
                <w:lang w:eastAsia="zh-CN"/>
              </w:rPr>
              <w:br/>
            </w:r>
            <w:r w:rsidRPr="0048088A">
              <w:rPr>
                <w:rFonts w:eastAsia="Times New Roman" w:cstheme="minorHAnsi"/>
                <w:color w:val="C00000"/>
                <w:lang w:eastAsia="zh-CN"/>
              </w:rPr>
              <w:t>(1.38-1.48)</w:t>
            </w:r>
          </w:p>
        </w:tc>
        <w:tc>
          <w:tcPr>
            <w:tcW w:w="1440" w:type="dxa"/>
            <w:tcBorders>
              <w:top w:val="nil"/>
              <w:left w:val="single" w:sz="2" w:space="0" w:color="000000"/>
              <w:bottom w:val="single" w:sz="2" w:space="0" w:color="000000"/>
              <w:right w:val="nil"/>
            </w:tcBorders>
            <w:shd w:val="clear" w:color="auto" w:fill="FFFFFF"/>
            <w:tcMar>
              <w:left w:w="60" w:type="dxa"/>
              <w:right w:w="60" w:type="dxa"/>
            </w:tcMar>
          </w:tcPr>
          <w:p w14:paraId="037B8AA8" w14:textId="052B7FC5" w:rsidR="000F3C09" w:rsidRPr="000F3C09" w:rsidRDefault="000F3C09" w:rsidP="00624D06">
            <w:pPr>
              <w:keepNext/>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1.45</w:t>
            </w:r>
            <w:r w:rsidR="00624D06">
              <w:rPr>
                <w:rFonts w:eastAsia="Times New Roman" w:cstheme="minorHAnsi"/>
                <w:color w:val="C00000"/>
                <w:lang w:eastAsia="zh-CN"/>
              </w:rPr>
              <w:br/>
            </w:r>
            <w:r w:rsidRPr="0048088A">
              <w:rPr>
                <w:rFonts w:eastAsia="Times New Roman" w:cstheme="minorHAnsi"/>
                <w:color w:val="C00000"/>
                <w:lang w:eastAsia="zh-CN"/>
              </w:rPr>
              <w:t>(1.39-1.50)</w:t>
            </w:r>
          </w:p>
        </w:tc>
        <w:tc>
          <w:tcPr>
            <w:tcW w:w="1530" w:type="dxa"/>
            <w:tcBorders>
              <w:top w:val="nil"/>
              <w:left w:val="single" w:sz="2" w:space="0" w:color="000000"/>
              <w:bottom w:val="single" w:sz="2" w:space="0" w:color="000000"/>
              <w:right w:val="single" w:sz="6" w:space="0" w:color="000000"/>
            </w:tcBorders>
            <w:shd w:val="clear" w:color="auto" w:fill="FFFFFF"/>
            <w:tcMar>
              <w:left w:w="60" w:type="dxa"/>
              <w:right w:w="60" w:type="dxa"/>
            </w:tcMar>
          </w:tcPr>
          <w:p w14:paraId="3582FC4A" w14:textId="01AAE93D" w:rsidR="000F3C09" w:rsidRPr="0048088A" w:rsidRDefault="000F3C09" w:rsidP="00624D06">
            <w:pPr>
              <w:keepNext/>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1.42</w:t>
            </w:r>
            <w:r w:rsidR="00624D06">
              <w:rPr>
                <w:rFonts w:eastAsia="Times New Roman" w:cstheme="minorHAnsi"/>
                <w:color w:val="C00000"/>
                <w:lang w:eastAsia="zh-CN"/>
              </w:rPr>
              <w:br/>
            </w:r>
            <w:r w:rsidRPr="0048088A">
              <w:rPr>
                <w:rFonts w:eastAsia="Times New Roman" w:cstheme="minorHAnsi"/>
                <w:color w:val="C00000"/>
                <w:lang w:eastAsia="zh-CN"/>
              </w:rPr>
              <w:t>(1.39-1.45)</w:t>
            </w:r>
          </w:p>
        </w:tc>
      </w:tr>
      <w:tr w:rsidR="000F3C09" w:rsidRPr="000F3C09" w14:paraId="75A21E30" w14:textId="77777777" w:rsidTr="000F3C09">
        <w:trPr>
          <w:cantSplit/>
          <w:jc w:val="center"/>
        </w:trPr>
        <w:tc>
          <w:tcPr>
            <w:tcW w:w="3592" w:type="dxa"/>
            <w:tcBorders>
              <w:top w:val="nil"/>
              <w:left w:val="single" w:sz="6" w:space="0" w:color="000000"/>
              <w:bottom w:val="single" w:sz="6" w:space="0" w:color="000000"/>
              <w:right w:val="nil"/>
            </w:tcBorders>
            <w:shd w:val="clear" w:color="auto" w:fill="FFFFFF"/>
            <w:tcMar>
              <w:left w:w="60" w:type="dxa"/>
              <w:right w:w="60" w:type="dxa"/>
            </w:tcMar>
          </w:tcPr>
          <w:p w14:paraId="3AB52A05" w14:textId="77777777" w:rsidR="000F3C09" w:rsidRPr="000F3C09" w:rsidRDefault="000F3C09" w:rsidP="000F3C09">
            <w:pPr>
              <w:autoSpaceDE w:val="0"/>
              <w:autoSpaceDN w:val="0"/>
              <w:adjustRightInd w:val="0"/>
              <w:spacing w:before="60" w:after="60" w:line="240" w:lineRule="auto"/>
              <w:rPr>
                <w:rFonts w:eastAsia="Times New Roman" w:cstheme="minorHAnsi"/>
                <w:color w:val="FF0000"/>
                <w:lang w:eastAsia="zh-CN"/>
              </w:rPr>
            </w:pPr>
            <w:r w:rsidRPr="0048088A">
              <w:rPr>
                <w:rFonts w:eastAsia="Times New Roman" w:cstheme="minorHAnsi"/>
                <w:color w:val="C00000"/>
                <w:lang w:eastAsia="zh-CN"/>
              </w:rPr>
              <w:t>Trauma; other injuries (CC 166-168, 170-174)</w:t>
            </w:r>
          </w:p>
        </w:tc>
        <w:tc>
          <w:tcPr>
            <w:tcW w:w="1440" w:type="dxa"/>
            <w:tcBorders>
              <w:top w:val="nil"/>
              <w:left w:val="single" w:sz="2" w:space="0" w:color="000000"/>
              <w:bottom w:val="single" w:sz="6" w:space="0" w:color="000000"/>
              <w:right w:val="nil"/>
            </w:tcBorders>
            <w:shd w:val="clear" w:color="auto" w:fill="FFFFFF"/>
            <w:tcMar>
              <w:left w:w="60" w:type="dxa"/>
              <w:right w:w="60" w:type="dxa"/>
            </w:tcMar>
          </w:tcPr>
          <w:p w14:paraId="5319D775" w14:textId="0C0D57A6"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1.03</w:t>
            </w:r>
            <w:r w:rsidR="00624D06">
              <w:rPr>
                <w:rFonts w:eastAsia="Times New Roman" w:cstheme="minorHAnsi"/>
                <w:color w:val="C00000"/>
                <w:lang w:eastAsia="zh-CN"/>
              </w:rPr>
              <w:br/>
            </w:r>
            <w:r w:rsidRPr="0048088A">
              <w:rPr>
                <w:rFonts w:eastAsia="Times New Roman" w:cstheme="minorHAnsi"/>
                <w:color w:val="C00000"/>
                <w:lang w:eastAsia="zh-CN"/>
              </w:rPr>
              <w:t>(0.99-1.06)</w:t>
            </w:r>
          </w:p>
        </w:tc>
        <w:tc>
          <w:tcPr>
            <w:tcW w:w="1530" w:type="dxa"/>
            <w:tcBorders>
              <w:top w:val="nil"/>
              <w:left w:val="single" w:sz="2" w:space="0" w:color="000000"/>
              <w:bottom w:val="single" w:sz="6" w:space="0" w:color="000000"/>
              <w:right w:val="nil"/>
            </w:tcBorders>
            <w:shd w:val="clear" w:color="auto" w:fill="FFFFFF"/>
            <w:tcMar>
              <w:left w:w="60" w:type="dxa"/>
              <w:right w:w="60" w:type="dxa"/>
            </w:tcMar>
          </w:tcPr>
          <w:p w14:paraId="216B94F3" w14:textId="43604B73"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1.05</w:t>
            </w:r>
            <w:r w:rsidR="00624D06">
              <w:rPr>
                <w:rFonts w:eastAsia="Times New Roman" w:cstheme="minorHAnsi"/>
                <w:color w:val="C00000"/>
                <w:lang w:eastAsia="zh-CN"/>
              </w:rPr>
              <w:br/>
            </w:r>
            <w:r w:rsidRPr="0048088A">
              <w:rPr>
                <w:rFonts w:eastAsia="Times New Roman" w:cstheme="minorHAnsi"/>
                <w:color w:val="C00000"/>
                <w:lang w:eastAsia="zh-CN"/>
              </w:rPr>
              <w:t>(1.01-1.08)</w:t>
            </w:r>
          </w:p>
        </w:tc>
        <w:tc>
          <w:tcPr>
            <w:tcW w:w="1440" w:type="dxa"/>
            <w:tcBorders>
              <w:top w:val="nil"/>
              <w:left w:val="single" w:sz="2" w:space="0" w:color="000000"/>
              <w:bottom w:val="single" w:sz="6" w:space="0" w:color="000000"/>
              <w:right w:val="nil"/>
            </w:tcBorders>
            <w:shd w:val="clear" w:color="auto" w:fill="FFFFFF"/>
            <w:tcMar>
              <w:left w:w="60" w:type="dxa"/>
              <w:right w:w="60" w:type="dxa"/>
            </w:tcMar>
          </w:tcPr>
          <w:p w14:paraId="373DE1E7" w14:textId="60777411" w:rsidR="000F3C09" w:rsidRPr="000F3C09" w:rsidRDefault="000F3C09" w:rsidP="00624D06">
            <w:pPr>
              <w:autoSpaceDE w:val="0"/>
              <w:autoSpaceDN w:val="0"/>
              <w:adjustRightInd w:val="0"/>
              <w:spacing w:before="60" w:after="60" w:line="240" w:lineRule="auto"/>
              <w:jc w:val="center"/>
              <w:rPr>
                <w:rFonts w:eastAsia="Times New Roman" w:cstheme="minorHAnsi"/>
                <w:color w:val="FF0000"/>
                <w:lang w:eastAsia="zh-CN"/>
              </w:rPr>
            </w:pPr>
            <w:r w:rsidRPr="0048088A">
              <w:rPr>
                <w:rFonts w:eastAsia="Times New Roman" w:cstheme="minorHAnsi"/>
                <w:color w:val="C00000"/>
                <w:lang w:eastAsia="zh-CN"/>
              </w:rPr>
              <w:t>1.06</w:t>
            </w:r>
            <w:r w:rsidR="00624D06">
              <w:rPr>
                <w:rFonts w:eastAsia="Times New Roman" w:cstheme="minorHAnsi"/>
                <w:color w:val="C00000"/>
                <w:lang w:eastAsia="zh-CN"/>
              </w:rPr>
              <w:br/>
            </w:r>
            <w:r w:rsidRPr="0048088A">
              <w:rPr>
                <w:rFonts w:eastAsia="Times New Roman" w:cstheme="minorHAnsi"/>
                <w:color w:val="C00000"/>
                <w:lang w:eastAsia="zh-CN"/>
              </w:rPr>
              <w:t>(1.02-1.10)</w:t>
            </w:r>
          </w:p>
        </w:tc>
        <w:tc>
          <w:tcPr>
            <w:tcW w:w="1530" w:type="dxa"/>
            <w:tcBorders>
              <w:top w:val="nil"/>
              <w:left w:val="single" w:sz="2" w:space="0" w:color="000000"/>
              <w:bottom w:val="single" w:sz="6" w:space="0" w:color="000000"/>
              <w:right w:val="single" w:sz="6" w:space="0" w:color="000000"/>
            </w:tcBorders>
            <w:shd w:val="clear" w:color="auto" w:fill="FFFFFF"/>
            <w:tcMar>
              <w:left w:w="60" w:type="dxa"/>
              <w:right w:w="60" w:type="dxa"/>
            </w:tcMar>
          </w:tcPr>
          <w:p w14:paraId="5C103A86" w14:textId="363FAA35" w:rsidR="000F3C09" w:rsidRPr="0048088A" w:rsidRDefault="000F3C09" w:rsidP="00624D06">
            <w:pPr>
              <w:autoSpaceDE w:val="0"/>
              <w:autoSpaceDN w:val="0"/>
              <w:adjustRightInd w:val="0"/>
              <w:spacing w:before="60" w:after="60" w:line="240" w:lineRule="auto"/>
              <w:jc w:val="center"/>
              <w:rPr>
                <w:rFonts w:eastAsia="Times New Roman" w:cstheme="minorHAnsi"/>
                <w:color w:val="C00000"/>
                <w:lang w:eastAsia="zh-CN"/>
              </w:rPr>
            </w:pPr>
            <w:r w:rsidRPr="0048088A">
              <w:rPr>
                <w:rFonts w:eastAsia="Times New Roman" w:cstheme="minorHAnsi"/>
                <w:color w:val="C00000"/>
                <w:lang w:eastAsia="zh-CN"/>
              </w:rPr>
              <w:t>1.04</w:t>
            </w:r>
            <w:r w:rsidR="00624D06">
              <w:rPr>
                <w:rFonts w:eastAsia="Times New Roman" w:cstheme="minorHAnsi"/>
                <w:color w:val="C00000"/>
                <w:lang w:eastAsia="zh-CN"/>
              </w:rPr>
              <w:br/>
            </w:r>
            <w:r w:rsidRPr="0048088A">
              <w:rPr>
                <w:rFonts w:eastAsia="Times New Roman" w:cstheme="minorHAnsi"/>
                <w:color w:val="C00000"/>
                <w:lang w:eastAsia="zh-CN"/>
              </w:rPr>
              <w:t>(1.02-1.06)</w:t>
            </w:r>
          </w:p>
        </w:tc>
      </w:tr>
    </w:tbl>
    <w:p w14:paraId="3F1974CC" w14:textId="0AD56D63" w:rsidR="007C1CAB" w:rsidRDefault="009C7513" w:rsidP="007C1CAB">
      <w:pPr>
        <w:autoSpaceDE w:val="0"/>
        <w:autoSpaceDN w:val="0"/>
        <w:adjustRightInd w:val="0"/>
        <w:spacing w:before="240"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w:t>
      </w:r>
      <w:r w:rsidR="0084071B">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00D8A20" w14:textId="2B0E4130" w:rsidR="00EE5930" w:rsidRDefault="00EE5930" w:rsidP="007C1CAB">
      <w:pPr>
        <w:autoSpaceDE w:val="0"/>
        <w:autoSpaceDN w:val="0"/>
        <w:adjustRightInd w:val="0"/>
        <w:spacing w:before="240" w:after="0" w:line="240" w:lineRule="auto"/>
        <w:rPr>
          <w:rFonts w:cstheme="minorHAnsi"/>
          <w:bCs/>
          <w:color w:val="C00000"/>
        </w:rPr>
      </w:pPr>
      <w:r w:rsidRPr="0048088A">
        <w:rPr>
          <w:rFonts w:cstheme="minorHAnsi"/>
          <w:bCs/>
          <w:color w:val="C00000"/>
        </w:rPr>
        <w:lastRenderedPageBreak/>
        <w:t>Throughout this section, we present new SRF testing results based on the current testing dataset (2020); in addition, we show prior analyses included in the 201</w:t>
      </w:r>
      <w:r w:rsidR="00C0013A">
        <w:rPr>
          <w:rFonts w:cstheme="minorHAnsi"/>
          <w:bCs/>
          <w:color w:val="C00000"/>
        </w:rPr>
        <w:t>5</w:t>
      </w:r>
      <w:r w:rsidRPr="0048088A">
        <w:rPr>
          <w:rFonts w:cstheme="minorHAnsi"/>
          <w:bCs/>
          <w:color w:val="C00000"/>
        </w:rPr>
        <w:t xml:space="preserve"> endorsement maintenance forms for comparison purposes.</w:t>
      </w:r>
    </w:p>
    <w:p w14:paraId="6C239BF6" w14:textId="009572CD" w:rsidR="007C1CAB" w:rsidRDefault="007C1CAB" w:rsidP="007C1CAB">
      <w:pPr>
        <w:autoSpaceDE w:val="0"/>
        <w:autoSpaceDN w:val="0"/>
        <w:adjustRightInd w:val="0"/>
        <w:spacing w:before="120" w:after="240" w:line="240" w:lineRule="auto"/>
        <w:rPr>
          <w:rFonts w:cstheme="minorHAnsi"/>
          <w:bCs/>
          <w:color w:val="7030A0"/>
          <w:u w:val="single"/>
        </w:rPr>
      </w:pPr>
      <w:r w:rsidRPr="0030205A">
        <w:rPr>
          <w:rFonts w:cstheme="minorHAnsi"/>
          <w:bCs/>
          <w:color w:val="7030A0"/>
          <w:u w:val="single"/>
        </w:rPr>
        <w:t xml:space="preserve">Variation in prevalence of the factor across measured entities in </w:t>
      </w:r>
      <w:r w:rsidRPr="009C2BF8">
        <w:rPr>
          <w:rFonts w:cstheme="minorHAnsi"/>
          <w:bCs/>
          <w:color w:val="C00000"/>
          <w:u w:val="single"/>
        </w:rPr>
        <w:t>2020</w:t>
      </w:r>
      <w:r>
        <w:rPr>
          <w:rFonts w:cstheme="minorHAnsi"/>
          <w:bCs/>
          <w:u w:val="single"/>
        </w:rPr>
        <w:t xml:space="preserve"> </w:t>
      </w:r>
      <w:r w:rsidRPr="0030205A">
        <w:rPr>
          <w:rFonts w:cstheme="minorHAnsi"/>
          <w:bCs/>
          <w:color w:val="7030A0"/>
          <w:u w:val="single"/>
        </w:rPr>
        <w:t>and 201</w:t>
      </w:r>
      <w:r>
        <w:rPr>
          <w:rFonts w:cstheme="minorHAnsi"/>
          <w:bCs/>
          <w:color w:val="7030A0"/>
          <w:u w:val="single"/>
        </w:rPr>
        <w:t>5</w:t>
      </w:r>
      <w:r w:rsidR="00C0013A">
        <w:rPr>
          <w:rFonts w:cstheme="minorHAnsi"/>
          <w:bCs/>
          <w:color w:val="7030A0"/>
          <w:u w:val="single"/>
        </w:rPr>
        <w:t xml:space="preserve"> </w:t>
      </w:r>
      <w:r w:rsidR="00196D80">
        <w:rPr>
          <w:rFonts w:cstheme="minorHAnsi"/>
          <w:bCs/>
          <w:color w:val="7030A0"/>
          <w:u w:val="single"/>
        </w:rPr>
        <w:t>(Table 5</w:t>
      </w:r>
      <w:r w:rsidRPr="0030205A">
        <w:rPr>
          <w:rFonts w:cstheme="minorHAnsi"/>
          <w:bCs/>
          <w:color w:val="7030A0"/>
          <w:u w:val="single"/>
        </w:rPr>
        <w:t>)</w:t>
      </w:r>
    </w:p>
    <w:tbl>
      <w:tblPr>
        <w:tblStyle w:val="TableGrid1"/>
        <w:tblpPr w:leftFromText="180" w:rightFromText="180" w:vertAnchor="text" w:horzAnchor="page" w:tblpX="2133" w:tblpY="215"/>
        <w:tblW w:w="7071" w:type="dxa"/>
        <w:tblLook w:val="04A0" w:firstRow="1" w:lastRow="0" w:firstColumn="1" w:lastColumn="0" w:noHBand="0" w:noVBand="1"/>
      </w:tblPr>
      <w:tblGrid>
        <w:gridCol w:w="2211"/>
        <w:gridCol w:w="2520"/>
        <w:gridCol w:w="2340"/>
      </w:tblGrid>
      <w:tr w:rsidR="008458B2" w:rsidRPr="00345225" w14:paraId="42635170" w14:textId="77777777" w:rsidTr="008458B2">
        <w:trPr>
          <w:trHeight w:val="565"/>
        </w:trPr>
        <w:tc>
          <w:tcPr>
            <w:tcW w:w="2211" w:type="dxa"/>
            <w:shd w:val="clear" w:color="auto" w:fill="D9D9D9" w:themeFill="background1" w:themeFillShade="D9"/>
          </w:tcPr>
          <w:p w14:paraId="372383CD" w14:textId="77777777" w:rsidR="008458B2" w:rsidRPr="00345225" w:rsidRDefault="008458B2" w:rsidP="008458B2">
            <w:pPr>
              <w:autoSpaceDE w:val="0"/>
              <w:autoSpaceDN w:val="0"/>
              <w:adjustRightInd w:val="0"/>
              <w:spacing w:before="120" w:after="120"/>
              <w:jc w:val="center"/>
              <w:rPr>
                <w:rFonts w:cstheme="minorHAnsi"/>
                <w:b/>
                <w:bCs/>
                <w:color w:val="7030A0"/>
              </w:rPr>
            </w:pPr>
            <w:r w:rsidRPr="00345225">
              <w:rPr>
                <w:rFonts w:cstheme="minorHAnsi"/>
                <w:b/>
                <w:bCs/>
                <w:color w:val="7030A0"/>
              </w:rPr>
              <w:t>SRFs</w:t>
            </w:r>
          </w:p>
        </w:tc>
        <w:tc>
          <w:tcPr>
            <w:tcW w:w="2520" w:type="dxa"/>
            <w:shd w:val="clear" w:color="auto" w:fill="D9D9D9" w:themeFill="background1" w:themeFillShade="D9"/>
          </w:tcPr>
          <w:p w14:paraId="68842A35" w14:textId="77777777" w:rsidR="008458B2" w:rsidRDefault="008458B2" w:rsidP="008458B2">
            <w:pPr>
              <w:autoSpaceDE w:val="0"/>
              <w:autoSpaceDN w:val="0"/>
              <w:adjustRightInd w:val="0"/>
              <w:spacing w:before="120" w:after="120"/>
              <w:jc w:val="center"/>
              <w:rPr>
                <w:rFonts w:cstheme="minorHAnsi"/>
                <w:b/>
                <w:bCs/>
                <w:color w:val="C00000"/>
              </w:rPr>
            </w:pPr>
            <w:r w:rsidRPr="00345225">
              <w:rPr>
                <w:rFonts w:cstheme="minorHAnsi"/>
                <w:b/>
                <w:bCs/>
                <w:color w:val="C00000"/>
              </w:rPr>
              <w:t>2020 Prevalence</w:t>
            </w:r>
          </w:p>
          <w:p w14:paraId="3154322F" w14:textId="77777777" w:rsidR="008458B2" w:rsidRPr="00345225" w:rsidRDefault="008458B2" w:rsidP="008458B2">
            <w:pPr>
              <w:autoSpaceDE w:val="0"/>
              <w:autoSpaceDN w:val="0"/>
              <w:adjustRightInd w:val="0"/>
              <w:spacing w:before="120" w:after="120"/>
              <w:jc w:val="center"/>
              <w:rPr>
                <w:rFonts w:cstheme="minorHAnsi"/>
                <w:b/>
                <w:bCs/>
                <w:color w:val="C00000"/>
              </w:rPr>
            </w:pPr>
            <w:r>
              <w:rPr>
                <w:rFonts w:cstheme="minorHAnsi"/>
                <w:b/>
                <w:bCs/>
                <w:color w:val="C00000"/>
              </w:rPr>
              <w:t>% (IQR)</w:t>
            </w:r>
          </w:p>
        </w:tc>
        <w:tc>
          <w:tcPr>
            <w:tcW w:w="2340" w:type="dxa"/>
            <w:shd w:val="clear" w:color="auto" w:fill="D9D9D9" w:themeFill="background1" w:themeFillShade="D9"/>
          </w:tcPr>
          <w:p w14:paraId="06160361" w14:textId="77777777" w:rsidR="008458B2" w:rsidRDefault="008458B2" w:rsidP="008458B2">
            <w:pPr>
              <w:autoSpaceDE w:val="0"/>
              <w:autoSpaceDN w:val="0"/>
              <w:adjustRightInd w:val="0"/>
              <w:spacing w:before="120" w:after="120"/>
              <w:jc w:val="center"/>
              <w:rPr>
                <w:rFonts w:cstheme="minorHAnsi"/>
                <w:b/>
                <w:bCs/>
                <w:color w:val="7030A0"/>
              </w:rPr>
            </w:pPr>
            <w:r w:rsidRPr="00345225">
              <w:rPr>
                <w:rFonts w:cstheme="minorHAnsi"/>
                <w:b/>
                <w:bCs/>
                <w:color w:val="7030A0"/>
              </w:rPr>
              <w:t>201</w:t>
            </w:r>
            <w:r>
              <w:rPr>
                <w:rFonts w:cstheme="minorHAnsi"/>
                <w:b/>
                <w:bCs/>
                <w:color w:val="7030A0"/>
              </w:rPr>
              <w:t>5</w:t>
            </w:r>
            <w:r w:rsidRPr="00345225">
              <w:rPr>
                <w:rFonts w:cstheme="minorHAnsi"/>
                <w:b/>
                <w:bCs/>
                <w:color w:val="7030A0"/>
              </w:rPr>
              <w:t xml:space="preserve"> Prevalence</w:t>
            </w:r>
          </w:p>
          <w:p w14:paraId="158C4C99" w14:textId="77777777" w:rsidR="008458B2" w:rsidRPr="00345225" w:rsidRDefault="008458B2" w:rsidP="008458B2">
            <w:pPr>
              <w:autoSpaceDE w:val="0"/>
              <w:autoSpaceDN w:val="0"/>
              <w:adjustRightInd w:val="0"/>
              <w:spacing w:before="120" w:after="120"/>
              <w:jc w:val="center"/>
              <w:rPr>
                <w:rFonts w:cstheme="minorHAnsi"/>
                <w:bCs/>
                <w:color w:val="7030A0"/>
              </w:rPr>
            </w:pPr>
            <w:r>
              <w:rPr>
                <w:rFonts w:cstheme="minorHAnsi"/>
                <w:b/>
                <w:bCs/>
                <w:color w:val="7030A0"/>
              </w:rPr>
              <w:t>% (IQR)</w:t>
            </w:r>
          </w:p>
        </w:tc>
      </w:tr>
      <w:tr w:rsidR="008458B2" w:rsidRPr="00345225" w14:paraId="5D31E52E" w14:textId="77777777" w:rsidTr="008458B2">
        <w:trPr>
          <w:trHeight w:val="320"/>
        </w:trPr>
        <w:tc>
          <w:tcPr>
            <w:tcW w:w="2211" w:type="dxa"/>
          </w:tcPr>
          <w:p w14:paraId="773816F1" w14:textId="77777777" w:rsidR="008458B2" w:rsidRPr="00345225" w:rsidRDefault="008458B2" w:rsidP="008458B2">
            <w:pPr>
              <w:autoSpaceDE w:val="0"/>
              <w:autoSpaceDN w:val="0"/>
              <w:adjustRightInd w:val="0"/>
              <w:spacing w:before="120" w:after="120"/>
              <w:rPr>
                <w:rFonts w:cstheme="minorHAnsi"/>
                <w:bCs/>
                <w:color w:val="7030A0"/>
              </w:rPr>
            </w:pPr>
            <w:r>
              <w:rPr>
                <w:rFonts w:cstheme="minorHAnsi"/>
                <w:bCs/>
                <w:color w:val="7030A0"/>
              </w:rPr>
              <w:t xml:space="preserve">Dual </w:t>
            </w:r>
          </w:p>
        </w:tc>
        <w:tc>
          <w:tcPr>
            <w:tcW w:w="2520" w:type="dxa"/>
          </w:tcPr>
          <w:p w14:paraId="3DD512E9" w14:textId="31B64474" w:rsidR="008458B2" w:rsidRPr="00345225" w:rsidRDefault="008458B2" w:rsidP="008458B2">
            <w:pPr>
              <w:autoSpaceDE w:val="0"/>
              <w:autoSpaceDN w:val="0"/>
              <w:adjustRightInd w:val="0"/>
              <w:spacing w:before="120" w:after="120"/>
              <w:jc w:val="center"/>
              <w:rPr>
                <w:rFonts w:cstheme="minorHAnsi"/>
                <w:bCs/>
                <w:color w:val="C00000"/>
              </w:rPr>
            </w:pPr>
            <w:bookmarkStart w:id="14" w:name="_Hlk42162114"/>
            <w:r w:rsidRPr="00345225">
              <w:rPr>
                <w:color w:val="C00000"/>
              </w:rPr>
              <w:t>1</w:t>
            </w:r>
            <w:r w:rsidR="00F309E5">
              <w:rPr>
                <w:color w:val="C00000"/>
              </w:rPr>
              <w:t>1.4</w:t>
            </w:r>
            <w:r w:rsidRPr="00345225">
              <w:rPr>
                <w:color w:val="C00000"/>
              </w:rPr>
              <w:t>% (</w:t>
            </w:r>
            <w:r>
              <w:rPr>
                <w:color w:val="C00000"/>
              </w:rPr>
              <w:t>4.8</w:t>
            </w:r>
            <w:r w:rsidRPr="00345225">
              <w:rPr>
                <w:color w:val="C00000"/>
              </w:rPr>
              <w:t>0-25.0%)</w:t>
            </w:r>
            <w:bookmarkEnd w:id="14"/>
          </w:p>
        </w:tc>
        <w:tc>
          <w:tcPr>
            <w:tcW w:w="2340" w:type="dxa"/>
          </w:tcPr>
          <w:p w14:paraId="32435C1F" w14:textId="77777777" w:rsidR="008458B2" w:rsidRPr="00345225" w:rsidRDefault="008458B2" w:rsidP="008458B2">
            <w:pPr>
              <w:autoSpaceDE w:val="0"/>
              <w:autoSpaceDN w:val="0"/>
              <w:adjustRightInd w:val="0"/>
              <w:spacing w:before="120" w:after="120"/>
              <w:jc w:val="center"/>
              <w:rPr>
                <w:rFonts w:cstheme="minorHAnsi"/>
                <w:bCs/>
                <w:color w:val="7030A0"/>
              </w:rPr>
            </w:pPr>
            <w:r>
              <w:rPr>
                <w:rFonts w:cstheme="minorHAnsi"/>
                <w:bCs/>
                <w:color w:val="7030A0"/>
              </w:rPr>
              <w:t>10.8% (6.9-16.8%)</w:t>
            </w:r>
          </w:p>
        </w:tc>
      </w:tr>
      <w:tr w:rsidR="008458B2" w:rsidRPr="00345225" w14:paraId="204A3EC7" w14:textId="77777777" w:rsidTr="008458B2">
        <w:trPr>
          <w:trHeight w:val="314"/>
        </w:trPr>
        <w:tc>
          <w:tcPr>
            <w:tcW w:w="2211" w:type="dxa"/>
          </w:tcPr>
          <w:p w14:paraId="5E320055" w14:textId="77777777" w:rsidR="008458B2" w:rsidRPr="00345225" w:rsidRDefault="008458B2" w:rsidP="008458B2">
            <w:pPr>
              <w:autoSpaceDE w:val="0"/>
              <w:autoSpaceDN w:val="0"/>
              <w:adjustRightInd w:val="0"/>
              <w:spacing w:before="120" w:after="120"/>
              <w:rPr>
                <w:rFonts w:cstheme="minorHAnsi"/>
                <w:bCs/>
                <w:color w:val="7030A0"/>
              </w:rPr>
            </w:pPr>
            <w:r>
              <w:rPr>
                <w:rFonts w:cstheme="minorHAnsi"/>
                <w:bCs/>
                <w:color w:val="7030A0"/>
              </w:rPr>
              <w:t>AHRQ Low SES</w:t>
            </w:r>
          </w:p>
        </w:tc>
        <w:tc>
          <w:tcPr>
            <w:tcW w:w="2520" w:type="dxa"/>
          </w:tcPr>
          <w:p w14:paraId="3F43A8ED" w14:textId="77777777" w:rsidR="008458B2" w:rsidRPr="00345225" w:rsidRDefault="008458B2" w:rsidP="008458B2">
            <w:pPr>
              <w:autoSpaceDE w:val="0"/>
              <w:autoSpaceDN w:val="0"/>
              <w:adjustRightInd w:val="0"/>
              <w:spacing w:before="120" w:after="120"/>
              <w:jc w:val="center"/>
              <w:rPr>
                <w:rFonts w:cstheme="minorHAnsi"/>
                <w:bCs/>
                <w:color w:val="C00000"/>
              </w:rPr>
            </w:pPr>
            <w:r>
              <w:rPr>
                <w:color w:val="C00000"/>
              </w:rPr>
              <w:t>16.5% (3.30</w:t>
            </w:r>
            <w:r w:rsidRPr="00345225">
              <w:rPr>
                <w:color w:val="C00000"/>
              </w:rPr>
              <w:t>-3</w:t>
            </w:r>
            <w:r>
              <w:rPr>
                <w:color w:val="C00000"/>
              </w:rPr>
              <w:t>3.3</w:t>
            </w:r>
            <w:r w:rsidRPr="00345225">
              <w:rPr>
                <w:color w:val="C00000"/>
              </w:rPr>
              <w:t>%)</w:t>
            </w:r>
          </w:p>
        </w:tc>
        <w:tc>
          <w:tcPr>
            <w:tcW w:w="2340" w:type="dxa"/>
          </w:tcPr>
          <w:p w14:paraId="21B46317" w14:textId="77777777" w:rsidR="008458B2" w:rsidRPr="00345225" w:rsidRDefault="008458B2" w:rsidP="008458B2">
            <w:pPr>
              <w:autoSpaceDE w:val="0"/>
              <w:autoSpaceDN w:val="0"/>
              <w:adjustRightInd w:val="0"/>
              <w:spacing w:before="120" w:after="120"/>
              <w:jc w:val="center"/>
              <w:rPr>
                <w:rFonts w:cstheme="minorHAnsi"/>
                <w:bCs/>
                <w:color w:val="7030A0"/>
              </w:rPr>
            </w:pPr>
            <w:r>
              <w:rPr>
                <w:rFonts w:cstheme="minorHAnsi"/>
                <w:bCs/>
                <w:color w:val="7030A0"/>
              </w:rPr>
              <w:t>16.4% (4.1-40.3%)</w:t>
            </w:r>
          </w:p>
        </w:tc>
      </w:tr>
    </w:tbl>
    <w:p w14:paraId="0014C974" w14:textId="388125DB" w:rsidR="007C1CAB" w:rsidRDefault="007C1CAB" w:rsidP="007C1CAB">
      <w:pPr>
        <w:autoSpaceDE w:val="0"/>
        <w:autoSpaceDN w:val="0"/>
        <w:adjustRightInd w:val="0"/>
        <w:spacing w:before="120" w:after="240" w:line="240" w:lineRule="auto"/>
        <w:rPr>
          <w:rFonts w:cstheme="minorHAnsi"/>
          <w:bCs/>
          <w:color w:val="7030A0"/>
          <w:u w:val="single"/>
        </w:rPr>
      </w:pPr>
    </w:p>
    <w:p w14:paraId="4D961DAC" w14:textId="12FD322B" w:rsidR="007C1CAB" w:rsidRDefault="007C1CAB" w:rsidP="007C1CAB">
      <w:pPr>
        <w:autoSpaceDE w:val="0"/>
        <w:autoSpaceDN w:val="0"/>
        <w:adjustRightInd w:val="0"/>
        <w:spacing w:before="120" w:after="240" w:line="240" w:lineRule="auto"/>
        <w:rPr>
          <w:rFonts w:cstheme="minorHAnsi"/>
          <w:bCs/>
          <w:color w:val="7030A0"/>
          <w:u w:val="single"/>
        </w:rPr>
      </w:pPr>
    </w:p>
    <w:p w14:paraId="167A5791" w14:textId="279FEE49" w:rsidR="007C1CAB" w:rsidRDefault="007C1CAB" w:rsidP="007C1CAB">
      <w:pPr>
        <w:autoSpaceDE w:val="0"/>
        <w:autoSpaceDN w:val="0"/>
        <w:adjustRightInd w:val="0"/>
        <w:spacing w:before="120" w:after="240" w:line="240" w:lineRule="auto"/>
        <w:rPr>
          <w:rFonts w:cstheme="minorHAnsi"/>
          <w:b/>
          <w:bCs/>
        </w:rPr>
      </w:pPr>
    </w:p>
    <w:p w14:paraId="680D4AF7" w14:textId="77777777" w:rsidR="00D16919" w:rsidRDefault="00D16919" w:rsidP="008458B2">
      <w:pPr>
        <w:autoSpaceDE w:val="0"/>
        <w:autoSpaceDN w:val="0"/>
        <w:adjustRightInd w:val="0"/>
        <w:spacing w:before="160" w:after="0" w:line="240" w:lineRule="auto"/>
        <w:rPr>
          <w:rFonts w:cstheme="minorHAnsi"/>
          <w:bCs/>
          <w:color w:val="C00000"/>
        </w:rPr>
      </w:pPr>
    </w:p>
    <w:p w14:paraId="1D275E4E" w14:textId="77777777" w:rsidR="00D16919" w:rsidRDefault="00D16919" w:rsidP="008458B2">
      <w:pPr>
        <w:autoSpaceDE w:val="0"/>
        <w:autoSpaceDN w:val="0"/>
        <w:adjustRightInd w:val="0"/>
        <w:spacing w:before="160" w:after="0" w:line="240" w:lineRule="auto"/>
        <w:rPr>
          <w:rFonts w:cstheme="minorHAnsi"/>
          <w:bCs/>
          <w:color w:val="C00000"/>
        </w:rPr>
      </w:pPr>
    </w:p>
    <w:p w14:paraId="6194D384" w14:textId="6101CD21" w:rsidR="008458B2" w:rsidRDefault="008458B2" w:rsidP="008458B2">
      <w:pPr>
        <w:autoSpaceDE w:val="0"/>
        <w:autoSpaceDN w:val="0"/>
        <w:adjustRightInd w:val="0"/>
        <w:spacing w:before="160" w:after="0" w:line="240" w:lineRule="auto"/>
        <w:rPr>
          <w:rFonts w:cstheme="minorHAnsi"/>
          <w:b/>
          <w:bCs/>
        </w:rPr>
      </w:pPr>
      <w:r w:rsidRPr="009C2BF8">
        <w:rPr>
          <w:rFonts w:cstheme="minorHAnsi"/>
          <w:bCs/>
          <w:color w:val="C00000"/>
        </w:rPr>
        <w:t xml:space="preserve">The prevalence of social risk factors in the </w:t>
      </w:r>
      <w:r>
        <w:rPr>
          <w:rFonts w:cstheme="minorHAnsi"/>
          <w:bCs/>
          <w:color w:val="C00000"/>
        </w:rPr>
        <w:t>AMI</w:t>
      </w:r>
      <w:r w:rsidRPr="009C2BF8">
        <w:rPr>
          <w:rFonts w:cstheme="minorHAnsi"/>
          <w:bCs/>
          <w:color w:val="C00000"/>
        </w:rPr>
        <w:t xml:space="preserve"> cohort varies widely across measured entities in 2020</w:t>
      </w:r>
      <w:r w:rsidRPr="00AF6FFE">
        <w:rPr>
          <w:rFonts w:cstheme="minorHAnsi"/>
          <w:bCs/>
        </w:rPr>
        <w:t>.</w:t>
      </w:r>
      <w:r w:rsidRPr="009C2BF8">
        <w:rPr>
          <w:rFonts w:cstheme="minorHAnsi"/>
          <w:bCs/>
          <w:color w:val="C00000"/>
        </w:rPr>
        <w:t xml:space="preserve"> The median percentage of dual eligible patients was </w:t>
      </w:r>
      <w:r w:rsidRPr="00345225">
        <w:rPr>
          <w:color w:val="C00000"/>
        </w:rPr>
        <w:t>1</w:t>
      </w:r>
      <w:r w:rsidR="00F309E5">
        <w:rPr>
          <w:color w:val="C00000"/>
        </w:rPr>
        <w:t>1.4</w:t>
      </w:r>
      <w:r w:rsidRPr="00345225">
        <w:rPr>
          <w:color w:val="C00000"/>
        </w:rPr>
        <w:t>% (</w:t>
      </w:r>
      <w:r>
        <w:rPr>
          <w:color w:val="C00000"/>
        </w:rPr>
        <w:t>4.8</w:t>
      </w:r>
      <w:r w:rsidRPr="00345225">
        <w:rPr>
          <w:color w:val="C00000"/>
        </w:rPr>
        <w:t>0</w:t>
      </w:r>
      <w:r w:rsidR="00F309E5">
        <w:rPr>
          <w:color w:val="C00000"/>
        </w:rPr>
        <w:t>%</w:t>
      </w:r>
      <w:r w:rsidRPr="00345225">
        <w:rPr>
          <w:color w:val="C00000"/>
        </w:rPr>
        <w:t>-25.0%)</w:t>
      </w:r>
      <w:r>
        <w:rPr>
          <w:color w:val="C00000"/>
        </w:rPr>
        <w:t xml:space="preserve"> </w:t>
      </w:r>
      <w:r w:rsidRPr="009C2BF8">
        <w:rPr>
          <w:rFonts w:cstheme="minorHAnsi"/>
          <w:bCs/>
          <w:color w:val="C00000"/>
        </w:rPr>
        <w:t>and the median percentage of patients with an AHRQ SES index score adjusted for cost of living at the census block group level equal to or below 42.7</w:t>
      </w:r>
      <w:r w:rsidR="00F309E5">
        <w:rPr>
          <w:rFonts w:cstheme="minorHAnsi"/>
          <w:bCs/>
          <w:color w:val="C00000"/>
        </w:rPr>
        <w:t xml:space="preserve"> (lowest quartile)</w:t>
      </w:r>
      <w:r w:rsidR="00F309E5" w:rsidRPr="009C2BF8">
        <w:rPr>
          <w:rFonts w:cstheme="minorHAnsi"/>
          <w:bCs/>
          <w:color w:val="C00000"/>
        </w:rPr>
        <w:t xml:space="preserve"> </w:t>
      </w:r>
      <w:r w:rsidRPr="009C2BF8">
        <w:rPr>
          <w:rFonts w:cstheme="minorHAnsi"/>
          <w:bCs/>
          <w:color w:val="C00000"/>
        </w:rPr>
        <w:t xml:space="preserve">was </w:t>
      </w:r>
      <w:r>
        <w:rPr>
          <w:color w:val="C00000"/>
        </w:rPr>
        <w:t>16.5% (3.30</w:t>
      </w:r>
      <w:r w:rsidR="00F309E5">
        <w:rPr>
          <w:color w:val="C00000"/>
        </w:rPr>
        <w:t>%</w:t>
      </w:r>
      <w:r w:rsidRPr="00345225">
        <w:rPr>
          <w:color w:val="C00000"/>
        </w:rPr>
        <w:t>-3</w:t>
      </w:r>
      <w:r>
        <w:rPr>
          <w:color w:val="C00000"/>
        </w:rPr>
        <w:t>3.3</w:t>
      </w:r>
      <w:r w:rsidRPr="00345225">
        <w:rPr>
          <w:color w:val="C00000"/>
        </w:rPr>
        <w:t>%)</w:t>
      </w:r>
      <w:r w:rsidRPr="009C2BF8">
        <w:rPr>
          <w:rFonts w:cstheme="minorHAnsi"/>
          <w:bCs/>
          <w:color w:val="C00000"/>
        </w:rPr>
        <w:t xml:space="preserve"> in 2020. These results are consistent with the 201</w:t>
      </w:r>
      <w:r>
        <w:rPr>
          <w:rFonts w:cstheme="minorHAnsi"/>
          <w:bCs/>
          <w:color w:val="C00000"/>
        </w:rPr>
        <w:t>5</w:t>
      </w:r>
      <w:r w:rsidRPr="009C2BF8">
        <w:rPr>
          <w:rFonts w:cstheme="minorHAnsi"/>
          <w:bCs/>
          <w:color w:val="C00000"/>
        </w:rPr>
        <w:t xml:space="preserve"> results presented above. </w:t>
      </w:r>
      <w:r w:rsidR="00C0013A" w:rsidRPr="00043DA7">
        <w:rPr>
          <w:rFonts w:cstheme="minorHAnsi"/>
          <w:bCs/>
          <w:color w:val="C00000"/>
        </w:rPr>
        <w:t>The increase in dually eligible patients may be due to a refinement in the definition that occurred since 2016</w:t>
      </w:r>
      <w:r w:rsidR="00C0013A">
        <w:rPr>
          <w:rFonts w:cstheme="minorHAnsi"/>
          <w:bCs/>
          <w:color w:val="C00000"/>
        </w:rPr>
        <w:t>.</w:t>
      </w:r>
    </w:p>
    <w:p w14:paraId="31A74731" w14:textId="46A7A5A2" w:rsidR="008458B2" w:rsidRDefault="00275E1B" w:rsidP="008458B2">
      <w:pPr>
        <w:autoSpaceDE w:val="0"/>
        <w:autoSpaceDN w:val="0"/>
        <w:adjustRightInd w:val="0"/>
        <w:spacing w:before="120" w:after="240" w:line="240" w:lineRule="auto"/>
        <w:rPr>
          <w:rFonts w:cstheme="minorHAnsi"/>
          <w:bCs/>
          <w:color w:val="7030A0"/>
          <w:u w:val="single"/>
        </w:rPr>
      </w:pPr>
      <w:bookmarkStart w:id="15" w:name="_Hlk43715698"/>
      <w:r>
        <w:rPr>
          <w:rFonts w:cstheme="minorHAnsi"/>
          <w:bCs/>
          <w:color w:val="7030A0"/>
          <w:u w:val="single"/>
        </w:rPr>
        <w:t xml:space="preserve">Comparison of observed mortality rates in patients with and without social risk </w:t>
      </w:r>
      <w:r w:rsidR="008458B2" w:rsidRPr="0030205A">
        <w:rPr>
          <w:rFonts w:cstheme="minorHAnsi"/>
          <w:bCs/>
          <w:color w:val="7030A0"/>
          <w:u w:val="single"/>
        </w:rPr>
        <w:t xml:space="preserve">in </w:t>
      </w:r>
      <w:r w:rsidR="008458B2" w:rsidRPr="009C2BF8">
        <w:rPr>
          <w:rFonts w:cstheme="minorHAnsi"/>
          <w:bCs/>
          <w:color w:val="C00000"/>
          <w:u w:val="single"/>
        </w:rPr>
        <w:t>2020</w:t>
      </w:r>
      <w:r w:rsidR="008458B2">
        <w:rPr>
          <w:rFonts w:cstheme="minorHAnsi"/>
          <w:bCs/>
          <w:u w:val="single"/>
        </w:rPr>
        <w:t xml:space="preserve"> </w:t>
      </w:r>
      <w:r w:rsidR="008458B2">
        <w:rPr>
          <w:rFonts w:cstheme="minorHAnsi"/>
          <w:bCs/>
          <w:color w:val="7030A0"/>
          <w:u w:val="single"/>
        </w:rPr>
        <w:t>and 2015</w:t>
      </w:r>
      <w:r w:rsidR="00196D80">
        <w:rPr>
          <w:rFonts w:cstheme="minorHAnsi"/>
          <w:bCs/>
          <w:color w:val="7030A0"/>
          <w:u w:val="single"/>
        </w:rPr>
        <w:t xml:space="preserve"> (Table 6</w:t>
      </w:r>
      <w:r w:rsidR="008458B2" w:rsidRPr="0030205A">
        <w:rPr>
          <w:rFonts w:cstheme="minorHAnsi"/>
          <w:bCs/>
          <w:color w:val="7030A0"/>
          <w:u w:val="single"/>
        </w:rPr>
        <w:t>)</w:t>
      </w:r>
    </w:p>
    <w:tbl>
      <w:tblPr>
        <w:tblStyle w:val="TableGrid2"/>
        <w:tblW w:w="9269" w:type="dxa"/>
        <w:tblInd w:w="85" w:type="dxa"/>
        <w:tblLook w:val="04A0" w:firstRow="1" w:lastRow="0" w:firstColumn="1" w:lastColumn="0" w:noHBand="0" w:noVBand="1"/>
      </w:tblPr>
      <w:tblGrid>
        <w:gridCol w:w="3960"/>
        <w:gridCol w:w="2790"/>
        <w:gridCol w:w="2519"/>
      </w:tblGrid>
      <w:tr w:rsidR="008458B2" w:rsidRPr="00345225" w14:paraId="117C34A6" w14:textId="77777777" w:rsidTr="00FC40A0">
        <w:trPr>
          <w:trHeight w:val="526"/>
        </w:trPr>
        <w:tc>
          <w:tcPr>
            <w:tcW w:w="3960" w:type="dxa"/>
            <w:shd w:val="clear" w:color="auto" w:fill="D9D9D9" w:themeFill="background1" w:themeFillShade="D9"/>
          </w:tcPr>
          <w:p w14:paraId="7962F48B" w14:textId="77777777" w:rsidR="008458B2" w:rsidRPr="00345225" w:rsidRDefault="008458B2" w:rsidP="00FC40A0">
            <w:pPr>
              <w:autoSpaceDE w:val="0"/>
              <w:autoSpaceDN w:val="0"/>
              <w:adjustRightInd w:val="0"/>
              <w:spacing w:before="120" w:after="120"/>
              <w:jc w:val="center"/>
              <w:rPr>
                <w:rFonts w:cstheme="minorHAnsi"/>
                <w:b/>
                <w:bCs/>
                <w:color w:val="7030A0"/>
              </w:rPr>
            </w:pPr>
            <w:bookmarkStart w:id="16" w:name="_Hlk40183568"/>
            <w:r w:rsidRPr="00345225">
              <w:rPr>
                <w:rFonts w:cstheme="minorHAnsi"/>
                <w:b/>
                <w:bCs/>
                <w:color w:val="7030A0"/>
              </w:rPr>
              <w:t>SRFs</w:t>
            </w:r>
          </w:p>
        </w:tc>
        <w:tc>
          <w:tcPr>
            <w:tcW w:w="2790" w:type="dxa"/>
            <w:shd w:val="clear" w:color="auto" w:fill="D9D9D9" w:themeFill="background1" w:themeFillShade="D9"/>
          </w:tcPr>
          <w:p w14:paraId="644C7F37" w14:textId="77777777" w:rsidR="008458B2" w:rsidRPr="00345225" w:rsidRDefault="008458B2" w:rsidP="00FC40A0">
            <w:pPr>
              <w:autoSpaceDE w:val="0"/>
              <w:autoSpaceDN w:val="0"/>
              <w:adjustRightInd w:val="0"/>
              <w:spacing w:before="120" w:after="120"/>
              <w:jc w:val="center"/>
              <w:rPr>
                <w:rFonts w:cstheme="minorHAnsi"/>
                <w:b/>
                <w:bCs/>
                <w:color w:val="C00000"/>
              </w:rPr>
            </w:pPr>
            <w:r w:rsidRPr="00345225">
              <w:rPr>
                <w:rFonts w:cstheme="minorHAnsi"/>
                <w:b/>
                <w:bCs/>
                <w:color w:val="C00000"/>
              </w:rPr>
              <w:t>2020 Observed Rate</w:t>
            </w:r>
          </w:p>
        </w:tc>
        <w:tc>
          <w:tcPr>
            <w:tcW w:w="2519" w:type="dxa"/>
            <w:shd w:val="clear" w:color="auto" w:fill="D9D9D9" w:themeFill="background1" w:themeFillShade="D9"/>
          </w:tcPr>
          <w:p w14:paraId="65B95199" w14:textId="11A50ABA" w:rsidR="008458B2" w:rsidRPr="00345225" w:rsidRDefault="008458B2" w:rsidP="00FC40A0">
            <w:pPr>
              <w:autoSpaceDE w:val="0"/>
              <w:autoSpaceDN w:val="0"/>
              <w:adjustRightInd w:val="0"/>
              <w:spacing w:before="120" w:after="120"/>
              <w:jc w:val="center"/>
              <w:rPr>
                <w:rFonts w:cstheme="minorHAnsi"/>
                <w:bCs/>
                <w:color w:val="7030A0"/>
              </w:rPr>
            </w:pPr>
            <w:r w:rsidRPr="00345225">
              <w:rPr>
                <w:rFonts w:cstheme="minorHAnsi"/>
                <w:b/>
                <w:bCs/>
                <w:color w:val="7030A0"/>
              </w:rPr>
              <w:t>201</w:t>
            </w:r>
            <w:r>
              <w:rPr>
                <w:rFonts w:cstheme="minorHAnsi"/>
                <w:b/>
                <w:bCs/>
                <w:color w:val="7030A0"/>
              </w:rPr>
              <w:t>5</w:t>
            </w:r>
            <w:r w:rsidRPr="00345225">
              <w:rPr>
                <w:rFonts w:cstheme="minorHAnsi"/>
                <w:b/>
                <w:bCs/>
                <w:color w:val="7030A0"/>
              </w:rPr>
              <w:t xml:space="preserve"> Observed Rate</w:t>
            </w:r>
          </w:p>
        </w:tc>
      </w:tr>
      <w:tr w:rsidR="008458B2" w:rsidRPr="00345225" w14:paraId="573514FA" w14:textId="77777777" w:rsidTr="00FC40A0">
        <w:trPr>
          <w:trHeight w:val="526"/>
        </w:trPr>
        <w:tc>
          <w:tcPr>
            <w:tcW w:w="3960" w:type="dxa"/>
          </w:tcPr>
          <w:p w14:paraId="64FC8484" w14:textId="77777777" w:rsidR="008458B2" w:rsidRPr="00345225" w:rsidRDefault="008458B2" w:rsidP="00FC40A0">
            <w:pPr>
              <w:autoSpaceDE w:val="0"/>
              <w:autoSpaceDN w:val="0"/>
              <w:adjustRightInd w:val="0"/>
              <w:spacing w:before="120" w:after="120"/>
              <w:rPr>
                <w:rFonts w:cstheme="minorHAnsi"/>
                <w:bCs/>
                <w:color w:val="7030A0"/>
              </w:rPr>
            </w:pPr>
            <w:r w:rsidRPr="00345225">
              <w:rPr>
                <w:rFonts w:cstheme="minorHAnsi"/>
                <w:bCs/>
                <w:color w:val="7030A0"/>
              </w:rPr>
              <w:t>Dual (vs. Non-Dual)</w:t>
            </w:r>
          </w:p>
        </w:tc>
        <w:tc>
          <w:tcPr>
            <w:tcW w:w="2790" w:type="dxa"/>
          </w:tcPr>
          <w:p w14:paraId="4674AF58" w14:textId="74DBA0D4" w:rsidR="008458B2" w:rsidRPr="00345225" w:rsidRDefault="008458B2" w:rsidP="00FC40A0">
            <w:pPr>
              <w:autoSpaceDE w:val="0"/>
              <w:autoSpaceDN w:val="0"/>
              <w:adjustRightInd w:val="0"/>
              <w:spacing w:before="120" w:after="120"/>
              <w:jc w:val="center"/>
              <w:rPr>
                <w:rFonts w:cstheme="minorHAnsi"/>
                <w:bCs/>
                <w:color w:val="C00000"/>
              </w:rPr>
            </w:pPr>
            <w:r>
              <w:rPr>
                <w:rFonts w:cstheme="minorHAnsi"/>
                <w:bCs/>
                <w:color w:val="C00000"/>
              </w:rPr>
              <w:t>16.1% (vs. 12.2</w:t>
            </w:r>
            <w:r w:rsidRPr="00345225">
              <w:rPr>
                <w:rFonts w:cstheme="minorHAnsi"/>
                <w:bCs/>
                <w:color w:val="C00000"/>
              </w:rPr>
              <w:t>%)</w:t>
            </w:r>
          </w:p>
        </w:tc>
        <w:tc>
          <w:tcPr>
            <w:tcW w:w="2519" w:type="dxa"/>
          </w:tcPr>
          <w:p w14:paraId="05779252" w14:textId="3C079F9B" w:rsidR="008458B2" w:rsidRPr="00345225" w:rsidRDefault="008458B2" w:rsidP="00FC40A0">
            <w:pPr>
              <w:autoSpaceDE w:val="0"/>
              <w:autoSpaceDN w:val="0"/>
              <w:adjustRightInd w:val="0"/>
              <w:spacing w:before="120" w:after="120"/>
              <w:jc w:val="center"/>
              <w:rPr>
                <w:rFonts w:cstheme="minorHAnsi"/>
                <w:bCs/>
                <w:color w:val="7030A0"/>
              </w:rPr>
            </w:pPr>
            <w:r>
              <w:rPr>
                <w:rFonts w:cstheme="minorHAnsi"/>
                <w:bCs/>
                <w:color w:val="7030A0"/>
              </w:rPr>
              <w:t>16.1% (vs. 14.0</w:t>
            </w:r>
            <w:r w:rsidRPr="00345225">
              <w:rPr>
                <w:rFonts w:cstheme="minorHAnsi"/>
                <w:bCs/>
                <w:color w:val="7030A0"/>
              </w:rPr>
              <w:t>%)</w:t>
            </w:r>
          </w:p>
        </w:tc>
      </w:tr>
      <w:tr w:rsidR="008458B2" w:rsidRPr="00345225" w14:paraId="50058DBD" w14:textId="77777777" w:rsidTr="00FC40A0">
        <w:trPr>
          <w:trHeight w:val="526"/>
        </w:trPr>
        <w:tc>
          <w:tcPr>
            <w:tcW w:w="3960" w:type="dxa"/>
          </w:tcPr>
          <w:p w14:paraId="2A7295B6" w14:textId="77777777" w:rsidR="008458B2" w:rsidRPr="00345225" w:rsidRDefault="008458B2" w:rsidP="00FC40A0">
            <w:pPr>
              <w:autoSpaceDE w:val="0"/>
              <w:autoSpaceDN w:val="0"/>
              <w:adjustRightInd w:val="0"/>
              <w:spacing w:before="120" w:after="120"/>
              <w:rPr>
                <w:rFonts w:cstheme="minorHAnsi"/>
                <w:bCs/>
                <w:color w:val="7030A0"/>
              </w:rPr>
            </w:pPr>
            <w:r w:rsidRPr="00345225">
              <w:rPr>
                <w:rFonts w:cstheme="minorHAnsi"/>
                <w:bCs/>
                <w:color w:val="7030A0"/>
              </w:rPr>
              <w:t>AHRQ Low SES (vs. SES score above 42.7)</w:t>
            </w:r>
          </w:p>
        </w:tc>
        <w:tc>
          <w:tcPr>
            <w:tcW w:w="2790" w:type="dxa"/>
          </w:tcPr>
          <w:p w14:paraId="08E62742" w14:textId="0358A5D6" w:rsidR="008458B2" w:rsidRPr="00345225" w:rsidRDefault="008458B2" w:rsidP="00FC40A0">
            <w:pPr>
              <w:autoSpaceDE w:val="0"/>
              <w:autoSpaceDN w:val="0"/>
              <w:adjustRightInd w:val="0"/>
              <w:spacing w:before="120" w:after="120"/>
              <w:jc w:val="center"/>
              <w:rPr>
                <w:rFonts w:cstheme="minorHAnsi"/>
                <w:bCs/>
                <w:color w:val="C00000"/>
              </w:rPr>
            </w:pPr>
            <w:r>
              <w:rPr>
                <w:rFonts w:cstheme="minorHAnsi"/>
                <w:bCs/>
                <w:color w:val="C00000"/>
              </w:rPr>
              <w:t>13.3% (vs 12.7</w:t>
            </w:r>
            <w:r w:rsidRPr="00345225">
              <w:rPr>
                <w:rFonts w:cstheme="minorHAnsi"/>
                <w:bCs/>
                <w:color w:val="C00000"/>
              </w:rPr>
              <w:t>%)</w:t>
            </w:r>
          </w:p>
        </w:tc>
        <w:tc>
          <w:tcPr>
            <w:tcW w:w="2519" w:type="dxa"/>
          </w:tcPr>
          <w:p w14:paraId="007CD50A" w14:textId="3535638E" w:rsidR="008458B2" w:rsidRPr="00345225" w:rsidRDefault="008458B2" w:rsidP="00FC40A0">
            <w:pPr>
              <w:autoSpaceDE w:val="0"/>
              <w:autoSpaceDN w:val="0"/>
              <w:adjustRightInd w:val="0"/>
              <w:spacing w:before="120" w:after="120"/>
              <w:jc w:val="center"/>
              <w:rPr>
                <w:rFonts w:cstheme="minorHAnsi"/>
                <w:bCs/>
                <w:color w:val="7030A0"/>
              </w:rPr>
            </w:pPr>
            <w:r>
              <w:rPr>
                <w:rFonts w:cstheme="minorHAnsi"/>
                <w:bCs/>
                <w:color w:val="7030A0"/>
              </w:rPr>
              <w:t>14.4% (vs. 13.9</w:t>
            </w:r>
            <w:r w:rsidRPr="00345225">
              <w:rPr>
                <w:rFonts w:cstheme="minorHAnsi"/>
                <w:bCs/>
                <w:color w:val="7030A0"/>
              </w:rPr>
              <w:t>%)</w:t>
            </w:r>
          </w:p>
        </w:tc>
      </w:tr>
    </w:tbl>
    <w:bookmarkEnd w:id="16"/>
    <w:p w14:paraId="6908AC98" w14:textId="2B3C847D" w:rsidR="008458B2" w:rsidRDefault="008458B2" w:rsidP="007C1CAB">
      <w:pPr>
        <w:autoSpaceDE w:val="0"/>
        <w:autoSpaceDN w:val="0"/>
        <w:adjustRightInd w:val="0"/>
        <w:spacing w:before="120" w:after="240" w:line="240" w:lineRule="auto"/>
        <w:rPr>
          <w:color w:val="C00000"/>
        </w:rPr>
      </w:pPr>
      <w:r w:rsidRPr="0048088A">
        <w:rPr>
          <w:rFonts w:cstheme="minorHAnsi"/>
          <w:bCs/>
          <w:color w:val="C00000"/>
        </w:rPr>
        <w:t>The patient-level observed AMI mortality rates are higher for d</w:t>
      </w:r>
      <w:r w:rsidRPr="00AF0A78">
        <w:rPr>
          <w:rFonts w:cstheme="minorHAnsi"/>
          <w:bCs/>
          <w:color w:val="C00000"/>
        </w:rPr>
        <w:t xml:space="preserve">ual-eligible patients (16.1%) compared with 12.2% for non-dual patients in 2020. Similarly, the mortality rate for patients with an AHRQ SES index score equal to or below 42.7 </w:t>
      </w:r>
      <w:r w:rsidR="00F309E5" w:rsidRPr="00AF0A78">
        <w:rPr>
          <w:rFonts w:cstheme="minorHAnsi"/>
          <w:bCs/>
          <w:color w:val="C00000"/>
        </w:rPr>
        <w:t>are</w:t>
      </w:r>
      <w:r w:rsidR="00C0013A" w:rsidRPr="00AF0A78">
        <w:rPr>
          <w:rFonts w:cstheme="minorHAnsi"/>
          <w:bCs/>
          <w:color w:val="C00000"/>
        </w:rPr>
        <w:t xml:space="preserve"> 13.3% compared with 12.7</w:t>
      </w:r>
      <w:r w:rsidRPr="00AF0A78">
        <w:rPr>
          <w:rFonts w:cstheme="minorHAnsi"/>
          <w:bCs/>
          <w:color w:val="C00000"/>
        </w:rPr>
        <w:t xml:space="preserve">% for patients with an AHRQ SES index score above 42.7 in 2020. </w:t>
      </w:r>
      <w:r w:rsidR="00C0013A" w:rsidRPr="00AF0A78">
        <w:rPr>
          <w:color w:val="C00000"/>
        </w:rPr>
        <w:t>For the AHRQ SES index</w:t>
      </w:r>
      <w:r w:rsidRPr="00AF0A78">
        <w:rPr>
          <w:color w:val="C00000"/>
        </w:rPr>
        <w:t>, patient-level mortality rates have declined among all characteristic groups of patients</w:t>
      </w:r>
      <w:r w:rsidR="00C0013A" w:rsidRPr="00AF0A78">
        <w:rPr>
          <w:color w:val="C00000"/>
        </w:rPr>
        <w:t>; patient-level mortality rates have remained stable among dually eligible patients and have dropped for other characteristic groups of patients.</w:t>
      </w:r>
    </w:p>
    <w:bookmarkEnd w:id="15"/>
    <w:p w14:paraId="5A9BF9CD" w14:textId="747A2D66" w:rsidR="008458B2" w:rsidRDefault="00C0013A" w:rsidP="007C1CAB">
      <w:pPr>
        <w:autoSpaceDE w:val="0"/>
        <w:autoSpaceDN w:val="0"/>
        <w:adjustRightInd w:val="0"/>
        <w:spacing w:before="120" w:after="240" w:line="240" w:lineRule="auto"/>
        <w:rPr>
          <w:color w:val="C00000"/>
        </w:rPr>
      </w:pPr>
      <w:r>
        <w:rPr>
          <w:rFonts w:cstheme="minorHAnsi"/>
          <w:bCs/>
          <w:color w:val="C00000"/>
          <w:u w:val="single"/>
        </w:rPr>
        <w:t>Incremental effect of SRF</w:t>
      </w:r>
      <w:r w:rsidR="008458B2" w:rsidRPr="0048088A">
        <w:rPr>
          <w:rFonts w:cstheme="minorHAnsi"/>
          <w:bCs/>
          <w:color w:val="C00000"/>
          <w:u w:val="single"/>
        </w:rPr>
        <w:t xml:space="preserve"> variables in a multivariable model in 2020 and 201</w:t>
      </w:r>
      <w:r w:rsidR="008458B2">
        <w:rPr>
          <w:rFonts w:cstheme="minorHAnsi"/>
          <w:bCs/>
          <w:color w:val="C00000"/>
          <w:u w:val="single"/>
        </w:rPr>
        <w:t>5</w:t>
      </w:r>
    </w:p>
    <w:p w14:paraId="1A7397DB" w14:textId="77777777" w:rsidR="00275E1B" w:rsidRDefault="00275E1B" w:rsidP="00275E1B">
      <w:pPr>
        <w:autoSpaceDE w:val="0"/>
        <w:autoSpaceDN w:val="0"/>
        <w:adjustRightInd w:val="0"/>
        <w:spacing w:before="120" w:after="0" w:line="240" w:lineRule="auto"/>
        <w:rPr>
          <w:rFonts w:cstheme="minorHAnsi"/>
          <w:bCs/>
          <w:color w:val="C00000"/>
        </w:rPr>
      </w:pPr>
      <w:r w:rsidRPr="00275E1B">
        <w:rPr>
          <w:rFonts w:cstheme="minorHAnsi"/>
          <w:bCs/>
          <w:color w:val="C00000"/>
        </w:rPr>
        <w:t xml:space="preserve">We </w:t>
      </w:r>
      <w:r w:rsidR="008458B2" w:rsidRPr="00275E1B">
        <w:rPr>
          <w:rFonts w:cstheme="minorHAnsi"/>
          <w:bCs/>
          <w:color w:val="C00000"/>
        </w:rPr>
        <w:t xml:space="preserve">examined the strength and significance of the SRF variables in the context of a multivariable model. </w:t>
      </w:r>
      <w:r w:rsidR="00F309E5" w:rsidRPr="00275E1B">
        <w:rPr>
          <w:rFonts w:cstheme="minorHAnsi"/>
          <w:bCs/>
          <w:color w:val="C00000"/>
        </w:rPr>
        <w:t>When we include these variables in a multivariable model that includes all of the claims-based clinical variables, the effect size of each of these variables is small.</w:t>
      </w:r>
      <w:r w:rsidR="008458B2" w:rsidRPr="00275E1B">
        <w:rPr>
          <w:rFonts w:cstheme="minorHAnsi"/>
          <w:bCs/>
          <w:color w:val="C00000"/>
        </w:rPr>
        <w:t xml:space="preserve"> In 2020, dual eligibility and the AHRQ SES index have effect sizes </w:t>
      </w:r>
      <w:r w:rsidR="00F309E5" w:rsidRPr="00275E1B">
        <w:rPr>
          <w:rFonts w:cstheme="minorHAnsi"/>
          <w:bCs/>
          <w:color w:val="C00000"/>
        </w:rPr>
        <w:t>(odds ratio</w:t>
      </w:r>
      <w:r w:rsidR="00C0013A" w:rsidRPr="00275E1B">
        <w:rPr>
          <w:rFonts w:cstheme="minorHAnsi"/>
          <w:bCs/>
          <w:color w:val="C00000"/>
        </w:rPr>
        <w:t>s</w:t>
      </w:r>
      <w:r w:rsidR="00F309E5" w:rsidRPr="00275E1B">
        <w:rPr>
          <w:rFonts w:cstheme="minorHAnsi"/>
          <w:bCs/>
          <w:color w:val="C00000"/>
        </w:rPr>
        <w:t xml:space="preserve">) </w:t>
      </w:r>
      <w:r w:rsidR="008458B2" w:rsidRPr="00275E1B">
        <w:rPr>
          <w:rFonts w:cstheme="minorHAnsi"/>
          <w:bCs/>
          <w:color w:val="C00000"/>
        </w:rPr>
        <w:t>of 1.08 and 1.07 when added independently to the model, similar to 2016 findings. Furthermore, the effect size of each variable is slightly attenuated (</w:t>
      </w:r>
      <w:r w:rsidRPr="00275E1B">
        <w:rPr>
          <w:rFonts w:cstheme="minorHAnsi"/>
          <w:bCs/>
          <w:color w:val="C00000"/>
        </w:rPr>
        <w:t xml:space="preserve">1.07 </w:t>
      </w:r>
      <w:r w:rsidR="008458B2" w:rsidRPr="00275E1B">
        <w:rPr>
          <w:rFonts w:cstheme="minorHAnsi"/>
          <w:bCs/>
          <w:color w:val="C00000"/>
        </w:rPr>
        <w:t>and 1.0</w:t>
      </w:r>
      <w:r w:rsidRPr="00275E1B">
        <w:rPr>
          <w:rFonts w:cstheme="minorHAnsi"/>
          <w:bCs/>
          <w:color w:val="C00000"/>
        </w:rPr>
        <w:t>6</w:t>
      </w:r>
      <w:r w:rsidR="008458B2" w:rsidRPr="00275E1B">
        <w:rPr>
          <w:rFonts w:cstheme="minorHAnsi"/>
          <w:bCs/>
          <w:color w:val="C00000"/>
        </w:rPr>
        <w:t xml:space="preserve"> for dual and SES, respectively) when both are added to the model</w:t>
      </w:r>
      <w:r w:rsidRPr="00275E1B">
        <w:rPr>
          <w:rFonts w:cstheme="minorHAnsi"/>
          <w:bCs/>
          <w:color w:val="C00000"/>
        </w:rPr>
        <w:t xml:space="preserve"> simultaneously</w:t>
      </w:r>
      <w:r w:rsidR="00BC292B" w:rsidRPr="00275E1B">
        <w:rPr>
          <w:rFonts w:cstheme="minorHAnsi"/>
          <w:bCs/>
          <w:color w:val="C00000"/>
        </w:rPr>
        <w:t>.</w:t>
      </w:r>
    </w:p>
    <w:p w14:paraId="5E763B01" w14:textId="77777777" w:rsidR="00B80E87" w:rsidRDefault="00B80E87" w:rsidP="00275E1B">
      <w:pPr>
        <w:autoSpaceDE w:val="0"/>
        <w:autoSpaceDN w:val="0"/>
        <w:adjustRightInd w:val="0"/>
        <w:spacing w:before="120" w:after="0" w:line="240" w:lineRule="auto"/>
        <w:rPr>
          <w:rFonts w:cstheme="minorHAnsi"/>
          <w:bCs/>
          <w:color w:val="C00000"/>
        </w:rPr>
      </w:pPr>
    </w:p>
    <w:p w14:paraId="79159175" w14:textId="77777777" w:rsidR="00B80E87" w:rsidRDefault="00B80E87" w:rsidP="00275E1B">
      <w:pPr>
        <w:autoSpaceDE w:val="0"/>
        <w:autoSpaceDN w:val="0"/>
        <w:adjustRightInd w:val="0"/>
        <w:spacing w:before="120" w:after="0" w:line="240" w:lineRule="auto"/>
        <w:rPr>
          <w:rFonts w:cstheme="minorHAnsi"/>
          <w:bCs/>
          <w:color w:val="C00000"/>
        </w:rPr>
      </w:pPr>
    </w:p>
    <w:p w14:paraId="3CF5E622" w14:textId="77777777" w:rsidR="00B80E87" w:rsidRDefault="00B80E87" w:rsidP="00275E1B">
      <w:pPr>
        <w:autoSpaceDE w:val="0"/>
        <w:autoSpaceDN w:val="0"/>
        <w:adjustRightInd w:val="0"/>
        <w:spacing w:before="120" w:after="0" w:line="240" w:lineRule="auto"/>
        <w:rPr>
          <w:rFonts w:cstheme="minorHAnsi"/>
          <w:bCs/>
          <w:color w:val="C00000"/>
        </w:rPr>
      </w:pPr>
    </w:p>
    <w:p w14:paraId="45C9F387" w14:textId="77777777" w:rsidR="00B80E87" w:rsidRDefault="00B80E87" w:rsidP="00275E1B">
      <w:pPr>
        <w:autoSpaceDE w:val="0"/>
        <w:autoSpaceDN w:val="0"/>
        <w:adjustRightInd w:val="0"/>
        <w:spacing w:before="120" w:after="0" w:line="240" w:lineRule="auto"/>
        <w:rPr>
          <w:rFonts w:cstheme="minorHAnsi"/>
          <w:bCs/>
          <w:color w:val="C00000"/>
        </w:rPr>
      </w:pPr>
    </w:p>
    <w:p w14:paraId="32DF950F" w14:textId="77777777" w:rsidR="00B80E87" w:rsidRDefault="00B80E87" w:rsidP="00275E1B">
      <w:pPr>
        <w:autoSpaceDE w:val="0"/>
        <w:autoSpaceDN w:val="0"/>
        <w:adjustRightInd w:val="0"/>
        <w:spacing w:before="120" w:after="0" w:line="240" w:lineRule="auto"/>
        <w:rPr>
          <w:rFonts w:cstheme="minorHAnsi"/>
          <w:bCs/>
          <w:color w:val="C00000"/>
        </w:rPr>
      </w:pPr>
    </w:p>
    <w:p w14:paraId="4A26BA27" w14:textId="77777777" w:rsidR="00B80E87" w:rsidRDefault="00B80E87" w:rsidP="00275E1B">
      <w:pPr>
        <w:autoSpaceDE w:val="0"/>
        <w:autoSpaceDN w:val="0"/>
        <w:adjustRightInd w:val="0"/>
        <w:spacing w:before="120" w:after="0" w:line="240" w:lineRule="auto"/>
        <w:rPr>
          <w:rFonts w:cstheme="minorHAnsi"/>
          <w:bCs/>
          <w:color w:val="C00000"/>
        </w:rPr>
      </w:pPr>
    </w:p>
    <w:p w14:paraId="2FA12074" w14:textId="77777777" w:rsidR="00B80E87" w:rsidRDefault="00B80E87" w:rsidP="00275E1B">
      <w:pPr>
        <w:autoSpaceDE w:val="0"/>
        <w:autoSpaceDN w:val="0"/>
        <w:adjustRightInd w:val="0"/>
        <w:spacing w:before="120" w:after="0" w:line="240" w:lineRule="auto"/>
        <w:rPr>
          <w:rFonts w:cstheme="minorHAnsi"/>
          <w:bCs/>
          <w:color w:val="C00000"/>
        </w:rPr>
      </w:pPr>
    </w:p>
    <w:p w14:paraId="12828B59" w14:textId="6C1D004B" w:rsidR="00275E1B" w:rsidRPr="00275E1B" w:rsidRDefault="00EE5930" w:rsidP="00275E1B">
      <w:pPr>
        <w:autoSpaceDE w:val="0"/>
        <w:autoSpaceDN w:val="0"/>
        <w:adjustRightInd w:val="0"/>
        <w:spacing w:before="120" w:after="0" w:line="240" w:lineRule="auto"/>
        <w:rPr>
          <w:rFonts w:cstheme="minorHAnsi"/>
          <w:bCs/>
          <w:color w:val="C00000"/>
        </w:rPr>
      </w:pPr>
      <w:r w:rsidRPr="00275E1B">
        <w:rPr>
          <w:rFonts w:cstheme="minorHAnsi"/>
          <w:bCs/>
          <w:color w:val="C00000"/>
        </w:rPr>
        <w:t>We also find that the c-statistic is essentially unchanged with the addition of any of these variables into the model</w:t>
      </w:r>
      <w:r w:rsidR="00275E1B">
        <w:rPr>
          <w:rFonts w:cstheme="minorHAnsi"/>
          <w:bCs/>
          <w:color w:val="C00000"/>
        </w:rPr>
        <w:t xml:space="preserve"> (Table 7</w:t>
      </w:r>
      <w:r w:rsidRPr="00275E1B">
        <w:rPr>
          <w:rFonts w:cstheme="minorHAnsi"/>
          <w:bCs/>
          <w:color w:val="C00000"/>
        </w:rPr>
        <w:t>).</w:t>
      </w:r>
    </w:p>
    <w:p w14:paraId="494244CA" w14:textId="77777777" w:rsidR="00275E1B" w:rsidRDefault="00275E1B" w:rsidP="00275E1B">
      <w:pPr>
        <w:autoSpaceDE w:val="0"/>
        <w:autoSpaceDN w:val="0"/>
        <w:adjustRightInd w:val="0"/>
        <w:spacing w:before="120" w:after="0" w:line="240" w:lineRule="auto"/>
        <w:rPr>
          <w:rFonts w:cstheme="minorHAnsi"/>
          <w:b/>
          <w:bCs/>
          <w:color w:val="C00000"/>
        </w:rPr>
      </w:pPr>
      <w:r>
        <w:rPr>
          <w:rFonts w:cstheme="minorHAnsi"/>
          <w:b/>
          <w:bCs/>
          <w:color w:val="C00000"/>
        </w:rPr>
        <w:t>Table 7</w:t>
      </w:r>
    </w:p>
    <w:p w14:paraId="0E337D7F" w14:textId="5B50E3DC" w:rsidR="00275E1B" w:rsidRDefault="00EE5930" w:rsidP="00275E1B">
      <w:pPr>
        <w:autoSpaceDE w:val="0"/>
        <w:autoSpaceDN w:val="0"/>
        <w:adjustRightInd w:val="0"/>
        <w:spacing w:before="120" w:after="0" w:line="240" w:lineRule="auto"/>
        <w:rPr>
          <w:rFonts w:cstheme="minorHAnsi"/>
          <w:b/>
          <w:bCs/>
          <w:color w:val="C00000"/>
        </w:rPr>
      </w:pPr>
      <w:r w:rsidRPr="00275E1B">
        <w:rPr>
          <w:rFonts w:cstheme="minorHAnsi"/>
          <w:b/>
          <w:bCs/>
          <w:color w:val="C00000"/>
        </w:rPr>
        <w:t xml:space="preserve"> </w:t>
      </w:r>
    </w:p>
    <w:tbl>
      <w:tblPr>
        <w:tblStyle w:val="TableGrid3"/>
        <w:tblW w:w="8945" w:type="dxa"/>
        <w:tblInd w:w="85" w:type="dxa"/>
        <w:tblLook w:val="04A0" w:firstRow="1" w:lastRow="0" w:firstColumn="1" w:lastColumn="0" w:noHBand="0" w:noVBand="1"/>
      </w:tblPr>
      <w:tblGrid>
        <w:gridCol w:w="6130"/>
        <w:gridCol w:w="2815"/>
      </w:tblGrid>
      <w:tr w:rsidR="00275E1B" w:rsidRPr="00BA0374" w14:paraId="1664DA0E" w14:textId="77777777" w:rsidTr="00275E1B">
        <w:trPr>
          <w:cantSplit/>
          <w:trHeight w:val="323"/>
          <w:tblHeader/>
        </w:trPr>
        <w:tc>
          <w:tcPr>
            <w:tcW w:w="6130" w:type="dxa"/>
            <w:shd w:val="clear" w:color="auto" w:fill="D9D9D9" w:themeFill="background1" w:themeFillShade="D9"/>
          </w:tcPr>
          <w:p w14:paraId="42A34798" w14:textId="05E1C031" w:rsidR="00275E1B" w:rsidRPr="00BA0374" w:rsidRDefault="00275E1B" w:rsidP="00C079DA">
            <w:pPr>
              <w:autoSpaceDE w:val="0"/>
              <w:autoSpaceDN w:val="0"/>
              <w:adjustRightInd w:val="0"/>
              <w:spacing w:before="120" w:after="120"/>
              <w:jc w:val="center"/>
              <w:rPr>
                <w:rFonts w:cstheme="minorHAnsi"/>
                <w:b/>
                <w:bCs/>
                <w:color w:val="7030A0"/>
              </w:rPr>
            </w:pPr>
            <w:bookmarkStart w:id="17" w:name="_Hlk43389271"/>
            <w:r>
              <w:rPr>
                <w:rFonts w:cstheme="minorHAnsi"/>
                <w:b/>
                <w:bCs/>
                <w:color w:val="7030A0"/>
              </w:rPr>
              <w:t>AMI Mortality</w:t>
            </w:r>
            <w:r w:rsidRPr="00BA0374">
              <w:rPr>
                <w:rFonts w:cstheme="minorHAnsi"/>
                <w:b/>
                <w:bCs/>
                <w:color w:val="7030A0"/>
              </w:rPr>
              <w:t xml:space="preserve"> Models</w:t>
            </w:r>
          </w:p>
        </w:tc>
        <w:tc>
          <w:tcPr>
            <w:tcW w:w="2815" w:type="dxa"/>
            <w:shd w:val="clear" w:color="auto" w:fill="D9D9D9" w:themeFill="background1" w:themeFillShade="D9"/>
          </w:tcPr>
          <w:p w14:paraId="0CFE6492" w14:textId="77777777" w:rsidR="00275E1B" w:rsidRPr="00BA0374" w:rsidRDefault="00275E1B" w:rsidP="00C079DA">
            <w:pPr>
              <w:autoSpaceDE w:val="0"/>
              <w:autoSpaceDN w:val="0"/>
              <w:adjustRightInd w:val="0"/>
              <w:spacing w:before="120" w:after="120"/>
              <w:jc w:val="center"/>
              <w:rPr>
                <w:rFonts w:cstheme="minorHAnsi"/>
                <w:b/>
                <w:bCs/>
                <w:color w:val="C00000"/>
              </w:rPr>
            </w:pPr>
            <w:r w:rsidRPr="00BA0374">
              <w:rPr>
                <w:rFonts w:cstheme="minorHAnsi"/>
                <w:b/>
                <w:bCs/>
                <w:color w:val="C00000"/>
              </w:rPr>
              <w:t>2020 C-Statistic</w:t>
            </w:r>
          </w:p>
        </w:tc>
      </w:tr>
      <w:tr w:rsidR="00275E1B" w:rsidRPr="00BA0374" w14:paraId="74106F0B" w14:textId="77777777" w:rsidTr="00275E1B">
        <w:trPr>
          <w:cantSplit/>
          <w:trHeight w:val="777"/>
          <w:tblHeader/>
        </w:trPr>
        <w:tc>
          <w:tcPr>
            <w:tcW w:w="6130" w:type="dxa"/>
            <w:tcBorders>
              <w:bottom w:val="single" w:sz="4" w:space="0" w:color="auto"/>
            </w:tcBorders>
          </w:tcPr>
          <w:p w14:paraId="360E1A96" w14:textId="111BE99E" w:rsidR="00275E1B" w:rsidRPr="00BA0374" w:rsidRDefault="00275E1B" w:rsidP="00C079DA">
            <w:pPr>
              <w:autoSpaceDE w:val="0"/>
              <w:autoSpaceDN w:val="0"/>
              <w:adjustRightInd w:val="0"/>
              <w:spacing w:before="120" w:after="120"/>
              <w:rPr>
                <w:rFonts w:cstheme="minorHAnsi"/>
                <w:bCs/>
                <w:color w:val="7030A0"/>
              </w:rPr>
            </w:pPr>
            <w:bookmarkStart w:id="18" w:name="_Hlk40183958"/>
            <w:r w:rsidRPr="00BA0374">
              <w:rPr>
                <w:rFonts w:cstheme="minorHAnsi"/>
                <w:bCs/>
                <w:color w:val="7030A0"/>
              </w:rPr>
              <w:t xml:space="preserve">Base Model: risk-adjusted model using the original clinical risk variables selected for the 2020 CMS public report of the </w:t>
            </w:r>
            <w:r>
              <w:rPr>
                <w:rFonts w:cstheme="minorHAnsi"/>
                <w:bCs/>
                <w:color w:val="7030A0"/>
              </w:rPr>
              <w:t>AMI mortality</w:t>
            </w:r>
            <w:r w:rsidRPr="00BA0374">
              <w:rPr>
                <w:rFonts w:cstheme="minorHAnsi"/>
                <w:bCs/>
                <w:color w:val="7030A0"/>
              </w:rPr>
              <w:t xml:space="preserve"> measure</w:t>
            </w:r>
          </w:p>
        </w:tc>
        <w:tc>
          <w:tcPr>
            <w:tcW w:w="2815" w:type="dxa"/>
            <w:tcBorders>
              <w:top w:val="nil"/>
              <w:left w:val="single" w:sz="2" w:space="0" w:color="000000"/>
              <w:bottom w:val="single" w:sz="2" w:space="0" w:color="000000"/>
              <w:right w:val="single" w:sz="6" w:space="0" w:color="000000"/>
            </w:tcBorders>
            <w:shd w:val="clear" w:color="auto" w:fill="FFFFFF"/>
          </w:tcPr>
          <w:p w14:paraId="561EBB9E" w14:textId="3730039F" w:rsidR="00275E1B" w:rsidRPr="00BA0374" w:rsidRDefault="00275E1B" w:rsidP="00C079DA">
            <w:pPr>
              <w:autoSpaceDE w:val="0"/>
              <w:autoSpaceDN w:val="0"/>
              <w:adjustRightInd w:val="0"/>
              <w:spacing w:before="120" w:after="120"/>
              <w:jc w:val="center"/>
              <w:rPr>
                <w:rFonts w:cstheme="minorHAnsi"/>
                <w:bCs/>
                <w:color w:val="C00000"/>
              </w:rPr>
            </w:pPr>
            <w:r>
              <w:rPr>
                <w:color w:val="C00000"/>
              </w:rPr>
              <w:t>0.73</w:t>
            </w:r>
          </w:p>
        </w:tc>
      </w:tr>
      <w:tr w:rsidR="00275E1B" w:rsidRPr="00BA0374" w14:paraId="0A8DDF12" w14:textId="77777777" w:rsidTr="00275E1B">
        <w:trPr>
          <w:cantSplit/>
          <w:trHeight w:val="617"/>
          <w:tblHeader/>
        </w:trPr>
        <w:tc>
          <w:tcPr>
            <w:tcW w:w="6130" w:type="dxa"/>
            <w:tcBorders>
              <w:top w:val="single" w:sz="4" w:space="0" w:color="auto"/>
            </w:tcBorders>
          </w:tcPr>
          <w:p w14:paraId="3580E040" w14:textId="77777777" w:rsidR="00275E1B" w:rsidRPr="00BA0374" w:rsidRDefault="00275E1B" w:rsidP="00C079DA">
            <w:pPr>
              <w:autoSpaceDE w:val="0"/>
              <w:autoSpaceDN w:val="0"/>
              <w:adjustRightInd w:val="0"/>
              <w:spacing w:before="120" w:after="120"/>
              <w:rPr>
                <w:rFonts w:cstheme="minorHAnsi"/>
                <w:bCs/>
                <w:color w:val="7030A0"/>
              </w:rPr>
            </w:pPr>
            <w:r w:rsidRPr="00BA0374">
              <w:rPr>
                <w:rFonts w:cstheme="minorHAnsi"/>
                <w:bCs/>
                <w:color w:val="7030A0"/>
              </w:rPr>
              <w:t>Base Model plus AHRQ Low SES based on beneficiary residential 9-digit ZIP codes (SES9) as a social risk variable</w:t>
            </w:r>
          </w:p>
        </w:tc>
        <w:tc>
          <w:tcPr>
            <w:tcW w:w="2815" w:type="dxa"/>
            <w:tcBorders>
              <w:top w:val="nil"/>
              <w:left w:val="single" w:sz="2" w:space="0" w:color="000000"/>
              <w:bottom w:val="single" w:sz="2" w:space="0" w:color="000000"/>
              <w:right w:val="single" w:sz="6" w:space="0" w:color="000000"/>
            </w:tcBorders>
            <w:shd w:val="clear" w:color="auto" w:fill="FFFFFF"/>
          </w:tcPr>
          <w:p w14:paraId="2C27B66B" w14:textId="6A1F709C" w:rsidR="00275E1B" w:rsidRPr="00BA0374" w:rsidRDefault="00275E1B" w:rsidP="00C079DA">
            <w:pPr>
              <w:autoSpaceDE w:val="0"/>
              <w:autoSpaceDN w:val="0"/>
              <w:adjustRightInd w:val="0"/>
              <w:spacing w:before="120" w:after="120"/>
              <w:jc w:val="center"/>
              <w:rPr>
                <w:rFonts w:cstheme="minorHAnsi"/>
                <w:bCs/>
                <w:color w:val="C00000"/>
              </w:rPr>
            </w:pPr>
            <w:r>
              <w:rPr>
                <w:color w:val="C00000"/>
              </w:rPr>
              <w:t>0.73</w:t>
            </w:r>
          </w:p>
        </w:tc>
      </w:tr>
      <w:bookmarkEnd w:id="18"/>
      <w:tr w:rsidR="00275E1B" w:rsidRPr="00BA0374" w14:paraId="50AAC41D" w14:textId="77777777" w:rsidTr="00275E1B">
        <w:trPr>
          <w:cantSplit/>
          <w:trHeight w:val="464"/>
          <w:tblHeader/>
        </w:trPr>
        <w:tc>
          <w:tcPr>
            <w:tcW w:w="6130" w:type="dxa"/>
          </w:tcPr>
          <w:p w14:paraId="7FB371DA" w14:textId="77777777" w:rsidR="00275E1B" w:rsidRPr="00BA0374" w:rsidRDefault="00275E1B" w:rsidP="00C079DA">
            <w:pPr>
              <w:autoSpaceDE w:val="0"/>
              <w:autoSpaceDN w:val="0"/>
              <w:adjustRightInd w:val="0"/>
              <w:spacing w:before="120" w:after="120"/>
              <w:rPr>
                <w:rFonts w:cstheme="minorHAnsi"/>
                <w:bCs/>
                <w:color w:val="7030A0"/>
              </w:rPr>
            </w:pPr>
            <w:r w:rsidRPr="00BA0374">
              <w:rPr>
                <w:rFonts w:cstheme="minorHAnsi"/>
                <w:bCs/>
                <w:color w:val="7030A0"/>
              </w:rPr>
              <w:t>Base Model plus dual eligibility (dual) as a social risk variable</w:t>
            </w:r>
          </w:p>
        </w:tc>
        <w:tc>
          <w:tcPr>
            <w:tcW w:w="2815" w:type="dxa"/>
            <w:tcBorders>
              <w:top w:val="nil"/>
              <w:left w:val="single" w:sz="2" w:space="0" w:color="000000"/>
              <w:bottom w:val="single" w:sz="2" w:space="0" w:color="000000"/>
              <w:right w:val="single" w:sz="6" w:space="0" w:color="000000"/>
            </w:tcBorders>
            <w:shd w:val="clear" w:color="auto" w:fill="FFFFFF"/>
          </w:tcPr>
          <w:p w14:paraId="2223C0DE" w14:textId="4C863404" w:rsidR="00275E1B" w:rsidRPr="00BA0374" w:rsidRDefault="00275E1B" w:rsidP="00C079DA">
            <w:pPr>
              <w:autoSpaceDE w:val="0"/>
              <w:autoSpaceDN w:val="0"/>
              <w:adjustRightInd w:val="0"/>
              <w:spacing w:before="120" w:after="120"/>
              <w:jc w:val="center"/>
              <w:rPr>
                <w:rFonts w:cstheme="minorHAnsi"/>
                <w:bCs/>
                <w:color w:val="C00000"/>
              </w:rPr>
            </w:pPr>
            <w:r>
              <w:rPr>
                <w:color w:val="C00000"/>
              </w:rPr>
              <w:t>0.73</w:t>
            </w:r>
          </w:p>
        </w:tc>
      </w:tr>
      <w:tr w:rsidR="00275E1B" w:rsidRPr="00BA0374" w14:paraId="1B6DF4AC" w14:textId="77777777" w:rsidTr="00275E1B">
        <w:trPr>
          <w:cantSplit/>
          <w:trHeight w:val="457"/>
          <w:tblHeader/>
        </w:trPr>
        <w:tc>
          <w:tcPr>
            <w:tcW w:w="6130" w:type="dxa"/>
          </w:tcPr>
          <w:p w14:paraId="4232609B" w14:textId="77777777" w:rsidR="00275E1B" w:rsidRPr="00BA0374" w:rsidRDefault="00275E1B" w:rsidP="00C079DA">
            <w:pPr>
              <w:autoSpaceDE w:val="0"/>
              <w:autoSpaceDN w:val="0"/>
              <w:adjustRightInd w:val="0"/>
              <w:spacing w:before="120" w:after="120"/>
              <w:rPr>
                <w:rFonts w:cstheme="minorHAnsi"/>
                <w:bCs/>
                <w:color w:val="7030A0"/>
              </w:rPr>
            </w:pPr>
            <w:r w:rsidRPr="00BA0374">
              <w:rPr>
                <w:rFonts w:cstheme="minorHAnsi"/>
                <w:bCs/>
                <w:color w:val="7030A0"/>
              </w:rPr>
              <w:t>Base Model plus SES9 and dual as social risk variables</w:t>
            </w:r>
          </w:p>
        </w:tc>
        <w:tc>
          <w:tcPr>
            <w:tcW w:w="2815" w:type="dxa"/>
            <w:tcBorders>
              <w:top w:val="nil"/>
              <w:left w:val="single" w:sz="2" w:space="0" w:color="000000"/>
              <w:bottom w:val="single" w:sz="6" w:space="0" w:color="000000"/>
              <w:right w:val="single" w:sz="6" w:space="0" w:color="000000"/>
            </w:tcBorders>
            <w:shd w:val="clear" w:color="auto" w:fill="FFFFFF"/>
          </w:tcPr>
          <w:p w14:paraId="21B0EC82" w14:textId="3B7A61C5" w:rsidR="00275E1B" w:rsidRPr="00BA0374" w:rsidRDefault="00275E1B" w:rsidP="00C079DA">
            <w:pPr>
              <w:autoSpaceDE w:val="0"/>
              <w:autoSpaceDN w:val="0"/>
              <w:adjustRightInd w:val="0"/>
              <w:spacing w:before="120" w:after="120"/>
              <w:jc w:val="center"/>
              <w:rPr>
                <w:rFonts w:cstheme="minorHAnsi"/>
                <w:bCs/>
                <w:color w:val="C00000"/>
              </w:rPr>
            </w:pPr>
            <w:r>
              <w:rPr>
                <w:color w:val="C00000"/>
              </w:rPr>
              <w:t>0.73</w:t>
            </w:r>
          </w:p>
        </w:tc>
      </w:tr>
    </w:tbl>
    <w:bookmarkEnd w:id="17"/>
    <w:p w14:paraId="1888460D" w14:textId="190458CF" w:rsidR="00275E1B" w:rsidRDefault="00EE5930" w:rsidP="00275E1B">
      <w:pPr>
        <w:autoSpaceDE w:val="0"/>
        <w:autoSpaceDN w:val="0"/>
        <w:adjustRightInd w:val="0"/>
        <w:spacing w:before="120" w:after="0" w:line="240" w:lineRule="auto"/>
        <w:rPr>
          <w:rStyle w:val="CommentReference"/>
        </w:rPr>
      </w:pPr>
      <w:r w:rsidRPr="00AF5F18">
        <w:rPr>
          <w:rFonts w:cstheme="minorHAnsi"/>
          <w:bCs/>
          <w:color w:val="7030A0"/>
        </w:rPr>
        <w:t xml:space="preserve">Furthermore, we find that the addition of </w:t>
      </w:r>
      <w:r w:rsidR="00275E1B" w:rsidRPr="00AF5F18">
        <w:rPr>
          <w:rFonts w:cstheme="minorHAnsi"/>
          <w:bCs/>
          <w:color w:val="7030A0"/>
        </w:rPr>
        <w:t>any of these variables into the hierarchical</w:t>
      </w:r>
      <w:r w:rsidR="001A4027" w:rsidRPr="00AF5F18">
        <w:rPr>
          <w:rFonts w:cstheme="minorHAnsi"/>
          <w:bCs/>
          <w:color w:val="7030A0"/>
        </w:rPr>
        <w:t xml:space="preserve"> </w:t>
      </w:r>
      <w:r w:rsidRPr="00AF5F18">
        <w:rPr>
          <w:rFonts w:cstheme="minorHAnsi"/>
          <w:bCs/>
          <w:color w:val="7030A0"/>
        </w:rPr>
        <w:t xml:space="preserve">model has little to no effect on hospital performance. We examined the change in hospitals’ RSMRs with the addition of any of these variables. The median absolute change in hospitals’ RSMRs when adding a dual eligibility indicator is </w:t>
      </w:r>
      <w:r w:rsidR="007C6823">
        <w:rPr>
          <w:rFonts w:cstheme="minorHAnsi"/>
          <w:bCs/>
          <w:color w:val="C00000"/>
        </w:rPr>
        <w:t>0.07</w:t>
      </w:r>
      <w:r w:rsidRPr="00AF5F18">
        <w:rPr>
          <w:rFonts w:cstheme="minorHAnsi"/>
          <w:bCs/>
          <w:color w:val="7030A0"/>
        </w:rPr>
        <w:t>% (interquartile range [IQR]</w:t>
      </w:r>
      <w:r w:rsidRPr="00391B1B">
        <w:rPr>
          <w:rFonts w:cstheme="minorHAnsi"/>
          <w:bCs/>
        </w:rPr>
        <w:t xml:space="preserve"> </w:t>
      </w:r>
      <w:r w:rsidRPr="0048088A">
        <w:rPr>
          <w:rFonts w:cstheme="minorHAnsi"/>
          <w:bCs/>
          <w:color w:val="C00000"/>
        </w:rPr>
        <w:t>-0.</w:t>
      </w:r>
      <w:r w:rsidR="007C6823">
        <w:rPr>
          <w:rFonts w:cstheme="minorHAnsi"/>
          <w:bCs/>
          <w:color w:val="C00000"/>
        </w:rPr>
        <w:t>005</w:t>
      </w:r>
      <w:r w:rsidRPr="0048088A">
        <w:rPr>
          <w:rFonts w:cstheme="minorHAnsi"/>
          <w:bCs/>
          <w:color w:val="C00000"/>
        </w:rPr>
        <w:t>% – 0.</w:t>
      </w:r>
      <w:r w:rsidR="007C6823">
        <w:rPr>
          <w:rFonts w:cstheme="minorHAnsi"/>
          <w:bCs/>
          <w:color w:val="C00000"/>
        </w:rPr>
        <w:t>009</w:t>
      </w:r>
      <w:r w:rsidR="00275E1B" w:rsidRPr="00AF5F18">
        <w:rPr>
          <w:rFonts w:cstheme="minorHAnsi"/>
          <w:bCs/>
          <w:color w:val="7030A0"/>
        </w:rPr>
        <w:t>%</w:t>
      </w:r>
      <w:r w:rsidRPr="00AF5F18">
        <w:rPr>
          <w:rFonts w:cstheme="minorHAnsi"/>
          <w:bCs/>
          <w:color w:val="7030A0"/>
        </w:rPr>
        <w:t xml:space="preserve">) with a correlation coefficient between RSMRs for each hospital with and without dual eligibility added of </w:t>
      </w:r>
      <w:r w:rsidRPr="0048088A">
        <w:rPr>
          <w:rFonts w:cstheme="minorHAnsi"/>
          <w:bCs/>
          <w:color w:val="C00000"/>
        </w:rPr>
        <w:t>0.9</w:t>
      </w:r>
      <w:r w:rsidR="007C6823">
        <w:rPr>
          <w:rFonts w:cstheme="minorHAnsi"/>
          <w:bCs/>
          <w:color w:val="C00000"/>
        </w:rPr>
        <w:t>99</w:t>
      </w:r>
      <w:r w:rsidRPr="00AF5F18">
        <w:rPr>
          <w:rFonts w:cstheme="minorHAnsi"/>
          <w:bCs/>
          <w:color w:val="7030A0"/>
        </w:rPr>
        <w:t xml:space="preserve">. The median absolute change in hospitals’ RSMRs when adding a low AHRQ SES Index score indicator to the model is </w:t>
      </w:r>
      <w:r w:rsidRPr="0048088A">
        <w:rPr>
          <w:rFonts w:cstheme="minorHAnsi"/>
          <w:bCs/>
          <w:color w:val="C00000"/>
        </w:rPr>
        <w:t>0.</w:t>
      </w:r>
      <w:r w:rsidR="007C6823">
        <w:rPr>
          <w:rFonts w:cstheme="minorHAnsi"/>
          <w:bCs/>
          <w:color w:val="C00000"/>
        </w:rPr>
        <w:t>049</w:t>
      </w:r>
      <w:r w:rsidRPr="00AF5F18">
        <w:rPr>
          <w:rFonts w:cstheme="minorHAnsi"/>
          <w:bCs/>
          <w:color w:val="7030A0"/>
        </w:rPr>
        <w:t>% (IQR</w:t>
      </w:r>
      <w:r w:rsidRPr="00391B1B">
        <w:rPr>
          <w:rFonts w:cstheme="minorHAnsi"/>
          <w:bCs/>
        </w:rPr>
        <w:t xml:space="preserve"> </w:t>
      </w:r>
      <w:r w:rsidRPr="0048088A">
        <w:rPr>
          <w:rFonts w:cstheme="minorHAnsi"/>
          <w:bCs/>
          <w:color w:val="C00000"/>
        </w:rPr>
        <w:t>-</w:t>
      </w:r>
      <w:r w:rsidR="00AF5F18">
        <w:rPr>
          <w:rFonts w:cstheme="minorHAnsi"/>
          <w:bCs/>
          <w:color w:val="C00000"/>
        </w:rPr>
        <w:t>0</w:t>
      </w:r>
      <w:r w:rsidRPr="0048088A">
        <w:rPr>
          <w:rFonts w:cstheme="minorHAnsi"/>
          <w:bCs/>
          <w:color w:val="C00000"/>
        </w:rPr>
        <w:t>.</w:t>
      </w:r>
      <w:r w:rsidR="007C6823">
        <w:rPr>
          <w:rFonts w:cstheme="minorHAnsi"/>
          <w:bCs/>
          <w:color w:val="C00000"/>
        </w:rPr>
        <w:t>02</w:t>
      </w:r>
      <w:r w:rsidRPr="0048088A">
        <w:rPr>
          <w:rFonts w:cstheme="minorHAnsi"/>
          <w:bCs/>
          <w:color w:val="C00000"/>
        </w:rPr>
        <w:t>1</w:t>
      </w:r>
      <w:r w:rsidRPr="00AF5F18">
        <w:rPr>
          <w:rFonts w:cstheme="minorHAnsi"/>
          <w:bCs/>
          <w:color w:val="7030A0"/>
        </w:rPr>
        <w:t xml:space="preserve">% – </w:t>
      </w:r>
      <w:r w:rsidR="007C6823">
        <w:rPr>
          <w:rFonts w:cstheme="minorHAnsi"/>
          <w:bCs/>
          <w:color w:val="C00000"/>
        </w:rPr>
        <w:t>0.068</w:t>
      </w:r>
      <w:r w:rsidR="00275E1B" w:rsidRPr="00AF5F18">
        <w:rPr>
          <w:rFonts w:cstheme="minorHAnsi"/>
          <w:bCs/>
          <w:color w:val="7030A0"/>
        </w:rPr>
        <w:t>%</w:t>
      </w:r>
      <w:r w:rsidRPr="00AF5F18">
        <w:rPr>
          <w:rFonts w:cstheme="minorHAnsi"/>
          <w:bCs/>
          <w:color w:val="7030A0"/>
        </w:rPr>
        <w:t xml:space="preserve">) with a correlation coefficient between RSMRs for each hospital with and without an indicator for a low AHRQ SES Index score adjusted for cost of living at the census block group level is </w:t>
      </w:r>
      <w:r w:rsidRPr="0048088A">
        <w:rPr>
          <w:rFonts w:cstheme="minorHAnsi"/>
          <w:bCs/>
          <w:color w:val="C00000"/>
        </w:rPr>
        <w:t>0.9</w:t>
      </w:r>
      <w:r w:rsidR="007C6823">
        <w:rPr>
          <w:rFonts w:cstheme="minorHAnsi"/>
          <w:bCs/>
          <w:color w:val="C00000"/>
        </w:rPr>
        <w:t>78</w:t>
      </w:r>
      <w:r w:rsidRPr="00391B1B">
        <w:rPr>
          <w:rFonts w:cstheme="minorHAnsi"/>
          <w:bCs/>
        </w:rPr>
        <w:t>.</w:t>
      </w:r>
    </w:p>
    <w:p w14:paraId="0F599910" w14:textId="77777777" w:rsidR="00174882" w:rsidRDefault="00174882" w:rsidP="00174882">
      <w:pPr>
        <w:autoSpaceDE w:val="0"/>
        <w:autoSpaceDN w:val="0"/>
        <w:adjustRightInd w:val="0"/>
        <w:spacing w:before="120" w:after="0" w:line="240" w:lineRule="auto"/>
        <w:rPr>
          <w:rFonts w:cstheme="minorHAnsi"/>
          <w:b/>
          <w:bCs/>
          <w:color w:val="C00000"/>
        </w:rPr>
      </w:pPr>
      <w:bookmarkStart w:id="19" w:name="_Hlk44583143"/>
      <w:r>
        <w:rPr>
          <w:rFonts w:cstheme="minorHAnsi"/>
          <w:bCs/>
          <w:color w:val="C00000"/>
          <w:u w:val="single"/>
        </w:rPr>
        <w:t>Summary</w:t>
      </w:r>
    </w:p>
    <w:p w14:paraId="7B51B661" w14:textId="35F5F8D4" w:rsidR="00174882" w:rsidRDefault="00603B4B" w:rsidP="00174882">
      <w:pPr>
        <w:autoSpaceDE w:val="0"/>
        <w:autoSpaceDN w:val="0"/>
        <w:adjustRightInd w:val="0"/>
        <w:spacing w:before="120" w:after="0" w:line="240" w:lineRule="auto"/>
        <w:rPr>
          <w:rFonts w:cstheme="minorHAnsi"/>
          <w:bCs/>
          <w:color w:val="C00000"/>
        </w:rPr>
      </w:pPr>
      <w:r>
        <w:rPr>
          <w:rFonts w:cstheme="minorHAnsi"/>
          <w:bCs/>
          <w:color w:val="C00000"/>
        </w:rPr>
        <w:t xml:space="preserve">We </w:t>
      </w:r>
      <w:r w:rsidR="00174882">
        <w:rPr>
          <w:rFonts w:cstheme="minorHAnsi"/>
          <w:bCs/>
          <w:color w:val="C00000"/>
        </w:rPr>
        <w:t>find that the impact of any of these indicators is small to negligible on model performance and hospital-level results. Given the controversial nature of incorporating such variables into a risk-model, we do not support doing so in a case that is unlikely to affect hospital profiling. Given these empiric findings, ASPE’s recommendation to not risk adjust publicly reported quality measures for SRFs, and complex pathways which could explain the relationship between SRFs and mortality (and do not all support risk-adjustment), CMS chose to not incorporate SRF variables in this measure.</w:t>
      </w:r>
    </w:p>
    <w:p w14:paraId="08CE9097" w14:textId="77777777" w:rsidR="00174882" w:rsidRDefault="00174882" w:rsidP="00174882">
      <w:pPr>
        <w:autoSpaceDE w:val="0"/>
        <w:autoSpaceDN w:val="0"/>
        <w:adjustRightInd w:val="0"/>
        <w:spacing w:before="120" w:after="0" w:line="240" w:lineRule="auto"/>
        <w:rPr>
          <w:rFonts w:cstheme="minorHAnsi"/>
          <w:bCs/>
          <w:color w:val="C00000"/>
        </w:rPr>
      </w:pPr>
      <w:r>
        <w:rPr>
          <w:rFonts w:cstheme="minorHAnsi"/>
          <w:bCs/>
          <w:color w:val="C00000"/>
          <w:u w:val="single"/>
        </w:rPr>
        <w:t>References</w:t>
      </w:r>
      <w:r>
        <w:rPr>
          <w:rFonts w:cstheme="minorHAnsi"/>
          <w:bCs/>
          <w:color w:val="C00000"/>
        </w:rPr>
        <w:t>:</w:t>
      </w:r>
    </w:p>
    <w:p w14:paraId="778DB350" w14:textId="77777777" w:rsidR="00174882" w:rsidRDefault="00174882" w:rsidP="00174882">
      <w:pPr>
        <w:spacing w:before="120" w:line="240" w:lineRule="auto"/>
        <w:rPr>
          <w:rFonts w:cstheme="minorHAnsi"/>
          <w:noProof/>
          <w:color w:val="C00000"/>
        </w:rPr>
      </w:pPr>
      <w:r>
        <w:rPr>
          <w:rFonts w:cstheme="minorHAnsi"/>
          <w:noProof/>
          <w:color w:val="C00000"/>
        </w:rPr>
        <w:t xml:space="preserve">Department of Health and Human Services, Office of the Assistant Secretary of Planning and Evaluation (ASPE). Second Report to Congress: Social Risk Factors and Performance in Medicare’s Value-based Purchasing Programs. 2020; </w:t>
      </w:r>
      <w:hyperlink r:id="rId25" w:history="1">
        <w:r>
          <w:rPr>
            <w:rStyle w:val="Hyperlink"/>
            <w:rFonts w:cstheme="minorHAnsi"/>
            <w:noProof/>
          </w:rPr>
          <w:t>https://aspe.hhs.gov/system/files/pdf/263676/Social-Risk-in-Medicare%E2%80%99s-VBP-2nd-Report.pdf</w:t>
        </w:r>
      </w:hyperlink>
      <w:r>
        <w:rPr>
          <w:rFonts w:cstheme="minorHAnsi"/>
          <w:noProof/>
          <w:color w:val="C00000"/>
        </w:rPr>
        <w:t>. Accessed July 2, 2020.</w:t>
      </w:r>
      <w:bookmarkEnd w:id="19"/>
    </w:p>
    <w:p w14:paraId="0B5526D7" w14:textId="77777777" w:rsidR="00252CBD" w:rsidRDefault="009C7513" w:rsidP="00092566">
      <w:pPr>
        <w:autoSpaceDE w:val="0"/>
        <w:autoSpaceDN w:val="0"/>
        <w:adjustRightInd w:val="0"/>
        <w:spacing w:after="0" w:line="240" w:lineRule="auto"/>
        <w:rPr>
          <w:rFonts w:cstheme="minorHAnsi"/>
          <w:bCs/>
        </w:rPr>
      </w:pPr>
      <w:r>
        <w:rPr>
          <w:rFonts w:cstheme="minorHAnsi"/>
          <w:b/>
          <w:bCs/>
        </w:rPr>
        <w:lastRenderedPageBreak/>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5CBFC3EB" w14:textId="77777777" w:rsidR="00252CBD" w:rsidRDefault="00252CBD" w:rsidP="00252CBD">
      <w:pPr>
        <w:autoSpaceDE w:val="0"/>
        <w:autoSpaceDN w:val="0"/>
        <w:adjustRightInd w:val="0"/>
        <w:spacing w:before="120" w:after="0" w:line="240" w:lineRule="auto"/>
        <w:rPr>
          <w:rFonts w:cstheme="minorHAnsi"/>
          <w:bCs/>
        </w:rPr>
      </w:pPr>
      <w:r w:rsidRPr="0030205A">
        <w:rPr>
          <w:rFonts w:cstheme="minorHAnsi"/>
          <w:bCs/>
          <w:color w:val="7030A0"/>
          <w:u w:val="single"/>
        </w:rPr>
        <w:t>Approach to assessing model performance</w:t>
      </w:r>
    </w:p>
    <w:p w14:paraId="43CC08F4" w14:textId="77777777" w:rsidR="00252CBD" w:rsidRDefault="00252CBD" w:rsidP="00252CBD">
      <w:pPr>
        <w:autoSpaceDE w:val="0"/>
        <w:autoSpaceDN w:val="0"/>
        <w:adjustRightInd w:val="0"/>
        <w:spacing w:before="120" w:after="0" w:line="240" w:lineRule="auto"/>
        <w:rPr>
          <w:rFonts w:cstheme="minorHAnsi"/>
          <w:bCs/>
        </w:rPr>
      </w:pPr>
      <w:r w:rsidRPr="0030205A">
        <w:rPr>
          <w:rFonts w:cstheme="minorHAnsi"/>
          <w:bCs/>
          <w:color w:val="7030A0"/>
        </w:rPr>
        <w:t>We computed three summary statistics for assessing model performance (Harrell and Shih, 2001) for the expanded cohort:</w:t>
      </w:r>
    </w:p>
    <w:p w14:paraId="058058C7" w14:textId="77777777" w:rsidR="00252CBD" w:rsidRDefault="00252CBD" w:rsidP="00252CBD">
      <w:pPr>
        <w:autoSpaceDE w:val="0"/>
        <w:autoSpaceDN w:val="0"/>
        <w:adjustRightInd w:val="0"/>
        <w:spacing w:before="120" w:after="0" w:line="240" w:lineRule="auto"/>
        <w:rPr>
          <w:rFonts w:cstheme="minorHAnsi"/>
          <w:bCs/>
        </w:rPr>
      </w:pPr>
      <w:r w:rsidRPr="0030205A">
        <w:rPr>
          <w:rFonts w:cstheme="minorHAnsi"/>
          <w:b/>
          <w:bCs/>
          <w:i/>
          <w:color w:val="7030A0"/>
        </w:rPr>
        <w:t>Discrimination Statistics</w:t>
      </w:r>
    </w:p>
    <w:p w14:paraId="27DA7F7E" w14:textId="77777777" w:rsidR="00252CBD" w:rsidRDefault="00252CBD" w:rsidP="00252CBD">
      <w:pPr>
        <w:autoSpaceDE w:val="0"/>
        <w:autoSpaceDN w:val="0"/>
        <w:adjustRightInd w:val="0"/>
        <w:spacing w:before="120" w:after="0" w:line="240" w:lineRule="auto"/>
        <w:rPr>
          <w:rFonts w:cstheme="minorHAnsi"/>
          <w:bCs/>
        </w:rPr>
      </w:pPr>
      <w:r w:rsidRPr="0030205A">
        <w:rPr>
          <w:rFonts w:cstheme="minorHAnsi"/>
          <w:bCs/>
          <w:color w:val="7030A0"/>
        </w:rPr>
        <w:t xml:space="preserve">(1) </w:t>
      </w:r>
      <w:r w:rsidRPr="0030205A">
        <w:rPr>
          <w:color w:val="7030A0"/>
        </w:rPr>
        <w:t>Area under the receiver operating characteristic (ROC) curve (the c-statistic) is the probability that predicting the outcome is better than chance, which is a measure of how accurately a statistical model is able to distinguish between a patient with and without an outcome)</w:t>
      </w:r>
    </w:p>
    <w:p w14:paraId="0459DD45" w14:textId="7909E30B" w:rsidR="00252CBD" w:rsidRDefault="00252CBD" w:rsidP="00252CBD">
      <w:pPr>
        <w:autoSpaceDE w:val="0"/>
        <w:autoSpaceDN w:val="0"/>
        <w:adjustRightInd w:val="0"/>
        <w:spacing w:before="120" w:after="0" w:line="240" w:lineRule="auto"/>
        <w:rPr>
          <w:rFonts w:cstheme="minorHAnsi"/>
          <w:bCs/>
        </w:rPr>
      </w:pPr>
      <w:r w:rsidRPr="0030205A">
        <w:rPr>
          <w:rFonts w:cstheme="minorHAnsi"/>
          <w:bCs/>
          <w:color w:val="7030A0"/>
        </w:rPr>
        <w:t xml:space="preserve">(2) Predictive ability </w:t>
      </w:r>
      <w:r w:rsidRPr="0030205A">
        <w:rPr>
          <w:color w:val="7030A0"/>
        </w:rPr>
        <w:t>(discrimination in predictive ability measures the ability to distinguish high-risk subjects from low-risk subjects; therefore, we would hope to see a wide range between the lowest decile and highes</w:t>
      </w:r>
      <w:r w:rsidR="00F309E5">
        <w:rPr>
          <w:color w:val="7030A0"/>
        </w:rPr>
        <w:t>t decile.</w:t>
      </w:r>
      <w:r w:rsidRPr="0030205A">
        <w:rPr>
          <w:color w:val="7030A0"/>
        </w:rPr>
        <w:t>)</w:t>
      </w:r>
    </w:p>
    <w:p w14:paraId="068A410A" w14:textId="77777777" w:rsidR="00252CBD" w:rsidRDefault="00252CBD" w:rsidP="00252CBD">
      <w:pPr>
        <w:autoSpaceDE w:val="0"/>
        <w:autoSpaceDN w:val="0"/>
        <w:adjustRightInd w:val="0"/>
        <w:spacing w:before="120" w:after="0" w:line="240" w:lineRule="auto"/>
        <w:rPr>
          <w:rFonts w:cstheme="minorHAnsi"/>
          <w:bCs/>
        </w:rPr>
      </w:pPr>
      <w:r w:rsidRPr="0030205A">
        <w:rPr>
          <w:b/>
          <w:i/>
          <w:color w:val="7030A0"/>
        </w:rPr>
        <w:t>Calibration Statistics</w:t>
      </w:r>
    </w:p>
    <w:p w14:paraId="00EDCD1E" w14:textId="77777777" w:rsidR="00252CBD" w:rsidRDefault="00252CBD" w:rsidP="00252CBD">
      <w:pPr>
        <w:autoSpaceDE w:val="0"/>
        <w:autoSpaceDN w:val="0"/>
        <w:adjustRightInd w:val="0"/>
        <w:spacing w:before="120" w:after="0" w:line="240" w:lineRule="auto"/>
        <w:rPr>
          <w:rFonts w:cstheme="minorHAnsi"/>
          <w:bCs/>
        </w:rPr>
      </w:pPr>
      <w:r w:rsidRPr="0030205A">
        <w:rPr>
          <w:rFonts w:cstheme="minorHAnsi"/>
          <w:bCs/>
          <w:color w:val="7030A0"/>
        </w:rPr>
        <w:t>(3) Over-fitting indices (over-fitting refers to the phenomenon in which a model accurately describes the relationship between predictive variables and outcome in the development dataset but fails to provide valid predictions in new patients)</w:t>
      </w:r>
    </w:p>
    <w:p w14:paraId="3DE29904" w14:textId="52DADC17" w:rsidR="00252CBD" w:rsidRDefault="00252CBD" w:rsidP="00252CBD">
      <w:pPr>
        <w:autoSpaceDE w:val="0"/>
        <w:autoSpaceDN w:val="0"/>
        <w:adjustRightInd w:val="0"/>
        <w:spacing w:before="120" w:after="0" w:line="240" w:lineRule="auto"/>
        <w:rPr>
          <w:rFonts w:cstheme="minorHAnsi"/>
          <w:bCs/>
        </w:rPr>
      </w:pPr>
      <w:r w:rsidRPr="0030205A">
        <w:rPr>
          <w:rFonts w:cstheme="minorHAnsi"/>
          <w:bCs/>
          <w:color w:val="7030A0"/>
        </w:rPr>
        <w:t xml:space="preserve">We tested the performance of the model for </w:t>
      </w:r>
      <w:r w:rsidR="0008663D">
        <w:rPr>
          <w:rFonts w:cstheme="minorHAnsi"/>
          <w:b/>
          <w:bCs/>
          <w:color w:val="7030A0"/>
        </w:rPr>
        <w:t>the development data</w:t>
      </w:r>
      <w:r w:rsidRPr="0030205A">
        <w:rPr>
          <w:rFonts w:cstheme="minorHAnsi"/>
          <w:b/>
          <w:bCs/>
          <w:color w:val="7030A0"/>
        </w:rPr>
        <w:t xml:space="preserve">set </w:t>
      </w:r>
      <w:r w:rsidRPr="0030205A">
        <w:rPr>
          <w:rFonts w:cstheme="minorHAnsi"/>
          <w:bCs/>
          <w:color w:val="7030A0"/>
        </w:rPr>
        <w:t xml:space="preserve">described in section 1.7. </w:t>
      </w:r>
    </w:p>
    <w:p w14:paraId="3915133C" w14:textId="77777777" w:rsidR="00252CBD" w:rsidRDefault="00252CBD" w:rsidP="00252CBD">
      <w:pPr>
        <w:autoSpaceDE w:val="0"/>
        <w:autoSpaceDN w:val="0"/>
        <w:adjustRightInd w:val="0"/>
        <w:spacing w:before="120" w:after="0" w:line="240" w:lineRule="auto"/>
        <w:rPr>
          <w:rFonts w:cstheme="minorHAnsi"/>
          <w:bCs/>
        </w:rPr>
      </w:pPr>
      <w:r w:rsidRPr="0030205A">
        <w:rPr>
          <w:rFonts w:cstheme="minorHAnsi"/>
          <w:bCs/>
          <w:color w:val="7030A0"/>
          <w:u w:val="single"/>
        </w:rPr>
        <w:t>References:</w:t>
      </w:r>
    </w:p>
    <w:p w14:paraId="788FAF7F" w14:textId="77777777" w:rsidR="00252CBD" w:rsidRPr="0030205A" w:rsidRDefault="00252CBD" w:rsidP="00252CBD">
      <w:pPr>
        <w:autoSpaceDE w:val="0"/>
        <w:autoSpaceDN w:val="0"/>
        <w:adjustRightInd w:val="0"/>
        <w:spacing w:before="120" w:after="0" w:line="240" w:lineRule="auto"/>
        <w:rPr>
          <w:rFonts w:cstheme="minorHAnsi"/>
          <w:bCs/>
        </w:rPr>
      </w:pPr>
      <w:r w:rsidRPr="0030205A">
        <w:rPr>
          <w:color w:val="7030A0"/>
        </w:rPr>
        <w:t xml:space="preserve">Harrell FE and Shih YC, Using full probability models to compute probabilities of actual interest to decision makers, </w:t>
      </w:r>
      <w:r w:rsidRPr="0030205A">
        <w:rPr>
          <w:i/>
          <w:iCs/>
          <w:color w:val="7030A0"/>
        </w:rPr>
        <w:t>Int. J. Technol. Assess. Health Care</w:t>
      </w:r>
      <w:r w:rsidRPr="0030205A">
        <w:rPr>
          <w:color w:val="7030A0"/>
        </w:rPr>
        <w:t xml:space="preserve"> </w:t>
      </w:r>
      <w:r w:rsidRPr="0030205A">
        <w:rPr>
          <w:rStyle w:val="Strong"/>
          <w:b w:val="0"/>
          <w:color w:val="7030A0"/>
        </w:rPr>
        <w:t>17</w:t>
      </w:r>
      <w:r w:rsidRPr="0030205A">
        <w:rPr>
          <w:color w:val="7030A0"/>
        </w:rPr>
        <w:t xml:space="preserve"> (2001), pp. 17–26.</w:t>
      </w:r>
    </w:p>
    <w:p w14:paraId="35DCA78B" w14:textId="77777777" w:rsidR="00EE5930" w:rsidRPr="00A25024" w:rsidRDefault="00EE5930" w:rsidP="00092566">
      <w:pPr>
        <w:autoSpaceDE w:val="0"/>
        <w:autoSpaceDN w:val="0"/>
        <w:adjustRightInd w:val="0"/>
        <w:spacing w:after="0" w:line="240" w:lineRule="auto"/>
        <w:rPr>
          <w:rFonts w:cstheme="minorHAnsi"/>
          <w:bCs/>
        </w:rPr>
      </w:pP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BC292B">
        <w:rPr>
          <w:rFonts w:cstheme="minorHAnsi"/>
          <w:b/>
          <w:bCs/>
          <w:i/>
        </w:rPr>
        <w:t>If</w:t>
      </w:r>
      <w:r w:rsidR="00743E46" w:rsidRPr="00BC292B">
        <w:rPr>
          <w:rFonts w:cstheme="minorHAnsi"/>
          <w:b/>
          <w:bCs/>
          <w:i/>
        </w:rPr>
        <w:t xml:space="preserve"> stratified, skip to </w:t>
      </w:r>
      <w:hyperlink w:anchor="question2b49" w:history="1">
        <w:r w:rsidR="009C7513" w:rsidRPr="00BC292B">
          <w:rPr>
            <w:rStyle w:val="Hyperlink"/>
            <w:rFonts w:cstheme="minorHAnsi"/>
            <w:b/>
            <w:bCs/>
            <w:i/>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6377211D" w14:textId="7382780F" w:rsidR="00252CBD" w:rsidRDefault="00743E46" w:rsidP="00252CBD">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84071B">
        <w:rPr>
          <w:rFonts w:cstheme="minorHAnsi"/>
          <w:b/>
          <w:bCs/>
        </w:rPr>
        <w:t xml:space="preserve"> </w:t>
      </w:r>
      <w:bookmarkStart w:id="20" w:name="_Hlk8636326"/>
    </w:p>
    <w:p w14:paraId="47B54A94" w14:textId="77777777" w:rsidR="00252CBD" w:rsidRDefault="00EE5930" w:rsidP="00252CBD">
      <w:pPr>
        <w:autoSpaceDE w:val="0"/>
        <w:autoSpaceDN w:val="0"/>
        <w:adjustRightInd w:val="0"/>
        <w:spacing w:before="120" w:after="0" w:line="240" w:lineRule="auto"/>
        <w:rPr>
          <w:rFonts w:cstheme="minorHAnsi"/>
          <w:noProof/>
          <w:u w:val="single"/>
        </w:rPr>
      </w:pPr>
      <w:r w:rsidRPr="00F309E5">
        <w:rPr>
          <w:rFonts w:cstheme="minorHAnsi"/>
          <w:noProof/>
          <w:color w:val="7030A0"/>
          <w:u w:val="single"/>
        </w:rPr>
        <w:t xml:space="preserve">Development and Validation Dataset: </w:t>
      </w:r>
    </w:p>
    <w:p w14:paraId="119EE538" w14:textId="77777777" w:rsidR="00252CBD" w:rsidRPr="00E9461C" w:rsidRDefault="00EE5930" w:rsidP="00252CBD">
      <w:pPr>
        <w:autoSpaceDE w:val="0"/>
        <w:autoSpaceDN w:val="0"/>
        <w:adjustRightInd w:val="0"/>
        <w:spacing w:before="120" w:after="0" w:line="240" w:lineRule="auto"/>
        <w:rPr>
          <w:rFonts w:cs="Arial"/>
          <w:color w:val="7030A0"/>
        </w:rPr>
      </w:pPr>
      <w:r w:rsidRPr="00E9461C">
        <w:rPr>
          <w:rFonts w:cs="Arial"/>
          <w:b/>
          <w:color w:val="7030A0"/>
        </w:rPr>
        <w:t>1</w:t>
      </w:r>
      <w:r w:rsidRPr="00E9461C">
        <w:rPr>
          <w:rFonts w:cs="Arial"/>
          <w:b/>
          <w:color w:val="7030A0"/>
          <w:vertAlign w:val="superscript"/>
        </w:rPr>
        <w:t>st</w:t>
      </w:r>
      <w:r w:rsidRPr="00E9461C">
        <w:rPr>
          <w:rFonts w:cs="Arial"/>
          <w:b/>
          <w:color w:val="7030A0"/>
        </w:rPr>
        <w:t xml:space="preserve"> half of randomly split development sample</w:t>
      </w:r>
      <w:r w:rsidRPr="00E9461C">
        <w:rPr>
          <w:rFonts w:cs="Arial"/>
          <w:color w:val="7030A0"/>
        </w:rPr>
        <w:t xml:space="preserve">: </w:t>
      </w:r>
    </w:p>
    <w:p w14:paraId="467107E8" w14:textId="77777777" w:rsidR="00252CBD" w:rsidRPr="00E9461C" w:rsidRDefault="00EE5930" w:rsidP="00252CBD">
      <w:pPr>
        <w:pStyle w:val="ListParagraph"/>
        <w:numPr>
          <w:ilvl w:val="0"/>
          <w:numId w:val="35"/>
        </w:numPr>
        <w:autoSpaceDE w:val="0"/>
        <w:autoSpaceDN w:val="0"/>
        <w:adjustRightInd w:val="0"/>
        <w:spacing w:before="120" w:after="0" w:line="240" w:lineRule="auto"/>
        <w:rPr>
          <w:color w:val="7030A0"/>
        </w:rPr>
      </w:pPr>
      <w:r w:rsidRPr="00E9461C">
        <w:rPr>
          <w:color w:val="7030A0"/>
        </w:rPr>
        <w:t>c-statistic = 0.71</w:t>
      </w:r>
    </w:p>
    <w:p w14:paraId="2E3D816D" w14:textId="77777777" w:rsidR="00252CBD" w:rsidRPr="00E9461C" w:rsidRDefault="00EE5930" w:rsidP="00252CBD">
      <w:pPr>
        <w:pStyle w:val="ListParagraph"/>
        <w:numPr>
          <w:ilvl w:val="0"/>
          <w:numId w:val="35"/>
        </w:numPr>
        <w:autoSpaceDE w:val="0"/>
        <w:autoSpaceDN w:val="0"/>
        <w:adjustRightInd w:val="0"/>
        <w:spacing w:before="120" w:after="0" w:line="240" w:lineRule="auto"/>
        <w:rPr>
          <w:color w:val="7030A0"/>
        </w:rPr>
      </w:pPr>
      <w:r w:rsidRPr="00E9461C">
        <w:rPr>
          <w:color w:val="7030A0"/>
        </w:rPr>
        <w:t>Predictive ability (lowest decile %, highest decile %) = (4.0, 40.0)</w:t>
      </w:r>
    </w:p>
    <w:p w14:paraId="388E88C0" w14:textId="77777777" w:rsidR="00252CBD" w:rsidRPr="00E9461C" w:rsidRDefault="00EE5930" w:rsidP="00252CBD">
      <w:pPr>
        <w:autoSpaceDE w:val="0"/>
        <w:autoSpaceDN w:val="0"/>
        <w:adjustRightInd w:val="0"/>
        <w:spacing w:before="120" w:after="0" w:line="240" w:lineRule="auto"/>
        <w:rPr>
          <w:color w:val="7030A0"/>
        </w:rPr>
      </w:pPr>
      <w:r w:rsidRPr="00E9461C">
        <w:rPr>
          <w:b/>
          <w:color w:val="7030A0"/>
        </w:rPr>
        <w:t>2</w:t>
      </w:r>
      <w:r w:rsidRPr="00E9461C">
        <w:rPr>
          <w:b/>
          <w:color w:val="7030A0"/>
          <w:vertAlign w:val="superscript"/>
        </w:rPr>
        <w:t>nd</w:t>
      </w:r>
      <w:r w:rsidRPr="00E9461C">
        <w:rPr>
          <w:b/>
          <w:color w:val="7030A0"/>
        </w:rPr>
        <w:t xml:space="preserve"> half of randomly split development sample</w:t>
      </w:r>
      <w:r w:rsidRPr="00E9461C">
        <w:rPr>
          <w:color w:val="7030A0"/>
        </w:rPr>
        <w:t xml:space="preserve">: </w:t>
      </w:r>
    </w:p>
    <w:p w14:paraId="610D2065" w14:textId="77777777" w:rsidR="00252CBD" w:rsidRPr="00E9461C" w:rsidRDefault="00EE5930" w:rsidP="00252CBD">
      <w:pPr>
        <w:pStyle w:val="ListParagraph"/>
        <w:numPr>
          <w:ilvl w:val="0"/>
          <w:numId w:val="36"/>
        </w:numPr>
        <w:autoSpaceDE w:val="0"/>
        <w:autoSpaceDN w:val="0"/>
        <w:adjustRightInd w:val="0"/>
        <w:spacing w:before="120" w:after="0" w:line="240" w:lineRule="auto"/>
        <w:rPr>
          <w:color w:val="7030A0"/>
        </w:rPr>
      </w:pPr>
      <w:r w:rsidRPr="00E9461C">
        <w:rPr>
          <w:color w:val="7030A0"/>
        </w:rPr>
        <w:t>c-statistic = 0.70</w:t>
      </w:r>
    </w:p>
    <w:p w14:paraId="337977B9" w14:textId="77777777" w:rsidR="00252CBD" w:rsidRPr="00E9461C" w:rsidRDefault="00EE5930" w:rsidP="00252CBD">
      <w:pPr>
        <w:pStyle w:val="ListParagraph"/>
        <w:numPr>
          <w:ilvl w:val="0"/>
          <w:numId w:val="36"/>
        </w:numPr>
        <w:autoSpaceDE w:val="0"/>
        <w:autoSpaceDN w:val="0"/>
        <w:adjustRightInd w:val="0"/>
        <w:spacing w:before="120" w:after="0" w:line="240" w:lineRule="auto"/>
        <w:rPr>
          <w:rFonts w:cstheme="minorHAnsi"/>
          <w:b/>
          <w:bCs/>
          <w:color w:val="7030A0"/>
        </w:rPr>
      </w:pPr>
      <w:r w:rsidRPr="00E9461C">
        <w:rPr>
          <w:color w:val="7030A0"/>
        </w:rPr>
        <w:t>Predictive ability (lowest decile %, highest decile %) = (4.2, 40.1)</w:t>
      </w:r>
    </w:p>
    <w:p w14:paraId="5FB1EA33" w14:textId="77777777" w:rsidR="00252CBD" w:rsidRPr="00E9461C" w:rsidRDefault="00252CBD" w:rsidP="00252CBD">
      <w:pPr>
        <w:pStyle w:val="ListParagraph"/>
        <w:autoSpaceDE w:val="0"/>
        <w:autoSpaceDN w:val="0"/>
        <w:adjustRightInd w:val="0"/>
        <w:spacing w:before="120" w:after="0" w:line="240" w:lineRule="auto"/>
        <w:rPr>
          <w:color w:val="7030A0"/>
        </w:rPr>
      </w:pPr>
    </w:p>
    <w:p w14:paraId="262A8ACC" w14:textId="77777777" w:rsidR="00252CBD" w:rsidRPr="00E9461C" w:rsidRDefault="00EE5930" w:rsidP="00252CBD">
      <w:pPr>
        <w:pStyle w:val="ListParagraph"/>
        <w:autoSpaceDE w:val="0"/>
        <w:autoSpaceDN w:val="0"/>
        <w:adjustRightInd w:val="0"/>
        <w:spacing w:before="120" w:after="120" w:line="240" w:lineRule="auto"/>
        <w:ind w:left="0"/>
        <w:rPr>
          <w:rFonts w:cstheme="minorHAnsi"/>
          <w:noProof/>
          <w:color w:val="C00000"/>
          <w:u w:val="single"/>
        </w:rPr>
      </w:pPr>
      <w:r w:rsidRPr="00E9461C">
        <w:rPr>
          <w:rFonts w:cstheme="minorHAnsi"/>
          <w:noProof/>
          <w:color w:val="C00000"/>
          <w:u w:val="single"/>
        </w:rPr>
        <w:t>Results for the Testing Dataset</w:t>
      </w:r>
    </w:p>
    <w:p w14:paraId="621BE332" w14:textId="416E5B35" w:rsidR="00252CBD" w:rsidRPr="00E9461C" w:rsidRDefault="00EE5930" w:rsidP="00252CBD">
      <w:pPr>
        <w:pStyle w:val="ListParagraph"/>
        <w:numPr>
          <w:ilvl w:val="0"/>
          <w:numId w:val="37"/>
        </w:numPr>
        <w:autoSpaceDE w:val="0"/>
        <w:autoSpaceDN w:val="0"/>
        <w:adjustRightInd w:val="0"/>
        <w:spacing w:before="120" w:after="120" w:line="240" w:lineRule="auto"/>
        <w:rPr>
          <w:rFonts w:cstheme="minorHAnsi"/>
          <w:noProof/>
          <w:color w:val="C00000"/>
        </w:rPr>
      </w:pPr>
      <w:r w:rsidRPr="00E9461C">
        <w:rPr>
          <w:rFonts w:cstheme="minorHAnsi"/>
          <w:noProof/>
          <w:color w:val="C00000"/>
        </w:rPr>
        <w:t xml:space="preserve">C-statistic = </w:t>
      </w:r>
      <w:r w:rsidR="00E9461C" w:rsidRPr="00E9461C">
        <w:rPr>
          <w:rFonts w:cstheme="minorHAnsi"/>
          <w:noProof/>
          <w:color w:val="C00000"/>
        </w:rPr>
        <w:t>0.73</w:t>
      </w:r>
    </w:p>
    <w:p w14:paraId="4D50F943" w14:textId="77777777" w:rsidR="00BC292B" w:rsidRDefault="00EE5930" w:rsidP="00BC292B">
      <w:pPr>
        <w:pStyle w:val="ListParagraph"/>
        <w:numPr>
          <w:ilvl w:val="0"/>
          <w:numId w:val="37"/>
        </w:numPr>
        <w:autoSpaceDE w:val="0"/>
        <w:autoSpaceDN w:val="0"/>
        <w:adjustRightInd w:val="0"/>
        <w:spacing w:before="120" w:after="240" w:line="240" w:lineRule="auto"/>
        <w:rPr>
          <w:rFonts w:cstheme="minorHAnsi"/>
          <w:noProof/>
          <w:color w:val="C00000"/>
        </w:rPr>
      </w:pPr>
      <w:r w:rsidRPr="00E9461C">
        <w:rPr>
          <w:rFonts w:cstheme="minorHAnsi"/>
          <w:noProof/>
          <w:color w:val="C00000"/>
        </w:rPr>
        <w:t>Predictive ability (lowest decile %, highest decile %): (</w:t>
      </w:r>
      <w:r w:rsidR="00E9461C" w:rsidRPr="00E9461C">
        <w:rPr>
          <w:rFonts w:cstheme="minorHAnsi"/>
          <w:noProof/>
          <w:color w:val="C00000"/>
        </w:rPr>
        <w:t>2.2, 33.7</w:t>
      </w:r>
      <w:r w:rsidRPr="00E9461C">
        <w:rPr>
          <w:rFonts w:cstheme="minorHAnsi"/>
          <w:noProof/>
          <w:color w:val="C00000"/>
        </w:rPr>
        <w:t>)</w:t>
      </w:r>
      <w:bookmarkEnd w:id="20"/>
    </w:p>
    <w:p w14:paraId="43154F6E" w14:textId="6A6F5D08" w:rsidR="00EE5930" w:rsidRPr="00BC292B" w:rsidRDefault="00EE5930" w:rsidP="00BC292B">
      <w:pPr>
        <w:autoSpaceDE w:val="0"/>
        <w:autoSpaceDN w:val="0"/>
        <w:adjustRightInd w:val="0"/>
        <w:spacing w:before="120" w:after="240" w:line="240" w:lineRule="auto"/>
        <w:rPr>
          <w:rFonts w:cstheme="minorHAnsi"/>
          <w:noProof/>
          <w:color w:val="C00000"/>
        </w:rPr>
      </w:pPr>
      <w:r w:rsidRPr="00BC292B">
        <w:rPr>
          <w:color w:val="C00000"/>
        </w:rPr>
        <w:t>For comparison of model with and without inclusion of social risk factors, see above section.</w:t>
      </w:r>
    </w:p>
    <w:p w14:paraId="3EEAE152" w14:textId="6FD27195" w:rsidR="00C9212C" w:rsidRDefault="009C7513" w:rsidP="00C9212C">
      <w:pPr>
        <w:autoSpaceDE w:val="0"/>
        <w:autoSpaceDN w:val="0"/>
        <w:adjustRightInd w:val="0"/>
        <w:spacing w:after="120" w:line="240" w:lineRule="auto"/>
        <w:rPr>
          <w:rFonts w:cstheme="minorHAnsi"/>
          <w:bCs/>
        </w:rPr>
      </w:pPr>
      <w:r>
        <w:rPr>
          <w:rFonts w:cstheme="minorHAnsi"/>
          <w:b/>
          <w:bCs/>
        </w:rPr>
        <w:lastRenderedPageBreak/>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w:t>
      </w:r>
      <w:r w:rsidR="0084071B">
        <w:rPr>
          <w:rFonts w:cstheme="minorHAnsi"/>
          <w:bCs/>
        </w:rPr>
        <w:t xml:space="preserve"> </w:t>
      </w:r>
    </w:p>
    <w:p w14:paraId="364CFAB6" w14:textId="53D2E0C7" w:rsidR="00C9212C" w:rsidRPr="00E9461C" w:rsidRDefault="00C02700" w:rsidP="00C9212C">
      <w:pPr>
        <w:autoSpaceDE w:val="0"/>
        <w:autoSpaceDN w:val="0"/>
        <w:adjustRightInd w:val="0"/>
        <w:spacing w:after="0" w:line="240" w:lineRule="auto"/>
        <w:rPr>
          <w:rFonts w:cstheme="minorHAnsi"/>
          <w:b/>
          <w:bCs/>
          <w:color w:val="7030A0"/>
        </w:rPr>
      </w:pPr>
      <w:r w:rsidRPr="00E9461C">
        <w:rPr>
          <w:color w:val="7030A0"/>
        </w:rPr>
        <w:t>For the development cohort, the results are summarized below:</w:t>
      </w:r>
    </w:p>
    <w:p w14:paraId="6808C364" w14:textId="77777777" w:rsidR="00C9212C" w:rsidRPr="00E9461C" w:rsidRDefault="00C02700" w:rsidP="00C9212C">
      <w:pPr>
        <w:autoSpaceDE w:val="0"/>
        <w:autoSpaceDN w:val="0"/>
        <w:adjustRightInd w:val="0"/>
        <w:spacing w:after="0" w:line="240" w:lineRule="auto"/>
        <w:rPr>
          <w:rFonts w:cstheme="minorHAnsi"/>
          <w:b/>
          <w:bCs/>
          <w:color w:val="7030A0"/>
        </w:rPr>
      </w:pPr>
      <w:r w:rsidRPr="00E9461C">
        <w:rPr>
          <w:rFonts w:cs="Arial"/>
          <w:color w:val="7030A0"/>
        </w:rPr>
        <w:t xml:space="preserve">Development sample: </w:t>
      </w:r>
      <w:r w:rsidRPr="00E9461C">
        <w:rPr>
          <w:color w:val="7030A0"/>
        </w:rPr>
        <w:t>Calibration: (0.0000, 1.0000)</w:t>
      </w:r>
    </w:p>
    <w:p w14:paraId="18BD7435" w14:textId="76DF1A81" w:rsidR="00C02700" w:rsidRPr="00E9461C" w:rsidRDefault="00C02700" w:rsidP="00C9212C">
      <w:pPr>
        <w:autoSpaceDE w:val="0"/>
        <w:autoSpaceDN w:val="0"/>
        <w:adjustRightInd w:val="0"/>
        <w:spacing w:after="0" w:line="240" w:lineRule="auto"/>
        <w:rPr>
          <w:rFonts w:cstheme="minorHAnsi"/>
          <w:b/>
          <w:bCs/>
          <w:color w:val="7030A0"/>
        </w:rPr>
      </w:pPr>
      <w:r w:rsidRPr="00E9461C">
        <w:rPr>
          <w:color w:val="7030A0"/>
        </w:rPr>
        <w:t>Validation sample: Calibration: (-0.030, 0.994)</w:t>
      </w:r>
    </w:p>
    <w:p w14:paraId="71C9F005" w14:textId="77777777" w:rsidR="00C02700" w:rsidRDefault="00C02700" w:rsidP="00092566">
      <w:pPr>
        <w:autoSpaceDE w:val="0"/>
        <w:autoSpaceDN w:val="0"/>
        <w:adjustRightInd w:val="0"/>
        <w:spacing w:after="0" w:line="240" w:lineRule="auto"/>
        <w:rPr>
          <w:rFonts w:cstheme="minorHAnsi"/>
          <w:b/>
          <w:bCs/>
        </w:rPr>
      </w:pPr>
    </w:p>
    <w:p w14:paraId="11E84C96" w14:textId="77777777" w:rsidR="00E9461C" w:rsidRDefault="009C7513" w:rsidP="00E9461C">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4530ADAF" w14:textId="01358F88" w:rsidR="00183D9E" w:rsidRDefault="00C02700" w:rsidP="00183D9E">
      <w:pPr>
        <w:autoSpaceDE w:val="0"/>
        <w:autoSpaceDN w:val="0"/>
        <w:adjustRightInd w:val="0"/>
        <w:spacing w:before="120" w:after="120" w:line="240" w:lineRule="auto"/>
        <w:rPr>
          <w:rFonts w:ascii="Calibri" w:hAnsi="Calibri" w:cs="Times New Roman"/>
          <w:color w:val="C00000"/>
          <w:kern w:val="24"/>
        </w:rPr>
      </w:pPr>
      <w:r w:rsidRPr="005277F4">
        <w:rPr>
          <w:rFonts w:cstheme="minorHAnsi"/>
          <w:bCs/>
          <w:color w:val="C00000"/>
        </w:rPr>
        <w:t>The risk decile plot</w:t>
      </w:r>
      <w:r w:rsidR="005277F4" w:rsidRPr="005277F4">
        <w:rPr>
          <w:rFonts w:cstheme="minorHAnsi"/>
          <w:bCs/>
          <w:color w:val="C00000"/>
        </w:rPr>
        <w:t xml:space="preserve"> (Figure 3)</w:t>
      </w:r>
      <w:r w:rsidRPr="005277F4">
        <w:rPr>
          <w:rFonts w:cstheme="minorHAnsi"/>
          <w:bCs/>
          <w:color w:val="C00000"/>
        </w:rPr>
        <w:t xml:space="preserve"> is a graphical depiction of the deciles calculated to measure predictive ability. </w:t>
      </w:r>
      <w:r w:rsidRPr="005277F4">
        <w:rPr>
          <w:rFonts w:cstheme="minorHAnsi"/>
          <w:color w:val="C00000"/>
        </w:rPr>
        <w:t xml:space="preserve">Below, we present the risk decile plot showing the distributions for Medicare FFS data from </w:t>
      </w:r>
      <w:r w:rsidR="00BE4422">
        <w:rPr>
          <w:rFonts w:ascii="Calibri" w:hAnsi="Calibri" w:cs="Times New Roman"/>
          <w:color w:val="C00000"/>
          <w:kern w:val="24"/>
        </w:rPr>
        <w:t>July 2016 – June 2019</w:t>
      </w:r>
      <w:r w:rsidRPr="005277F4">
        <w:rPr>
          <w:rFonts w:ascii="Calibri" w:hAnsi="Calibri" w:cs="Times New Roman"/>
          <w:color w:val="C00000"/>
          <w:kern w:val="24"/>
        </w:rPr>
        <w:t xml:space="preserve"> (Testing Dataset).</w:t>
      </w:r>
      <w:bookmarkStart w:id="21" w:name="IDX"/>
      <w:bookmarkEnd w:id="21"/>
    </w:p>
    <w:p w14:paraId="31A70D20" w14:textId="3E9A024C" w:rsidR="00AF5F18" w:rsidRPr="005277F4" w:rsidRDefault="00AF5F18" w:rsidP="00183D9E">
      <w:pPr>
        <w:autoSpaceDE w:val="0"/>
        <w:autoSpaceDN w:val="0"/>
        <w:adjustRightInd w:val="0"/>
        <w:spacing w:before="120" w:after="120" w:line="240" w:lineRule="auto"/>
        <w:rPr>
          <w:rFonts w:ascii="Calibri" w:hAnsi="Calibri" w:cs="Times New Roman"/>
          <w:color w:val="C00000"/>
          <w:kern w:val="24"/>
        </w:rPr>
      </w:pPr>
      <w:r>
        <w:rPr>
          <w:rFonts w:ascii="Calibri" w:hAnsi="Calibri" w:cs="Times New Roman"/>
          <w:color w:val="C00000"/>
          <w:kern w:val="24"/>
        </w:rPr>
        <w:t>Figure 3. Risk Decile Plot</w:t>
      </w:r>
    </w:p>
    <w:p w14:paraId="0C55944A" w14:textId="1DFE708E" w:rsidR="00C02700" w:rsidRPr="00E9461C" w:rsidRDefault="00AD48BC" w:rsidP="00183D9E">
      <w:pPr>
        <w:autoSpaceDE w:val="0"/>
        <w:autoSpaceDN w:val="0"/>
        <w:adjustRightInd w:val="0"/>
        <w:spacing w:before="120" w:after="120" w:line="240" w:lineRule="auto"/>
        <w:rPr>
          <w:rFonts w:cstheme="minorHAnsi"/>
          <w:bCs/>
        </w:rPr>
      </w:pPr>
      <w:r>
        <w:rPr>
          <w:noProof/>
          <w:sz w:val="24"/>
          <w:szCs w:val="24"/>
        </w:rPr>
        <w:drawing>
          <wp:inline distT="0" distB="0" distL="0" distR="0" wp14:anchorId="21A1E2BC" wp14:editId="4A9EA757">
            <wp:extent cx="5164999" cy="3871732"/>
            <wp:effectExtent l="0" t="0" r="0" b="0"/>
            <wp:docPr id="5" name="Picture 5" descr="The risk decile plot (Figure 3) is a graphical depiction of the deciles calculated to measure predictive ability. Below, we present the risk decile plot showing the distributions for Medicare FFS data from July 2016 – June 2020 (Testing Datas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69549" cy="3875143"/>
                    </a:xfrm>
                    <a:prstGeom prst="rect">
                      <a:avLst/>
                    </a:prstGeom>
                    <a:noFill/>
                    <a:ln>
                      <a:noFill/>
                    </a:ln>
                  </pic:spPr>
                </pic:pic>
              </a:graphicData>
            </a:graphic>
          </wp:inline>
        </w:drawing>
      </w:r>
    </w:p>
    <w:p w14:paraId="4BD49C09" w14:textId="2B8248E9" w:rsidR="00E9461C" w:rsidRDefault="00092566" w:rsidP="00E9461C">
      <w:pPr>
        <w:autoSpaceDE w:val="0"/>
        <w:autoSpaceDN w:val="0"/>
        <w:adjustRightInd w:val="0"/>
        <w:spacing w:after="0" w:line="240" w:lineRule="auto"/>
        <w:rPr>
          <w:rFonts w:cstheme="minorHAnsi"/>
          <w:bCs/>
        </w:rPr>
      </w:pPr>
      <w:r w:rsidRPr="00A25024">
        <w:rPr>
          <w:rFonts w:cstheme="minorHAnsi"/>
          <w:bCs/>
        </w:rPr>
        <w:br/>
      </w:r>
      <w:bookmarkStart w:id="22" w:name="question2b49"/>
      <w:bookmarkEnd w:id="22"/>
      <w:r w:rsidR="009C7513">
        <w:rPr>
          <w:rFonts w:cstheme="minorHAnsi"/>
          <w:b/>
        </w:rPr>
        <w:t>2b3</w:t>
      </w:r>
      <w:r w:rsidR="00743E46">
        <w:rPr>
          <w:rFonts w:cstheme="minorHAnsi"/>
          <w:b/>
        </w:rPr>
        <w:t>.9</w:t>
      </w:r>
      <w:r w:rsidR="00001D73">
        <w:rPr>
          <w:rFonts w:cstheme="minorHAnsi"/>
          <w:b/>
        </w:rPr>
        <w:t xml:space="preserve">. Results of </w:t>
      </w:r>
      <w:r w:rsidRPr="00A25024">
        <w:rPr>
          <w:rFonts w:cstheme="minorHAnsi"/>
          <w:b/>
        </w:rPr>
        <w:t>Risk Stratification Analysis</w:t>
      </w:r>
      <w:r w:rsidRPr="00A25024">
        <w:rPr>
          <w:rFonts w:cstheme="minorHAnsi"/>
        </w:rPr>
        <w:t>:</w:t>
      </w:r>
      <w:r w:rsidR="0084071B">
        <w:rPr>
          <w:rFonts w:cstheme="minorHAnsi"/>
        </w:rPr>
        <w:t xml:space="preserve"> </w:t>
      </w:r>
    </w:p>
    <w:p w14:paraId="58C6A71E" w14:textId="52F63ED0" w:rsidR="00C02700" w:rsidRPr="00E9461C" w:rsidRDefault="00C02700" w:rsidP="00E9461C">
      <w:pPr>
        <w:autoSpaceDE w:val="0"/>
        <w:autoSpaceDN w:val="0"/>
        <w:adjustRightInd w:val="0"/>
        <w:spacing w:before="120" w:after="120" w:line="240" w:lineRule="auto"/>
        <w:rPr>
          <w:rFonts w:cstheme="minorHAnsi"/>
          <w:bCs/>
          <w:color w:val="7030A0"/>
        </w:rPr>
      </w:pPr>
      <w:r w:rsidRPr="00E9461C">
        <w:rPr>
          <w:rFonts w:cstheme="minorHAnsi"/>
          <w:bCs/>
          <w:color w:val="7030A0"/>
        </w:rPr>
        <w:t>N/A</w:t>
      </w:r>
    </w:p>
    <w:p w14:paraId="500509F4" w14:textId="77777777" w:rsidR="00E9461C"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6C5BB3E6" w14:textId="77777777" w:rsidR="00E9461C" w:rsidRDefault="00E9461C" w:rsidP="00E9461C">
      <w:pPr>
        <w:autoSpaceDE w:val="0"/>
        <w:autoSpaceDN w:val="0"/>
        <w:adjustRightInd w:val="0"/>
        <w:spacing w:before="120" w:after="0" w:line="240" w:lineRule="auto"/>
        <w:rPr>
          <w:rFonts w:cstheme="minorHAnsi"/>
          <w:bCs/>
        </w:rPr>
      </w:pPr>
      <w:r w:rsidRPr="00F3075C">
        <w:rPr>
          <w:rFonts w:cstheme="minorHAnsi"/>
          <w:b/>
          <w:bCs/>
          <w:i/>
          <w:color w:val="7030A0"/>
        </w:rPr>
        <w:t>Discrimination Statistics</w:t>
      </w:r>
    </w:p>
    <w:p w14:paraId="15116BBA" w14:textId="247BAB76" w:rsidR="00E9461C" w:rsidRDefault="00E9461C" w:rsidP="00E9461C">
      <w:pPr>
        <w:autoSpaceDE w:val="0"/>
        <w:autoSpaceDN w:val="0"/>
        <w:adjustRightInd w:val="0"/>
        <w:spacing w:after="0" w:line="240" w:lineRule="auto"/>
        <w:rPr>
          <w:rFonts w:cstheme="minorHAnsi"/>
          <w:bCs/>
        </w:rPr>
      </w:pPr>
      <w:r w:rsidRPr="00F3075C">
        <w:rPr>
          <w:rFonts w:cstheme="minorHAnsi"/>
          <w:bCs/>
          <w:color w:val="7030A0"/>
        </w:rPr>
        <w:t xml:space="preserve">The c-statistic of </w:t>
      </w:r>
      <w:r w:rsidRPr="00F3075C">
        <w:rPr>
          <w:rFonts w:cstheme="minorHAnsi"/>
          <w:bCs/>
          <w:color w:val="C00000"/>
        </w:rPr>
        <w:t>0.</w:t>
      </w:r>
      <w:r>
        <w:rPr>
          <w:rFonts w:cstheme="minorHAnsi"/>
          <w:bCs/>
          <w:color w:val="C00000"/>
        </w:rPr>
        <w:t>73</w:t>
      </w:r>
      <w:r w:rsidRPr="00F3075C">
        <w:rPr>
          <w:rFonts w:cstheme="minorHAnsi"/>
          <w:bCs/>
          <w:color w:val="C00000"/>
        </w:rPr>
        <w:t xml:space="preserve"> </w:t>
      </w:r>
      <w:r w:rsidRPr="00F3075C">
        <w:rPr>
          <w:rFonts w:cstheme="minorHAnsi"/>
          <w:bCs/>
          <w:color w:val="7030A0"/>
        </w:rPr>
        <w:t>indicate moderate model discrimination. The model indicated a wide range between the lowest decile and highest decile, indicating the ability to distinguish high-risk subjects from low-risk subjects.</w:t>
      </w:r>
    </w:p>
    <w:p w14:paraId="585E8B12" w14:textId="77777777" w:rsidR="00E9461C" w:rsidRDefault="00E9461C" w:rsidP="00E9461C">
      <w:pPr>
        <w:autoSpaceDE w:val="0"/>
        <w:autoSpaceDN w:val="0"/>
        <w:adjustRightInd w:val="0"/>
        <w:spacing w:before="120" w:after="0" w:line="240" w:lineRule="auto"/>
        <w:rPr>
          <w:rFonts w:cstheme="minorHAnsi"/>
          <w:bCs/>
        </w:rPr>
      </w:pPr>
      <w:r w:rsidRPr="00F3075C">
        <w:rPr>
          <w:b/>
          <w:i/>
          <w:color w:val="7030A0"/>
        </w:rPr>
        <w:t>Calibration Statistics</w:t>
      </w:r>
    </w:p>
    <w:p w14:paraId="3E0A1CD6" w14:textId="77777777" w:rsidR="00E9461C" w:rsidRDefault="00E9461C" w:rsidP="00E9461C">
      <w:pPr>
        <w:autoSpaceDE w:val="0"/>
        <w:autoSpaceDN w:val="0"/>
        <w:adjustRightInd w:val="0"/>
        <w:spacing w:after="0" w:line="240" w:lineRule="auto"/>
        <w:rPr>
          <w:rFonts w:cstheme="minorHAnsi"/>
          <w:bCs/>
        </w:rPr>
      </w:pPr>
      <w:r w:rsidRPr="00F3075C">
        <w:rPr>
          <w:bCs/>
          <w:i/>
          <w:color w:val="7030A0"/>
        </w:rPr>
        <w:lastRenderedPageBreak/>
        <w:t xml:space="preserve">Over-fitting (Calibration γ0, γ1) </w:t>
      </w:r>
    </w:p>
    <w:p w14:paraId="25011BC7" w14:textId="77777777" w:rsidR="00E9461C" w:rsidRDefault="00E9461C" w:rsidP="00E9461C">
      <w:pPr>
        <w:autoSpaceDE w:val="0"/>
        <w:autoSpaceDN w:val="0"/>
        <w:adjustRightInd w:val="0"/>
        <w:spacing w:after="0" w:line="240" w:lineRule="auto"/>
        <w:rPr>
          <w:rFonts w:cstheme="minorHAnsi"/>
          <w:bCs/>
        </w:rPr>
      </w:pPr>
      <w:r w:rsidRPr="00F3075C">
        <w:rPr>
          <w:color w:val="7030A0"/>
        </w:rPr>
        <w:t xml:space="preserve">If the γ0 in the validation samples are substantially far from zero and the γ1 is substantially far from one, there is potential evidence of over-fitting. </w:t>
      </w:r>
      <w:r w:rsidRPr="00F3075C">
        <w:rPr>
          <w:bCs/>
          <w:color w:val="7030A0"/>
        </w:rPr>
        <w:t xml:space="preserve">The calibration value of close to 0 at one end and close to 1 to the other end indicates calibration of the model. </w:t>
      </w:r>
    </w:p>
    <w:p w14:paraId="3693798F" w14:textId="77777777" w:rsidR="00E9461C" w:rsidRDefault="00E9461C" w:rsidP="00E9461C">
      <w:pPr>
        <w:autoSpaceDE w:val="0"/>
        <w:autoSpaceDN w:val="0"/>
        <w:adjustRightInd w:val="0"/>
        <w:spacing w:before="120" w:after="0" w:line="240" w:lineRule="auto"/>
        <w:rPr>
          <w:rFonts w:cstheme="minorHAnsi"/>
          <w:bCs/>
        </w:rPr>
      </w:pPr>
      <w:r w:rsidRPr="00F3075C">
        <w:rPr>
          <w:rFonts w:cstheme="minorHAnsi"/>
          <w:b/>
          <w:bCs/>
          <w:i/>
          <w:color w:val="7030A0"/>
        </w:rPr>
        <w:t>Risk Decile Plots</w:t>
      </w:r>
    </w:p>
    <w:p w14:paraId="52AB3BBD" w14:textId="77777777" w:rsidR="00E9461C" w:rsidRDefault="00E9461C" w:rsidP="00E9461C">
      <w:pPr>
        <w:autoSpaceDE w:val="0"/>
        <w:autoSpaceDN w:val="0"/>
        <w:adjustRightInd w:val="0"/>
        <w:spacing w:after="0" w:line="240" w:lineRule="auto"/>
        <w:rPr>
          <w:rFonts w:cstheme="minorHAnsi"/>
          <w:bCs/>
        </w:rPr>
      </w:pPr>
      <w:r w:rsidRPr="00F3075C">
        <w:rPr>
          <w:bCs/>
          <w:color w:val="7030A0"/>
        </w:rPr>
        <w:t>Higher deciles of the predicted outcomes are associated with higher observed outcomes, which show a good calibration of the model. This plot indicates good discrimination of the model and good predictive ability.</w:t>
      </w:r>
    </w:p>
    <w:p w14:paraId="0E1FA4DE" w14:textId="77777777" w:rsidR="00E9461C" w:rsidRDefault="00E9461C" w:rsidP="00E9461C">
      <w:pPr>
        <w:autoSpaceDE w:val="0"/>
        <w:autoSpaceDN w:val="0"/>
        <w:adjustRightInd w:val="0"/>
        <w:spacing w:before="120" w:after="0" w:line="240" w:lineRule="auto"/>
        <w:rPr>
          <w:rFonts w:cstheme="minorHAnsi"/>
          <w:bCs/>
        </w:rPr>
      </w:pPr>
      <w:r w:rsidRPr="00F3075C">
        <w:rPr>
          <w:b/>
          <w:bCs/>
          <w:i/>
          <w:color w:val="7030A0"/>
        </w:rPr>
        <w:t xml:space="preserve">Overall Interpretation </w:t>
      </w:r>
    </w:p>
    <w:p w14:paraId="6F049F01" w14:textId="77777777" w:rsidR="00E9461C" w:rsidRPr="00F3075C" w:rsidRDefault="00E9461C" w:rsidP="00E9461C">
      <w:pPr>
        <w:autoSpaceDE w:val="0"/>
        <w:autoSpaceDN w:val="0"/>
        <w:adjustRightInd w:val="0"/>
        <w:spacing w:after="0" w:line="240" w:lineRule="auto"/>
        <w:rPr>
          <w:rFonts w:cstheme="minorHAnsi"/>
          <w:bCs/>
        </w:rPr>
      </w:pPr>
      <w:r w:rsidRPr="00F3075C">
        <w:rPr>
          <w:color w:val="7030A0"/>
        </w:rPr>
        <w:t>Interpreted together, our diagnostic results demonstrate the risk-adjustment model adequately controls for differences in patient characteristics (case mix).</w:t>
      </w:r>
    </w:p>
    <w:p w14:paraId="0CABD003" w14:textId="77777777" w:rsidR="00092566" w:rsidRPr="00A25024" w:rsidRDefault="00092566" w:rsidP="00092566">
      <w:pPr>
        <w:spacing w:after="0" w:line="240" w:lineRule="auto"/>
        <w:rPr>
          <w:rFonts w:cstheme="minorHAnsi"/>
        </w:rPr>
      </w:pPr>
    </w:p>
    <w:p w14:paraId="0CABD004" w14:textId="366661F4" w:rsidR="00021170" w:rsidRDefault="009C7513" w:rsidP="009B1A15">
      <w:pPr>
        <w:spacing w:after="0" w:line="240" w:lineRule="auto"/>
        <w:rPr>
          <w:rFonts w:cstheme="minorHAnsi"/>
        </w:rPr>
      </w:pPr>
      <w:r w:rsidRPr="00C02700">
        <w:rPr>
          <w:rFonts w:cstheme="minorHAnsi"/>
          <w:b/>
        </w:rPr>
        <w:t>2b3</w:t>
      </w:r>
      <w:r w:rsidR="009B1A15" w:rsidRPr="00C02700">
        <w:rPr>
          <w:rFonts w:cstheme="minorHAnsi"/>
          <w:b/>
        </w:rPr>
        <w:t>.11.</w:t>
      </w:r>
      <w:r w:rsidR="009B1A15" w:rsidRPr="00C02700">
        <w:rPr>
          <w:rFonts w:cstheme="minorHAnsi"/>
        </w:rPr>
        <w:t xml:space="preserve"> </w:t>
      </w:r>
      <w:r w:rsidR="00092566" w:rsidRPr="00C02700">
        <w:rPr>
          <w:rFonts w:cstheme="minorHAnsi"/>
          <w:b/>
        </w:rPr>
        <w:t>Optional</w:t>
      </w:r>
      <w:r w:rsidR="009B1A15" w:rsidRPr="00C02700">
        <w:rPr>
          <w:rFonts w:cstheme="minorHAnsi"/>
          <w:b/>
        </w:rPr>
        <w:t xml:space="preserve"> Additional Testing</w:t>
      </w:r>
      <w:r w:rsidR="004756E1" w:rsidRPr="00C02700">
        <w:rPr>
          <w:rFonts w:cstheme="minorHAnsi"/>
          <w:b/>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23" w:name="section2b5"/>
      <w:bookmarkEnd w:id="23"/>
      <w:r>
        <w:rPr>
          <w:rFonts w:cstheme="minorHAnsi"/>
          <w:b/>
          <w:bCs/>
        </w:rPr>
        <w:t>2b4</w:t>
      </w:r>
      <w:r w:rsidR="00D61410" w:rsidRPr="00A25024">
        <w:rPr>
          <w:rFonts w:cstheme="minorHAnsi"/>
          <w:b/>
          <w:bCs/>
        </w:rPr>
        <w:t>. IDENTIFICATION OF STATISTICALLY SIGNIFICANT &amp; MEANINGFUL DIFFERENCES IN PERFORMANCE</w:t>
      </w:r>
    </w:p>
    <w:p w14:paraId="3D858844" w14:textId="77777777" w:rsidR="00947A9B" w:rsidRDefault="009C7513" w:rsidP="00947A9B">
      <w:pPr>
        <w:autoSpaceDE w:val="0"/>
        <w:autoSpaceDN w:val="0"/>
        <w:adjustRightInd w:val="0"/>
        <w:spacing w:after="0" w:line="240" w:lineRule="auto"/>
        <w:rPr>
          <w:rFonts w:cstheme="minorHAnsi"/>
          <w:bCs/>
          <w:i/>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14:paraId="0F6EC905" w14:textId="77777777" w:rsidR="00947A9B" w:rsidRDefault="00C02700" w:rsidP="00947A9B">
      <w:pPr>
        <w:autoSpaceDE w:val="0"/>
        <w:autoSpaceDN w:val="0"/>
        <w:adjustRightInd w:val="0"/>
        <w:spacing w:before="120" w:after="120" w:line="240" w:lineRule="auto"/>
        <w:rPr>
          <w:rFonts w:cstheme="minorHAnsi"/>
          <w:bCs/>
          <w:i/>
        </w:rPr>
      </w:pPr>
      <w:r w:rsidRPr="0048088A">
        <w:rPr>
          <w:rFonts w:ascii="Calibri" w:hAnsi="Calibri" w:cs="Calibri"/>
          <w:color w:val="C00000"/>
        </w:rPr>
        <w:t>The measure score is hospital-specific risk-standardized mortality rates. These rates are obtained as the ratio of predicted to expected mortality, multiplied by the national unadjusted rate. The “predicted” mortality (the numerator) is calculated using the coefficients estimated by regressing the risk factors and the hospital-specific intercept on the risk of mortality. The estimated hospital-specific intercept is added to the sum of the estimated regression coefficients multiplied by the patient characteristics. The results are then transformed and summed over all patients attributed to a hospital to get a predicted value. The “expected” mortality (the denominator) is obtained in the same manner, but a common intercept using all hospitals in our sample is added in place of the hospital-specific intercept. The results are then transformed and summed over all patients in the hospital to get an expected value. To assess hospital performance for each reporting period, we re-estimated the model coefficients using the years of data in that period.</w:t>
      </w:r>
      <w:r w:rsidRPr="0048088A">
        <w:rPr>
          <w:color w:val="C00000"/>
        </w:rPr>
        <w:t xml:space="preserve"> </w:t>
      </w:r>
    </w:p>
    <w:p w14:paraId="0E6D9306" w14:textId="77777777" w:rsidR="00947A9B" w:rsidRDefault="00C02700" w:rsidP="00947A9B">
      <w:pPr>
        <w:autoSpaceDE w:val="0"/>
        <w:autoSpaceDN w:val="0"/>
        <w:adjustRightInd w:val="0"/>
        <w:spacing w:before="120" w:after="120" w:line="240" w:lineRule="auto"/>
        <w:rPr>
          <w:color w:val="C00000"/>
        </w:rPr>
      </w:pPr>
      <w:r w:rsidRPr="0048088A">
        <w:rPr>
          <w:color w:val="C00000"/>
        </w:rPr>
        <w:t>We characterize the degree of variability by:</w:t>
      </w:r>
    </w:p>
    <w:p w14:paraId="64457387" w14:textId="77777777" w:rsidR="00183D9E" w:rsidRPr="00DD4FA8" w:rsidRDefault="00C02700" w:rsidP="00183D9E">
      <w:pPr>
        <w:pStyle w:val="ListParagraph"/>
        <w:numPr>
          <w:ilvl w:val="0"/>
          <w:numId w:val="39"/>
        </w:numPr>
        <w:autoSpaceDE w:val="0"/>
        <w:autoSpaceDN w:val="0"/>
        <w:adjustRightInd w:val="0"/>
        <w:spacing w:after="0" w:line="240" w:lineRule="auto"/>
        <w:rPr>
          <w:rFonts w:cstheme="minorHAnsi"/>
          <w:bCs/>
          <w:color w:val="7030A0"/>
        </w:rPr>
      </w:pPr>
      <w:r w:rsidRPr="00947A9B">
        <w:rPr>
          <w:rFonts w:cstheme="minorHAnsi"/>
          <w:bCs/>
          <w:color w:val="7030A0"/>
        </w:rPr>
        <w:t xml:space="preserve"> </w:t>
      </w:r>
      <w:r w:rsidR="00183D9E" w:rsidRPr="00DD4FA8">
        <w:rPr>
          <w:rFonts w:cstheme="minorHAnsi"/>
          <w:bCs/>
          <w:color w:val="7030A0"/>
        </w:rPr>
        <w:t>Reporting the distribution of RSMRs.</w:t>
      </w:r>
    </w:p>
    <w:p w14:paraId="576DE805" w14:textId="77777777" w:rsidR="00183D9E" w:rsidRPr="004A252C" w:rsidRDefault="00183D9E" w:rsidP="00183D9E">
      <w:pPr>
        <w:pStyle w:val="ListParagraph"/>
        <w:numPr>
          <w:ilvl w:val="1"/>
          <w:numId w:val="39"/>
        </w:numPr>
        <w:autoSpaceDE w:val="0"/>
        <w:autoSpaceDN w:val="0"/>
        <w:adjustRightInd w:val="0"/>
        <w:spacing w:after="0" w:line="240" w:lineRule="auto"/>
        <w:ind w:left="1080"/>
        <w:rPr>
          <w:rFonts w:cstheme="minorHAnsi"/>
          <w:bCs/>
        </w:rPr>
      </w:pPr>
      <w:r w:rsidRPr="004A252C">
        <w:rPr>
          <w:rFonts w:cstheme="minorHAnsi"/>
          <w:bCs/>
          <w:color w:val="7030A0"/>
        </w:rPr>
        <w:t>For public reporting of the measure, CMS characterizes the uncertainty associated with the RSMR by estimating the 95% interval estimate. This is similar to a 95% confidence interval but is calculated differently. If the RSMR’s interval estimate does not include the national observed mortality rate (because it is lower or higher than the rate), then CMS is confident that the hospital’s RSMR is different from the national rate, and describes the hospital on the Hospital Compare website as “better than the U.S. national rate” or “worse than the U.S. national rate.” If the interval includes the national rate, then CMS describes the hospital’s RSMR as “no different than the U.S. national rate” or “the difference is uncertain.” CMS does not classify performance for hospitals that have fewer than 25 cases in the three-year period.</w:t>
      </w:r>
    </w:p>
    <w:p w14:paraId="2E6AE9D3" w14:textId="77777777" w:rsidR="00183D9E" w:rsidRPr="004A252C" w:rsidRDefault="00183D9E" w:rsidP="00183D9E">
      <w:pPr>
        <w:pStyle w:val="ListParagraph"/>
        <w:numPr>
          <w:ilvl w:val="0"/>
          <w:numId w:val="39"/>
        </w:numPr>
        <w:autoSpaceDE w:val="0"/>
        <w:autoSpaceDN w:val="0"/>
        <w:adjustRightInd w:val="0"/>
        <w:spacing w:after="0" w:line="240" w:lineRule="auto"/>
        <w:rPr>
          <w:rFonts w:cstheme="minorHAnsi"/>
          <w:bCs/>
        </w:rPr>
      </w:pPr>
      <w:r w:rsidRPr="004A252C">
        <w:rPr>
          <w:rFonts w:cstheme="minorHAnsi"/>
          <w:bCs/>
          <w:color w:val="C00000"/>
        </w:rPr>
        <w:t>Providing the median odds r</w:t>
      </w:r>
      <w:r>
        <w:rPr>
          <w:rFonts w:cstheme="minorHAnsi"/>
          <w:bCs/>
          <w:color w:val="C00000"/>
        </w:rPr>
        <w:t>atio (MOR) (Merlo et al, 2006)</w:t>
      </w:r>
    </w:p>
    <w:p w14:paraId="56990D9B" w14:textId="7F8947D6" w:rsidR="00183D9E" w:rsidRPr="004A252C" w:rsidRDefault="00183D9E" w:rsidP="005277F4">
      <w:pPr>
        <w:pStyle w:val="ListParagraph"/>
        <w:autoSpaceDE w:val="0"/>
        <w:autoSpaceDN w:val="0"/>
        <w:adjustRightInd w:val="0"/>
        <w:spacing w:after="0" w:line="240" w:lineRule="auto"/>
        <w:ind w:left="1080"/>
        <w:rPr>
          <w:rFonts w:cstheme="minorHAnsi"/>
          <w:bCs/>
        </w:rPr>
      </w:pPr>
      <w:r w:rsidRPr="004A252C">
        <w:rPr>
          <w:rFonts w:cstheme="minorHAnsi"/>
          <w:bCs/>
          <w:color w:val="C00000"/>
        </w:rPr>
        <w:lastRenderedPageBreak/>
        <w:t>The median odds ratio represents the median increase in the odds of</w:t>
      </w:r>
      <w:r w:rsidR="0084071B">
        <w:rPr>
          <w:rFonts w:cstheme="minorHAnsi"/>
          <w:bCs/>
          <w:color w:val="C00000"/>
        </w:rPr>
        <w:t xml:space="preserve"> mortality within 30 days of a AMI</w:t>
      </w:r>
      <w:r w:rsidRPr="004A252C">
        <w:rPr>
          <w:rFonts w:cstheme="minorHAnsi"/>
          <w:bCs/>
          <w:color w:val="C00000"/>
        </w:rPr>
        <w:t xml:space="preserve"> admission date on a single patient if the admission occurred at a higher risk hospital compared to a lower risk hospital. MOR quantifies the between hospital variance in terms of odds ratio, it is comparable t</w:t>
      </w:r>
      <w:r>
        <w:rPr>
          <w:rFonts w:cstheme="minorHAnsi"/>
          <w:bCs/>
          <w:color w:val="C00000"/>
        </w:rPr>
        <w:t>o the fixed effects odds ratio.</w:t>
      </w:r>
    </w:p>
    <w:p w14:paraId="503F4D54" w14:textId="4CEE126B" w:rsidR="00947A9B" w:rsidRPr="00947A9B" w:rsidRDefault="00947A9B" w:rsidP="00183D9E">
      <w:pPr>
        <w:pStyle w:val="ListParagraph"/>
        <w:autoSpaceDE w:val="0"/>
        <w:autoSpaceDN w:val="0"/>
        <w:adjustRightInd w:val="0"/>
        <w:spacing w:before="120" w:after="120" w:line="240" w:lineRule="auto"/>
        <w:rPr>
          <w:rFonts w:cstheme="minorHAnsi"/>
          <w:bCs/>
          <w:i/>
          <w:color w:val="7030A0"/>
        </w:rPr>
      </w:pPr>
    </w:p>
    <w:p w14:paraId="6DF05FD5" w14:textId="77777777" w:rsidR="00947A9B" w:rsidRDefault="00C02700" w:rsidP="00947A9B">
      <w:pPr>
        <w:autoSpaceDE w:val="0"/>
        <w:autoSpaceDN w:val="0"/>
        <w:adjustRightInd w:val="0"/>
        <w:spacing w:before="120" w:after="120" w:line="240" w:lineRule="auto"/>
        <w:rPr>
          <w:rFonts w:cstheme="minorHAnsi"/>
          <w:bCs/>
          <w:i/>
          <w:color w:val="7030A0"/>
        </w:rPr>
      </w:pPr>
      <w:r w:rsidRPr="0048088A">
        <w:rPr>
          <w:rFonts w:cstheme="minorHAnsi"/>
          <w:bCs/>
          <w:color w:val="C00000"/>
          <w:u w:val="single"/>
        </w:rPr>
        <w:t>Reference</w:t>
      </w:r>
    </w:p>
    <w:p w14:paraId="43F4189E" w14:textId="5F197027" w:rsidR="00C02700" w:rsidRPr="00947A9B" w:rsidRDefault="00C02700" w:rsidP="00947A9B">
      <w:pPr>
        <w:autoSpaceDE w:val="0"/>
        <w:autoSpaceDN w:val="0"/>
        <w:adjustRightInd w:val="0"/>
        <w:spacing w:before="120" w:after="120" w:line="240" w:lineRule="auto"/>
        <w:rPr>
          <w:rFonts w:cstheme="minorHAnsi"/>
          <w:bCs/>
          <w:i/>
          <w:color w:val="7030A0"/>
        </w:rPr>
      </w:pPr>
      <w:r w:rsidRPr="0048088A">
        <w:rPr>
          <w:rFonts w:cstheme="minorHAnsi"/>
          <w:bCs/>
          <w:color w:val="C00000"/>
        </w:rPr>
        <w:t>Merlo J, Chaix B, Ohlsson H, Beckman A, Johnell K, Hjerpe P, Råstam L, Larsen K. (2006) A brief conceptual tutorial of multilevel analysis in social epidemiology: Using measures of clustering in multilevel logistic regression to investigate contextual phenomena. J Epidemiol Community Health, 60(4):290-7.</w:t>
      </w:r>
    </w:p>
    <w:p w14:paraId="27CCE141" w14:textId="054D0D74" w:rsidR="00F73EE3" w:rsidRDefault="009C7513" w:rsidP="00F73EE3">
      <w:pPr>
        <w:autoSpaceDE w:val="0"/>
        <w:autoSpaceDN w:val="0"/>
        <w:adjustRightInd w:val="0"/>
        <w:spacing w:before="120" w:after="120" w:line="240" w:lineRule="auto"/>
        <w:rPr>
          <w:rFonts w:cstheme="minorHAnsi"/>
          <w:noProof/>
          <w:color w:val="C00000"/>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r w:rsidR="00C02700" w:rsidRPr="00F73EE3">
        <w:rPr>
          <w:rFonts w:cstheme="minorHAnsi"/>
          <w:color w:val="7030A0"/>
        </w:rPr>
        <w:t>Analyses of Medicare FFS data show substantial variation in RSMRs among hospitals.</w:t>
      </w:r>
      <w:r w:rsidR="00C02700" w:rsidRPr="007D26B5">
        <w:rPr>
          <w:rFonts w:cstheme="minorHAnsi"/>
        </w:rPr>
        <w:t xml:space="preserve"> </w:t>
      </w:r>
    </w:p>
    <w:p w14:paraId="38BACB6D" w14:textId="1C39BEC4" w:rsidR="00C02700" w:rsidRDefault="005277F4" w:rsidP="00F73EE3">
      <w:pPr>
        <w:autoSpaceDE w:val="0"/>
        <w:autoSpaceDN w:val="0"/>
        <w:adjustRightInd w:val="0"/>
        <w:spacing w:before="120" w:after="120" w:line="240" w:lineRule="auto"/>
        <w:rPr>
          <w:rFonts w:cstheme="minorHAnsi"/>
          <w:noProof/>
          <w:color w:val="C00000"/>
        </w:rPr>
      </w:pPr>
      <w:r>
        <w:rPr>
          <w:rFonts w:cstheme="minorHAnsi"/>
          <w:noProof/>
          <w:color w:val="C00000"/>
        </w:rPr>
        <w:t>Figure 4</w:t>
      </w:r>
      <w:r w:rsidR="00C02700" w:rsidRPr="0048088A">
        <w:rPr>
          <w:rFonts w:cstheme="minorHAnsi"/>
          <w:noProof/>
          <w:color w:val="C00000"/>
        </w:rPr>
        <w:t>. Distribution (Histogram) Of Hospital-Level AMI RSMRs</w:t>
      </w:r>
    </w:p>
    <w:p w14:paraId="7E5B21FE" w14:textId="77777777" w:rsidR="00F73EE3" w:rsidRDefault="00F73EE3" w:rsidP="00F73EE3">
      <w:pPr>
        <w:autoSpaceDE w:val="0"/>
        <w:autoSpaceDN w:val="0"/>
        <w:adjustRightInd w:val="0"/>
        <w:spacing w:after="0" w:line="240" w:lineRule="auto"/>
        <w:rPr>
          <w:rFonts w:cstheme="minorHAnsi"/>
        </w:rPr>
      </w:pPr>
      <w:r w:rsidRPr="00AD48BC">
        <w:rPr>
          <w:rFonts w:ascii="Calibri" w:eastAsia="Yu Mincho" w:hAnsi="Calibri"/>
          <w:noProof/>
        </w:rPr>
        <w:drawing>
          <wp:inline distT="0" distB="0" distL="0" distR="0" wp14:anchorId="659ED5B8" wp14:editId="6244A7ED">
            <wp:extent cx="5144775" cy="3856383"/>
            <wp:effectExtent l="0" t="0" r="0" b="0"/>
            <wp:docPr id="6" name="Picture 6" descr="Out of 4,246 hospitals in the measure cohort, 28 performed “better than the U.S. national rate,” 2,284 performed “no different from the U.S. national rate,” and 16 performed “worse than the U.S. national rate” and 1,918 were classified as “number of cases too small” (fewer than 25) to reliably tell how well the hospital is perform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146588" cy="3857742"/>
                    </a:xfrm>
                    <a:prstGeom prst="rect">
                      <a:avLst/>
                    </a:prstGeom>
                    <a:noFill/>
                    <a:ln>
                      <a:noFill/>
                    </a:ln>
                  </pic:spPr>
                </pic:pic>
              </a:graphicData>
            </a:graphic>
          </wp:inline>
        </w:drawing>
      </w:r>
    </w:p>
    <w:p w14:paraId="711AF208" w14:textId="68B40692" w:rsidR="00C02700" w:rsidRPr="00810039" w:rsidRDefault="00C02700" w:rsidP="00F73EE3">
      <w:pPr>
        <w:autoSpaceDE w:val="0"/>
        <w:autoSpaceDN w:val="0"/>
        <w:adjustRightInd w:val="0"/>
        <w:spacing w:before="120" w:after="120" w:line="240" w:lineRule="auto"/>
        <w:rPr>
          <w:rFonts w:cstheme="minorHAnsi"/>
        </w:rPr>
      </w:pPr>
      <w:r w:rsidRPr="00F73EE3">
        <w:rPr>
          <w:rFonts w:cstheme="minorHAnsi"/>
          <w:color w:val="7030A0"/>
        </w:rPr>
        <w:t xml:space="preserve">Out of </w:t>
      </w:r>
      <w:r w:rsidRPr="0048088A">
        <w:rPr>
          <w:rFonts w:cstheme="minorHAnsi"/>
          <w:color w:val="C00000"/>
        </w:rPr>
        <w:t xml:space="preserve">4,246 </w:t>
      </w:r>
      <w:r w:rsidRPr="00F73EE3">
        <w:rPr>
          <w:rFonts w:cstheme="minorHAnsi"/>
          <w:color w:val="7030A0"/>
        </w:rPr>
        <w:t xml:space="preserve">hospitals in the measure cohort, </w:t>
      </w:r>
      <w:r w:rsidRPr="00F73EE3">
        <w:rPr>
          <w:rFonts w:cstheme="minorHAnsi"/>
          <w:color w:val="C00000"/>
        </w:rPr>
        <w:t>28</w:t>
      </w:r>
      <w:r w:rsidRPr="00861146">
        <w:rPr>
          <w:rFonts w:cstheme="minorHAnsi"/>
        </w:rPr>
        <w:t xml:space="preserve"> </w:t>
      </w:r>
      <w:r w:rsidRPr="00F73EE3">
        <w:rPr>
          <w:rFonts w:cstheme="minorHAnsi"/>
          <w:color w:val="7030A0"/>
        </w:rPr>
        <w:t xml:space="preserve">performed “better than the U.S. national rate,” </w:t>
      </w:r>
      <w:r w:rsidRPr="0048088A">
        <w:rPr>
          <w:rFonts w:cstheme="minorHAnsi"/>
          <w:color w:val="C00000"/>
        </w:rPr>
        <w:t xml:space="preserve">2,284 </w:t>
      </w:r>
      <w:r w:rsidRPr="00F73EE3">
        <w:rPr>
          <w:rFonts w:cstheme="minorHAnsi"/>
          <w:color w:val="7030A0"/>
        </w:rPr>
        <w:t xml:space="preserve">performed “no different from the U.S. national rate,” and </w:t>
      </w:r>
      <w:r w:rsidRPr="0048088A">
        <w:rPr>
          <w:rFonts w:cstheme="minorHAnsi"/>
          <w:color w:val="C00000"/>
        </w:rPr>
        <w:t>16</w:t>
      </w:r>
      <w:r w:rsidRPr="00861146">
        <w:rPr>
          <w:rFonts w:cstheme="minorHAnsi"/>
        </w:rPr>
        <w:t xml:space="preserve"> </w:t>
      </w:r>
      <w:r w:rsidRPr="00F73EE3">
        <w:rPr>
          <w:rFonts w:cstheme="minorHAnsi"/>
          <w:color w:val="7030A0"/>
        </w:rPr>
        <w:t>performed “worse than the U.S. national rate”</w:t>
      </w:r>
      <w:r w:rsidR="00F73EE3">
        <w:rPr>
          <w:rFonts w:cstheme="minorHAnsi"/>
          <w:color w:val="7030A0"/>
        </w:rPr>
        <w:t xml:space="preserve"> and </w:t>
      </w:r>
      <w:r w:rsidRPr="0048088A">
        <w:rPr>
          <w:rFonts w:cstheme="minorHAnsi"/>
          <w:color w:val="C00000"/>
        </w:rPr>
        <w:t>1</w:t>
      </w:r>
      <w:r w:rsidR="00F73EE3">
        <w:rPr>
          <w:rFonts w:cstheme="minorHAnsi"/>
          <w:color w:val="C00000"/>
        </w:rPr>
        <w:t>,</w:t>
      </w:r>
      <w:r w:rsidRPr="0048088A">
        <w:rPr>
          <w:rFonts w:cstheme="minorHAnsi"/>
          <w:color w:val="C00000"/>
        </w:rPr>
        <w:t>918</w:t>
      </w:r>
      <w:r w:rsidRPr="00861146">
        <w:rPr>
          <w:rFonts w:cstheme="minorHAnsi"/>
        </w:rPr>
        <w:t xml:space="preserve"> </w:t>
      </w:r>
      <w:r w:rsidRPr="00F73EE3">
        <w:rPr>
          <w:rFonts w:cstheme="minorHAnsi"/>
          <w:color w:val="7030A0"/>
        </w:rPr>
        <w:t>were classified as “number of cases too small” (fewer than 25) to reliably tell how well the hospital is performing</w:t>
      </w:r>
      <w:r w:rsidRPr="00861146">
        <w:rPr>
          <w:rFonts w:cstheme="minorHAnsi"/>
        </w:rPr>
        <w:t xml:space="preserve">. </w:t>
      </w:r>
      <w:r w:rsidR="005277F4" w:rsidRPr="005277F4">
        <w:rPr>
          <w:rFonts w:cstheme="minorHAnsi"/>
          <w:color w:val="C00000"/>
        </w:rPr>
        <w:t>There is</w:t>
      </w:r>
      <w:r w:rsidR="002828BB">
        <w:rPr>
          <w:rFonts w:cstheme="minorHAnsi"/>
          <w:color w:val="C00000"/>
        </w:rPr>
        <w:t xml:space="preserve"> considerable variation in RSMRs</w:t>
      </w:r>
      <w:r w:rsidR="005277F4" w:rsidRPr="005277F4">
        <w:rPr>
          <w:rFonts w:cstheme="minorHAnsi"/>
          <w:color w:val="C00000"/>
        </w:rPr>
        <w:t xml:space="preserve"> during the testing period, ranging from 8.8% to 18.1%.</w:t>
      </w:r>
    </w:p>
    <w:p w14:paraId="3FA4E7CB" w14:textId="678100B6" w:rsidR="00C02700" w:rsidRDefault="005277F4" w:rsidP="00D61410">
      <w:pPr>
        <w:autoSpaceDE w:val="0"/>
        <w:autoSpaceDN w:val="0"/>
        <w:adjustRightInd w:val="0"/>
        <w:spacing w:after="0" w:line="240" w:lineRule="auto"/>
        <w:rPr>
          <w:rFonts w:cstheme="minorHAnsi"/>
          <w:bCs/>
        </w:rPr>
      </w:pPr>
      <w:r>
        <w:rPr>
          <w:rFonts w:cstheme="minorHAnsi"/>
          <w:noProof/>
          <w:color w:val="C00000"/>
        </w:rPr>
        <w:lastRenderedPageBreak/>
        <w:t>The median odds ratio was 1.19</w:t>
      </w:r>
      <w:r w:rsidR="00F73EE3" w:rsidRPr="0048088A">
        <w:rPr>
          <w:rFonts w:cstheme="minorHAnsi"/>
          <w:noProof/>
          <w:color w:val="C00000"/>
        </w:rPr>
        <w:t>.</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40DCBE53" w14:textId="77777777" w:rsidR="00C9212C" w:rsidRDefault="009C7513" w:rsidP="00C9212C">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5C1F40A4" w14:textId="77777777" w:rsidR="00C9212C" w:rsidRDefault="00C02700" w:rsidP="00C9212C">
      <w:pPr>
        <w:autoSpaceDE w:val="0"/>
        <w:autoSpaceDN w:val="0"/>
        <w:adjustRightInd w:val="0"/>
        <w:spacing w:before="120" w:after="120" w:line="240" w:lineRule="auto"/>
        <w:rPr>
          <w:rFonts w:cstheme="minorHAnsi"/>
          <w:noProof/>
          <w:color w:val="C00000"/>
        </w:rPr>
      </w:pPr>
      <w:r w:rsidRPr="0048088A">
        <w:rPr>
          <w:rFonts w:cstheme="minorHAnsi"/>
          <w:noProof/>
          <w:color w:val="C00000"/>
        </w:rPr>
        <w:t>The median odds ratio suggests a meaningful increase in the risk of mortality if a patient is admitted with AMI at a higher risk hospital compared to a lower risk hospital. A value of 1</w:t>
      </w:r>
      <w:r w:rsidR="0077238B" w:rsidRPr="0048088A">
        <w:rPr>
          <w:rFonts w:cstheme="minorHAnsi"/>
          <w:noProof/>
          <w:color w:val="C00000"/>
        </w:rPr>
        <w:t>.19</w:t>
      </w:r>
      <w:r w:rsidRPr="0048088A">
        <w:rPr>
          <w:rFonts w:cstheme="minorHAnsi"/>
          <w:noProof/>
          <w:color w:val="C00000"/>
        </w:rPr>
        <w:t xml:space="preserve"> indicates that a patient has a </w:t>
      </w:r>
      <w:r w:rsidR="0077238B" w:rsidRPr="0048088A">
        <w:rPr>
          <w:rFonts w:cstheme="minorHAnsi"/>
          <w:noProof/>
          <w:color w:val="C00000"/>
        </w:rPr>
        <w:t>19</w:t>
      </w:r>
      <w:r w:rsidRPr="0048088A">
        <w:rPr>
          <w:rFonts w:cstheme="minorHAnsi"/>
          <w:noProof/>
          <w:color w:val="C00000"/>
        </w:rPr>
        <w:t xml:space="preserve">% increase in the odds of mortality at higher risk performance hospital compared to a lower risk hospital, indicating the impact of quality on the outcome rate is substantial. </w:t>
      </w:r>
    </w:p>
    <w:p w14:paraId="0CABD00C" w14:textId="47C31F33" w:rsidR="00D61410" w:rsidRPr="000E3387" w:rsidRDefault="00C02700" w:rsidP="000E3387">
      <w:pPr>
        <w:autoSpaceDE w:val="0"/>
        <w:autoSpaceDN w:val="0"/>
        <w:adjustRightInd w:val="0"/>
        <w:spacing w:before="120" w:after="120" w:line="240" w:lineRule="auto"/>
        <w:rPr>
          <w:rFonts w:cstheme="minorHAnsi"/>
          <w:noProof/>
          <w:color w:val="C00000"/>
        </w:rPr>
      </w:pPr>
      <w:r w:rsidRPr="0048088A">
        <w:rPr>
          <w:rFonts w:cstheme="minorHAnsi"/>
          <w:bCs/>
          <w:color w:val="C00000"/>
        </w:rPr>
        <w:t>The variation in rates and number of performance outliers suggests there remain differences in the quality of care received across hospitals for AMI. This evidence supports continued measurement to reduce the variation.</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BC292B">
        <w:rPr>
          <w:rFonts w:cstheme="minorHAnsi"/>
          <w:b/>
          <w:bCs/>
          <w:i/>
        </w:rPr>
        <w:t xml:space="preserve">If only one set of specifications, this section can be </w:t>
      </w:r>
      <w:r w:rsidR="00BE592D" w:rsidRPr="00BC292B">
        <w:rPr>
          <w:rFonts w:cstheme="minorHAnsi"/>
          <w:b/>
          <w:bCs/>
          <w:i/>
        </w:rPr>
        <w:t>skipped.</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42C17923"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w:t>
      </w:r>
      <w:r w:rsidR="0084071B">
        <w:rPr>
          <w:rFonts w:ascii="Calibri-BoldItalic" w:eastAsiaTheme="minorHAnsi" w:hAnsi="Calibri-BoldItalic" w:cs="Calibri-BoldItalic"/>
          <w:b/>
          <w:bCs/>
          <w:i/>
          <w:iCs/>
        </w:rPr>
        <w:t xml:space="preserve"> </w:t>
      </w:r>
      <w:r w:rsidR="00F1412B">
        <w:rPr>
          <w:rFonts w:ascii="Calibri-BoldItalic" w:eastAsiaTheme="minorHAnsi" w:hAnsi="Calibri-BoldItalic" w:cs="Calibri-BoldItalic"/>
          <w:b/>
          <w:bCs/>
          <w:i/>
          <w:iCs/>
        </w:rPr>
        <w:t>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3FC9C59C" w14:textId="77777777" w:rsidR="00C83B86" w:rsidRDefault="009C7513" w:rsidP="00F73EE3">
      <w:pPr>
        <w:autoSpaceDE w:val="0"/>
        <w:autoSpaceDN w:val="0"/>
        <w:adjustRightInd w:val="0"/>
        <w:spacing w:before="120" w:after="12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C83B86">
        <w:rPr>
          <w:rFonts w:cstheme="minorHAnsi"/>
          <w:bCs/>
        </w:rPr>
        <w:t>)</w:t>
      </w:r>
    </w:p>
    <w:p w14:paraId="0CABD014" w14:textId="2FFAB3A0" w:rsidR="000F06B5" w:rsidRPr="00A25024" w:rsidRDefault="00C83B86" w:rsidP="00F73EE3">
      <w:pPr>
        <w:autoSpaceDE w:val="0"/>
        <w:autoSpaceDN w:val="0"/>
        <w:adjustRightInd w:val="0"/>
        <w:spacing w:before="120" w:after="120" w:line="240" w:lineRule="auto"/>
        <w:rPr>
          <w:rFonts w:cstheme="minorHAnsi"/>
          <w:bCs/>
        </w:rPr>
      </w:pPr>
      <w:r w:rsidRPr="00C83B86">
        <w:rPr>
          <w:rFonts w:cstheme="minorHAnsi"/>
          <w:bCs/>
          <w:color w:val="7030A0"/>
        </w:rPr>
        <w:t>N</w:t>
      </w:r>
      <w:r w:rsidR="00F73EE3" w:rsidRPr="00F73EE3">
        <w:rPr>
          <w:rFonts w:cstheme="minorHAnsi"/>
          <w:bCs/>
          <w:color w:val="7030A0"/>
        </w:rPr>
        <w:t>/A</w:t>
      </w:r>
    </w:p>
    <w:p w14:paraId="5336E816" w14:textId="77777777" w:rsidR="00C83B86" w:rsidRDefault="009C7513" w:rsidP="00C83B86">
      <w:pPr>
        <w:autoSpaceDE w:val="0"/>
        <w:autoSpaceDN w:val="0"/>
        <w:adjustRightInd w:val="0"/>
        <w:spacing w:before="120" w:after="12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0C89AF31" w14:textId="6B666B7F" w:rsidR="00C83B86" w:rsidRPr="00A25024" w:rsidRDefault="00C83B86" w:rsidP="00C83B86">
      <w:pPr>
        <w:autoSpaceDE w:val="0"/>
        <w:autoSpaceDN w:val="0"/>
        <w:adjustRightInd w:val="0"/>
        <w:spacing w:before="120" w:after="120" w:line="240" w:lineRule="auto"/>
        <w:rPr>
          <w:rFonts w:cstheme="minorHAnsi"/>
          <w:bCs/>
        </w:rPr>
      </w:pPr>
      <w:r w:rsidRPr="00C83B86">
        <w:rPr>
          <w:rFonts w:cstheme="minorHAnsi"/>
          <w:bCs/>
          <w:color w:val="7030A0"/>
        </w:rPr>
        <w:t>N</w:t>
      </w:r>
      <w:r w:rsidRPr="00F73EE3">
        <w:rPr>
          <w:rFonts w:cstheme="minorHAnsi"/>
          <w:bCs/>
          <w:color w:val="7030A0"/>
        </w:rPr>
        <w:t>/A</w:t>
      </w:r>
    </w:p>
    <w:p w14:paraId="2B2FE79F" w14:textId="77777777" w:rsidR="00C83B86" w:rsidRDefault="009C7513" w:rsidP="00F73EE3">
      <w:pPr>
        <w:autoSpaceDE w:val="0"/>
        <w:autoSpaceDN w:val="0"/>
        <w:adjustRightInd w:val="0"/>
        <w:spacing w:before="120" w:after="12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0CABD017" w14:textId="2AF24438" w:rsidR="0079180E" w:rsidRDefault="00F73EE3" w:rsidP="00F73EE3">
      <w:pPr>
        <w:autoSpaceDE w:val="0"/>
        <w:autoSpaceDN w:val="0"/>
        <w:adjustRightInd w:val="0"/>
        <w:spacing w:before="120" w:after="120" w:line="240" w:lineRule="auto"/>
        <w:rPr>
          <w:rFonts w:cstheme="minorHAnsi"/>
          <w:bCs/>
        </w:rPr>
      </w:pPr>
      <w:r w:rsidRPr="00F73EE3">
        <w:rPr>
          <w:rFonts w:cstheme="minorHAnsi"/>
          <w:bCs/>
          <w:color w:val="7030A0"/>
        </w:rPr>
        <w:t>N/A</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3938D4B5" w14:textId="77777777" w:rsidR="00C83B86"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w:t>
      </w:r>
      <w:r w:rsidR="00771B2A" w:rsidRPr="006A028C">
        <w:rPr>
          <w:rFonts w:ascii="Calibri" w:eastAsia="Calibri" w:hAnsi="Calibri" w:cs="Calibri"/>
        </w:rPr>
        <w:lastRenderedPageBreak/>
        <w:t>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C83B86">
        <w:rPr>
          <w:rFonts w:cstheme="minorHAnsi"/>
          <w:bCs/>
        </w:rPr>
        <w:t>)</w:t>
      </w:r>
    </w:p>
    <w:p w14:paraId="0AFDB326" w14:textId="1C8FAE11" w:rsidR="005277F4" w:rsidRPr="004A252C" w:rsidRDefault="0008771E" w:rsidP="005277F4">
      <w:pPr>
        <w:autoSpaceDE w:val="0"/>
        <w:autoSpaceDN w:val="0"/>
        <w:adjustRightInd w:val="0"/>
        <w:spacing w:before="240" w:after="0" w:line="240" w:lineRule="auto"/>
        <w:rPr>
          <w:rFonts w:cstheme="minorHAnsi"/>
          <w:bCs/>
          <w:color w:val="7030A0"/>
        </w:rPr>
      </w:pPr>
      <w:r>
        <w:rPr>
          <w:rFonts w:cstheme="minorHAnsi"/>
          <w:bCs/>
          <w:color w:val="7030A0"/>
        </w:rPr>
        <w:t>The AMI</w:t>
      </w:r>
      <w:r w:rsidR="005277F4" w:rsidRPr="004A252C">
        <w:rPr>
          <w:rFonts w:cstheme="minorHAnsi"/>
          <w:bCs/>
          <w:color w:val="7030A0"/>
        </w:rPr>
        <w:t xml:space="preserve"> mortality measure used claims-based data for development and testing. There was no missing data in the development and testing data.</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7E88DEBD" w14:textId="77777777" w:rsidR="00C83B86" w:rsidRDefault="009C7513" w:rsidP="00C83B86">
      <w:pPr>
        <w:autoSpaceDE w:val="0"/>
        <w:autoSpaceDN w:val="0"/>
        <w:adjustRightInd w:val="0"/>
        <w:spacing w:before="120"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C83B86">
        <w:rPr>
          <w:rFonts w:cstheme="minorHAnsi"/>
          <w:bCs/>
        </w:rPr>
        <w:t>)</w:t>
      </w:r>
    </w:p>
    <w:p w14:paraId="0CABD01D" w14:textId="03B62A7E" w:rsidR="008F7E67" w:rsidRDefault="00F73EE3" w:rsidP="00C83B86">
      <w:pPr>
        <w:autoSpaceDE w:val="0"/>
        <w:autoSpaceDN w:val="0"/>
        <w:adjustRightInd w:val="0"/>
        <w:spacing w:before="120" w:after="0" w:line="240" w:lineRule="auto"/>
        <w:rPr>
          <w:rFonts w:cstheme="minorHAnsi"/>
          <w:bCs/>
        </w:rPr>
      </w:pPr>
      <w:r w:rsidRPr="00F73EE3">
        <w:rPr>
          <w:rFonts w:cstheme="minorHAnsi"/>
          <w:bCs/>
          <w:color w:val="7030A0"/>
        </w:rPr>
        <w:t>N/A</w:t>
      </w:r>
    </w:p>
    <w:p w14:paraId="0CABD01E" w14:textId="77777777" w:rsidR="008F7E67" w:rsidRPr="00E1508F"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3514CA3B" w:rsidR="00BA053B" w:rsidRPr="005560E7" w:rsidRDefault="00F73EE3" w:rsidP="00C83B86">
      <w:pPr>
        <w:autoSpaceDE w:val="0"/>
        <w:autoSpaceDN w:val="0"/>
        <w:adjustRightInd w:val="0"/>
        <w:spacing w:before="120" w:after="0" w:line="240" w:lineRule="auto"/>
        <w:rPr>
          <w:rFonts w:cstheme="minorHAnsi"/>
          <w:bCs/>
        </w:rPr>
      </w:pPr>
      <w:r w:rsidRPr="00F73EE3">
        <w:rPr>
          <w:rFonts w:cstheme="minorHAnsi"/>
          <w:bCs/>
          <w:color w:val="7030A0"/>
        </w:rPr>
        <w:t>N/A</w:t>
      </w:r>
    </w:p>
    <w:sectPr w:rsidR="00BA053B" w:rsidRPr="005560E7" w:rsidSect="008505D1">
      <w:headerReference w:type="default"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9B6D8" w14:textId="77777777" w:rsidR="00A3089B" w:rsidRDefault="00A3089B" w:rsidP="005C73CA">
      <w:pPr>
        <w:spacing w:after="0" w:line="240" w:lineRule="auto"/>
      </w:pPr>
      <w:r>
        <w:separator/>
      </w:r>
    </w:p>
  </w:endnote>
  <w:endnote w:type="continuationSeparator" w:id="0">
    <w:p w14:paraId="5E41F4DB" w14:textId="77777777" w:rsidR="00A3089B" w:rsidRDefault="00A3089B"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5407FAC2" w:rsidR="00A3089B" w:rsidRDefault="00A3089B">
    <w:pPr>
      <w:pStyle w:val="Footer"/>
    </w:pPr>
    <w:r>
      <w:t>Version 7.1 9/6/2017</w:t>
    </w:r>
    <w:r>
      <w:ptab w:relativeTo="margin" w:alignment="right" w:leader="none"/>
    </w:r>
    <w:r>
      <w:fldChar w:fldCharType="begin"/>
    </w:r>
    <w:r>
      <w:instrText xml:space="preserve"> PAGE   \* MERGEFORMAT </w:instrText>
    </w:r>
    <w:r>
      <w:fldChar w:fldCharType="separate"/>
    </w:r>
    <w:r w:rsidR="00CD0CB6">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3D9BB" w14:textId="77777777" w:rsidR="00A3089B" w:rsidRDefault="00A3089B" w:rsidP="005C73CA">
      <w:pPr>
        <w:spacing w:after="0" w:line="240" w:lineRule="auto"/>
      </w:pPr>
      <w:r>
        <w:separator/>
      </w:r>
    </w:p>
  </w:footnote>
  <w:footnote w:type="continuationSeparator" w:id="0">
    <w:p w14:paraId="6DB2C9BF" w14:textId="77777777" w:rsidR="00A3089B" w:rsidRDefault="00A3089B"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A3089B" w:rsidRPr="00105D8B" w:rsidRDefault="00A3089B"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8244D4"/>
    <w:multiLevelType w:val="hybridMultilevel"/>
    <w:tmpl w:val="14627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59604F"/>
    <w:multiLevelType w:val="hybridMultilevel"/>
    <w:tmpl w:val="2020D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8A810A7"/>
    <w:multiLevelType w:val="hybridMultilevel"/>
    <w:tmpl w:val="9156070A"/>
    <w:lvl w:ilvl="0" w:tplc="26D4E3E4">
      <w:start w:val="1"/>
      <w:numFmt w:val="decimal"/>
      <w:lvlText w:val="%1)"/>
      <w:lvlJc w:val="left"/>
      <w:pPr>
        <w:ind w:left="720" w:hanging="360"/>
      </w:pPr>
      <w:rPr>
        <w:rFonts w:hint="default"/>
        <w:color w:val="C00000"/>
      </w:rPr>
    </w:lvl>
    <w:lvl w:ilvl="1" w:tplc="43B85F80">
      <w:start w:val="1"/>
      <w:numFmt w:val="lowerLetter"/>
      <w:lvlText w:val="%2."/>
      <w:lvlJc w:val="left"/>
      <w:pPr>
        <w:ind w:left="1440" w:hanging="360"/>
      </w:pPr>
      <w:rPr>
        <w:color w:val="7030A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91A3CD6"/>
    <w:multiLevelType w:val="hybridMultilevel"/>
    <w:tmpl w:val="5CFC8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FA063A3"/>
    <w:multiLevelType w:val="hybridMultilevel"/>
    <w:tmpl w:val="5052B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78400F5"/>
    <w:multiLevelType w:val="hybridMultilevel"/>
    <w:tmpl w:val="AC3AA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297B6D"/>
    <w:multiLevelType w:val="hybridMultilevel"/>
    <w:tmpl w:val="87985FFA"/>
    <w:lvl w:ilvl="0" w:tplc="601C8610">
      <w:start w:val="1"/>
      <w:numFmt w:val="decimal"/>
      <w:lvlText w:val="%1)"/>
      <w:lvlJc w:val="left"/>
      <w:pPr>
        <w:ind w:left="720" w:hanging="360"/>
      </w:pPr>
      <w:rPr>
        <w:i w:val="0"/>
        <w:color w:val="C00000"/>
      </w:rPr>
    </w:lvl>
    <w:lvl w:ilvl="1" w:tplc="60925EC8">
      <w:start w:val="1"/>
      <w:numFmt w:val="lowerLetter"/>
      <w:lvlText w:val="%2."/>
      <w:lvlJc w:val="left"/>
      <w:pPr>
        <w:ind w:left="1440" w:hanging="360"/>
      </w:pPr>
      <w:rPr>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B328E5"/>
    <w:multiLevelType w:val="hybridMultilevel"/>
    <w:tmpl w:val="68981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6F7DC0"/>
    <w:multiLevelType w:val="hybridMultilevel"/>
    <w:tmpl w:val="1068B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722D0B"/>
    <w:multiLevelType w:val="hybridMultilevel"/>
    <w:tmpl w:val="96629E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4"/>
  </w:num>
  <w:num w:numId="3">
    <w:abstractNumId w:val="4"/>
  </w:num>
  <w:num w:numId="4">
    <w:abstractNumId w:val="8"/>
  </w:num>
  <w:num w:numId="5">
    <w:abstractNumId w:val="3"/>
  </w:num>
  <w:num w:numId="6">
    <w:abstractNumId w:val="2"/>
  </w:num>
  <w:num w:numId="7">
    <w:abstractNumId w:val="5"/>
  </w:num>
  <w:num w:numId="8">
    <w:abstractNumId w:val="24"/>
  </w:num>
  <w:num w:numId="9">
    <w:abstractNumId w:val="13"/>
  </w:num>
  <w:num w:numId="10">
    <w:abstractNumId w:val="31"/>
  </w:num>
  <w:num w:numId="11">
    <w:abstractNumId w:val="15"/>
  </w:num>
  <w:num w:numId="12">
    <w:abstractNumId w:val="29"/>
  </w:num>
  <w:num w:numId="13">
    <w:abstractNumId w:val="22"/>
  </w:num>
  <w:num w:numId="14">
    <w:abstractNumId w:val="22"/>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1"/>
  </w:num>
  <w:num w:numId="16">
    <w:abstractNumId w:val="11"/>
  </w:num>
  <w:num w:numId="17">
    <w:abstractNumId w:val="30"/>
  </w:num>
  <w:num w:numId="18">
    <w:abstractNumId w:val="27"/>
  </w:num>
  <w:num w:numId="19">
    <w:abstractNumId w:val="25"/>
  </w:num>
  <w:num w:numId="20">
    <w:abstractNumId w:val="19"/>
  </w:num>
  <w:num w:numId="21">
    <w:abstractNumId w:val="23"/>
  </w:num>
  <w:num w:numId="22">
    <w:abstractNumId w:val="18"/>
  </w:num>
  <w:num w:numId="23">
    <w:abstractNumId w:val="9"/>
  </w:num>
  <w:num w:numId="24">
    <w:abstractNumId w:val="17"/>
  </w:num>
  <w:num w:numId="25">
    <w:abstractNumId w:val="16"/>
  </w:num>
  <w:num w:numId="26">
    <w:abstractNumId w:val="33"/>
  </w:num>
  <w:num w:numId="27">
    <w:abstractNumId w:val="0"/>
  </w:num>
  <w:num w:numId="28">
    <w:abstractNumId w:val="12"/>
  </w:num>
  <w:num w:numId="29">
    <w:abstractNumId w:val="20"/>
  </w:num>
  <w:num w:numId="30">
    <w:abstractNumId w:val="37"/>
  </w:num>
  <w:num w:numId="31">
    <w:abstractNumId w:val="1"/>
  </w:num>
  <w:num w:numId="32">
    <w:abstractNumId w:val="36"/>
  </w:num>
  <w:num w:numId="33">
    <w:abstractNumId w:val="35"/>
  </w:num>
  <w:num w:numId="34">
    <w:abstractNumId w:val="7"/>
  </w:num>
  <w:num w:numId="35">
    <w:abstractNumId w:val="28"/>
  </w:num>
  <w:num w:numId="36">
    <w:abstractNumId w:val="32"/>
  </w:num>
  <w:num w:numId="37">
    <w:abstractNumId w:val="26"/>
  </w:num>
  <w:num w:numId="38">
    <w:abstractNumId w:val="34"/>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706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3B32"/>
    <w:rsid w:val="00024DFD"/>
    <w:rsid w:val="00025F2B"/>
    <w:rsid w:val="00027AB8"/>
    <w:rsid w:val="000309DD"/>
    <w:rsid w:val="00031414"/>
    <w:rsid w:val="00033038"/>
    <w:rsid w:val="00033D63"/>
    <w:rsid w:val="0003436F"/>
    <w:rsid w:val="0003566C"/>
    <w:rsid w:val="000414E8"/>
    <w:rsid w:val="0004593A"/>
    <w:rsid w:val="00050A3E"/>
    <w:rsid w:val="00052A6F"/>
    <w:rsid w:val="00053F02"/>
    <w:rsid w:val="0005612B"/>
    <w:rsid w:val="000574AB"/>
    <w:rsid w:val="0006147A"/>
    <w:rsid w:val="0006234F"/>
    <w:rsid w:val="0006640A"/>
    <w:rsid w:val="000775F8"/>
    <w:rsid w:val="00080CF7"/>
    <w:rsid w:val="000851B2"/>
    <w:rsid w:val="000857BA"/>
    <w:rsid w:val="0008663D"/>
    <w:rsid w:val="0008771E"/>
    <w:rsid w:val="00092566"/>
    <w:rsid w:val="000968F8"/>
    <w:rsid w:val="00097012"/>
    <w:rsid w:val="000B032A"/>
    <w:rsid w:val="000B2DF7"/>
    <w:rsid w:val="000B3880"/>
    <w:rsid w:val="000B7D57"/>
    <w:rsid w:val="000C036D"/>
    <w:rsid w:val="000C0FF8"/>
    <w:rsid w:val="000D2722"/>
    <w:rsid w:val="000D7948"/>
    <w:rsid w:val="000D7C84"/>
    <w:rsid w:val="000E3387"/>
    <w:rsid w:val="000E4E13"/>
    <w:rsid w:val="000E78F6"/>
    <w:rsid w:val="000F034A"/>
    <w:rsid w:val="000F06B5"/>
    <w:rsid w:val="000F1B7A"/>
    <w:rsid w:val="000F39E9"/>
    <w:rsid w:val="000F3C09"/>
    <w:rsid w:val="00104B45"/>
    <w:rsid w:val="00105D8B"/>
    <w:rsid w:val="0011045A"/>
    <w:rsid w:val="0011342F"/>
    <w:rsid w:val="001202E9"/>
    <w:rsid w:val="0012454F"/>
    <w:rsid w:val="00125273"/>
    <w:rsid w:val="0012575E"/>
    <w:rsid w:val="00127C06"/>
    <w:rsid w:val="00145149"/>
    <w:rsid w:val="00145D4F"/>
    <w:rsid w:val="0014773C"/>
    <w:rsid w:val="00163CE7"/>
    <w:rsid w:val="00174882"/>
    <w:rsid w:val="0017696D"/>
    <w:rsid w:val="00182B4F"/>
    <w:rsid w:val="00183D9E"/>
    <w:rsid w:val="001848FC"/>
    <w:rsid w:val="00193F21"/>
    <w:rsid w:val="00194676"/>
    <w:rsid w:val="001969C5"/>
    <w:rsid w:val="00196D80"/>
    <w:rsid w:val="001A4027"/>
    <w:rsid w:val="001A6CDD"/>
    <w:rsid w:val="001C12EE"/>
    <w:rsid w:val="001C7B02"/>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50B4F"/>
    <w:rsid w:val="00252CBD"/>
    <w:rsid w:val="0025762F"/>
    <w:rsid w:val="00275563"/>
    <w:rsid w:val="00275E1B"/>
    <w:rsid w:val="0028114D"/>
    <w:rsid w:val="002828BB"/>
    <w:rsid w:val="00287649"/>
    <w:rsid w:val="00287E84"/>
    <w:rsid w:val="0029286C"/>
    <w:rsid w:val="0029300E"/>
    <w:rsid w:val="00297C5C"/>
    <w:rsid w:val="002A646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4643"/>
    <w:rsid w:val="00304C86"/>
    <w:rsid w:val="003059EB"/>
    <w:rsid w:val="003111D3"/>
    <w:rsid w:val="003116AC"/>
    <w:rsid w:val="00314CBD"/>
    <w:rsid w:val="00315567"/>
    <w:rsid w:val="003233A0"/>
    <w:rsid w:val="00330144"/>
    <w:rsid w:val="00334329"/>
    <w:rsid w:val="00345CBA"/>
    <w:rsid w:val="00346245"/>
    <w:rsid w:val="00355E7B"/>
    <w:rsid w:val="00356267"/>
    <w:rsid w:val="00356BAD"/>
    <w:rsid w:val="003605B4"/>
    <w:rsid w:val="003627AC"/>
    <w:rsid w:val="00366914"/>
    <w:rsid w:val="00372FE3"/>
    <w:rsid w:val="003755CB"/>
    <w:rsid w:val="00383F85"/>
    <w:rsid w:val="00387BA1"/>
    <w:rsid w:val="003A306C"/>
    <w:rsid w:val="003A7DE7"/>
    <w:rsid w:val="003B1006"/>
    <w:rsid w:val="003C5F11"/>
    <w:rsid w:val="003D294B"/>
    <w:rsid w:val="003D6401"/>
    <w:rsid w:val="003E1863"/>
    <w:rsid w:val="003E6A28"/>
    <w:rsid w:val="004047BD"/>
    <w:rsid w:val="0041606D"/>
    <w:rsid w:val="00416962"/>
    <w:rsid w:val="00417669"/>
    <w:rsid w:val="004206A8"/>
    <w:rsid w:val="004348CC"/>
    <w:rsid w:val="00450C58"/>
    <w:rsid w:val="004658FF"/>
    <w:rsid w:val="00474ED7"/>
    <w:rsid w:val="004756E1"/>
    <w:rsid w:val="0048008A"/>
    <w:rsid w:val="0048088A"/>
    <w:rsid w:val="00483E94"/>
    <w:rsid w:val="00484120"/>
    <w:rsid w:val="004853A0"/>
    <w:rsid w:val="00493E72"/>
    <w:rsid w:val="00495407"/>
    <w:rsid w:val="00496B5F"/>
    <w:rsid w:val="004A251A"/>
    <w:rsid w:val="004A2E10"/>
    <w:rsid w:val="004B17FF"/>
    <w:rsid w:val="004B1BA0"/>
    <w:rsid w:val="004B6CEE"/>
    <w:rsid w:val="004C0056"/>
    <w:rsid w:val="004C2443"/>
    <w:rsid w:val="004C498F"/>
    <w:rsid w:val="004C5D29"/>
    <w:rsid w:val="004C681A"/>
    <w:rsid w:val="004D25F6"/>
    <w:rsid w:val="004D4D8A"/>
    <w:rsid w:val="004F68EE"/>
    <w:rsid w:val="005038D5"/>
    <w:rsid w:val="00511BA4"/>
    <w:rsid w:val="005149E7"/>
    <w:rsid w:val="005232D6"/>
    <w:rsid w:val="005277F4"/>
    <w:rsid w:val="005333CC"/>
    <w:rsid w:val="005363F1"/>
    <w:rsid w:val="00537C1B"/>
    <w:rsid w:val="0054677F"/>
    <w:rsid w:val="0055007C"/>
    <w:rsid w:val="00554922"/>
    <w:rsid w:val="00555282"/>
    <w:rsid w:val="005560E7"/>
    <w:rsid w:val="005612CC"/>
    <w:rsid w:val="00563029"/>
    <w:rsid w:val="00567D12"/>
    <w:rsid w:val="00576062"/>
    <w:rsid w:val="00576BC4"/>
    <w:rsid w:val="0059559F"/>
    <w:rsid w:val="005959C3"/>
    <w:rsid w:val="005A49FF"/>
    <w:rsid w:val="005A7634"/>
    <w:rsid w:val="005B6F04"/>
    <w:rsid w:val="005C0447"/>
    <w:rsid w:val="005C718B"/>
    <w:rsid w:val="005C739F"/>
    <w:rsid w:val="005C73CA"/>
    <w:rsid w:val="005D4768"/>
    <w:rsid w:val="005E2CAB"/>
    <w:rsid w:val="005E429E"/>
    <w:rsid w:val="00600CD6"/>
    <w:rsid w:val="00601ED4"/>
    <w:rsid w:val="006030BC"/>
    <w:rsid w:val="00603B4B"/>
    <w:rsid w:val="00612169"/>
    <w:rsid w:val="00612866"/>
    <w:rsid w:val="00616EB5"/>
    <w:rsid w:val="00624D06"/>
    <w:rsid w:val="006269D4"/>
    <w:rsid w:val="006327D8"/>
    <w:rsid w:val="0064070A"/>
    <w:rsid w:val="00643A01"/>
    <w:rsid w:val="00651D44"/>
    <w:rsid w:val="00656A43"/>
    <w:rsid w:val="006574D2"/>
    <w:rsid w:val="00663563"/>
    <w:rsid w:val="006673B5"/>
    <w:rsid w:val="006676D4"/>
    <w:rsid w:val="00675535"/>
    <w:rsid w:val="00681359"/>
    <w:rsid w:val="0069157C"/>
    <w:rsid w:val="00696262"/>
    <w:rsid w:val="006A086A"/>
    <w:rsid w:val="006B602F"/>
    <w:rsid w:val="006C3A4F"/>
    <w:rsid w:val="006C4845"/>
    <w:rsid w:val="006D6BC1"/>
    <w:rsid w:val="006E2BFC"/>
    <w:rsid w:val="006E5C57"/>
    <w:rsid w:val="006F0CAE"/>
    <w:rsid w:val="006F22A5"/>
    <w:rsid w:val="00702C73"/>
    <w:rsid w:val="00713394"/>
    <w:rsid w:val="00724677"/>
    <w:rsid w:val="00725AC2"/>
    <w:rsid w:val="00732880"/>
    <w:rsid w:val="007416B9"/>
    <w:rsid w:val="007422FD"/>
    <w:rsid w:val="00743E46"/>
    <w:rsid w:val="00747C45"/>
    <w:rsid w:val="00751E8B"/>
    <w:rsid w:val="00756FDB"/>
    <w:rsid w:val="007629B6"/>
    <w:rsid w:val="0076315E"/>
    <w:rsid w:val="007665BF"/>
    <w:rsid w:val="00771B2A"/>
    <w:rsid w:val="0077238B"/>
    <w:rsid w:val="007757CE"/>
    <w:rsid w:val="00775800"/>
    <w:rsid w:val="0077796B"/>
    <w:rsid w:val="00781754"/>
    <w:rsid w:val="0079180E"/>
    <w:rsid w:val="007950CC"/>
    <w:rsid w:val="0079538B"/>
    <w:rsid w:val="007961B8"/>
    <w:rsid w:val="00797624"/>
    <w:rsid w:val="007A4828"/>
    <w:rsid w:val="007B093D"/>
    <w:rsid w:val="007B2069"/>
    <w:rsid w:val="007C04A1"/>
    <w:rsid w:val="007C1CAB"/>
    <w:rsid w:val="007C21FA"/>
    <w:rsid w:val="007C6823"/>
    <w:rsid w:val="007D13B1"/>
    <w:rsid w:val="007D4351"/>
    <w:rsid w:val="007D7019"/>
    <w:rsid w:val="007E0ECB"/>
    <w:rsid w:val="007E18DB"/>
    <w:rsid w:val="007E6F1C"/>
    <w:rsid w:val="00804C69"/>
    <w:rsid w:val="0080711D"/>
    <w:rsid w:val="008155CD"/>
    <w:rsid w:val="00823979"/>
    <w:rsid w:val="00833325"/>
    <w:rsid w:val="0084071B"/>
    <w:rsid w:val="00840A41"/>
    <w:rsid w:val="00842F3C"/>
    <w:rsid w:val="008458B2"/>
    <w:rsid w:val="008505D1"/>
    <w:rsid w:val="00855158"/>
    <w:rsid w:val="00857EE8"/>
    <w:rsid w:val="0086464B"/>
    <w:rsid w:val="008647FC"/>
    <w:rsid w:val="00864CA8"/>
    <w:rsid w:val="00865E2D"/>
    <w:rsid w:val="00870E6C"/>
    <w:rsid w:val="00875846"/>
    <w:rsid w:val="00884486"/>
    <w:rsid w:val="008871A9"/>
    <w:rsid w:val="008916BA"/>
    <w:rsid w:val="00892176"/>
    <w:rsid w:val="008A1DB7"/>
    <w:rsid w:val="008A403A"/>
    <w:rsid w:val="008A4C13"/>
    <w:rsid w:val="008A5F33"/>
    <w:rsid w:val="008B604D"/>
    <w:rsid w:val="008C54A9"/>
    <w:rsid w:val="008E67C3"/>
    <w:rsid w:val="008F55E7"/>
    <w:rsid w:val="008F589F"/>
    <w:rsid w:val="008F76A9"/>
    <w:rsid w:val="008F7E67"/>
    <w:rsid w:val="00900DBF"/>
    <w:rsid w:val="009048B9"/>
    <w:rsid w:val="00904E91"/>
    <w:rsid w:val="00915886"/>
    <w:rsid w:val="009214DC"/>
    <w:rsid w:val="00927027"/>
    <w:rsid w:val="009344BA"/>
    <w:rsid w:val="00946E61"/>
    <w:rsid w:val="00947A9B"/>
    <w:rsid w:val="00947F78"/>
    <w:rsid w:val="00953234"/>
    <w:rsid w:val="00961EAF"/>
    <w:rsid w:val="0096278F"/>
    <w:rsid w:val="009726E1"/>
    <w:rsid w:val="00972A04"/>
    <w:rsid w:val="00977591"/>
    <w:rsid w:val="00980E75"/>
    <w:rsid w:val="00994BE0"/>
    <w:rsid w:val="009A25B1"/>
    <w:rsid w:val="009A4608"/>
    <w:rsid w:val="009A6A57"/>
    <w:rsid w:val="009A70BF"/>
    <w:rsid w:val="009B1A15"/>
    <w:rsid w:val="009C0852"/>
    <w:rsid w:val="009C13CA"/>
    <w:rsid w:val="009C32C6"/>
    <w:rsid w:val="009C665F"/>
    <w:rsid w:val="009C7513"/>
    <w:rsid w:val="009D3882"/>
    <w:rsid w:val="009D7E38"/>
    <w:rsid w:val="009E095B"/>
    <w:rsid w:val="009E1846"/>
    <w:rsid w:val="009E1D34"/>
    <w:rsid w:val="009E78FF"/>
    <w:rsid w:val="00A01494"/>
    <w:rsid w:val="00A07C76"/>
    <w:rsid w:val="00A22FA9"/>
    <w:rsid w:val="00A25024"/>
    <w:rsid w:val="00A3089B"/>
    <w:rsid w:val="00A35F8F"/>
    <w:rsid w:val="00A4045F"/>
    <w:rsid w:val="00A41377"/>
    <w:rsid w:val="00A4263D"/>
    <w:rsid w:val="00A509B8"/>
    <w:rsid w:val="00A52AB9"/>
    <w:rsid w:val="00A60F2E"/>
    <w:rsid w:val="00A6210B"/>
    <w:rsid w:val="00A64EBF"/>
    <w:rsid w:val="00A71200"/>
    <w:rsid w:val="00A7323A"/>
    <w:rsid w:val="00A831B4"/>
    <w:rsid w:val="00A97798"/>
    <w:rsid w:val="00AA5213"/>
    <w:rsid w:val="00AA65A6"/>
    <w:rsid w:val="00AC1D8E"/>
    <w:rsid w:val="00AC48FA"/>
    <w:rsid w:val="00AD0240"/>
    <w:rsid w:val="00AD4137"/>
    <w:rsid w:val="00AD48BC"/>
    <w:rsid w:val="00AF0A78"/>
    <w:rsid w:val="00AF2D68"/>
    <w:rsid w:val="00AF5F18"/>
    <w:rsid w:val="00B037BA"/>
    <w:rsid w:val="00B06C11"/>
    <w:rsid w:val="00B20139"/>
    <w:rsid w:val="00B218DA"/>
    <w:rsid w:val="00B26DF0"/>
    <w:rsid w:val="00B342FA"/>
    <w:rsid w:val="00B373B8"/>
    <w:rsid w:val="00B53E8B"/>
    <w:rsid w:val="00B666ED"/>
    <w:rsid w:val="00B774D2"/>
    <w:rsid w:val="00B8015A"/>
    <w:rsid w:val="00B80E87"/>
    <w:rsid w:val="00B82A57"/>
    <w:rsid w:val="00B936A5"/>
    <w:rsid w:val="00BA053B"/>
    <w:rsid w:val="00BB35AE"/>
    <w:rsid w:val="00BC03A1"/>
    <w:rsid w:val="00BC0D25"/>
    <w:rsid w:val="00BC280B"/>
    <w:rsid w:val="00BC292B"/>
    <w:rsid w:val="00BC7CB1"/>
    <w:rsid w:val="00BD2505"/>
    <w:rsid w:val="00BD6039"/>
    <w:rsid w:val="00BE4422"/>
    <w:rsid w:val="00BE592D"/>
    <w:rsid w:val="00BF52B0"/>
    <w:rsid w:val="00BF5697"/>
    <w:rsid w:val="00C0013A"/>
    <w:rsid w:val="00C02700"/>
    <w:rsid w:val="00C079DA"/>
    <w:rsid w:val="00C14CCC"/>
    <w:rsid w:val="00C1695E"/>
    <w:rsid w:val="00C22C1C"/>
    <w:rsid w:val="00C33F2E"/>
    <w:rsid w:val="00C340D0"/>
    <w:rsid w:val="00C34936"/>
    <w:rsid w:val="00C34C14"/>
    <w:rsid w:val="00C355B9"/>
    <w:rsid w:val="00C37EF1"/>
    <w:rsid w:val="00C401C4"/>
    <w:rsid w:val="00C41680"/>
    <w:rsid w:val="00C60A25"/>
    <w:rsid w:val="00C765C5"/>
    <w:rsid w:val="00C775CE"/>
    <w:rsid w:val="00C82479"/>
    <w:rsid w:val="00C83B86"/>
    <w:rsid w:val="00C867F0"/>
    <w:rsid w:val="00C9212C"/>
    <w:rsid w:val="00CA06D8"/>
    <w:rsid w:val="00CA345A"/>
    <w:rsid w:val="00CB49FF"/>
    <w:rsid w:val="00CB6368"/>
    <w:rsid w:val="00CC02CF"/>
    <w:rsid w:val="00CC086A"/>
    <w:rsid w:val="00CD0CB6"/>
    <w:rsid w:val="00CD0E24"/>
    <w:rsid w:val="00CD0F66"/>
    <w:rsid w:val="00CD364B"/>
    <w:rsid w:val="00CE23B8"/>
    <w:rsid w:val="00CE284E"/>
    <w:rsid w:val="00CE50D7"/>
    <w:rsid w:val="00CF4CBE"/>
    <w:rsid w:val="00D00344"/>
    <w:rsid w:val="00D16919"/>
    <w:rsid w:val="00D1754D"/>
    <w:rsid w:val="00D2108C"/>
    <w:rsid w:val="00D2223F"/>
    <w:rsid w:val="00D274A4"/>
    <w:rsid w:val="00D277AF"/>
    <w:rsid w:val="00D31163"/>
    <w:rsid w:val="00D320B1"/>
    <w:rsid w:val="00D33AFD"/>
    <w:rsid w:val="00D36489"/>
    <w:rsid w:val="00D369E9"/>
    <w:rsid w:val="00D42195"/>
    <w:rsid w:val="00D50704"/>
    <w:rsid w:val="00D5760A"/>
    <w:rsid w:val="00D61410"/>
    <w:rsid w:val="00D8181D"/>
    <w:rsid w:val="00D968D8"/>
    <w:rsid w:val="00DA563D"/>
    <w:rsid w:val="00DA7277"/>
    <w:rsid w:val="00DB3627"/>
    <w:rsid w:val="00DB4724"/>
    <w:rsid w:val="00DB6944"/>
    <w:rsid w:val="00DC4746"/>
    <w:rsid w:val="00DD1908"/>
    <w:rsid w:val="00DE7149"/>
    <w:rsid w:val="00E0314C"/>
    <w:rsid w:val="00E1508F"/>
    <w:rsid w:val="00E20883"/>
    <w:rsid w:val="00E261DF"/>
    <w:rsid w:val="00E27240"/>
    <w:rsid w:val="00E27EDD"/>
    <w:rsid w:val="00E30584"/>
    <w:rsid w:val="00E310B9"/>
    <w:rsid w:val="00E37E1B"/>
    <w:rsid w:val="00E562C0"/>
    <w:rsid w:val="00E57FAF"/>
    <w:rsid w:val="00E672D6"/>
    <w:rsid w:val="00E7239F"/>
    <w:rsid w:val="00E76024"/>
    <w:rsid w:val="00E80E35"/>
    <w:rsid w:val="00E856A2"/>
    <w:rsid w:val="00E9461C"/>
    <w:rsid w:val="00E967AD"/>
    <w:rsid w:val="00E96884"/>
    <w:rsid w:val="00EA5435"/>
    <w:rsid w:val="00EA5F47"/>
    <w:rsid w:val="00EB455E"/>
    <w:rsid w:val="00EC79DE"/>
    <w:rsid w:val="00ED4ACE"/>
    <w:rsid w:val="00EE4D35"/>
    <w:rsid w:val="00EE5930"/>
    <w:rsid w:val="00EF2DA7"/>
    <w:rsid w:val="00F1412B"/>
    <w:rsid w:val="00F15BFA"/>
    <w:rsid w:val="00F309E5"/>
    <w:rsid w:val="00F34FAB"/>
    <w:rsid w:val="00F4071D"/>
    <w:rsid w:val="00F435AA"/>
    <w:rsid w:val="00F51D14"/>
    <w:rsid w:val="00F5738A"/>
    <w:rsid w:val="00F612D4"/>
    <w:rsid w:val="00F7389E"/>
    <w:rsid w:val="00F73EE3"/>
    <w:rsid w:val="00F77F1D"/>
    <w:rsid w:val="00F87477"/>
    <w:rsid w:val="00F87CCB"/>
    <w:rsid w:val="00FA48C7"/>
    <w:rsid w:val="00FB04D9"/>
    <w:rsid w:val="00FB51FB"/>
    <w:rsid w:val="00FB73C1"/>
    <w:rsid w:val="00FC40A0"/>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0657"/>
    <o:shapelayout v:ext="edit">
      <o:idmap v:ext="edit" data="1"/>
    </o:shapelayout>
  </w:shapeDefaults>
  <w:decimalSymbol w:val="."/>
  <w:listSeparator w:val=","/>
  <w14:docId w14:val="0CABCF53"/>
  <w15:docId w15:val="{F9629A9C-23CC-440E-A413-5866094AA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ed List Level 1"/>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aliases w:val="Bulleted List Level 1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table" w:customStyle="1" w:styleId="ListTable3-Accent112">
    <w:name w:val="List Table 3 - Accent 112"/>
    <w:basedOn w:val="TableNormal"/>
    <w:next w:val="TableNormal"/>
    <w:uiPriority w:val="48"/>
    <w:rsid w:val="006F0CAE"/>
    <w:pPr>
      <w:spacing w:after="0" w:line="240" w:lineRule="auto"/>
    </w:pPr>
    <w:rPr>
      <w:rFonts w:eastAsia="Calibri"/>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customStyle="1" w:styleId="Default">
    <w:name w:val="Default"/>
    <w:rsid w:val="00B936A5"/>
    <w:pPr>
      <w:autoSpaceDE w:val="0"/>
      <w:autoSpaceDN w:val="0"/>
      <w:adjustRightInd w:val="0"/>
      <w:spacing w:after="0" w:line="240" w:lineRule="auto"/>
    </w:pPr>
    <w:rPr>
      <w:rFonts w:ascii="Calibri" w:hAnsi="Calibri" w:cs="Calibri"/>
      <w:color w:val="000000"/>
      <w:sz w:val="24"/>
      <w:szCs w:val="24"/>
    </w:rPr>
  </w:style>
  <w:style w:type="paragraph" w:styleId="BodyText2">
    <w:name w:val="Body Text 2"/>
    <w:basedOn w:val="Normal"/>
    <w:link w:val="BodyText2Char"/>
    <w:uiPriority w:val="99"/>
    <w:rsid w:val="00EE5930"/>
    <w:pPr>
      <w:spacing w:after="0" w:line="240" w:lineRule="auto"/>
    </w:pPr>
    <w:rPr>
      <w:rFonts w:ascii="Times New Roman" w:eastAsia="SimSun" w:hAnsi="Times New Roman" w:cs="Times New Roman"/>
      <w:color w:val="FF0000"/>
      <w:sz w:val="24"/>
      <w:szCs w:val="24"/>
    </w:rPr>
  </w:style>
  <w:style w:type="character" w:customStyle="1" w:styleId="BodyText2Char">
    <w:name w:val="Body Text 2 Char"/>
    <w:basedOn w:val="DefaultParagraphFont"/>
    <w:link w:val="BodyText2"/>
    <w:uiPriority w:val="99"/>
    <w:rsid w:val="00EE5930"/>
    <w:rPr>
      <w:rFonts w:ascii="Times New Roman" w:eastAsia="SimSun" w:hAnsi="Times New Roman" w:cs="Times New Roman"/>
      <w:color w:val="FF0000"/>
      <w:sz w:val="24"/>
      <w:szCs w:val="24"/>
    </w:rPr>
  </w:style>
  <w:style w:type="paragraph" w:customStyle="1" w:styleId="CM23">
    <w:name w:val="CM23"/>
    <w:basedOn w:val="Normal"/>
    <w:next w:val="Normal"/>
    <w:uiPriority w:val="99"/>
    <w:rsid w:val="00C02700"/>
    <w:pPr>
      <w:widowControl w:val="0"/>
      <w:autoSpaceDE w:val="0"/>
      <w:autoSpaceDN w:val="0"/>
      <w:adjustRightInd w:val="0"/>
      <w:spacing w:before="120" w:after="0" w:line="240" w:lineRule="auto"/>
    </w:pPr>
    <w:rPr>
      <w:rFonts w:ascii="Trebuchet MS" w:eastAsia="Times New Roman" w:hAnsi="Trebuchet MS" w:cs="Times New Roman"/>
      <w:sz w:val="24"/>
      <w:szCs w:val="24"/>
    </w:rPr>
  </w:style>
  <w:style w:type="table" w:customStyle="1" w:styleId="TableGrid1">
    <w:name w:val="Table Grid1"/>
    <w:basedOn w:val="TableNormal"/>
    <w:next w:val="TableGrid"/>
    <w:uiPriority w:val="59"/>
    <w:rsid w:val="007C1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458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047BD"/>
    <w:rPr>
      <w:color w:val="808080"/>
      <w:shd w:val="clear" w:color="auto" w:fill="E6E6E6"/>
    </w:rPr>
  </w:style>
  <w:style w:type="table" w:customStyle="1" w:styleId="TableGrid3">
    <w:name w:val="Table Grid3"/>
    <w:basedOn w:val="TableNormal"/>
    <w:next w:val="TableGrid"/>
    <w:uiPriority w:val="59"/>
    <w:rsid w:val="00275E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27476628">
      <w:bodyDiv w:val="1"/>
      <w:marLeft w:val="0"/>
      <w:marRight w:val="0"/>
      <w:marTop w:val="0"/>
      <w:marBottom w:val="0"/>
      <w:divBdr>
        <w:top w:val="none" w:sz="0" w:space="0" w:color="auto"/>
        <w:left w:val="none" w:sz="0" w:space="0" w:color="auto"/>
        <w:bottom w:val="none" w:sz="0" w:space="0" w:color="auto"/>
        <w:right w:val="none" w:sz="0" w:space="0" w:color="auto"/>
      </w:divBdr>
    </w:div>
    <w:div w:id="1808550562">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207928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aspe.hhs.gov/pdf-report/report-congress-social-risk-factors-and-performance-under-medicares-value-based-purchasing-programs" TargetMode="External"/><Relationship Id="rId18" Type="http://schemas.openxmlformats.org/officeDocument/2006/relationships/image" Target="media/image1.png"/><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yperlink" Target="https://aspe.hhs.gov/pdf-report/report-congress-social-risk-factors-and-performance-under-medicares-value-based-purchasing-programs" TargetMode="Externa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s://www.qualitynet.org/inpatient/public-reporting/overall-ratings/resources" TargetMode="External"/><Relationship Id="rId25" Type="http://schemas.openxmlformats.org/officeDocument/2006/relationships/hyperlink" Target="https://aspe.hhs.gov/system/files/pdf/263676/Social-Risk-in-Medicare%E2%80%99s-VBP-2nd-Report.pdf" TargetMode="External"/><Relationship Id="rId2" Type="http://schemas.openxmlformats.org/officeDocument/2006/relationships/customXml" Target="../customXml/item2.xml"/><Relationship Id="rId16" Type="http://schemas.openxmlformats.org/officeDocument/2006/relationships/hyperlink" Target="https://www.qualitynet.org/inpatient/public-reporting/overall-ratings/resources" TargetMode="External"/><Relationship Id="rId20" Type="http://schemas.openxmlformats.org/officeDocument/2006/relationships/hyperlink" Target="https://www.ncbi.nlm.nih.gov/books/NBK338754/doi:10.17226/21858"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ms.gov/Medicare/Health-Plans/MedicareAdvtgSpecRateStats/downloads/evaluation_risk_adj_model_2011.pdf"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qualitynet.org/inpatient/measures/mortality/methodology" TargetMode="External"/><Relationship Id="rId23" Type="http://schemas.openxmlformats.org/officeDocument/2006/relationships/hyperlink" Target="http://www.cms.hhs.gov/Reports/downloads/pope_2000_2.pdf"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2.png"/><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aspe.hhs.gov/system/files/pdf/263676/Social-Risk-in-Medicare%E2%80%99s-VBP-2nd-Report.pdf" TargetMode="External"/><Relationship Id="rId22" Type="http://schemas.openxmlformats.org/officeDocument/2006/relationships/hyperlink" Target="https://aspe.hhs.gov/system/files/pdf/263676/Social-Risk-in-Medicare%E2%80%99s-VBP-2nd-Report.pdf" TargetMode="External"/><Relationship Id="rId27" Type="http://schemas.openxmlformats.org/officeDocument/2006/relationships/image" Target="media/image4.emf"/><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BF679ECA67BE439CB2BB3E88061BA594"/>
        <w:category>
          <w:name w:val="General"/>
          <w:gallery w:val="placeholder"/>
        </w:category>
        <w:types>
          <w:type w:val="bbPlcHdr"/>
        </w:types>
        <w:behaviors>
          <w:behavior w:val="content"/>
        </w:behaviors>
        <w:guid w:val="{CA16D4DD-4C77-4084-919A-C5C34E9582E9}"/>
      </w:docPartPr>
      <w:docPartBody>
        <w:p w:rsidR="00440C6A" w:rsidRDefault="00440C6A" w:rsidP="00440C6A">
          <w:pPr>
            <w:pStyle w:val="BF679ECA67BE439CB2BB3E88061BA594"/>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05AD1"/>
    <w:rsid w:val="00021F89"/>
    <w:rsid w:val="00127222"/>
    <w:rsid w:val="001736D7"/>
    <w:rsid w:val="00190AF4"/>
    <w:rsid w:val="00223FA3"/>
    <w:rsid w:val="0024179A"/>
    <w:rsid w:val="002A288F"/>
    <w:rsid w:val="002C65A7"/>
    <w:rsid w:val="002F052A"/>
    <w:rsid w:val="00311BF4"/>
    <w:rsid w:val="00350176"/>
    <w:rsid w:val="003840F0"/>
    <w:rsid w:val="00437537"/>
    <w:rsid w:val="00440C6A"/>
    <w:rsid w:val="004D785E"/>
    <w:rsid w:val="00513FC9"/>
    <w:rsid w:val="0053654E"/>
    <w:rsid w:val="005F265C"/>
    <w:rsid w:val="00610196"/>
    <w:rsid w:val="00632A7E"/>
    <w:rsid w:val="00632AB6"/>
    <w:rsid w:val="00685024"/>
    <w:rsid w:val="006A4001"/>
    <w:rsid w:val="006E7581"/>
    <w:rsid w:val="00730B33"/>
    <w:rsid w:val="00772B2A"/>
    <w:rsid w:val="007C672A"/>
    <w:rsid w:val="007D4368"/>
    <w:rsid w:val="007E7432"/>
    <w:rsid w:val="00822666"/>
    <w:rsid w:val="00823ECC"/>
    <w:rsid w:val="00826796"/>
    <w:rsid w:val="00866C97"/>
    <w:rsid w:val="009017AE"/>
    <w:rsid w:val="009A2CEF"/>
    <w:rsid w:val="009C542D"/>
    <w:rsid w:val="00A01A18"/>
    <w:rsid w:val="00A95183"/>
    <w:rsid w:val="00AB4AF7"/>
    <w:rsid w:val="00AD7C4F"/>
    <w:rsid w:val="00B445F5"/>
    <w:rsid w:val="00BD40CB"/>
    <w:rsid w:val="00C362A2"/>
    <w:rsid w:val="00C90121"/>
    <w:rsid w:val="00C932D3"/>
    <w:rsid w:val="00C96E73"/>
    <w:rsid w:val="00CA1FE8"/>
    <w:rsid w:val="00CA344F"/>
    <w:rsid w:val="00D1676E"/>
    <w:rsid w:val="00DC0246"/>
    <w:rsid w:val="00E4390D"/>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40C6A"/>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BF679ECA67BE439CB2BB3E88061BA594">
    <w:name w:val="BF679ECA67BE439CB2BB3E88061BA594"/>
    <w:rsid w:val="00440C6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836b82f1-340d-495e-85b5-201c5296619a"/>
    <ds:schemaRef ds:uri="http://www.w3.org/XML/1998/namespace"/>
    <ds:schemaRef ds:uri="http://purl.org/dc/dcmitype/"/>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4.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75694C7-8DEE-46E3-8973-D2AC408B9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32</Pages>
  <Words>13522</Words>
  <Characters>77076</Characters>
  <Application>Microsoft Office Word</Application>
  <DocSecurity>0</DocSecurity>
  <Lines>642</Lines>
  <Paragraphs>180</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90418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dc:description/>
  <cp:lastModifiedBy>Peter, Doris</cp:lastModifiedBy>
  <cp:revision>2</cp:revision>
  <dcterms:created xsi:type="dcterms:W3CDTF">2020-11-18T13:16:00Z</dcterms:created>
  <dcterms:modified xsi:type="dcterms:W3CDTF">2020-11-18T13:16:00Z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