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ABCF53" w14:textId="11B98013" w:rsidR="00927027" w:rsidRDefault="000E78F6" w:rsidP="00927027">
      <w:pPr>
        <w:contextualSpacing/>
        <w:jc w:val="center"/>
        <w:rPr>
          <w:rFonts w:cstheme="minorHAnsi"/>
          <w:b/>
          <w:noProof/>
        </w:rPr>
      </w:pPr>
      <w:bookmarkStart w:id="0" w:name="_GoBack"/>
      <w:bookmarkEnd w:id="0"/>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14FE9FB9"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color w:val="1111FB"/>
          </w:rPr>
          <w:id w:val="1103681744"/>
          <w:placeholder>
            <w:docPart w:val="D06AB11FD608490E9B47857CE12EB3BD"/>
          </w:placeholder>
        </w:sdtPr>
        <w:sdtEndPr>
          <w:rPr>
            <w:rStyle w:val="DefaultParagraphFont"/>
            <w:rFonts w:cstheme="minorHAnsi"/>
            <w:b/>
            <w:noProof/>
          </w:rPr>
        </w:sdtEndPr>
        <w:sdtContent>
          <w:r w:rsidR="000825CC" w:rsidRPr="002157CF">
            <w:rPr>
              <w:rStyle w:val="Style1"/>
              <w:color w:val="1111FB"/>
            </w:rPr>
            <w:t>0059</w:t>
          </w:r>
        </w:sdtContent>
      </w:sdt>
    </w:p>
    <w:p w14:paraId="0CABCF56" w14:textId="5DA4D779" w:rsidR="00105D8B" w:rsidRPr="00DA5BA0" w:rsidRDefault="00105D8B" w:rsidP="00105D8B">
      <w:pPr>
        <w:contextualSpacing/>
        <w:rPr>
          <w:rFonts w:cstheme="minorHAnsi"/>
          <w:noProof/>
          <w:color w:val="4F81BD" w:themeColor="accent1"/>
        </w:rPr>
      </w:pPr>
      <w:r w:rsidRPr="00BD6EBB">
        <w:rPr>
          <w:rFonts w:cstheme="minorHAnsi"/>
          <w:b/>
          <w:noProof/>
        </w:rPr>
        <w:t>Measure Title</w:t>
      </w:r>
      <w:r w:rsidRPr="00BD6EBB">
        <w:rPr>
          <w:rFonts w:cstheme="minorHAnsi"/>
          <w:noProof/>
        </w:rPr>
        <w:t xml:space="preserve">:  </w:t>
      </w:r>
      <w:sdt>
        <w:sdtPr>
          <w:rPr>
            <w:rStyle w:val="Style1"/>
            <w:rFonts w:cstheme="minorHAnsi"/>
            <w:color w:val="1111FB"/>
          </w:rPr>
          <w:id w:val="-882640736"/>
          <w:placeholder>
            <w:docPart w:val="00949831315D4E1BAFC508BD77E32A40"/>
          </w:placeholder>
        </w:sdtPr>
        <w:sdtEndPr>
          <w:rPr>
            <w:rStyle w:val="DefaultParagraphFont"/>
            <w:noProof/>
          </w:rPr>
        </w:sdtEndPr>
        <w:sdtContent>
          <w:r w:rsidR="000825CC" w:rsidRPr="002157CF">
            <w:rPr>
              <w:rStyle w:val="Style1"/>
              <w:rFonts w:cstheme="minorHAnsi"/>
              <w:color w:val="1111FB"/>
            </w:rPr>
            <w:t>Comprehensive Diabetes Care: HbA1c Poor Control (&gt;9.0%)</w:t>
          </w:r>
        </w:sdtContent>
      </w:sdt>
    </w:p>
    <w:p w14:paraId="0CABCF57" w14:textId="1E34AF5F"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color w:val="1111FB"/>
          </w:rPr>
          <w:id w:val="-1689821638"/>
          <w:placeholder>
            <w:docPart w:val="D0A5AE3409394D21BA5FA5F27780E302"/>
          </w:placeholder>
          <w:date w:fullDate="2019-08-01T00:00:00Z">
            <w:dateFormat w:val="M/d/yyyy"/>
            <w:lid w:val="en-US"/>
            <w:storeMappedDataAs w:val="dateTime"/>
            <w:calendar w:val="gregorian"/>
          </w:date>
        </w:sdtPr>
        <w:sdtEndPr>
          <w:rPr>
            <w:rStyle w:val="DefaultParagraphFont"/>
            <w:noProof/>
            <w:u w:val="none"/>
          </w:rPr>
        </w:sdtEndPr>
        <w:sdtContent>
          <w:r w:rsidR="00D531E8" w:rsidRPr="002157CF">
            <w:rPr>
              <w:rStyle w:val="Style2"/>
              <w:rFonts w:cstheme="minorHAnsi"/>
              <w:color w:val="1111FB"/>
            </w:rPr>
            <w:t>8/1/2019</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445A68"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445A68"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2064FCD4" w:rsidR="000B7D57" w:rsidRPr="00C775CE" w:rsidRDefault="00445A68" w:rsidP="00CD364B">
            <w:pPr>
              <w:autoSpaceDE w:val="0"/>
              <w:autoSpaceDN w:val="0"/>
              <w:adjustRightInd w:val="0"/>
              <w:rPr>
                <w:rFonts w:cstheme="minorHAnsi"/>
                <w:bCs/>
                <w:color w:val="0000FF"/>
              </w:rPr>
            </w:pPr>
            <w:sdt>
              <w:sdtPr>
                <w:rPr>
                  <w:rFonts w:cstheme="minorHAnsi"/>
                  <w:bCs/>
                  <w:color w:val="0000FF"/>
                </w:rPr>
                <w:id w:val="654653068"/>
                <w14:checkbox>
                  <w14:checked w14:val="1"/>
                  <w14:checkedState w14:val="2612" w14:font="MS Gothic"/>
                  <w14:uncheckedState w14:val="2610" w14:font="MS Gothic"/>
                </w14:checkbox>
              </w:sdtPr>
              <w:sdtEndPr/>
              <w:sdtContent>
                <w:r w:rsidR="00D531E8">
                  <w:rPr>
                    <w:rFonts w:ascii="MS Gothic" w:eastAsia="MS Gothic" w:hAnsi="MS Gothic"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445A68"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55B36514" w:rsidR="000B7D57" w:rsidRPr="00C775CE" w:rsidRDefault="00445A68"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445A68"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445A68"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030139AC"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8F589F" w:rsidRDefault="009D7E38" w:rsidP="008F589F">
            <w:pPr>
              <w:pStyle w:val="ListParagraph"/>
              <w:numPr>
                <w:ilvl w:val="0"/>
                <w:numId w:val="6"/>
              </w:numPr>
              <w:rPr>
                <w:rFonts w:cstheme="minorHAnsi"/>
                <w:noProof/>
              </w:rPr>
            </w:pPr>
            <w:r>
              <w:rPr>
                <w:rFonts w:cstheme="minorHAnsi"/>
                <w:noProof/>
              </w:rPr>
              <w:t>Maximum of 2</w:t>
            </w:r>
            <w:r w:rsidR="00CD0E24">
              <w:rPr>
                <w:rFonts w:cstheme="minorHAnsi"/>
                <w:noProof/>
              </w:rPr>
              <w:t>5</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 xml:space="preserve">minimum font size 11 </w:t>
            </w:r>
            <w:proofErr w:type="spellStart"/>
            <w:r w:rsidR="00977591">
              <w:t>pt</w:t>
            </w:r>
            <w:proofErr w:type="spellEnd"/>
            <w:r w:rsidR="00977591">
              <w: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1"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77777777" w:rsidR="00145149" w:rsidRPr="000F034A" w:rsidRDefault="00145149" w:rsidP="00145149">
            <w:pPr>
              <w:rPr>
                <w:rFonts w:cstheme="minorHAnsi"/>
              </w:rPr>
            </w:pPr>
            <w:bookmarkStart w:id="1"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2"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14:paraId="0CABCF80" w14:textId="77777777" w:rsidR="00145149" w:rsidRPr="000F034A" w:rsidRDefault="00145149" w:rsidP="00145149">
            <w:pPr>
              <w:rPr>
                <w:rFonts w:cstheme="minorHAnsi"/>
                <w:b/>
                <w:bCs/>
              </w:rPr>
            </w:pPr>
          </w:p>
          <w:bookmarkEnd w:id="2"/>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r w:rsidRPr="000F034A">
              <w:rPr>
                <w:rFonts w:cstheme="minorHAnsi"/>
              </w:rPr>
              <w:t xml:space="preserve">there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1"/>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3" w:name="Note8"/>
            <w:bookmarkStart w:id="4" w:name="Note9"/>
            <w:bookmarkStart w:id="5" w:name="Note10"/>
            <w:bookmarkEnd w:id="3"/>
            <w:bookmarkEnd w:id="4"/>
            <w:bookmarkEnd w:id="5"/>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6" w:name="Note11"/>
            <w:bookmarkEnd w:id="6"/>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7" w:name="Note12"/>
            <w:bookmarkEnd w:id="7"/>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8" w:name="Note13"/>
            <w:bookmarkEnd w:id="8"/>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9" w:name="Note14"/>
            <w:bookmarkEnd w:id="9"/>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10" w:name="Note15"/>
            <w:bookmarkEnd w:id="10"/>
            <w:r w:rsidR="00651D44">
              <w:rPr>
                <w:rFonts w:asciiTheme="minorHAnsi" w:hAnsiTheme="minorHAnsi" w:cstheme="minorHAnsi"/>
              </w:rPr>
              <w:t>.</w:t>
            </w:r>
          </w:p>
          <w:p w14:paraId="0CABCF8F" w14:textId="24635D41" w:rsidR="00145149" w:rsidRPr="00A831B4" w:rsidRDefault="00A64EBF">
            <w:pPr>
              <w:rPr>
                <w:rFonts w:cstheme="minorHAnsi"/>
                <w:noProof/>
                <w:sz w:val="20"/>
                <w:szCs w:val="20"/>
              </w:rPr>
            </w:pPr>
            <w:bookmarkStart w:id="11" w:name="Note16"/>
            <w:bookmarkEnd w:id="11"/>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Pr="00C530E5"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w:t>
      </w:r>
      <w:r w:rsidR="00A01494" w:rsidRPr="00C530E5">
        <w:rPr>
          <w:rFonts w:cstheme="minorHAnsi"/>
          <w:bCs/>
          <w:i/>
        </w:rPr>
        <w:t>specifications and data used for testing the measure</w:t>
      </w:r>
      <w:r w:rsidR="00A01494" w:rsidRPr="00C530E5">
        <w:rPr>
          <w:rFonts w:cstheme="minorHAnsi"/>
          <w:bCs/>
        </w:rPr>
        <w:t xml:space="preserve">. </w:t>
      </w:r>
      <w:r w:rsidR="00A01494" w:rsidRPr="00C530E5">
        <w:rPr>
          <w:rFonts w:cstheme="minorHAnsi"/>
          <w:bCs/>
          <w:i/>
        </w:rPr>
        <w:t>T</w:t>
      </w:r>
      <w:r w:rsidR="00F435AA" w:rsidRPr="00C530E5">
        <w:rPr>
          <w:rFonts w:cstheme="minorHAnsi"/>
          <w:bCs/>
          <w:i/>
        </w:rPr>
        <w:t xml:space="preserve">esting </w:t>
      </w:r>
      <w:r w:rsidR="009A25B1" w:rsidRPr="00C530E5">
        <w:rPr>
          <w:rFonts w:cstheme="minorHAnsi"/>
          <w:bCs/>
          <w:i/>
        </w:rPr>
        <w:t>must be provided for</w:t>
      </w:r>
      <w:r w:rsidR="004348CC" w:rsidRPr="00C530E5">
        <w:rPr>
          <w:rFonts w:cstheme="minorHAnsi"/>
          <w:bCs/>
          <w:i/>
        </w:rPr>
        <w:t xml:space="preserve"> </w:t>
      </w:r>
      <w:r w:rsidR="004B6CEE" w:rsidRPr="00C530E5">
        <w:rPr>
          <w:rFonts w:cstheme="minorHAnsi"/>
          <w:bCs/>
          <w:i/>
          <w:u w:val="single"/>
        </w:rPr>
        <w:t>all</w:t>
      </w:r>
      <w:r w:rsidR="004B6CEE" w:rsidRPr="00C530E5">
        <w:rPr>
          <w:rFonts w:cstheme="minorHAnsi"/>
          <w:bCs/>
          <w:i/>
        </w:rPr>
        <w:t xml:space="preserve"> the </w:t>
      </w:r>
      <w:r w:rsidR="00840A41" w:rsidRPr="00C530E5">
        <w:rPr>
          <w:rFonts w:cstheme="minorHAnsi"/>
          <w:bCs/>
          <w:i/>
        </w:rPr>
        <w:t xml:space="preserve">sources </w:t>
      </w:r>
      <w:r w:rsidR="004348CC" w:rsidRPr="00C530E5">
        <w:rPr>
          <w:rFonts w:cstheme="minorHAnsi"/>
          <w:bCs/>
          <w:i/>
        </w:rPr>
        <w:t xml:space="preserve">of data specified and intended for </w:t>
      </w:r>
      <w:r w:rsidR="005A7634" w:rsidRPr="00C530E5">
        <w:rPr>
          <w:rFonts w:cstheme="minorHAnsi"/>
          <w:bCs/>
          <w:i/>
        </w:rPr>
        <w:t xml:space="preserve">measure </w:t>
      </w:r>
      <w:r w:rsidR="004348CC" w:rsidRPr="00C530E5">
        <w:rPr>
          <w:rFonts w:cstheme="minorHAnsi"/>
          <w:bCs/>
          <w:i/>
        </w:rPr>
        <w:t>implementation</w:t>
      </w:r>
      <w:r w:rsidR="00840A41" w:rsidRPr="00C530E5">
        <w:rPr>
          <w:rFonts w:cstheme="minorHAnsi"/>
          <w:bCs/>
          <w:i/>
        </w:rPr>
        <w:t xml:space="preserve">. </w:t>
      </w:r>
      <w:r w:rsidR="00840A41" w:rsidRPr="00C530E5">
        <w:rPr>
          <w:rFonts w:cstheme="minorHAnsi"/>
          <w:b/>
          <w:bCs/>
          <w:i/>
        </w:rPr>
        <w:t xml:space="preserve">If different </w:t>
      </w:r>
      <w:r w:rsidR="00C14CCC" w:rsidRPr="00C530E5">
        <w:rPr>
          <w:rFonts w:cstheme="minorHAnsi"/>
          <w:b/>
          <w:bCs/>
          <w:i/>
        </w:rPr>
        <w:t xml:space="preserve">data </w:t>
      </w:r>
      <w:r w:rsidR="00840A41" w:rsidRPr="00C530E5">
        <w:rPr>
          <w:rFonts w:cstheme="minorHAnsi"/>
          <w:b/>
          <w:bCs/>
          <w:i/>
        </w:rPr>
        <w:t>sources are used for the numerator and denominator, indicate N [numerator] or D [denominator] after the checkbox.</w:t>
      </w:r>
      <w:r w:rsidR="00A01494" w:rsidRPr="00C530E5">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C530E5" w14:paraId="0CABCF9A" w14:textId="77777777" w:rsidTr="0014773C">
        <w:trPr>
          <w:jc w:val="center"/>
        </w:trPr>
        <w:tc>
          <w:tcPr>
            <w:tcW w:w="5208" w:type="dxa"/>
            <w:shd w:val="clear" w:color="auto" w:fill="D9D9D9" w:themeFill="background1" w:themeFillShade="D9"/>
          </w:tcPr>
          <w:p w14:paraId="0CABCF97" w14:textId="77777777" w:rsidR="00A01494" w:rsidRPr="00C530E5" w:rsidRDefault="00A01494" w:rsidP="00DB3627">
            <w:pPr>
              <w:autoSpaceDE w:val="0"/>
              <w:autoSpaceDN w:val="0"/>
              <w:adjustRightInd w:val="0"/>
              <w:rPr>
                <w:rFonts w:cstheme="minorHAnsi"/>
                <w:b/>
                <w:bCs/>
              </w:rPr>
            </w:pPr>
            <w:r w:rsidRPr="00C530E5">
              <w:rPr>
                <w:rFonts w:cstheme="minorHAnsi"/>
                <w:b/>
                <w:bCs/>
              </w:rPr>
              <w:t>Measure Specified to Use Data From:</w:t>
            </w:r>
          </w:p>
          <w:p w14:paraId="0CABCF98" w14:textId="66B206CC" w:rsidR="009A6A57" w:rsidRPr="00C530E5" w:rsidRDefault="009A6A57" w:rsidP="00DB3627">
            <w:pPr>
              <w:autoSpaceDE w:val="0"/>
              <w:autoSpaceDN w:val="0"/>
              <w:adjustRightInd w:val="0"/>
              <w:rPr>
                <w:rFonts w:cstheme="minorHAnsi"/>
                <w:b/>
                <w:bCs/>
              </w:rPr>
            </w:pPr>
            <w:r w:rsidRPr="00C530E5">
              <w:rPr>
                <w:rFonts w:cstheme="minorHAnsi"/>
                <w:b/>
                <w:bCs/>
              </w:rPr>
              <w:t>(</w:t>
            </w:r>
            <w:r w:rsidR="0079538B" w:rsidRPr="00C530E5">
              <w:rPr>
                <w:rFonts w:cstheme="minorHAnsi"/>
                <w:b/>
                <w:bCs/>
                <w:i/>
              </w:rPr>
              <w:t xml:space="preserve">must be consistent with </w:t>
            </w:r>
            <w:r w:rsidR="0014773C" w:rsidRPr="00C530E5">
              <w:rPr>
                <w:rFonts w:cstheme="minorHAnsi"/>
                <w:b/>
                <w:bCs/>
                <w:i/>
              </w:rPr>
              <w:t xml:space="preserve">data sources entered in </w:t>
            </w:r>
            <w:r w:rsidR="000F1B7A" w:rsidRPr="00C530E5">
              <w:rPr>
                <w:rFonts w:cstheme="minorHAnsi"/>
                <w:b/>
                <w:bCs/>
                <w:i/>
              </w:rPr>
              <w:t>S.17</w:t>
            </w:r>
            <w:r w:rsidRPr="00C530E5">
              <w:rPr>
                <w:rFonts w:cstheme="minorHAnsi"/>
                <w:b/>
                <w:bCs/>
              </w:rPr>
              <w:t>)</w:t>
            </w:r>
          </w:p>
        </w:tc>
        <w:tc>
          <w:tcPr>
            <w:tcW w:w="4847" w:type="dxa"/>
            <w:shd w:val="clear" w:color="auto" w:fill="D9D9D9" w:themeFill="background1" w:themeFillShade="D9"/>
          </w:tcPr>
          <w:p w14:paraId="0CABCF99" w14:textId="77777777" w:rsidR="00A01494" w:rsidRPr="00C530E5" w:rsidRDefault="00A01494" w:rsidP="00DB3627">
            <w:pPr>
              <w:autoSpaceDE w:val="0"/>
              <w:autoSpaceDN w:val="0"/>
              <w:adjustRightInd w:val="0"/>
              <w:rPr>
                <w:rFonts w:cstheme="minorHAnsi"/>
                <w:b/>
                <w:bCs/>
              </w:rPr>
            </w:pPr>
            <w:r w:rsidRPr="00C530E5">
              <w:rPr>
                <w:rFonts w:cstheme="minorHAnsi"/>
                <w:b/>
                <w:bCs/>
              </w:rPr>
              <w:t>Measure Tested with Data From:</w:t>
            </w:r>
          </w:p>
        </w:tc>
      </w:tr>
      <w:tr w:rsidR="00A01494" w:rsidRPr="00C530E5" w14:paraId="0CABCF9D" w14:textId="77777777" w:rsidTr="0014773C">
        <w:trPr>
          <w:jc w:val="center"/>
        </w:trPr>
        <w:tc>
          <w:tcPr>
            <w:tcW w:w="5208" w:type="dxa"/>
          </w:tcPr>
          <w:p w14:paraId="0CABCF9B" w14:textId="70D74F84" w:rsidR="00A01494" w:rsidRPr="00C530E5" w:rsidRDefault="00445A68"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8F06F0">
                  <w:rPr>
                    <w:rFonts w:ascii="MS Gothic" w:eastAsia="MS Gothic" w:hAnsi="MS Gothic" w:cstheme="minorHAnsi" w:hint="eastAsia"/>
                    <w:bCs/>
                    <w:color w:val="0000FF"/>
                  </w:rPr>
                  <w:t>☒</w:t>
                </w:r>
              </w:sdtContent>
            </w:sdt>
            <w:r w:rsidR="00B82A57" w:rsidRPr="00C530E5">
              <w:rPr>
                <w:rFonts w:cstheme="minorHAnsi"/>
                <w:bCs/>
              </w:rPr>
              <w:t xml:space="preserve"> </w:t>
            </w:r>
            <w:r w:rsidR="00A01494" w:rsidRPr="00C530E5">
              <w:rPr>
                <w:rFonts w:cstheme="minorHAnsi"/>
                <w:bCs/>
              </w:rPr>
              <w:t>abstracted from paper record</w:t>
            </w:r>
          </w:p>
        </w:tc>
        <w:tc>
          <w:tcPr>
            <w:tcW w:w="4847" w:type="dxa"/>
          </w:tcPr>
          <w:p w14:paraId="0CABCF9C" w14:textId="27B8AA1B" w:rsidR="00A01494" w:rsidRPr="00C530E5" w:rsidRDefault="00445A68"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8F06F0">
                  <w:rPr>
                    <w:rFonts w:ascii="MS Gothic" w:eastAsia="MS Gothic" w:hAnsi="MS Gothic" w:cstheme="minorHAnsi" w:hint="eastAsia"/>
                    <w:bCs/>
                    <w:color w:val="0000FF"/>
                  </w:rPr>
                  <w:t>☒</w:t>
                </w:r>
              </w:sdtContent>
            </w:sdt>
            <w:r w:rsidR="00B82A57" w:rsidRPr="00C530E5">
              <w:rPr>
                <w:rFonts w:cstheme="minorHAnsi"/>
                <w:bCs/>
              </w:rPr>
              <w:t xml:space="preserve"> </w:t>
            </w:r>
            <w:r w:rsidR="00A01494" w:rsidRPr="00C530E5">
              <w:rPr>
                <w:rFonts w:cstheme="minorHAnsi"/>
                <w:bCs/>
              </w:rPr>
              <w:t>abstracted from paper record</w:t>
            </w:r>
          </w:p>
        </w:tc>
      </w:tr>
      <w:tr w:rsidR="00A01494" w:rsidRPr="00C530E5" w14:paraId="0CABCFA0" w14:textId="77777777" w:rsidTr="0014773C">
        <w:trPr>
          <w:jc w:val="center"/>
        </w:trPr>
        <w:tc>
          <w:tcPr>
            <w:tcW w:w="5208" w:type="dxa"/>
          </w:tcPr>
          <w:p w14:paraId="0CABCF9E" w14:textId="6E766277" w:rsidR="00A01494" w:rsidRPr="00C530E5" w:rsidRDefault="00445A68" w:rsidP="000F1B7A">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D531E8" w:rsidRPr="00C530E5">
                  <w:rPr>
                    <w:rFonts w:ascii="Segoe UI Symbol" w:eastAsia="MS Gothic" w:hAnsi="Segoe UI Symbol" w:cs="Segoe UI Symbol"/>
                    <w:bCs/>
                    <w:color w:val="0000FF"/>
                  </w:rPr>
                  <w:t>☒</w:t>
                </w:r>
              </w:sdtContent>
            </w:sdt>
            <w:r w:rsidR="00B82A57" w:rsidRPr="00C530E5">
              <w:rPr>
                <w:rFonts w:cstheme="minorHAnsi"/>
                <w:bCs/>
              </w:rPr>
              <w:t xml:space="preserve"> </w:t>
            </w:r>
            <w:r w:rsidR="00A01494" w:rsidRPr="00C530E5">
              <w:rPr>
                <w:rFonts w:cstheme="minorHAnsi"/>
                <w:bCs/>
              </w:rPr>
              <w:t>claims</w:t>
            </w:r>
          </w:p>
        </w:tc>
        <w:tc>
          <w:tcPr>
            <w:tcW w:w="4847" w:type="dxa"/>
          </w:tcPr>
          <w:p w14:paraId="0CABCF9F" w14:textId="75E5D1E2" w:rsidR="00A01494" w:rsidRPr="00C530E5" w:rsidRDefault="00445A68" w:rsidP="000F1B7A">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D531E8" w:rsidRPr="00C530E5">
                  <w:rPr>
                    <w:rFonts w:ascii="Segoe UI Symbol" w:eastAsia="MS Gothic" w:hAnsi="Segoe UI Symbol" w:cs="Segoe UI Symbol"/>
                    <w:bCs/>
                    <w:color w:val="0000FF"/>
                  </w:rPr>
                  <w:t>☒</w:t>
                </w:r>
              </w:sdtContent>
            </w:sdt>
            <w:r w:rsidR="00B82A57" w:rsidRPr="00C530E5">
              <w:rPr>
                <w:rFonts w:cstheme="minorHAnsi"/>
                <w:bCs/>
              </w:rPr>
              <w:t xml:space="preserve"> </w:t>
            </w:r>
            <w:r w:rsidR="000F1B7A" w:rsidRPr="00C530E5">
              <w:rPr>
                <w:rFonts w:cstheme="minorHAnsi"/>
                <w:bCs/>
              </w:rPr>
              <w:t>c</w:t>
            </w:r>
            <w:r w:rsidR="00A01494" w:rsidRPr="00C530E5">
              <w:rPr>
                <w:rFonts w:cstheme="minorHAnsi"/>
                <w:bCs/>
              </w:rPr>
              <w:t>laims</w:t>
            </w:r>
          </w:p>
        </w:tc>
      </w:tr>
      <w:tr w:rsidR="00A01494" w:rsidRPr="00C530E5" w14:paraId="0CABCFA3" w14:textId="77777777" w:rsidTr="0014773C">
        <w:trPr>
          <w:jc w:val="center"/>
        </w:trPr>
        <w:tc>
          <w:tcPr>
            <w:tcW w:w="5208" w:type="dxa"/>
          </w:tcPr>
          <w:p w14:paraId="0CABCFA1" w14:textId="38318C23" w:rsidR="00A01494" w:rsidRPr="00C530E5" w:rsidRDefault="00445A68"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B82A57" w:rsidRPr="00C530E5">
              <w:rPr>
                <w:rFonts w:cstheme="minorHAnsi"/>
                <w:bCs/>
              </w:rPr>
              <w:t xml:space="preserve"> </w:t>
            </w:r>
            <w:r w:rsidR="00A01494" w:rsidRPr="00C530E5">
              <w:rPr>
                <w:rFonts w:eastAsia="MS Gothic" w:cstheme="minorHAnsi"/>
                <w:bCs/>
              </w:rPr>
              <w:t>registry</w:t>
            </w:r>
          </w:p>
        </w:tc>
        <w:tc>
          <w:tcPr>
            <w:tcW w:w="4847" w:type="dxa"/>
          </w:tcPr>
          <w:p w14:paraId="0CABCFA2" w14:textId="562084B1" w:rsidR="00A01494" w:rsidRPr="00C530E5" w:rsidRDefault="00445A68"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6574D2" w:rsidRPr="00C530E5">
              <w:rPr>
                <w:rFonts w:cstheme="minorHAnsi"/>
                <w:bCs/>
                <w:color w:val="0000FF"/>
              </w:rPr>
              <w:t xml:space="preserve"> </w:t>
            </w:r>
            <w:r w:rsidR="00A01494" w:rsidRPr="00C530E5">
              <w:rPr>
                <w:rFonts w:eastAsia="MS Gothic" w:cstheme="minorHAnsi"/>
                <w:bCs/>
              </w:rPr>
              <w:t>registry</w:t>
            </w:r>
          </w:p>
        </w:tc>
      </w:tr>
      <w:tr w:rsidR="00A01494" w:rsidRPr="00C530E5" w14:paraId="0CABCFA6" w14:textId="77777777" w:rsidTr="0014773C">
        <w:trPr>
          <w:jc w:val="center"/>
        </w:trPr>
        <w:tc>
          <w:tcPr>
            <w:tcW w:w="5208" w:type="dxa"/>
          </w:tcPr>
          <w:p w14:paraId="0CABCFA4" w14:textId="457F13FA" w:rsidR="00A01494" w:rsidRPr="00C530E5" w:rsidRDefault="00445A68"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8F06F0">
                  <w:rPr>
                    <w:rFonts w:ascii="MS Gothic" w:eastAsia="MS Gothic" w:hAnsi="MS Gothic" w:cstheme="minorHAnsi" w:hint="eastAsia"/>
                    <w:bCs/>
                    <w:color w:val="0000FF"/>
                  </w:rPr>
                  <w:t>☒</w:t>
                </w:r>
              </w:sdtContent>
            </w:sdt>
            <w:r w:rsidR="00B82A57" w:rsidRPr="00C530E5">
              <w:rPr>
                <w:rFonts w:cstheme="minorHAnsi"/>
                <w:bCs/>
              </w:rPr>
              <w:t xml:space="preserve"> </w:t>
            </w:r>
            <w:r w:rsidR="00A01494" w:rsidRPr="00C530E5">
              <w:rPr>
                <w:rFonts w:cstheme="minorHAnsi"/>
                <w:bCs/>
              </w:rPr>
              <w:t>abstracted from electronic health record</w:t>
            </w:r>
          </w:p>
        </w:tc>
        <w:tc>
          <w:tcPr>
            <w:tcW w:w="4847" w:type="dxa"/>
          </w:tcPr>
          <w:p w14:paraId="0CABCFA5" w14:textId="05D4A0A5" w:rsidR="00A01494" w:rsidRPr="00C530E5" w:rsidRDefault="00445A68"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8F06F0">
                  <w:rPr>
                    <w:rFonts w:ascii="MS Gothic" w:eastAsia="MS Gothic" w:hAnsi="MS Gothic" w:cstheme="minorHAnsi" w:hint="eastAsia"/>
                    <w:bCs/>
                    <w:color w:val="0000FF"/>
                  </w:rPr>
                  <w:t>☒</w:t>
                </w:r>
              </w:sdtContent>
            </w:sdt>
            <w:r w:rsidR="00B82A57" w:rsidRPr="00C530E5">
              <w:rPr>
                <w:rFonts w:cstheme="minorHAnsi"/>
                <w:bCs/>
              </w:rPr>
              <w:t xml:space="preserve"> </w:t>
            </w:r>
            <w:r w:rsidR="00A01494" w:rsidRPr="00C530E5">
              <w:rPr>
                <w:rFonts w:cstheme="minorHAnsi"/>
                <w:bCs/>
              </w:rPr>
              <w:t>abstracted from electronic health record</w:t>
            </w:r>
          </w:p>
        </w:tc>
      </w:tr>
      <w:tr w:rsidR="00A01494" w:rsidRPr="00C530E5" w14:paraId="0CABCFA9" w14:textId="77777777" w:rsidTr="0014773C">
        <w:trPr>
          <w:jc w:val="center"/>
        </w:trPr>
        <w:tc>
          <w:tcPr>
            <w:tcW w:w="5208" w:type="dxa"/>
          </w:tcPr>
          <w:p w14:paraId="0CABCFA7" w14:textId="77777777" w:rsidR="00A01494" w:rsidRPr="00C530E5" w:rsidRDefault="00445A68"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B82A57" w:rsidRPr="00C530E5">
              <w:rPr>
                <w:rFonts w:cstheme="minorHAnsi"/>
                <w:bCs/>
              </w:rPr>
              <w:t xml:space="preserve"> </w:t>
            </w:r>
            <w:proofErr w:type="spellStart"/>
            <w:r w:rsidR="00A01494" w:rsidRPr="00C530E5">
              <w:rPr>
                <w:rFonts w:cstheme="minorHAnsi"/>
                <w:bCs/>
              </w:rPr>
              <w:t>eMeasure</w:t>
            </w:r>
            <w:proofErr w:type="spellEnd"/>
            <w:r w:rsidR="00A01494" w:rsidRPr="00C530E5">
              <w:rPr>
                <w:rFonts w:cstheme="minorHAnsi"/>
                <w:bCs/>
              </w:rPr>
              <w:t xml:space="preserve"> </w:t>
            </w:r>
            <w:r w:rsidR="004756E1" w:rsidRPr="00C530E5">
              <w:rPr>
                <w:rFonts w:cstheme="minorHAnsi"/>
                <w:bCs/>
              </w:rPr>
              <w:t xml:space="preserve">(HQMF) </w:t>
            </w:r>
            <w:r w:rsidR="00A01494" w:rsidRPr="00C530E5">
              <w:rPr>
                <w:rFonts w:cstheme="minorHAnsi"/>
                <w:bCs/>
              </w:rPr>
              <w:t xml:space="preserve">implemented in </w:t>
            </w:r>
            <w:r w:rsidR="00B82A57" w:rsidRPr="00C530E5">
              <w:rPr>
                <w:rFonts w:cstheme="minorHAnsi"/>
                <w:bCs/>
              </w:rPr>
              <w:t>EHRs</w:t>
            </w:r>
          </w:p>
        </w:tc>
        <w:tc>
          <w:tcPr>
            <w:tcW w:w="4847" w:type="dxa"/>
          </w:tcPr>
          <w:p w14:paraId="0CABCFA8" w14:textId="77777777" w:rsidR="00A01494" w:rsidRPr="00C530E5" w:rsidRDefault="00445A68"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B82A57" w:rsidRPr="00C530E5">
              <w:rPr>
                <w:rFonts w:cstheme="minorHAnsi"/>
                <w:bCs/>
              </w:rPr>
              <w:t xml:space="preserve"> </w:t>
            </w:r>
            <w:proofErr w:type="spellStart"/>
            <w:r w:rsidR="00A01494" w:rsidRPr="00C530E5">
              <w:rPr>
                <w:rFonts w:cstheme="minorHAnsi"/>
                <w:bCs/>
              </w:rPr>
              <w:t>eMeasure</w:t>
            </w:r>
            <w:proofErr w:type="spellEnd"/>
            <w:r w:rsidR="00A01494" w:rsidRPr="00C530E5">
              <w:rPr>
                <w:rFonts w:cstheme="minorHAnsi"/>
                <w:bCs/>
              </w:rPr>
              <w:t xml:space="preserve"> </w:t>
            </w:r>
            <w:r w:rsidR="004756E1" w:rsidRPr="00C530E5">
              <w:rPr>
                <w:rFonts w:cstheme="minorHAnsi"/>
                <w:bCs/>
              </w:rPr>
              <w:t xml:space="preserve">(HQMF) </w:t>
            </w:r>
            <w:r w:rsidR="00A01494" w:rsidRPr="00C530E5">
              <w:rPr>
                <w:rFonts w:cstheme="minorHAnsi"/>
                <w:bCs/>
              </w:rPr>
              <w:t>impleme</w:t>
            </w:r>
            <w:r w:rsidR="00B82A57" w:rsidRPr="00C530E5">
              <w:rPr>
                <w:rFonts w:cstheme="minorHAnsi"/>
                <w:bCs/>
              </w:rPr>
              <w:t>nted in EHRs</w:t>
            </w:r>
          </w:p>
        </w:tc>
      </w:tr>
      <w:tr w:rsidR="00A01494" w:rsidRPr="00C530E5" w14:paraId="0CABCFAC" w14:textId="77777777" w:rsidTr="0014773C">
        <w:trPr>
          <w:jc w:val="center"/>
        </w:trPr>
        <w:tc>
          <w:tcPr>
            <w:tcW w:w="5208" w:type="dxa"/>
          </w:tcPr>
          <w:p w14:paraId="0CABCFAA" w14:textId="77777777" w:rsidR="00A01494" w:rsidRPr="00C530E5" w:rsidRDefault="00445A68"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B82A57" w:rsidRPr="00C530E5">
              <w:rPr>
                <w:rFonts w:cstheme="minorHAnsi"/>
                <w:bCs/>
              </w:rPr>
              <w:t xml:space="preserve"> </w:t>
            </w:r>
            <w:r w:rsidR="00A01494" w:rsidRPr="00C530E5">
              <w:rPr>
                <w:rFonts w:cstheme="minorHAnsi"/>
                <w:bCs/>
              </w:rPr>
              <w:t xml:space="preserve">other:  </w:t>
            </w:r>
            <w:sdt>
              <w:sdtPr>
                <w:rPr>
                  <w:rStyle w:val="Style1"/>
                  <w:rFonts w:cstheme="minorHAnsi"/>
                </w:rPr>
                <w:id w:val="1834251992"/>
                <w:showingPlcHdr/>
                <w:text/>
              </w:sdtPr>
              <w:sdtEndPr>
                <w:rPr>
                  <w:rStyle w:val="DefaultParagraphFont"/>
                  <w:bCs/>
                  <w:color w:val="auto"/>
                </w:rPr>
              </w:sdtEndPr>
              <w:sdtContent>
                <w:r w:rsidR="00A01494" w:rsidRPr="00C530E5">
                  <w:rPr>
                    <w:rStyle w:val="PlaceholderText"/>
                    <w:rFonts w:cstheme="minorHAnsi"/>
                  </w:rPr>
                  <w:t>Click here to describe</w:t>
                </w:r>
              </w:sdtContent>
            </w:sdt>
          </w:p>
        </w:tc>
        <w:tc>
          <w:tcPr>
            <w:tcW w:w="4847" w:type="dxa"/>
          </w:tcPr>
          <w:p w14:paraId="0CABCFAB" w14:textId="77777777" w:rsidR="00A01494" w:rsidRPr="00C530E5" w:rsidRDefault="00445A68"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B82A57" w:rsidRPr="00C530E5">
              <w:rPr>
                <w:rFonts w:cstheme="minorHAnsi"/>
                <w:bCs/>
              </w:rPr>
              <w:t xml:space="preserve"> </w:t>
            </w:r>
            <w:r w:rsidR="00A01494" w:rsidRPr="00C530E5">
              <w:rPr>
                <w:rFonts w:cstheme="minorHAnsi"/>
                <w:bCs/>
              </w:rPr>
              <w:t xml:space="preserve">other:  </w:t>
            </w:r>
            <w:sdt>
              <w:sdtPr>
                <w:rPr>
                  <w:rStyle w:val="Style1"/>
                  <w:rFonts w:cstheme="minorHAnsi"/>
                </w:rPr>
                <w:id w:val="1976178076"/>
                <w:showingPlcHdr/>
                <w:text/>
              </w:sdtPr>
              <w:sdtEndPr>
                <w:rPr>
                  <w:rStyle w:val="DefaultParagraphFont"/>
                  <w:bCs/>
                  <w:color w:val="auto"/>
                </w:rPr>
              </w:sdtEndPr>
              <w:sdtContent>
                <w:r w:rsidR="00A01494" w:rsidRPr="00C530E5">
                  <w:rPr>
                    <w:rStyle w:val="PlaceholderText"/>
                    <w:rFonts w:cstheme="minorHAnsi"/>
                  </w:rPr>
                  <w:t>Click here to describe</w:t>
                </w:r>
              </w:sdtContent>
            </w:sdt>
          </w:p>
        </w:tc>
      </w:tr>
    </w:tbl>
    <w:p w14:paraId="0CABCFAD" w14:textId="77777777" w:rsidR="00A01494" w:rsidRPr="00C530E5" w:rsidRDefault="006327D8" w:rsidP="00DB3627">
      <w:pPr>
        <w:autoSpaceDE w:val="0"/>
        <w:autoSpaceDN w:val="0"/>
        <w:adjustRightInd w:val="0"/>
        <w:spacing w:after="0" w:line="240" w:lineRule="auto"/>
        <w:rPr>
          <w:rFonts w:cstheme="minorHAnsi"/>
          <w:b/>
          <w:bCs/>
        </w:rPr>
      </w:pPr>
      <w:r w:rsidRPr="00C530E5">
        <w:rPr>
          <w:rFonts w:cstheme="minorHAnsi"/>
          <w:b/>
          <w:bCs/>
        </w:rPr>
        <w:t xml:space="preserve">     </w:t>
      </w:r>
    </w:p>
    <w:p w14:paraId="405E5167" w14:textId="0EAEC804" w:rsidR="009F3D51" w:rsidRPr="00C95470"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6E77C66D" w14:textId="0A99910D" w:rsidR="00D531E8" w:rsidRPr="002157CF" w:rsidRDefault="00D531E8" w:rsidP="00DB3627">
      <w:pPr>
        <w:autoSpaceDE w:val="0"/>
        <w:autoSpaceDN w:val="0"/>
        <w:adjustRightInd w:val="0"/>
        <w:spacing w:after="0" w:line="240" w:lineRule="auto"/>
        <w:rPr>
          <w:rFonts w:cstheme="minorHAnsi"/>
          <w:color w:val="1111FB"/>
        </w:rPr>
      </w:pPr>
      <w:r w:rsidRPr="002157CF">
        <w:rPr>
          <w:rFonts w:cstheme="minorHAnsi"/>
          <w:color w:val="1111FB"/>
        </w:rPr>
        <w:t>N/A</w:t>
      </w:r>
    </w:p>
    <w:p w14:paraId="180E4C56" w14:textId="77777777" w:rsidR="00D531E8" w:rsidRDefault="00D531E8" w:rsidP="00DB3627">
      <w:pPr>
        <w:autoSpaceDE w:val="0"/>
        <w:autoSpaceDN w:val="0"/>
        <w:adjustRightInd w:val="0"/>
        <w:spacing w:after="0" w:line="240" w:lineRule="auto"/>
        <w:rPr>
          <w:rFonts w:cstheme="minorHAnsi"/>
          <w:b/>
        </w:rPr>
      </w:pPr>
    </w:p>
    <w:p w14:paraId="1D561613" w14:textId="5B9258C0" w:rsidR="009F3D51" w:rsidRPr="00C95470" w:rsidRDefault="002B5016" w:rsidP="00342FE0">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Style w:val="Style1"/>
          </w:rPr>
          <w:id w:val="950514773"/>
          <w:showingPlcHdr/>
          <w:text/>
        </w:sdtPr>
        <w:sdtEndPr>
          <w:rPr>
            <w:rStyle w:val="DefaultParagraphFont"/>
            <w:rFonts w:cstheme="minorHAnsi"/>
            <w:color w:val="auto"/>
          </w:rPr>
        </w:sdtEndPr>
        <w:sdtContent>
          <w:r w:rsidR="008E67C3">
            <w:rPr>
              <w:rStyle w:val="PlaceholderText"/>
            </w:rPr>
            <w:t>Click here to enter date range</w:t>
          </w:r>
        </w:sdtContent>
      </w:sdt>
    </w:p>
    <w:p w14:paraId="0CABCFB1" w14:textId="64F4F0E3" w:rsidR="000574AB" w:rsidRPr="002157CF" w:rsidRDefault="00342FE0" w:rsidP="00DB3627">
      <w:pPr>
        <w:autoSpaceDE w:val="0"/>
        <w:autoSpaceDN w:val="0"/>
        <w:adjustRightInd w:val="0"/>
        <w:spacing w:after="0" w:line="240" w:lineRule="auto"/>
        <w:rPr>
          <w:rFonts w:cstheme="minorHAnsi"/>
          <w:bCs/>
          <w:color w:val="1111FB"/>
        </w:rPr>
      </w:pPr>
      <w:r w:rsidRPr="002157CF">
        <w:rPr>
          <w:rFonts w:cstheme="minorHAnsi"/>
          <w:bCs/>
          <w:color w:val="1111FB"/>
        </w:rPr>
        <w:t xml:space="preserve">Testing of performance measure score with beta binomial reliability and testing of construct validity with </w:t>
      </w:r>
      <w:r w:rsidR="001A4091" w:rsidRPr="001A4091">
        <w:rPr>
          <w:rFonts w:cstheme="minorHAnsi"/>
          <w:bCs/>
          <w:color w:val="1111FB"/>
        </w:rPr>
        <w:t>the Pearson</w:t>
      </w:r>
      <w:r w:rsidRPr="002157CF">
        <w:rPr>
          <w:rFonts w:cstheme="minorHAnsi"/>
          <w:bCs/>
          <w:color w:val="1111FB"/>
        </w:rPr>
        <w:t xml:space="preserve"> Correlation were performed </w:t>
      </w:r>
      <w:r w:rsidR="001A4091" w:rsidRPr="001A4091">
        <w:rPr>
          <w:rFonts w:cstheme="minorHAnsi"/>
          <w:bCs/>
          <w:color w:val="1111FB"/>
        </w:rPr>
        <w:t xml:space="preserve">using HEDIS </w:t>
      </w:r>
      <w:r w:rsidR="001A4091">
        <w:rPr>
          <w:rFonts w:cstheme="minorHAnsi"/>
          <w:bCs/>
          <w:color w:val="1111FB"/>
        </w:rPr>
        <w:t xml:space="preserve">2019 </w:t>
      </w:r>
      <w:r w:rsidR="001A4091" w:rsidRPr="001A4091">
        <w:rPr>
          <w:rFonts w:cstheme="minorHAnsi"/>
          <w:bCs/>
          <w:color w:val="1111FB"/>
        </w:rPr>
        <w:t>plan level</w:t>
      </w:r>
      <w:r w:rsidRPr="002157CF">
        <w:rPr>
          <w:rFonts w:cstheme="minorHAnsi"/>
          <w:bCs/>
          <w:color w:val="1111FB"/>
        </w:rPr>
        <w:t xml:space="preserve"> data</w:t>
      </w:r>
      <w:r w:rsidR="001A4091" w:rsidRPr="001A4091">
        <w:rPr>
          <w:rFonts w:cstheme="minorHAnsi"/>
          <w:bCs/>
          <w:color w:val="1111FB"/>
        </w:rPr>
        <w:t>,</w:t>
      </w:r>
      <w:r w:rsidRPr="002157CF">
        <w:rPr>
          <w:rFonts w:cstheme="minorHAnsi"/>
          <w:bCs/>
          <w:color w:val="1111FB"/>
        </w:rPr>
        <w:t xml:space="preserve"> measurement year 2018.</w:t>
      </w:r>
    </w:p>
    <w:p w14:paraId="327B93F8" w14:textId="77777777" w:rsidR="001A4091" w:rsidRPr="002157CF" w:rsidRDefault="001A4091" w:rsidP="00DB3627">
      <w:pPr>
        <w:autoSpaceDE w:val="0"/>
        <w:autoSpaceDN w:val="0"/>
        <w:adjustRightInd w:val="0"/>
        <w:spacing w:after="0" w:line="240" w:lineRule="auto"/>
        <w:rPr>
          <w:rFonts w:cstheme="minorHAnsi"/>
          <w:bCs/>
          <w:color w:val="1111FB"/>
        </w:rPr>
      </w:pPr>
    </w:p>
    <w:p w14:paraId="0CABCFB2" w14:textId="77777777" w:rsidR="000414E8" w:rsidRPr="00C530E5"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w:t>
      </w:r>
      <w:r w:rsidR="00021170" w:rsidRPr="00C530E5">
        <w:rPr>
          <w:rFonts w:cstheme="minorHAnsi"/>
          <w:bCs/>
          <w:i/>
        </w:rPr>
        <w:t xml:space="preserve">intended for </w:t>
      </w:r>
      <w:r w:rsidR="005A7634" w:rsidRPr="00C530E5">
        <w:rPr>
          <w:rFonts w:cstheme="minorHAnsi"/>
          <w:bCs/>
          <w:i/>
        </w:rPr>
        <w:t xml:space="preserve">measure </w:t>
      </w:r>
      <w:r w:rsidR="00021170" w:rsidRPr="00C530E5">
        <w:rPr>
          <w:rFonts w:cstheme="minorHAnsi"/>
          <w:bCs/>
          <w:i/>
        </w:rPr>
        <w:t>implementation</w:t>
      </w:r>
      <w:r w:rsidR="00DB3627" w:rsidRPr="00C530E5">
        <w:rPr>
          <w:rFonts w:cstheme="minorHAnsi"/>
          <w:bCs/>
          <w:i/>
        </w:rPr>
        <w:t>, e.g., individual clinician, hospital, health plan</w:t>
      </w:r>
      <w:r w:rsidR="0079538B" w:rsidRPr="00C530E5">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C530E5" w14:paraId="0CABCFB6" w14:textId="77777777" w:rsidTr="000414E8">
        <w:trPr>
          <w:jc w:val="center"/>
        </w:trPr>
        <w:tc>
          <w:tcPr>
            <w:tcW w:w="5027" w:type="dxa"/>
            <w:shd w:val="clear" w:color="auto" w:fill="D9D9D9" w:themeFill="background1" w:themeFillShade="D9"/>
          </w:tcPr>
          <w:p w14:paraId="0CABCFB3" w14:textId="77777777" w:rsidR="000414E8" w:rsidRPr="00C530E5" w:rsidRDefault="000414E8" w:rsidP="00D61410">
            <w:pPr>
              <w:autoSpaceDE w:val="0"/>
              <w:autoSpaceDN w:val="0"/>
              <w:adjustRightInd w:val="0"/>
              <w:rPr>
                <w:rFonts w:cstheme="minorHAnsi"/>
                <w:b/>
                <w:bCs/>
              </w:rPr>
            </w:pPr>
            <w:r w:rsidRPr="00C530E5">
              <w:rPr>
                <w:rFonts w:cstheme="minorHAnsi"/>
                <w:b/>
                <w:bCs/>
              </w:rPr>
              <w:t>Measure Specified to Measure Performance of:</w:t>
            </w:r>
          </w:p>
          <w:p w14:paraId="0CABCFB4" w14:textId="74E71B33" w:rsidR="009A6A57" w:rsidRPr="00C530E5" w:rsidRDefault="009A6A57" w:rsidP="009A6A57">
            <w:pPr>
              <w:autoSpaceDE w:val="0"/>
              <w:autoSpaceDN w:val="0"/>
              <w:adjustRightInd w:val="0"/>
              <w:rPr>
                <w:rFonts w:cstheme="minorHAnsi"/>
                <w:b/>
                <w:bCs/>
              </w:rPr>
            </w:pPr>
            <w:r w:rsidRPr="00C530E5">
              <w:rPr>
                <w:rFonts w:cstheme="minorHAnsi"/>
                <w:b/>
                <w:bCs/>
              </w:rPr>
              <w:t>(</w:t>
            </w:r>
            <w:r w:rsidR="00DB4724" w:rsidRPr="00C530E5">
              <w:rPr>
                <w:rFonts w:cstheme="minorHAnsi"/>
                <w:b/>
                <w:bCs/>
                <w:i/>
              </w:rPr>
              <w:t xml:space="preserve">must be consistent with </w:t>
            </w:r>
            <w:r w:rsidR="000F1B7A" w:rsidRPr="00C530E5">
              <w:rPr>
                <w:rFonts w:cstheme="minorHAnsi"/>
                <w:b/>
                <w:bCs/>
                <w:i/>
              </w:rPr>
              <w:t>levels entered in item S.20</w:t>
            </w:r>
            <w:r w:rsidRPr="00C530E5">
              <w:rPr>
                <w:rFonts w:cstheme="minorHAnsi"/>
                <w:b/>
                <w:bCs/>
              </w:rPr>
              <w:t>)</w:t>
            </w:r>
          </w:p>
        </w:tc>
        <w:tc>
          <w:tcPr>
            <w:tcW w:w="5028" w:type="dxa"/>
            <w:shd w:val="clear" w:color="auto" w:fill="D9D9D9" w:themeFill="background1" w:themeFillShade="D9"/>
          </w:tcPr>
          <w:p w14:paraId="0CABCFB5" w14:textId="77777777" w:rsidR="000414E8" w:rsidRPr="00C530E5" w:rsidRDefault="000414E8" w:rsidP="00D61410">
            <w:pPr>
              <w:autoSpaceDE w:val="0"/>
              <w:autoSpaceDN w:val="0"/>
              <w:adjustRightInd w:val="0"/>
              <w:rPr>
                <w:rFonts w:cstheme="minorHAnsi"/>
                <w:b/>
                <w:bCs/>
              </w:rPr>
            </w:pPr>
            <w:r w:rsidRPr="00C530E5">
              <w:rPr>
                <w:rFonts w:cstheme="minorHAnsi"/>
                <w:b/>
                <w:bCs/>
              </w:rPr>
              <w:t>Measure Tested at Level of:</w:t>
            </w:r>
          </w:p>
        </w:tc>
      </w:tr>
      <w:tr w:rsidR="000414E8" w:rsidRPr="00C530E5" w14:paraId="0CABCFB9" w14:textId="77777777" w:rsidTr="000414E8">
        <w:trPr>
          <w:jc w:val="center"/>
        </w:trPr>
        <w:tc>
          <w:tcPr>
            <w:tcW w:w="5027" w:type="dxa"/>
          </w:tcPr>
          <w:p w14:paraId="0CABCFB7" w14:textId="0B1C8676" w:rsidR="000414E8" w:rsidRPr="00C530E5" w:rsidRDefault="00445A68"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D549C4" w:rsidRPr="00C530E5">
                  <w:rPr>
                    <w:rFonts w:ascii="Segoe UI Symbol" w:eastAsia="MS Gothic" w:hAnsi="Segoe UI Symbol" w:cs="Segoe UI Symbol"/>
                    <w:bCs/>
                    <w:color w:val="0000FF"/>
                  </w:rPr>
                  <w:t>☐</w:t>
                </w:r>
              </w:sdtContent>
            </w:sdt>
            <w:r w:rsidR="000414E8" w:rsidRPr="00C530E5">
              <w:rPr>
                <w:rFonts w:cstheme="minorHAnsi"/>
                <w:bCs/>
              </w:rPr>
              <w:t xml:space="preserve"> individual clinician</w:t>
            </w:r>
          </w:p>
        </w:tc>
        <w:tc>
          <w:tcPr>
            <w:tcW w:w="5028" w:type="dxa"/>
          </w:tcPr>
          <w:p w14:paraId="0CABCFB8" w14:textId="31DCBD3E" w:rsidR="000414E8" w:rsidRPr="00C530E5" w:rsidRDefault="00445A68"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D549C4" w:rsidRPr="00C530E5">
                  <w:rPr>
                    <w:rFonts w:ascii="Segoe UI Symbol" w:eastAsia="MS Gothic" w:hAnsi="Segoe UI Symbol" w:cs="Segoe UI Symbol"/>
                    <w:bCs/>
                    <w:color w:val="0000FF"/>
                  </w:rPr>
                  <w:t>☐</w:t>
                </w:r>
              </w:sdtContent>
            </w:sdt>
            <w:r w:rsidR="000414E8" w:rsidRPr="00C530E5">
              <w:rPr>
                <w:rFonts w:cstheme="minorHAnsi"/>
                <w:bCs/>
              </w:rPr>
              <w:t xml:space="preserve"> individual clinician</w:t>
            </w:r>
          </w:p>
        </w:tc>
      </w:tr>
      <w:tr w:rsidR="000414E8" w:rsidRPr="00C530E5" w14:paraId="0CABCFBC" w14:textId="77777777" w:rsidTr="000414E8">
        <w:trPr>
          <w:jc w:val="center"/>
        </w:trPr>
        <w:tc>
          <w:tcPr>
            <w:tcW w:w="5027" w:type="dxa"/>
          </w:tcPr>
          <w:p w14:paraId="0CABCFBA" w14:textId="27134E26" w:rsidR="000414E8" w:rsidRPr="00C530E5" w:rsidRDefault="00445A68"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D549C4" w:rsidRPr="00C530E5">
                  <w:rPr>
                    <w:rFonts w:ascii="Segoe UI Symbol" w:eastAsia="MS Gothic" w:hAnsi="Segoe UI Symbol" w:cs="Segoe UI Symbol"/>
                    <w:bCs/>
                    <w:color w:val="0000FF"/>
                  </w:rPr>
                  <w:t>☐</w:t>
                </w:r>
              </w:sdtContent>
            </w:sdt>
            <w:r w:rsidR="000414E8" w:rsidRPr="00C530E5">
              <w:rPr>
                <w:rFonts w:cstheme="minorHAnsi"/>
                <w:bCs/>
              </w:rPr>
              <w:t xml:space="preserve"> </w:t>
            </w:r>
            <w:r w:rsidR="000414E8" w:rsidRPr="00C530E5">
              <w:rPr>
                <w:rFonts w:eastAsia="MS Gothic" w:cstheme="minorHAnsi"/>
                <w:bCs/>
              </w:rPr>
              <w:t>group/practice</w:t>
            </w:r>
          </w:p>
        </w:tc>
        <w:tc>
          <w:tcPr>
            <w:tcW w:w="5028" w:type="dxa"/>
          </w:tcPr>
          <w:p w14:paraId="0CABCFBB" w14:textId="13723547" w:rsidR="000414E8" w:rsidRPr="00C530E5" w:rsidRDefault="00445A68"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D549C4" w:rsidRPr="00C530E5">
                  <w:rPr>
                    <w:rFonts w:ascii="Segoe UI Symbol" w:eastAsia="MS Gothic" w:hAnsi="Segoe UI Symbol" w:cs="Segoe UI Symbol"/>
                    <w:bCs/>
                    <w:color w:val="0000FF"/>
                  </w:rPr>
                  <w:t>☐</w:t>
                </w:r>
              </w:sdtContent>
            </w:sdt>
            <w:r w:rsidR="000414E8" w:rsidRPr="00C530E5">
              <w:rPr>
                <w:rFonts w:cstheme="minorHAnsi"/>
                <w:bCs/>
              </w:rPr>
              <w:t xml:space="preserve"> </w:t>
            </w:r>
            <w:r w:rsidR="000414E8" w:rsidRPr="00C530E5">
              <w:rPr>
                <w:rFonts w:eastAsia="MS Gothic" w:cstheme="minorHAnsi"/>
                <w:bCs/>
              </w:rPr>
              <w:t>group/practice</w:t>
            </w:r>
          </w:p>
        </w:tc>
      </w:tr>
      <w:tr w:rsidR="000414E8" w:rsidRPr="00C530E5" w14:paraId="0CABCFBF" w14:textId="77777777" w:rsidTr="000414E8">
        <w:trPr>
          <w:jc w:val="center"/>
        </w:trPr>
        <w:tc>
          <w:tcPr>
            <w:tcW w:w="5027" w:type="dxa"/>
          </w:tcPr>
          <w:p w14:paraId="0CABCFBD" w14:textId="77777777" w:rsidR="000414E8" w:rsidRPr="00C530E5" w:rsidRDefault="00445A68" w:rsidP="00D61410">
            <w:pPr>
              <w:autoSpaceDE w:val="0"/>
              <w:autoSpaceDN w:val="0"/>
              <w:adjustRightInd w:val="0"/>
              <w:rPr>
                <w:rFonts w:cstheme="minorHAnsi"/>
                <w:bCs/>
              </w:rPr>
            </w:pPr>
            <w:sdt>
              <w:sdtPr>
                <w:rPr>
                  <w:rFonts w:cstheme="minorHAnsi"/>
                  <w:bCs/>
                  <w:color w:val="0000FF"/>
                </w:rPr>
                <w:id w:val="-1855098074"/>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0414E8" w:rsidRPr="00C530E5">
              <w:rPr>
                <w:rFonts w:cstheme="minorHAnsi"/>
                <w:bCs/>
              </w:rPr>
              <w:t xml:space="preserve"> </w:t>
            </w:r>
            <w:r w:rsidR="000414E8" w:rsidRPr="00C530E5">
              <w:rPr>
                <w:rFonts w:eastAsia="MS Gothic" w:cstheme="minorHAnsi"/>
                <w:bCs/>
              </w:rPr>
              <w:t>hospital/facility/agency</w:t>
            </w:r>
          </w:p>
        </w:tc>
        <w:tc>
          <w:tcPr>
            <w:tcW w:w="5028" w:type="dxa"/>
          </w:tcPr>
          <w:p w14:paraId="0CABCFBE" w14:textId="77777777" w:rsidR="000414E8" w:rsidRPr="00C530E5" w:rsidRDefault="00445A68" w:rsidP="00D61410">
            <w:pPr>
              <w:autoSpaceDE w:val="0"/>
              <w:autoSpaceDN w:val="0"/>
              <w:adjustRightInd w:val="0"/>
              <w:rPr>
                <w:rFonts w:cstheme="minorHAnsi"/>
                <w:bCs/>
              </w:rPr>
            </w:pPr>
            <w:sdt>
              <w:sdtPr>
                <w:rPr>
                  <w:rFonts w:cstheme="minorHAnsi"/>
                  <w:bCs/>
                  <w:color w:val="0000FF"/>
                </w:rPr>
                <w:id w:val="1857455968"/>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0414E8" w:rsidRPr="00C530E5">
              <w:rPr>
                <w:rFonts w:cstheme="minorHAnsi"/>
                <w:bCs/>
              </w:rPr>
              <w:t xml:space="preserve"> </w:t>
            </w:r>
            <w:r w:rsidR="000414E8" w:rsidRPr="00C530E5">
              <w:rPr>
                <w:rFonts w:eastAsia="MS Gothic" w:cstheme="minorHAnsi"/>
                <w:bCs/>
              </w:rPr>
              <w:t>hospital/facility/agency</w:t>
            </w:r>
          </w:p>
        </w:tc>
      </w:tr>
      <w:tr w:rsidR="000414E8" w:rsidRPr="00C530E5" w14:paraId="0CABCFC2" w14:textId="77777777" w:rsidTr="000414E8">
        <w:trPr>
          <w:jc w:val="center"/>
        </w:trPr>
        <w:tc>
          <w:tcPr>
            <w:tcW w:w="5027" w:type="dxa"/>
          </w:tcPr>
          <w:p w14:paraId="0CABCFC0" w14:textId="7D82CF05" w:rsidR="000414E8" w:rsidRPr="00C530E5" w:rsidRDefault="00445A68" w:rsidP="00D61410">
            <w:pPr>
              <w:autoSpaceDE w:val="0"/>
              <w:autoSpaceDN w:val="0"/>
              <w:adjustRightInd w:val="0"/>
              <w:rPr>
                <w:rFonts w:cstheme="minorHAnsi"/>
                <w:bCs/>
              </w:rPr>
            </w:pPr>
            <w:sdt>
              <w:sdtPr>
                <w:rPr>
                  <w:rFonts w:cstheme="minorHAnsi"/>
                  <w:bCs/>
                  <w:color w:val="0000FF"/>
                </w:rPr>
                <w:id w:val="275535217"/>
                <w14:checkbox>
                  <w14:checked w14:val="1"/>
                  <w14:checkedState w14:val="2612" w14:font="MS Gothic"/>
                  <w14:uncheckedState w14:val="2610" w14:font="MS Gothic"/>
                </w14:checkbox>
              </w:sdtPr>
              <w:sdtEndPr/>
              <w:sdtContent>
                <w:r w:rsidR="00DF06EF" w:rsidRPr="00C530E5">
                  <w:rPr>
                    <w:rFonts w:ascii="Segoe UI Symbol" w:eastAsia="MS Gothic" w:hAnsi="Segoe UI Symbol" w:cs="Segoe UI Symbol"/>
                    <w:bCs/>
                    <w:color w:val="0000FF"/>
                  </w:rPr>
                  <w:t>☒</w:t>
                </w:r>
              </w:sdtContent>
            </w:sdt>
            <w:r w:rsidR="006574D2" w:rsidRPr="00C530E5">
              <w:rPr>
                <w:rFonts w:cstheme="minorHAnsi"/>
                <w:bCs/>
                <w:color w:val="0000FF"/>
              </w:rPr>
              <w:t xml:space="preserve"> </w:t>
            </w:r>
            <w:r w:rsidR="000414E8" w:rsidRPr="00C530E5">
              <w:rPr>
                <w:rFonts w:cstheme="minorHAnsi"/>
                <w:bCs/>
              </w:rPr>
              <w:t>health plan</w:t>
            </w:r>
          </w:p>
        </w:tc>
        <w:tc>
          <w:tcPr>
            <w:tcW w:w="5028" w:type="dxa"/>
          </w:tcPr>
          <w:p w14:paraId="0CABCFC1" w14:textId="4566A8E7" w:rsidR="000414E8" w:rsidRPr="00C530E5" w:rsidRDefault="00445A68" w:rsidP="00D61410">
            <w:pPr>
              <w:autoSpaceDE w:val="0"/>
              <w:autoSpaceDN w:val="0"/>
              <w:adjustRightInd w:val="0"/>
              <w:rPr>
                <w:rFonts w:cstheme="minorHAnsi"/>
                <w:bCs/>
              </w:rPr>
            </w:pPr>
            <w:sdt>
              <w:sdtPr>
                <w:rPr>
                  <w:rFonts w:cstheme="minorHAnsi"/>
                  <w:bCs/>
                  <w:color w:val="0000FF"/>
                </w:rPr>
                <w:id w:val="1896924375"/>
                <w14:checkbox>
                  <w14:checked w14:val="1"/>
                  <w14:checkedState w14:val="2612" w14:font="MS Gothic"/>
                  <w14:uncheckedState w14:val="2610" w14:font="MS Gothic"/>
                </w14:checkbox>
              </w:sdtPr>
              <w:sdtEndPr/>
              <w:sdtContent>
                <w:r w:rsidR="00DF06EF" w:rsidRPr="00C530E5">
                  <w:rPr>
                    <w:rFonts w:ascii="Segoe UI Symbol" w:eastAsia="MS Gothic" w:hAnsi="Segoe UI Symbol" w:cs="Segoe UI Symbol"/>
                    <w:bCs/>
                    <w:color w:val="0000FF"/>
                  </w:rPr>
                  <w:t>☒</w:t>
                </w:r>
              </w:sdtContent>
            </w:sdt>
            <w:r w:rsidR="000414E8" w:rsidRPr="00C530E5">
              <w:rPr>
                <w:rFonts w:cstheme="minorHAnsi"/>
                <w:bCs/>
              </w:rPr>
              <w:t xml:space="preserve"> health plan</w:t>
            </w:r>
          </w:p>
        </w:tc>
      </w:tr>
      <w:tr w:rsidR="000414E8" w:rsidRPr="00C530E5" w14:paraId="0CABCFC5" w14:textId="77777777" w:rsidTr="000414E8">
        <w:trPr>
          <w:jc w:val="center"/>
        </w:trPr>
        <w:tc>
          <w:tcPr>
            <w:tcW w:w="5027" w:type="dxa"/>
          </w:tcPr>
          <w:p w14:paraId="0CABCFC3" w14:textId="77777777" w:rsidR="000414E8" w:rsidRPr="00C530E5" w:rsidRDefault="00445A68"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0414E8" w:rsidRPr="00C530E5">
              <w:rPr>
                <w:rFonts w:cstheme="minorHAnsi"/>
                <w:bCs/>
              </w:rPr>
              <w:t xml:space="preserve"> other:  </w:t>
            </w:r>
            <w:sdt>
              <w:sdtPr>
                <w:rPr>
                  <w:rStyle w:val="Style1"/>
                  <w:rFonts w:cstheme="minorHAnsi"/>
                </w:rPr>
                <w:id w:val="1923679898"/>
                <w:showingPlcHdr/>
                <w:text/>
              </w:sdtPr>
              <w:sdtEndPr>
                <w:rPr>
                  <w:rStyle w:val="DefaultParagraphFont"/>
                  <w:bCs/>
                  <w:color w:val="auto"/>
                </w:rPr>
              </w:sdtEndPr>
              <w:sdtContent>
                <w:r w:rsidR="000414E8" w:rsidRPr="00C530E5">
                  <w:rPr>
                    <w:rStyle w:val="PlaceholderText"/>
                    <w:rFonts w:cstheme="minorHAnsi"/>
                  </w:rPr>
                  <w:t>Click here to describe</w:t>
                </w:r>
              </w:sdtContent>
            </w:sdt>
          </w:p>
        </w:tc>
        <w:tc>
          <w:tcPr>
            <w:tcW w:w="5028" w:type="dxa"/>
          </w:tcPr>
          <w:p w14:paraId="0CABCFC4" w14:textId="77777777" w:rsidR="000414E8" w:rsidRPr="00C530E5" w:rsidRDefault="00445A68"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0414E8" w:rsidRPr="00C530E5">
              <w:rPr>
                <w:rFonts w:cstheme="minorHAnsi"/>
                <w:bCs/>
              </w:rPr>
              <w:t xml:space="preserve"> other:  </w:t>
            </w:r>
            <w:sdt>
              <w:sdtPr>
                <w:rPr>
                  <w:rStyle w:val="Style1"/>
                  <w:rFonts w:cstheme="minorHAnsi"/>
                </w:rPr>
                <w:id w:val="2034217519"/>
                <w:showingPlcHdr/>
                <w:text/>
              </w:sdtPr>
              <w:sdtEndPr>
                <w:rPr>
                  <w:rStyle w:val="DefaultParagraphFont"/>
                  <w:bCs/>
                  <w:color w:val="auto"/>
                </w:rPr>
              </w:sdtEndPr>
              <w:sdtContent>
                <w:r w:rsidR="000414E8" w:rsidRPr="00C530E5">
                  <w:rPr>
                    <w:rStyle w:val="PlaceholderText"/>
                    <w:rFonts w:cstheme="minorHAnsi"/>
                  </w:rPr>
                  <w:t>Click here to describe</w:t>
                </w:r>
              </w:sdtContent>
            </w:sdt>
          </w:p>
        </w:tc>
      </w:tr>
    </w:tbl>
    <w:p w14:paraId="0CABCFC6" w14:textId="77777777" w:rsidR="000414E8" w:rsidRPr="00C530E5" w:rsidRDefault="000414E8" w:rsidP="00DB3627">
      <w:pPr>
        <w:autoSpaceDE w:val="0"/>
        <w:autoSpaceDN w:val="0"/>
        <w:adjustRightInd w:val="0"/>
        <w:spacing w:after="0" w:line="240" w:lineRule="auto"/>
        <w:rPr>
          <w:rFonts w:cstheme="minorHAnsi"/>
          <w:bCs/>
        </w:rPr>
      </w:pPr>
    </w:p>
    <w:p w14:paraId="08A692E1" w14:textId="77777777" w:rsidR="00502DBC" w:rsidRPr="00C530E5" w:rsidRDefault="00502DBC" w:rsidP="00DB3627">
      <w:pPr>
        <w:autoSpaceDE w:val="0"/>
        <w:autoSpaceDN w:val="0"/>
        <w:adjustRightInd w:val="0"/>
        <w:spacing w:after="0" w:line="240" w:lineRule="auto"/>
        <w:rPr>
          <w:rFonts w:cstheme="minorHAnsi"/>
          <w:b/>
          <w:bCs/>
        </w:rPr>
      </w:pPr>
      <w:r w:rsidRPr="00C530E5">
        <w:rPr>
          <w:rFonts w:cstheme="minorHAnsi"/>
          <w:b/>
          <w:bCs/>
        </w:rPr>
        <w:br w:type="page"/>
      </w:r>
    </w:p>
    <w:p w14:paraId="42AAC553" w14:textId="2BB0011C" w:rsidR="009F3D51" w:rsidRPr="00C95470" w:rsidRDefault="002B5016" w:rsidP="00DB3627">
      <w:pPr>
        <w:autoSpaceDE w:val="0"/>
        <w:autoSpaceDN w:val="0"/>
        <w:adjustRightInd w:val="0"/>
        <w:spacing w:after="0" w:line="240" w:lineRule="auto"/>
        <w:rPr>
          <w:rFonts w:cstheme="minorHAnsi"/>
          <w:bCs/>
        </w:rPr>
      </w:pPr>
      <w:r>
        <w:rPr>
          <w:rFonts w:cstheme="minorHAnsi"/>
          <w:b/>
          <w:bCs/>
        </w:rPr>
        <w:lastRenderedPageBreak/>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r w:rsidR="004348CC" w:rsidRPr="00C530E5">
        <w:rPr>
          <w:rFonts w:cstheme="minorHAnsi"/>
          <w:bCs/>
          <w:i/>
        </w:rPr>
        <w:t xml:space="preserve">identify </w:t>
      </w:r>
      <w:r w:rsidR="00F435AA" w:rsidRPr="00C530E5">
        <w:rPr>
          <w:rFonts w:cstheme="minorHAnsi"/>
          <w:bCs/>
          <w:i/>
        </w:rPr>
        <w:t>the number</w:t>
      </w:r>
      <w:r w:rsidR="004348CC" w:rsidRPr="00C530E5">
        <w:rPr>
          <w:rFonts w:cstheme="minorHAnsi"/>
          <w:bCs/>
          <w:i/>
        </w:rPr>
        <w:t xml:space="preserve"> </w:t>
      </w:r>
      <w:r w:rsidR="005A7634" w:rsidRPr="00C530E5">
        <w:rPr>
          <w:rFonts w:cstheme="minorHAnsi"/>
          <w:bCs/>
          <w:i/>
        </w:rPr>
        <w:t>and descriptive</w:t>
      </w:r>
      <w:r w:rsidR="004348CC" w:rsidRPr="00C530E5">
        <w:rPr>
          <w:rFonts w:cstheme="minorHAnsi"/>
          <w:bCs/>
          <w:i/>
        </w:rPr>
        <w:t xml:space="preserve"> characteristics</w:t>
      </w:r>
      <w:r w:rsidR="00DA7277" w:rsidRPr="00C530E5">
        <w:rPr>
          <w:rFonts w:cstheme="minorHAnsi"/>
          <w:bCs/>
          <w:i/>
        </w:rPr>
        <w:t xml:space="preserve"> </w:t>
      </w:r>
      <w:r w:rsidR="004348CC" w:rsidRPr="00C530E5">
        <w:rPr>
          <w:rFonts w:cstheme="minorHAnsi"/>
          <w:bCs/>
          <w:i/>
        </w:rPr>
        <w:t>of measured entities included in the analysis</w:t>
      </w:r>
      <w:r w:rsidR="00DA7277" w:rsidRPr="00C530E5">
        <w:rPr>
          <w:rFonts w:cstheme="minorHAnsi"/>
          <w:bCs/>
          <w:i/>
        </w:rPr>
        <w:t xml:space="preserve"> (e.g., size, location, type)</w:t>
      </w:r>
      <w:r w:rsidR="004348CC" w:rsidRPr="00C530E5">
        <w:rPr>
          <w:rFonts w:cstheme="minorHAnsi"/>
          <w:bCs/>
          <w:i/>
        </w:rPr>
        <w:t xml:space="preserve">; if </w:t>
      </w:r>
      <w:r w:rsidR="000968F8" w:rsidRPr="00C530E5">
        <w:rPr>
          <w:rFonts w:cstheme="minorHAnsi"/>
          <w:bCs/>
          <w:i/>
        </w:rPr>
        <w:t xml:space="preserve">a </w:t>
      </w:r>
      <w:r w:rsidR="004348CC" w:rsidRPr="00C530E5">
        <w:rPr>
          <w:rFonts w:cstheme="minorHAnsi"/>
          <w:bCs/>
          <w:i/>
        </w:rPr>
        <w:t>sample</w:t>
      </w:r>
      <w:r w:rsidR="00E310B9" w:rsidRPr="00C530E5">
        <w:rPr>
          <w:rFonts w:cstheme="minorHAnsi"/>
          <w:bCs/>
          <w:i/>
        </w:rPr>
        <w:t xml:space="preserve"> was used</w:t>
      </w:r>
      <w:r w:rsidR="004348CC" w:rsidRPr="00C530E5">
        <w:rPr>
          <w:rFonts w:cstheme="minorHAnsi"/>
          <w:bCs/>
          <w:i/>
        </w:rPr>
        <w:t xml:space="preserve">, </w:t>
      </w:r>
      <w:r w:rsidR="000968F8" w:rsidRPr="00C530E5">
        <w:rPr>
          <w:rFonts w:cstheme="minorHAnsi"/>
          <w:bCs/>
          <w:i/>
        </w:rPr>
        <w:t xml:space="preserve">describe </w:t>
      </w:r>
      <w:r w:rsidR="004348CC" w:rsidRPr="00C530E5">
        <w:rPr>
          <w:rFonts w:cstheme="minorHAnsi"/>
          <w:bCs/>
          <w:i/>
        </w:rPr>
        <w:t xml:space="preserve">how </w:t>
      </w:r>
      <w:r w:rsidR="005A7634" w:rsidRPr="00C530E5">
        <w:rPr>
          <w:rFonts w:cstheme="minorHAnsi"/>
          <w:bCs/>
          <w:i/>
        </w:rPr>
        <w:t xml:space="preserve">entities were </w:t>
      </w:r>
      <w:r w:rsidR="000968F8" w:rsidRPr="00C530E5">
        <w:rPr>
          <w:rFonts w:cstheme="minorHAnsi"/>
          <w:bCs/>
          <w:i/>
        </w:rPr>
        <w:t>selected</w:t>
      </w:r>
      <w:r w:rsidR="005A7634" w:rsidRPr="00C530E5">
        <w:rPr>
          <w:rFonts w:cstheme="minorHAnsi"/>
          <w:bCs/>
          <w:i/>
        </w:rPr>
        <w:t xml:space="preserve"> for inclusion in the sample</w:t>
      </w:r>
      <w:r w:rsidR="004348CC" w:rsidRPr="00C530E5">
        <w:rPr>
          <w:rFonts w:cstheme="minorHAnsi"/>
          <w:bCs/>
        </w:rPr>
        <w:t xml:space="preserve">) </w:t>
      </w:r>
    </w:p>
    <w:p w14:paraId="63C13B8F" w14:textId="79321494" w:rsidR="005F0B4A" w:rsidRDefault="005F0B4A" w:rsidP="00502DBC">
      <w:pPr>
        <w:autoSpaceDE w:val="0"/>
        <w:autoSpaceDN w:val="0"/>
        <w:adjustRightInd w:val="0"/>
        <w:spacing w:after="0" w:line="240" w:lineRule="auto"/>
        <w:rPr>
          <w:rFonts w:cstheme="minorHAnsi"/>
          <w:bCs/>
          <w:color w:val="1111FB"/>
        </w:rPr>
      </w:pPr>
      <w:r>
        <w:rPr>
          <w:rFonts w:cstheme="minorHAnsi"/>
          <w:bCs/>
          <w:color w:val="1111FB"/>
        </w:rPr>
        <w:t>This measure assesse</w:t>
      </w:r>
      <w:r w:rsidR="00BE4191">
        <w:rPr>
          <w:rFonts w:cstheme="minorHAnsi"/>
          <w:bCs/>
          <w:color w:val="1111FB"/>
        </w:rPr>
        <w:t xml:space="preserve">s whether adults enrolled in commercial, Medicare, and Medicaid plans who have diabetes (type 1 and type 2) had their </w:t>
      </w:r>
      <w:r w:rsidR="00FB5B45">
        <w:rPr>
          <w:rFonts w:cstheme="minorHAnsi"/>
          <w:bCs/>
          <w:color w:val="1111FB"/>
        </w:rPr>
        <w:t xml:space="preserve">most </w:t>
      </w:r>
      <w:r w:rsidR="00BE4191">
        <w:rPr>
          <w:rFonts w:cstheme="minorHAnsi"/>
          <w:bCs/>
          <w:color w:val="1111FB"/>
        </w:rPr>
        <w:t xml:space="preserve">recent HbA1c </w:t>
      </w:r>
      <w:r w:rsidR="00CB1069">
        <w:rPr>
          <w:rFonts w:cstheme="minorHAnsi"/>
          <w:bCs/>
          <w:color w:val="1111FB"/>
        </w:rPr>
        <w:t>level greater than 9.0%</w:t>
      </w:r>
      <w:r w:rsidR="005C1B1E">
        <w:rPr>
          <w:rFonts w:cstheme="minorHAnsi"/>
          <w:bCs/>
          <w:color w:val="1111FB"/>
        </w:rPr>
        <w:t>. Therefore, testing was done at the health-plan level, which is appropriate for the level of reporting for this measure.</w:t>
      </w:r>
    </w:p>
    <w:p w14:paraId="114C6289" w14:textId="3A6CE37B" w:rsidR="00A156F6" w:rsidRDefault="00A156F6" w:rsidP="00502DBC">
      <w:pPr>
        <w:autoSpaceDE w:val="0"/>
        <w:autoSpaceDN w:val="0"/>
        <w:adjustRightInd w:val="0"/>
        <w:spacing w:after="0" w:line="240" w:lineRule="auto"/>
        <w:rPr>
          <w:rFonts w:cstheme="minorHAnsi"/>
          <w:bCs/>
          <w:color w:val="1111FB"/>
        </w:rPr>
      </w:pPr>
    </w:p>
    <w:p w14:paraId="7E5FCAFC" w14:textId="27F7A977" w:rsidR="00A156F6" w:rsidRPr="009D2B7B" w:rsidRDefault="00A156F6" w:rsidP="00502DBC">
      <w:pPr>
        <w:autoSpaceDE w:val="0"/>
        <w:autoSpaceDN w:val="0"/>
        <w:adjustRightInd w:val="0"/>
        <w:spacing w:after="0" w:line="240" w:lineRule="auto"/>
        <w:rPr>
          <w:rFonts w:cstheme="minorHAnsi"/>
          <w:bCs/>
          <w:color w:val="1111FB"/>
        </w:rPr>
      </w:pPr>
      <w:r w:rsidRPr="009D2B7B">
        <w:rPr>
          <w:rFonts w:cstheme="minorHAnsi"/>
          <w:bCs/>
          <w:color w:val="1111FB"/>
        </w:rPr>
        <w:t xml:space="preserve">Note: A lower rate indicates better performance for this </w:t>
      </w:r>
      <w:r w:rsidR="009D2B7B" w:rsidRPr="009D2B7B">
        <w:rPr>
          <w:rFonts w:cstheme="minorHAnsi"/>
          <w:bCs/>
          <w:color w:val="1111FB"/>
        </w:rPr>
        <w:t>measure</w:t>
      </w:r>
      <w:r w:rsidRPr="009D2B7B">
        <w:rPr>
          <w:rFonts w:cstheme="minorHAnsi"/>
          <w:bCs/>
          <w:color w:val="1111FB"/>
        </w:rPr>
        <w:t xml:space="preserve"> (i.e., low rates of poor control indicate better care).</w:t>
      </w:r>
    </w:p>
    <w:p w14:paraId="117726A1" w14:textId="77777777" w:rsidR="005F0B4A" w:rsidRDefault="005F0B4A" w:rsidP="00502DBC">
      <w:pPr>
        <w:autoSpaceDE w:val="0"/>
        <w:autoSpaceDN w:val="0"/>
        <w:adjustRightInd w:val="0"/>
        <w:spacing w:after="0" w:line="240" w:lineRule="auto"/>
        <w:rPr>
          <w:rFonts w:cstheme="minorHAnsi"/>
          <w:bCs/>
          <w:color w:val="1111FB"/>
        </w:rPr>
      </w:pPr>
    </w:p>
    <w:p w14:paraId="76D5CBD1" w14:textId="2061D1FB" w:rsidR="00502DBC" w:rsidRPr="002157CF" w:rsidRDefault="00502DBC" w:rsidP="00502DBC">
      <w:pPr>
        <w:autoSpaceDE w:val="0"/>
        <w:autoSpaceDN w:val="0"/>
        <w:adjustRightInd w:val="0"/>
        <w:spacing w:after="0" w:line="240" w:lineRule="auto"/>
        <w:rPr>
          <w:rFonts w:cstheme="minorHAnsi"/>
          <w:bCs/>
          <w:color w:val="1111FB"/>
        </w:rPr>
      </w:pPr>
      <w:r w:rsidRPr="002157CF">
        <w:rPr>
          <w:rFonts w:cstheme="minorHAnsi"/>
          <w:bCs/>
          <w:color w:val="1111FB"/>
        </w:rPr>
        <w:t>We calculated the measure score reliability and construct validity from HEDIS data that included 3</w:t>
      </w:r>
      <w:r w:rsidR="00270D12" w:rsidRPr="002157CF">
        <w:rPr>
          <w:rFonts w:cstheme="minorHAnsi"/>
          <w:bCs/>
          <w:color w:val="1111FB"/>
        </w:rPr>
        <w:t>78</w:t>
      </w:r>
      <w:r w:rsidRPr="002157CF">
        <w:rPr>
          <w:rFonts w:cstheme="minorHAnsi"/>
          <w:bCs/>
          <w:color w:val="1111FB"/>
        </w:rPr>
        <w:t xml:space="preserve"> commercial health plans, 47</w:t>
      </w:r>
      <w:r w:rsidR="00270D12" w:rsidRPr="002157CF">
        <w:rPr>
          <w:rFonts w:cstheme="minorHAnsi"/>
          <w:bCs/>
          <w:color w:val="1111FB"/>
        </w:rPr>
        <w:t>7</w:t>
      </w:r>
      <w:r w:rsidRPr="002157CF">
        <w:rPr>
          <w:rFonts w:cstheme="minorHAnsi"/>
          <w:bCs/>
          <w:color w:val="1111FB"/>
        </w:rPr>
        <w:t xml:space="preserve"> Medicare health plans, and 2</w:t>
      </w:r>
      <w:r w:rsidR="00F55B34" w:rsidRPr="002157CF">
        <w:rPr>
          <w:rFonts w:cstheme="minorHAnsi"/>
          <w:bCs/>
          <w:color w:val="1111FB"/>
        </w:rPr>
        <w:t>41</w:t>
      </w:r>
      <w:r w:rsidRPr="002157CF">
        <w:rPr>
          <w:rFonts w:cstheme="minorHAnsi"/>
          <w:bCs/>
          <w:color w:val="1111FB"/>
        </w:rPr>
        <w:t xml:space="preserve"> Medicaid health plans. The sample included all commercial, Medicare, and Medicaid health plans submitting data to NCQA for HEDIS. The plans were geographically diverse and varied in size.</w:t>
      </w:r>
    </w:p>
    <w:p w14:paraId="6473A4BB" w14:textId="77777777" w:rsidR="00E4237D" w:rsidRPr="00C530E5" w:rsidRDefault="00E4237D" w:rsidP="00E4237D">
      <w:pPr>
        <w:autoSpaceDE w:val="0"/>
        <w:autoSpaceDN w:val="0"/>
        <w:adjustRightInd w:val="0"/>
        <w:spacing w:after="0" w:line="240" w:lineRule="auto"/>
        <w:rPr>
          <w:rFonts w:cstheme="minorHAnsi"/>
          <w:b/>
          <w:color w:val="4F81BD" w:themeColor="accent1"/>
        </w:rPr>
      </w:pPr>
    </w:p>
    <w:p w14:paraId="0CABCFC9" w14:textId="2C540206" w:rsidR="007422FD" w:rsidRDefault="00EE5481" w:rsidP="00DB3627">
      <w:pPr>
        <w:autoSpaceDE w:val="0"/>
        <w:autoSpaceDN w:val="0"/>
        <w:adjustRightInd w:val="0"/>
        <w:spacing w:after="0" w:line="240" w:lineRule="auto"/>
        <w:rPr>
          <w:rFonts w:cstheme="minorHAnsi"/>
          <w:bCs/>
        </w:rPr>
      </w:pPr>
      <w:r>
        <w:rPr>
          <w:rFonts w:cstheme="minorHAnsi"/>
          <w:b/>
          <w:bCs/>
        </w:rPr>
        <w:t>1.</w:t>
      </w:r>
      <w:r w:rsidRPr="00A25024">
        <w:rPr>
          <w:rFonts w:cstheme="minorHAnsi"/>
          <w:b/>
          <w:bCs/>
        </w:rPr>
        <w:t xml:space="preserve">6. How many and which </w:t>
      </w:r>
      <w:r w:rsidRPr="00A25024">
        <w:rPr>
          <w:rFonts w:cstheme="minorHAnsi"/>
          <w:b/>
          <w:bCs/>
          <w:u w:val="single"/>
        </w:rPr>
        <w:t>patients</w:t>
      </w:r>
      <w:r w:rsidRPr="00A25024">
        <w:rPr>
          <w:rFonts w:cstheme="minorHAnsi"/>
          <w:b/>
          <w:bCs/>
        </w:rPr>
        <w:t xml:space="preserve"> were included in the testing and analysis</w:t>
      </w:r>
      <w:r>
        <w:rPr>
          <w:rFonts w:cstheme="minorHAnsi"/>
          <w:b/>
          <w:bCs/>
        </w:rPr>
        <w:t xml:space="preserve"> (by level of analysis and data source)</w:t>
      </w:r>
      <w:r w:rsidRPr="00A25024">
        <w:rPr>
          <w:rFonts w:cstheme="minorHAnsi"/>
          <w:bCs/>
        </w:rPr>
        <w:t>? (</w:t>
      </w:r>
      <w:r w:rsidRPr="00A25024">
        <w:rPr>
          <w:rFonts w:cstheme="minorHAnsi"/>
          <w:bCs/>
          <w:i/>
        </w:rPr>
        <w:t>identify the number and descriptive characteristics of patients included in the analysis (e.g., age, sex, race, diagnosis); if a sample was used, describe how patients were selected for inclusion in the sample</w:t>
      </w:r>
      <w:r w:rsidRPr="00A25024">
        <w:rPr>
          <w:rFonts w:cstheme="minorHAnsi"/>
          <w:bCs/>
        </w:rPr>
        <w:t>)</w:t>
      </w:r>
    </w:p>
    <w:p w14:paraId="608B200F" w14:textId="570759C9" w:rsidR="0058570D" w:rsidRDefault="00C03334" w:rsidP="009F3D51">
      <w:pPr>
        <w:autoSpaceDE w:val="0"/>
        <w:autoSpaceDN w:val="0"/>
        <w:adjustRightInd w:val="0"/>
        <w:spacing w:after="0" w:line="240" w:lineRule="auto"/>
        <w:rPr>
          <w:rFonts w:cstheme="minorHAnsi"/>
          <w:bCs/>
          <w:color w:val="0000FF"/>
        </w:rPr>
      </w:pPr>
      <w:r>
        <w:rPr>
          <w:rFonts w:cstheme="minorHAnsi"/>
          <w:bCs/>
          <w:color w:val="0000FF"/>
        </w:rPr>
        <w:t>Table 1 b</w:t>
      </w:r>
      <w:r w:rsidR="004558A3">
        <w:rPr>
          <w:rFonts w:cstheme="minorHAnsi"/>
          <w:bCs/>
          <w:color w:val="0000FF"/>
        </w:rPr>
        <w:t xml:space="preserve">elow </w:t>
      </w:r>
      <w:r>
        <w:rPr>
          <w:rFonts w:cstheme="minorHAnsi"/>
          <w:bCs/>
          <w:color w:val="0000FF"/>
        </w:rPr>
        <w:t>provides a</w:t>
      </w:r>
      <w:r w:rsidR="004558A3">
        <w:rPr>
          <w:rFonts w:cstheme="minorHAnsi"/>
          <w:bCs/>
          <w:color w:val="0000FF"/>
        </w:rPr>
        <w:t xml:space="preserve"> description of the data submitted for 2018, including the median denominator size per plan. Data are summarized at the health plan level and stratified by plan type (i.e. commercial, Medicaid, Medicare).</w:t>
      </w:r>
      <w:r w:rsidR="00877152">
        <w:rPr>
          <w:rFonts w:cstheme="minorHAnsi"/>
          <w:bCs/>
          <w:color w:val="0000FF"/>
        </w:rPr>
        <w:t xml:space="preserve"> </w:t>
      </w:r>
      <w:r w:rsidR="003615C3">
        <w:rPr>
          <w:rFonts w:cstheme="minorHAnsi"/>
          <w:bCs/>
          <w:color w:val="0000FF"/>
        </w:rPr>
        <w:t>Since data can be collected and reported from two data sources (administrative claims and medical record review)</w:t>
      </w:r>
      <w:r w:rsidR="0058570D">
        <w:rPr>
          <w:rFonts w:cstheme="minorHAnsi"/>
          <w:bCs/>
          <w:color w:val="0000FF"/>
        </w:rPr>
        <w:t xml:space="preserve">, the </w:t>
      </w:r>
      <w:r w:rsidR="00F5105C">
        <w:rPr>
          <w:rFonts w:cstheme="minorHAnsi"/>
          <w:bCs/>
          <w:color w:val="0000FF"/>
        </w:rPr>
        <w:t xml:space="preserve">vast </w:t>
      </w:r>
      <w:r w:rsidR="0058570D">
        <w:rPr>
          <w:rFonts w:cstheme="minorHAnsi"/>
          <w:bCs/>
          <w:color w:val="0000FF"/>
        </w:rPr>
        <w:t xml:space="preserve">majority of plans </w:t>
      </w:r>
      <w:r w:rsidR="00F5105C">
        <w:rPr>
          <w:rFonts w:cstheme="minorHAnsi"/>
          <w:bCs/>
          <w:color w:val="0000FF"/>
        </w:rPr>
        <w:t xml:space="preserve">use a combination </w:t>
      </w:r>
      <w:r w:rsidR="00A24968">
        <w:rPr>
          <w:rFonts w:cstheme="minorHAnsi"/>
          <w:bCs/>
          <w:color w:val="0000FF"/>
        </w:rPr>
        <w:t xml:space="preserve">of </w:t>
      </w:r>
      <w:r w:rsidR="00792EE2">
        <w:rPr>
          <w:rFonts w:cstheme="minorHAnsi"/>
          <w:bCs/>
          <w:color w:val="0000FF"/>
        </w:rPr>
        <w:t xml:space="preserve">data from </w:t>
      </w:r>
      <w:r w:rsidR="0058570D">
        <w:rPr>
          <w:rFonts w:cstheme="minorHAnsi"/>
          <w:bCs/>
          <w:color w:val="0000FF"/>
        </w:rPr>
        <w:t xml:space="preserve">administrative claims data and </w:t>
      </w:r>
      <w:r w:rsidR="00DD1D66">
        <w:rPr>
          <w:rFonts w:cstheme="minorHAnsi"/>
          <w:bCs/>
          <w:color w:val="0000FF"/>
        </w:rPr>
        <w:t xml:space="preserve">a sample of 411 </w:t>
      </w:r>
      <w:r w:rsidR="008904A8">
        <w:rPr>
          <w:rFonts w:cstheme="minorHAnsi"/>
          <w:bCs/>
          <w:color w:val="0000FF"/>
        </w:rPr>
        <w:t xml:space="preserve">of medical records </w:t>
      </w:r>
      <w:r w:rsidR="00792EE2">
        <w:rPr>
          <w:rFonts w:cstheme="minorHAnsi"/>
          <w:bCs/>
          <w:color w:val="0000FF"/>
        </w:rPr>
        <w:t xml:space="preserve">they review </w:t>
      </w:r>
      <w:r w:rsidR="008904A8">
        <w:rPr>
          <w:rFonts w:cstheme="minorHAnsi"/>
          <w:bCs/>
          <w:color w:val="0000FF"/>
        </w:rPr>
        <w:t xml:space="preserve">to report their performance rates. </w:t>
      </w:r>
    </w:p>
    <w:p w14:paraId="13ACE076" w14:textId="77777777" w:rsidR="009F3D51" w:rsidRPr="004558A3" w:rsidRDefault="009F3D51" w:rsidP="009F3D51">
      <w:pPr>
        <w:autoSpaceDE w:val="0"/>
        <w:autoSpaceDN w:val="0"/>
        <w:adjustRightInd w:val="0"/>
        <w:spacing w:after="0" w:line="240" w:lineRule="auto"/>
        <w:rPr>
          <w:rFonts w:cstheme="minorHAnsi"/>
          <w:color w:val="0000FF"/>
        </w:rPr>
      </w:pPr>
    </w:p>
    <w:p w14:paraId="061D0EDB" w14:textId="55F8B2ED" w:rsidR="00D36E7A" w:rsidRPr="002157CF" w:rsidRDefault="00D36E7A" w:rsidP="00D36E7A">
      <w:pPr>
        <w:autoSpaceDE w:val="0"/>
        <w:autoSpaceDN w:val="0"/>
        <w:adjustRightInd w:val="0"/>
        <w:spacing w:after="0" w:line="240" w:lineRule="auto"/>
        <w:rPr>
          <w:rFonts w:cstheme="minorHAnsi"/>
          <w:bCs/>
          <w:color w:val="1111FB"/>
        </w:rPr>
      </w:pPr>
      <w:r w:rsidRPr="002157CF">
        <w:rPr>
          <w:rFonts w:cstheme="minorHAnsi"/>
          <w:bCs/>
          <w:color w:val="1111FB"/>
        </w:rPr>
        <w:t>Table 1. Commercial, Medicaid, and Medicare plans reporting the</w:t>
      </w:r>
      <w:r w:rsidR="00F02350" w:rsidRPr="002157CF">
        <w:rPr>
          <w:rFonts w:cstheme="minorHAnsi"/>
          <w:bCs/>
          <w:color w:val="1111FB"/>
        </w:rPr>
        <w:t xml:space="preserve"> Comprehensive Diabetes Care: HbA1c Poor Control (&gt;9.0%)</w:t>
      </w:r>
      <w:r w:rsidR="001A4AD2">
        <w:rPr>
          <w:rFonts w:cstheme="minorHAnsi"/>
          <w:bCs/>
          <w:color w:val="1111FB"/>
        </w:rPr>
        <w:t>, 2018.</w:t>
      </w:r>
    </w:p>
    <w:tbl>
      <w:tblPr>
        <w:tblStyle w:val="TableGrid"/>
        <w:tblW w:w="0" w:type="auto"/>
        <w:tblLook w:val="04A0" w:firstRow="1" w:lastRow="0" w:firstColumn="1" w:lastColumn="0" w:noHBand="0" w:noVBand="1"/>
      </w:tblPr>
      <w:tblGrid>
        <w:gridCol w:w="3116"/>
        <w:gridCol w:w="3117"/>
        <w:gridCol w:w="3117"/>
      </w:tblGrid>
      <w:tr w:rsidR="002157CF" w:rsidRPr="002157CF" w14:paraId="6834DADC" w14:textId="77777777" w:rsidTr="00D85F42">
        <w:tc>
          <w:tcPr>
            <w:tcW w:w="3116" w:type="dxa"/>
          </w:tcPr>
          <w:p w14:paraId="11D6435D" w14:textId="77777777" w:rsidR="009F3D51" w:rsidRPr="004558A3" w:rsidRDefault="009F3D51" w:rsidP="000D47F0">
            <w:pPr>
              <w:autoSpaceDE w:val="0"/>
              <w:autoSpaceDN w:val="0"/>
              <w:adjustRightInd w:val="0"/>
              <w:jc w:val="center"/>
              <w:rPr>
                <w:rFonts w:cstheme="minorHAnsi"/>
                <w:color w:val="1111FB"/>
              </w:rPr>
            </w:pPr>
            <w:r w:rsidRPr="004558A3">
              <w:rPr>
                <w:rFonts w:cstheme="minorHAnsi"/>
                <w:color w:val="1111FB"/>
              </w:rPr>
              <w:t>Product Type</w:t>
            </w:r>
          </w:p>
        </w:tc>
        <w:tc>
          <w:tcPr>
            <w:tcW w:w="3117" w:type="dxa"/>
          </w:tcPr>
          <w:p w14:paraId="63E30A72" w14:textId="77777777" w:rsidR="009F3D51" w:rsidRPr="004558A3" w:rsidRDefault="009F3D51" w:rsidP="000D47F0">
            <w:pPr>
              <w:autoSpaceDE w:val="0"/>
              <w:autoSpaceDN w:val="0"/>
              <w:adjustRightInd w:val="0"/>
              <w:jc w:val="center"/>
              <w:rPr>
                <w:rFonts w:cstheme="minorHAnsi"/>
                <w:color w:val="1111FB"/>
              </w:rPr>
            </w:pPr>
            <w:r w:rsidRPr="004558A3">
              <w:rPr>
                <w:rFonts w:cstheme="minorHAnsi"/>
                <w:color w:val="1111FB"/>
              </w:rPr>
              <w:t>Number of Plans</w:t>
            </w:r>
          </w:p>
        </w:tc>
        <w:tc>
          <w:tcPr>
            <w:tcW w:w="3117" w:type="dxa"/>
          </w:tcPr>
          <w:p w14:paraId="18149214" w14:textId="32306AB3" w:rsidR="009F3D51" w:rsidRPr="004558A3" w:rsidRDefault="004558A3" w:rsidP="000D47F0">
            <w:pPr>
              <w:autoSpaceDE w:val="0"/>
              <w:autoSpaceDN w:val="0"/>
              <w:adjustRightInd w:val="0"/>
              <w:jc w:val="center"/>
              <w:rPr>
                <w:rFonts w:cstheme="minorHAnsi"/>
                <w:color w:val="1111FB"/>
              </w:rPr>
            </w:pPr>
            <w:r>
              <w:rPr>
                <w:rFonts w:cstheme="minorHAnsi"/>
                <w:color w:val="1111FB"/>
              </w:rPr>
              <w:t>Median Denominator Size/Plan</w:t>
            </w:r>
          </w:p>
        </w:tc>
      </w:tr>
      <w:tr w:rsidR="002157CF" w:rsidRPr="002157CF" w14:paraId="1AA50A27" w14:textId="77777777" w:rsidTr="00D85F42">
        <w:tc>
          <w:tcPr>
            <w:tcW w:w="3116" w:type="dxa"/>
          </w:tcPr>
          <w:p w14:paraId="4EBD22B5" w14:textId="7C7C58AD" w:rsidR="003C0745" w:rsidRPr="002157CF" w:rsidRDefault="003C0745" w:rsidP="000D47F0">
            <w:pPr>
              <w:autoSpaceDE w:val="0"/>
              <w:autoSpaceDN w:val="0"/>
              <w:adjustRightInd w:val="0"/>
              <w:jc w:val="center"/>
              <w:rPr>
                <w:rFonts w:cstheme="minorHAnsi"/>
                <w:bCs/>
                <w:color w:val="1111FB"/>
              </w:rPr>
            </w:pPr>
            <w:r w:rsidRPr="002157CF">
              <w:rPr>
                <w:rFonts w:cstheme="minorHAnsi"/>
                <w:bCs/>
                <w:color w:val="1111FB"/>
              </w:rPr>
              <w:t>Commercial</w:t>
            </w:r>
          </w:p>
        </w:tc>
        <w:tc>
          <w:tcPr>
            <w:tcW w:w="3117" w:type="dxa"/>
          </w:tcPr>
          <w:p w14:paraId="48E94C1A" w14:textId="214DA7E5" w:rsidR="003C0745" w:rsidRPr="002157CF" w:rsidRDefault="003C0745" w:rsidP="000D47F0">
            <w:pPr>
              <w:autoSpaceDE w:val="0"/>
              <w:autoSpaceDN w:val="0"/>
              <w:adjustRightInd w:val="0"/>
              <w:jc w:val="center"/>
              <w:rPr>
                <w:rFonts w:cstheme="minorHAnsi"/>
                <w:bCs/>
                <w:color w:val="1111FB"/>
              </w:rPr>
            </w:pPr>
            <w:r w:rsidRPr="002157CF">
              <w:rPr>
                <w:rFonts w:ascii="Tahoma" w:hAnsi="Tahoma" w:cs="Tahoma"/>
                <w:color w:val="1111FB"/>
                <w:sz w:val="20"/>
                <w:szCs w:val="20"/>
              </w:rPr>
              <w:t>378</w:t>
            </w:r>
          </w:p>
        </w:tc>
        <w:tc>
          <w:tcPr>
            <w:tcW w:w="3117" w:type="dxa"/>
          </w:tcPr>
          <w:p w14:paraId="39194CD3" w14:textId="3CD746EF" w:rsidR="003C0745" w:rsidRPr="002157CF" w:rsidRDefault="00375628" w:rsidP="000D47F0">
            <w:pPr>
              <w:autoSpaceDE w:val="0"/>
              <w:autoSpaceDN w:val="0"/>
              <w:adjustRightInd w:val="0"/>
              <w:jc w:val="center"/>
              <w:rPr>
                <w:rFonts w:cstheme="minorHAnsi"/>
                <w:bCs/>
                <w:color w:val="1111FB"/>
              </w:rPr>
            </w:pPr>
            <w:r>
              <w:rPr>
                <w:rFonts w:cstheme="minorHAnsi"/>
                <w:bCs/>
                <w:color w:val="1111FB"/>
              </w:rPr>
              <w:t>411</w:t>
            </w:r>
          </w:p>
        </w:tc>
      </w:tr>
      <w:tr w:rsidR="002157CF" w:rsidRPr="002157CF" w14:paraId="4622C64E" w14:textId="77777777" w:rsidTr="00D85F42">
        <w:tc>
          <w:tcPr>
            <w:tcW w:w="3116" w:type="dxa"/>
          </w:tcPr>
          <w:p w14:paraId="27C6244F" w14:textId="4962E74C" w:rsidR="003C0745" w:rsidRPr="002157CF" w:rsidRDefault="003C0745" w:rsidP="000D47F0">
            <w:pPr>
              <w:autoSpaceDE w:val="0"/>
              <w:autoSpaceDN w:val="0"/>
              <w:adjustRightInd w:val="0"/>
              <w:jc w:val="center"/>
              <w:rPr>
                <w:rFonts w:cstheme="minorHAnsi"/>
                <w:bCs/>
                <w:color w:val="1111FB"/>
              </w:rPr>
            </w:pPr>
            <w:r w:rsidRPr="002157CF">
              <w:rPr>
                <w:rFonts w:cstheme="minorHAnsi"/>
                <w:bCs/>
                <w:color w:val="1111FB"/>
              </w:rPr>
              <w:t>Medicaid</w:t>
            </w:r>
          </w:p>
        </w:tc>
        <w:tc>
          <w:tcPr>
            <w:tcW w:w="3117" w:type="dxa"/>
          </w:tcPr>
          <w:p w14:paraId="776BA703" w14:textId="0A10198C" w:rsidR="003C0745" w:rsidRPr="002157CF" w:rsidRDefault="003C0745" w:rsidP="000D47F0">
            <w:pPr>
              <w:autoSpaceDE w:val="0"/>
              <w:autoSpaceDN w:val="0"/>
              <w:adjustRightInd w:val="0"/>
              <w:jc w:val="center"/>
              <w:rPr>
                <w:rFonts w:cstheme="minorHAnsi"/>
                <w:bCs/>
                <w:color w:val="1111FB"/>
              </w:rPr>
            </w:pPr>
            <w:r w:rsidRPr="002157CF">
              <w:rPr>
                <w:rFonts w:ascii="Tahoma" w:hAnsi="Tahoma" w:cs="Tahoma"/>
                <w:color w:val="1111FB"/>
                <w:sz w:val="20"/>
                <w:szCs w:val="20"/>
              </w:rPr>
              <w:t>241</w:t>
            </w:r>
          </w:p>
        </w:tc>
        <w:tc>
          <w:tcPr>
            <w:tcW w:w="3117" w:type="dxa"/>
          </w:tcPr>
          <w:p w14:paraId="77F326C2" w14:textId="2982808D" w:rsidR="003C0745" w:rsidRPr="002157CF" w:rsidRDefault="00375628" w:rsidP="000D47F0">
            <w:pPr>
              <w:autoSpaceDE w:val="0"/>
              <w:autoSpaceDN w:val="0"/>
              <w:adjustRightInd w:val="0"/>
              <w:jc w:val="center"/>
              <w:rPr>
                <w:rFonts w:cstheme="minorHAnsi"/>
                <w:bCs/>
                <w:color w:val="1111FB"/>
              </w:rPr>
            </w:pPr>
            <w:r>
              <w:rPr>
                <w:rFonts w:cstheme="minorHAnsi"/>
                <w:bCs/>
                <w:color w:val="1111FB"/>
              </w:rPr>
              <w:t>411</w:t>
            </w:r>
          </w:p>
        </w:tc>
      </w:tr>
      <w:tr w:rsidR="002157CF" w:rsidRPr="002157CF" w14:paraId="24D7C9E2" w14:textId="77777777" w:rsidTr="00D36E7A">
        <w:tc>
          <w:tcPr>
            <w:tcW w:w="3116" w:type="dxa"/>
          </w:tcPr>
          <w:p w14:paraId="3EEE53EA" w14:textId="77777777" w:rsidR="003C0745" w:rsidRPr="002157CF" w:rsidRDefault="003C0745" w:rsidP="000D47F0">
            <w:pPr>
              <w:autoSpaceDE w:val="0"/>
              <w:autoSpaceDN w:val="0"/>
              <w:adjustRightInd w:val="0"/>
              <w:jc w:val="center"/>
              <w:rPr>
                <w:rFonts w:cstheme="minorHAnsi"/>
                <w:bCs/>
                <w:color w:val="1111FB"/>
              </w:rPr>
            </w:pPr>
            <w:r w:rsidRPr="002157CF">
              <w:rPr>
                <w:rFonts w:cstheme="minorHAnsi"/>
                <w:bCs/>
                <w:color w:val="1111FB"/>
              </w:rPr>
              <w:t>Medicare</w:t>
            </w:r>
          </w:p>
        </w:tc>
        <w:tc>
          <w:tcPr>
            <w:tcW w:w="3117" w:type="dxa"/>
          </w:tcPr>
          <w:p w14:paraId="581619A3" w14:textId="64348394" w:rsidR="003C0745" w:rsidRPr="002157CF" w:rsidRDefault="003C0745" w:rsidP="000D47F0">
            <w:pPr>
              <w:autoSpaceDE w:val="0"/>
              <w:autoSpaceDN w:val="0"/>
              <w:adjustRightInd w:val="0"/>
              <w:jc w:val="center"/>
              <w:rPr>
                <w:rFonts w:cstheme="minorHAnsi"/>
                <w:bCs/>
                <w:color w:val="1111FB"/>
              </w:rPr>
            </w:pPr>
            <w:r w:rsidRPr="002157CF">
              <w:rPr>
                <w:rFonts w:ascii="Tahoma" w:hAnsi="Tahoma" w:cs="Tahoma"/>
                <w:color w:val="1111FB"/>
                <w:sz w:val="20"/>
                <w:szCs w:val="20"/>
              </w:rPr>
              <w:t>477</w:t>
            </w:r>
          </w:p>
        </w:tc>
        <w:tc>
          <w:tcPr>
            <w:tcW w:w="3117" w:type="dxa"/>
          </w:tcPr>
          <w:p w14:paraId="62E2760D" w14:textId="23F35B9C" w:rsidR="003C0745" w:rsidRPr="002157CF" w:rsidRDefault="004558A3" w:rsidP="000D47F0">
            <w:pPr>
              <w:autoSpaceDE w:val="0"/>
              <w:autoSpaceDN w:val="0"/>
              <w:adjustRightInd w:val="0"/>
              <w:jc w:val="center"/>
              <w:rPr>
                <w:rFonts w:cstheme="minorHAnsi"/>
                <w:bCs/>
                <w:color w:val="1111FB"/>
              </w:rPr>
            </w:pPr>
            <w:r>
              <w:rPr>
                <w:rFonts w:cstheme="minorHAnsi"/>
                <w:bCs/>
                <w:color w:val="1111FB"/>
              </w:rPr>
              <w:t>411</w:t>
            </w:r>
          </w:p>
        </w:tc>
      </w:tr>
    </w:tbl>
    <w:p w14:paraId="3F1E727B" w14:textId="77777777" w:rsidR="009F3D51" w:rsidRPr="00C530E5" w:rsidRDefault="009F3D51" w:rsidP="009F3D51">
      <w:pPr>
        <w:autoSpaceDE w:val="0"/>
        <w:autoSpaceDN w:val="0"/>
        <w:adjustRightInd w:val="0"/>
        <w:spacing w:after="0" w:line="240" w:lineRule="auto"/>
        <w:rPr>
          <w:rFonts w:cstheme="minorHAnsi"/>
          <w:b/>
          <w:bCs/>
          <w:color w:val="4F81BD" w:themeColor="accent1"/>
          <w:u w:val="single"/>
        </w:rPr>
      </w:pPr>
    </w:p>
    <w:p w14:paraId="0CABCFCB" w14:textId="6CF3E83B"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50241DC0" w14:textId="77777777" w:rsidR="008341B4" w:rsidRPr="009752CF" w:rsidRDefault="008341B4" w:rsidP="008341B4">
      <w:pPr>
        <w:autoSpaceDE w:val="0"/>
        <w:autoSpaceDN w:val="0"/>
        <w:adjustRightInd w:val="0"/>
        <w:spacing w:after="0" w:line="240" w:lineRule="auto"/>
        <w:rPr>
          <w:rFonts w:cstheme="minorHAnsi"/>
          <w:bCs/>
          <w:color w:val="1111FB"/>
          <w:u w:val="single"/>
        </w:rPr>
      </w:pPr>
      <w:r w:rsidRPr="009752CF">
        <w:rPr>
          <w:rFonts w:cstheme="minorHAnsi"/>
          <w:bCs/>
          <w:color w:val="1111FB"/>
          <w:u w:val="single"/>
        </w:rPr>
        <w:t>Reliability</w:t>
      </w:r>
      <w:r w:rsidRPr="009752CF">
        <w:rPr>
          <w:rFonts w:cstheme="minorHAnsi"/>
          <w:bCs/>
          <w:color w:val="1111FB"/>
        </w:rPr>
        <w:t>:</w:t>
      </w:r>
    </w:p>
    <w:p w14:paraId="14963375" w14:textId="77777777" w:rsidR="008341B4" w:rsidRPr="009752CF" w:rsidRDefault="008341B4" w:rsidP="008341B4">
      <w:pPr>
        <w:autoSpaceDE w:val="0"/>
        <w:autoSpaceDN w:val="0"/>
        <w:adjustRightInd w:val="0"/>
        <w:spacing w:after="0" w:line="240" w:lineRule="auto"/>
        <w:rPr>
          <w:rFonts w:cstheme="minorHAnsi"/>
          <w:bCs/>
          <w:color w:val="1111FB"/>
        </w:rPr>
      </w:pPr>
      <w:r w:rsidRPr="009752CF">
        <w:rPr>
          <w:rFonts w:cstheme="minorHAnsi"/>
          <w:bCs/>
          <w:color w:val="1111FB"/>
        </w:rPr>
        <w:t>Reliability of the health plan measure score was tested using a beta-binomial calculation. This analysis included the entire HEDIS data sample (described above).</w:t>
      </w:r>
    </w:p>
    <w:p w14:paraId="31F16863" w14:textId="77777777" w:rsidR="008341B4" w:rsidRPr="009752CF" w:rsidRDefault="008341B4" w:rsidP="008341B4">
      <w:pPr>
        <w:autoSpaceDE w:val="0"/>
        <w:autoSpaceDN w:val="0"/>
        <w:adjustRightInd w:val="0"/>
        <w:spacing w:after="0" w:line="240" w:lineRule="auto"/>
        <w:rPr>
          <w:rFonts w:cstheme="minorHAnsi"/>
          <w:bCs/>
          <w:color w:val="1111FB"/>
        </w:rPr>
      </w:pPr>
    </w:p>
    <w:p w14:paraId="153E5DBB" w14:textId="77777777" w:rsidR="008341B4" w:rsidRPr="009752CF" w:rsidRDefault="008341B4" w:rsidP="008341B4">
      <w:pPr>
        <w:autoSpaceDE w:val="0"/>
        <w:autoSpaceDN w:val="0"/>
        <w:adjustRightInd w:val="0"/>
        <w:spacing w:after="0" w:line="240" w:lineRule="auto"/>
        <w:rPr>
          <w:rFonts w:cstheme="minorHAnsi"/>
          <w:bCs/>
          <w:color w:val="1111FB"/>
          <w:u w:val="single"/>
        </w:rPr>
      </w:pPr>
      <w:r w:rsidRPr="009752CF">
        <w:rPr>
          <w:rFonts w:cstheme="minorHAnsi"/>
          <w:bCs/>
          <w:color w:val="1111FB"/>
          <w:u w:val="single"/>
        </w:rPr>
        <w:t>Validity</w:t>
      </w:r>
      <w:r w:rsidRPr="009752CF">
        <w:rPr>
          <w:rFonts w:cstheme="minorHAnsi"/>
          <w:bCs/>
          <w:color w:val="1111FB"/>
        </w:rPr>
        <w:t>:</w:t>
      </w:r>
    </w:p>
    <w:p w14:paraId="149E9884" w14:textId="77777777" w:rsidR="008341B4" w:rsidRPr="009752CF" w:rsidRDefault="008341B4" w:rsidP="008341B4">
      <w:pPr>
        <w:autoSpaceDE w:val="0"/>
        <w:autoSpaceDN w:val="0"/>
        <w:adjustRightInd w:val="0"/>
        <w:spacing w:after="0" w:line="240" w:lineRule="auto"/>
        <w:rPr>
          <w:rFonts w:cstheme="minorHAnsi"/>
          <w:bCs/>
          <w:color w:val="1111FB"/>
        </w:rPr>
      </w:pPr>
      <w:bookmarkStart w:id="12" w:name="_Hlk502677022"/>
      <w:r w:rsidRPr="009752CF">
        <w:rPr>
          <w:rFonts w:cstheme="minorHAnsi"/>
          <w:bCs/>
          <w:color w:val="1111FB"/>
        </w:rPr>
        <w:t>Validity of the health plan measure was demonstrated through construct validity using the entire HEDIS data sample (described above) and through a systematic assessment of face validity with expert panels.</w:t>
      </w:r>
    </w:p>
    <w:bookmarkEnd w:id="12"/>
    <w:p w14:paraId="034A301B" w14:textId="77777777" w:rsidR="008341B4" w:rsidRPr="008341B4" w:rsidRDefault="008341B4" w:rsidP="00E37E1B">
      <w:pPr>
        <w:autoSpaceDE w:val="0"/>
        <w:autoSpaceDN w:val="0"/>
        <w:adjustRightInd w:val="0"/>
        <w:spacing w:after="0" w:line="240" w:lineRule="auto"/>
        <w:rPr>
          <w:rFonts w:cstheme="minorHAnsi"/>
          <w:bCs/>
          <w:color w:val="4F81BD" w:themeColor="accent1"/>
        </w:rPr>
      </w:pPr>
    </w:p>
    <w:p w14:paraId="0BC141BA" w14:textId="17602E53" w:rsidR="00E36C0A" w:rsidRPr="00337FC2" w:rsidRDefault="00474420" w:rsidP="00E37E1B">
      <w:pPr>
        <w:autoSpaceDE w:val="0"/>
        <w:autoSpaceDN w:val="0"/>
        <w:adjustRightInd w:val="0"/>
        <w:spacing w:after="0" w:line="240" w:lineRule="auto"/>
        <w:rPr>
          <w:rFonts w:cstheme="minorHAnsi"/>
          <w:bCs/>
        </w:rPr>
      </w:pPr>
      <w:r w:rsidRPr="3C795A04">
        <w:rPr>
          <w:b/>
        </w:rPr>
        <w:t>1.8</w:t>
      </w:r>
      <w:r w:rsidRPr="3C795A04">
        <w:t xml:space="preserve"> </w:t>
      </w:r>
      <w:r w:rsidRPr="3C795A04">
        <w:rPr>
          <w:b/>
        </w:rPr>
        <w:t>What were the social risk factors that were available and analyzed</w:t>
      </w:r>
      <w:r w:rsidRPr="3C795A04">
        <w:t xml:space="preserve">? </w:t>
      </w:r>
      <w:r w:rsidR="0021054A" w:rsidRPr="00C530E5">
        <w:rPr>
          <w:rFonts w:cstheme="minorHAnsi"/>
          <w:bCs/>
        </w:rPr>
        <w:t xml:space="preserve">For example, patient-reported data (e.g., income, education, language), proxy variables when </w:t>
      </w:r>
      <w:r w:rsidR="009C7513" w:rsidRPr="00C530E5">
        <w:rPr>
          <w:rFonts w:cstheme="minorHAnsi"/>
          <w:bCs/>
        </w:rPr>
        <w:t>social risk</w:t>
      </w:r>
      <w:r w:rsidR="0021054A" w:rsidRPr="00C530E5">
        <w:rPr>
          <w:rFonts w:cstheme="minorHAnsi"/>
          <w:bCs/>
        </w:rPr>
        <w:t xml:space="preserve"> data are not collected from </w:t>
      </w:r>
      <w:r w:rsidR="0021054A" w:rsidRPr="00C530E5">
        <w:rPr>
          <w:rFonts w:cstheme="minorHAnsi"/>
          <w:bCs/>
        </w:rPr>
        <w:lastRenderedPageBreak/>
        <w:t>each patient (e.g. census tract), or patient community characteristics (e.g. percent vacant housing, crime rate)</w:t>
      </w:r>
      <w:r w:rsidR="009C7513" w:rsidRPr="00C530E5">
        <w:rPr>
          <w:rFonts w:cstheme="minorHAnsi"/>
          <w:bCs/>
        </w:rPr>
        <w:t xml:space="preserve"> which do not have to be a proxy for patient-level data</w:t>
      </w:r>
      <w:r w:rsidR="0021054A" w:rsidRPr="00C530E5">
        <w:rPr>
          <w:rFonts w:cstheme="minorHAnsi"/>
          <w:bCs/>
        </w:rPr>
        <w:t xml:space="preserve">. </w:t>
      </w:r>
    </w:p>
    <w:p w14:paraId="7DAC689D" w14:textId="77777777" w:rsidR="0078399E" w:rsidRDefault="0078399E" w:rsidP="00337FC2">
      <w:pPr>
        <w:autoSpaceDE w:val="0"/>
        <w:autoSpaceDN w:val="0"/>
        <w:adjustRightInd w:val="0"/>
        <w:spacing w:after="0" w:line="240" w:lineRule="auto"/>
        <w:rPr>
          <w:rStyle w:val="normaltextrun"/>
          <w:rFonts w:ascii="Calibri" w:hAnsi="Calibri" w:cs="Calibri"/>
          <w:color w:val="1111FB"/>
          <w:shd w:val="clear" w:color="auto" w:fill="FFFFFF"/>
        </w:rPr>
      </w:pPr>
    </w:p>
    <w:p w14:paraId="13738476" w14:textId="19AD03B8" w:rsidR="00337FC2" w:rsidRDefault="00337FC2" w:rsidP="00337FC2">
      <w:pPr>
        <w:autoSpaceDE w:val="0"/>
        <w:autoSpaceDN w:val="0"/>
        <w:adjustRightInd w:val="0"/>
        <w:spacing w:after="0" w:line="240" w:lineRule="auto"/>
        <w:rPr>
          <w:rStyle w:val="normaltextrun"/>
          <w:rFonts w:ascii="Calibri" w:hAnsi="Calibri" w:cs="Calibri"/>
          <w:color w:val="1111FB"/>
          <w:shd w:val="clear" w:color="auto" w:fill="FFFFFF"/>
        </w:rPr>
      </w:pPr>
      <w:r w:rsidRPr="008C7B72">
        <w:rPr>
          <w:rStyle w:val="normaltextrun"/>
          <w:rFonts w:ascii="Calibri" w:hAnsi="Calibri" w:cs="Calibri"/>
          <w:color w:val="1111FB"/>
          <w:shd w:val="clear" w:color="auto" w:fill="FFFFFF"/>
        </w:rPr>
        <w:t>We did not analyze social risk factors. This measure</w:t>
      </w:r>
      <w:r w:rsidR="00647E8F">
        <w:rPr>
          <w:rStyle w:val="normaltextrun"/>
          <w:rFonts w:ascii="Calibri" w:hAnsi="Calibri" w:cs="Calibri"/>
          <w:color w:val="1111FB"/>
          <w:shd w:val="clear" w:color="auto" w:fill="FFFFFF"/>
        </w:rPr>
        <w:t xml:space="preserve"> of health plan performance</w:t>
      </w:r>
      <w:r w:rsidRPr="008C7B72">
        <w:rPr>
          <w:rStyle w:val="normaltextrun"/>
          <w:rFonts w:ascii="Calibri" w:hAnsi="Calibri" w:cs="Calibri"/>
          <w:color w:val="1111FB"/>
          <w:shd w:val="clear" w:color="auto" w:fill="FFFFFF"/>
        </w:rPr>
        <w:t xml:space="preserve"> is specified to be reported separately by </w:t>
      </w:r>
      <w:r>
        <w:rPr>
          <w:rStyle w:val="normaltextrun"/>
          <w:rFonts w:ascii="Calibri" w:hAnsi="Calibri" w:cs="Calibri"/>
          <w:color w:val="1111FB"/>
          <w:shd w:val="clear" w:color="auto" w:fill="FFFFFF"/>
        </w:rPr>
        <w:t xml:space="preserve">commercial, </w:t>
      </w:r>
      <w:r w:rsidRPr="008C7B72">
        <w:rPr>
          <w:rStyle w:val="normaltextrun"/>
          <w:rFonts w:ascii="Calibri" w:hAnsi="Calibri" w:cs="Calibri"/>
          <w:color w:val="1111FB"/>
          <w:shd w:val="clear" w:color="auto" w:fill="FFFFFF"/>
        </w:rPr>
        <w:t xml:space="preserve">Medicaid and </w:t>
      </w:r>
      <w:r>
        <w:rPr>
          <w:rStyle w:val="normaltextrun"/>
          <w:rFonts w:ascii="Calibri" w:hAnsi="Calibri" w:cs="Calibri"/>
          <w:color w:val="1111FB"/>
          <w:shd w:val="clear" w:color="auto" w:fill="FFFFFF"/>
        </w:rPr>
        <w:t>Medicare</w:t>
      </w:r>
      <w:r w:rsidRPr="008C7B72">
        <w:rPr>
          <w:rStyle w:val="normaltextrun"/>
          <w:rFonts w:ascii="Calibri" w:hAnsi="Calibri" w:cs="Calibri"/>
          <w:color w:val="1111FB"/>
          <w:shd w:val="clear" w:color="auto" w:fill="FFFFFF"/>
        </w:rPr>
        <w:t xml:space="preserve"> plan types, which serves as a proxy for income and other socioeconomic factors.</w:t>
      </w:r>
    </w:p>
    <w:p w14:paraId="707F296C" w14:textId="59650513" w:rsidR="0078399E" w:rsidRDefault="0078399E" w:rsidP="00337FC2">
      <w:pPr>
        <w:autoSpaceDE w:val="0"/>
        <w:autoSpaceDN w:val="0"/>
        <w:adjustRightInd w:val="0"/>
        <w:spacing w:after="0" w:line="240" w:lineRule="auto"/>
        <w:rPr>
          <w:rStyle w:val="normaltextrun"/>
          <w:rFonts w:ascii="Calibri" w:hAnsi="Calibri" w:cs="Calibri"/>
          <w:color w:val="1111FB"/>
          <w:shd w:val="clear" w:color="auto" w:fill="FFFFFF"/>
        </w:rPr>
      </w:pPr>
    </w:p>
    <w:p w14:paraId="0CABCFCD" w14:textId="3B2FB240"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264F1C91"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sidRPr="00C530E5">
            <w:rPr>
              <w:rFonts w:ascii="Segoe UI Symbol" w:eastAsia="MS Gothic" w:hAnsi="Segoe UI Symbol" w:cs="Segoe UI Symbol"/>
              <w:bCs/>
              <w:color w:val="0000FF"/>
            </w:rPr>
            <w:t>☐</w:t>
          </w:r>
        </w:sdtContent>
      </w:sdt>
      <w:r w:rsidR="00A25024" w:rsidRPr="00C530E5">
        <w:rPr>
          <w:rFonts w:eastAsia="MS Mincho" w:cstheme="minorHAnsi"/>
          <w:b/>
          <w:bCs/>
          <w:color w:val="0000FF"/>
        </w:rPr>
        <w:t xml:space="preserve"> </w:t>
      </w:r>
      <w:r w:rsidR="001F7A20" w:rsidRPr="00C530E5">
        <w:rPr>
          <w:rFonts w:cstheme="minorHAnsi"/>
          <w:b/>
          <w:bCs/>
        </w:rPr>
        <w:t>Critical data elements used in the measure</w:t>
      </w:r>
      <w:r w:rsidR="001F7A20" w:rsidRPr="00C530E5">
        <w:rPr>
          <w:rFonts w:cstheme="minorHAnsi"/>
          <w:bCs/>
        </w:rPr>
        <w:t xml:space="preserve"> (</w:t>
      </w:r>
      <w:r w:rsidR="001F7A20" w:rsidRPr="00C530E5">
        <w:rPr>
          <w:rFonts w:cstheme="minorHAnsi"/>
          <w:bCs/>
          <w:i/>
        </w:rPr>
        <w:t>e.g., inter-abstractor reliability; data element reliability must address ALL critical data elements</w:t>
      </w:r>
      <w:r w:rsidR="001F7A20" w:rsidRPr="00C530E5">
        <w:rPr>
          <w:rFonts w:cstheme="minorHAnsi"/>
          <w:bCs/>
        </w:rPr>
        <w:t>)</w:t>
      </w:r>
      <w:r w:rsidR="001F7A20" w:rsidRPr="00C530E5">
        <w:rPr>
          <w:rFonts w:cstheme="minorHAnsi"/>
          <w:bCs/>
        </w:rPr>
        <w:br/>
      </w:r>
      <w:sdt>
        <w:sdtPr>
          <w:rPr>
            <w:rFonts w:cstheme="minorHAnsi"/>
            <w:bCs/>
            <w:color w:val="0000FF"/>
          </w:rPr>
          <w:id w:val="1807820231"/>
          <w14:checkbox>
            <w14:checked w14:val="1"/>
            <w14:checkedState w14:val="2612" w14:font="MS Gothic"/>
            <w14:uncheckedState w14:val="2610" w14:font="MS Gothic"/>
          </w14:checkbox>
        </w:sdtPr>
        <w:sdtEndPr/>
        <w:sdtContent>
          <w:r w:rsidR="00E36C0A" w:rsidRPr="00C530E5">
            <w:rPr>
              <w:rFonts w:ascii="Segoe UI Symbol" w:eastAsia="MS Gothic" w:hAnsi="Segoe UI Symbol" w:cs="Segoe UI Symbol"/>
              <w:bCs/>
              <w:color w:val="0000FF"/>
            </w:rPr>
            <w:t>☒</w:t>
          </w:r>
        </w:sdtContent>
      </w:sdt>
      <w:r w:rsidR="001F7A20" w:rsidRPr="00C530E5">
        <w:rPr>
          <w:rFonts w:eastAsia="MS Mincho" w:cstheme="minorHAnsi"/>
          <w:b/>
          <w:bCs/>
          <w:color w:val="0000FF"/>
        </w:rPr>
        <w:t xml:space="preserve"> </w:t>
      </w:r>
      <w:r w:rsidR="001F7A20" w:rsidRPr="00C530E5">
        <w:rPr>
          <w:rFonts w:cstheme="minorHAnsi"/>
          <w:b/>
          <w:bCs/>
        </w:rPr>
        <w:t>Performance measure score</w:t>
      </w:r>
      <w:r w:rsidR="001F7A20" w:rsidRPr="00C530E5">
        <w:rPr>
          <w:rFonts w:cstheme="minorHAnsi"/>
          <w:bCs/>
        </w:rPr>
        <w:t xml:space="preserve"> (e.g., </w:t>
      </w:r>
      <w:r w:rsidR="001F7A20" w:rsidRPr="00C530E5">
        <w:rPr>
          <w:rFonts w:cstheme="minorHAnsi"/>
          <w:bCs/>
          <w:i/>
        </w:rPr>
        <w:t>signal-to-noise analysis</w:t>
      </w:r>
      <w:r w:rsidR="001F7A20" w:rsidRPr="00C530E5">
        <w:rPr>
          <w:rFonts w:cstheme="minorHAnsi"/>
          <w:bCs/>
        </w:rPr>
        <w:t>)</w:t>
      </w:r>
      <w:r w:rsidR="001F7A20" w:rsidRPr="00C530E5">
        <w:rPr>
          <w:rFonts w:cstheme="minorHAnsi"/>
          <w:bCs/>
        </w:rPr>
        <w:br/>
      </w:r>
      <w:r w:rsidR="001F7A20" w:rsidRPr="00C530E5">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4263E5BB" w14:textId="43E9B2FC" w:rsidR="00826C58" w:rsidRDefault="002E45ED" w:rsidP="001E4E41">
      <w:pPr>
        <w:autoSpaceDE w:val="0"/>
        <w:autoSpaceDN w:val="0"/>
        <w:adjustRightInd w:val="0"/>
        <w:spacing w:after="0" w:line="240" w:lineRule="auto"/>
        <w:rPr>
          <w:rFonts w:cstheme="minorHAnsi"/>
          <w:bCs/>
          <w:color w:val="1111FB"/>
        </w:rPr>
      </w:pPr>
      <w:r w:rsidRPr="002E45ED">
        <w:rPr>
          <w:rFonts w:cstheme="minorHAnsi"/>
          <w:bCs/>
          <w:color w:val="1111FB"/>
        </w:rPr>
        <w:t>Reliability was estimated by using the Beta-binomial model (Adams, 2009) for this health plan measure. Beta-binomial is appropriate for estimating the reliability of pass/fail rate measures. Reliability used here is the ratio of signal to noise. The signal in this case is the proportion of the variability in measured performance that can be explained by real differences in performance. A reliability of zero implies that all the variability in a measure is attributable to measurement error. A reliability of one implies that all the variability is attributable to real differences in performance. The higher the reliability score, the greater is the confidence with which one can distinguish the performance of one plan from another. A reliability score greater than or equal to 0.7 is considered very good.</w:t>
      </w:r>
    </w:p>
    <w:p w14:paraId="778453D2" w14:textId="77777777" w:rsidR="002E45ED" w:rsidRDefault="002E45ED" w:rsidP="001E4E41">
      <w:pPr>
        <w:autoSpaceDE w:val="0"/>
        <w:autoSpaceDN w:val="0"/>
        <w:adjustRightInd w:val="0"/>
        <w:spacing w:after="0" w:line="240" w:lineRule="auto"/>
        <w:rPr>
          <w:rFonts w:cstheme="minorHAnsi"/>
          <w:bCs/>
          <w:color w:val="1111FB"/>
        </w:rPr>
      </w:pPr>
    </w:p>
    <w:p w14:paraId="47AB55EF" w14:textId="19984494" w:rsidR="00826C58" w:rsidRPr="00826C58" w:rsidRDefault="00826C58" w:rsidP="001E4E41">
      <w:pPr>
        <w:autoSpaceDE w:val="0"/>
        <w:autoSpaceDN w:val="0"/>
        <w:adjustRightInd w:val="0"/>
        <w:spacing w:after="0" w:line="240" w:lineRule="auto"/>
        <w:rPr>
          <w:rFonts w:cstheme="minorHAnsi"/>
          <w:bCs/>
          <w:color w:val="1111FB"/>
          <w:sz w:val="18"/>
          <w:szCs w:val="18"/>
        </w:rPr>
      </w:pPr>
      <w:r w:rsidRPr="005D75FF">
        <w:rPr>
          <w:rFonts w:cstheme="minorHAnsi"/>
          <w:bCs/>
          <w:color w:val="1111FB"/>
          <w:sz w:val="18"/>
          <w:szCs w:val="18"/>
        </w:rPr>
        <w:t>Adams, J.L. The Reliability of Provider Profiling: A Tutorial. Santa Monica, California: RAND Corporation. TR-653-NCQA, 2009</w:t>
      </w:r>
    </w:p>
    <w:p w14:paraId="0FD3CD05" w14:textId="77777777" w:rsidR="001E4E41" w:rsidRPr="001E4E41" w:rsidRDefault="001E4E41" w:rsidP="008C54A9">
      <w:pPr>
        <w:autoSpaceDE w:val="0"/>
        <w:autoSpaceDN w:val="0"/>
        <w:adjustRightInd w:val="0"/>
        <w:spacing w:after="0" w:line="240" w:lineRule="auto"/>
        <w:rPr>
          <w:rFonts w:cstheme="minorHAnsi"/>
          <w:bCs/>
          <w:color w:val="4F81BD" w:themeColor="accent1"/>
        </w:rPr>
      </w:pPr>
    </w:p>
    <w:p w14:paraId="6CBA5440" w14:textId="77777777" w:rsidR="00026773" w:rsidRDefault="00092566" w:rsidP="00026773">
      <w:pPr>
        <w:autoSpaceDE w:val="0"/>
        <w:autoSpaceDN w:val="0"/>
        <w:adjustRightInd w:val="0"/>
        <w:spacing w:after="0" w:line="240" w:lineRule="auto"/>
        <w:rPr>
          <w:rFonts w:cstheme="minorHAnsi"/>
          <w:bCs/>
          <w:color w:val="1111FB"/>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w:t>
      </w:r>
      <w:r w:rsidR="00AA5213" w:rsidRPr="00C530E5">
        <w:rPr>
          <w:rFonts w:cstheme="minorHAnsi"/>
          <w:bCs/>
        </w:rPr>
        <w:t>e</w:t>
      </w:r>
      <w:r w:rsidR="00AA5213" w:rsidRPr="00C530E5">
        <w:rPr>
          <w:rFonts w:cstheme="minorHAnsi"/>
          <w:bCs/>
          <w:i/>
        </w:rPr>
        <w:t>.g., percent agreement and kappa for the critical data elements; distribution of reliability statistics from a signal-to-noise analysis</w:t>
      </w:r>
      <w:r w:rsidR="00AA5213" w:rsidRPr="00C530E5">
        <w:rPr>
          <w:rFonts w:cstheme="minorHAnsi"/>
          <w:bCs/>
        </w:rPr>
        <w:t>)</w:t>
      </w:r>
      <w:r w:rsidR="0048008A" w:rsidRPr="00C530E5">
        <w:rPr>
          <w:rFonts w:cstheme="minorHAnsi"/>
          <w:bCs/>
        </w:rPr>
        <w:br/>
      </w:r>
    </w:p>
    <w:p w14:paraId="5C6D25A4" w14:textId="0F04962F" w:rsidR="00026773" w:rsidRDefault="00AD1CA0" w:rsidP="00026773">
      <w:pPr>
        <w:autoSpaceDE w:val="0"/>
        <w:autoSpaceDN w:val="0"/>
        <w:adjustRightInd w:val="0"/>
        <w:spacing w:after="0" w:line="240" w:lineRule="auto"/>
        <w:rPr>
          <w:rFonts w:cstheme="minorHAnsi"/>
          <w:bCs/>
          <w:color w:val="1111FB"/>
        </w:rPr>
      </w:pPr>
      <w:r>
        <w:rPr>
          <w:rFonts w:cstheme="minorHAnsi"/>
          <w:bCs/>
          <w:color w:val="1111FB"/>
        </w:rPr>
        <w:t xml:space="preserve">Table 2 </w:t>
      </w:r>
      <w:r w:rsidR="009006F4">
        <w:rPr>
          <w:rFonts w:cstheme="minorHAnsi"/>
          <w:bCs/>
          <w:color w:val="1111FB"/>
        </w:rPr>
        <w:t>provides</w:t>
      </w:r>
      <w:r>
        <w:rPr>
          <w:rFonts w:cstheme="minorHAnsi"/>
          <w:bCs/>
          <w:color w:val="1111FB"/>
        </w:rPr>
        <w:t xml:space="preserve"> the reliability </w:t>
      </w:r>
      <w:r w:rsidR="00026773" w:rsidRPr="00777995">
        <w:rPr>
          <w:rFonts w:cstheme="minorHAnsi"/>
          <w:bCs/>
          <w:color w:val="1111FB"/>
        </w:rPr>
        <w:t>for</w:t>
      </w:r>
      <w:r>
        <w:rPr>
          <w:rFonts w:cstheme="minorHAnsi"/>
          <w:bCs/>
          <w:color w:val="1111FB"/>
        </w:rPr>
        <w:t xml:space="preserve"> the overall measure as shown by the Beta-binomial model</w:t>
      </w:r>
      <w:r w:rsidR="00026773">
        <w:rPr>
          <w:rFonts w:cstheme="minorHAnsi"/>
          <w:bCs/>
          <w:color w:val="1111FB"/>
        </w:rPr>
        <w:t xml:space="preserve"> </w:t>
      </w:r>
      <w:r w:rsidR="0004297D">
        <w:rPr>
          <w:rFonts w:cstheme="minorHAnsi"/>
          <w:bCs/>
          <w:color w:val="1111FB"/>
        </w:rPr>
        <w:t>as well as the</w:t>
      </w:r>
      <w:r w:rsidR="00026773" w:rsidRPr="00777995">
        <w:rPr>
          <w:rFonts w:cstheme="minorHAnsi"/>
          <w:bCs/>
          <w:color w:val="1111FB"/>
        </w:rPr>
        <w:t xml:space="preserve"> </w:t>
      </w:r>
      <w:r w:rsidR="00026773">
        <w:rPr>
          <w:rFonts w:cstheme="minorHAnsi"/>
          <w:bCs/>
          <w:color w:val="1111FB"/>
        </w:rPr>
        <w:t xml:space="preserve">distribution of individual plan </w:t>
      </w:r>
      <w:r w:rsidR="00026773" w:rsidRPr="00777995">
        <w:rPr>
          <w:rFonts w:cstheme="minorHAnsi"/>
          <w:bCs/>
          <w:color w:val="1111FB"/>
        </w:rPr>
        <w:t>reliability.</w:t>
      </w:r>
    </w:p>
    <w:p w14:paraId="073DDB42" w14:textId="77777777" w:rsidR="00AD1CA0" w:rsidRPr="009752CF" w:rsidRDefault="00AD1CA0" w:rsidP="008C54A9">
      <w:pPr>
        <w:autoSpaceDE w:val="0"/>
        <w:autoSpaceDN w:val="0"/>
        <w:adjustRightInd w:val="0"/>
        <w:spacing w:after="0" w:line="240" w:lineRule="auto"/>
        <w:rPr>
          <w:rFonts w:cstheme="minorHAnsi"/>
          <w:bCs/>
          <w:color w:val="1111FB"/>
        </w:rPr>
      </w:pPr>
    </w:p>
    <w:p w14:paraId="38DFB440" w14:textId="5D71C4DA" w:rsidR="00612CDB" w:rsidRDefault="00732475" w:rsidP="00732475">
      <w:pPr>
        <w:spacing w:after="0" w:line="240" w:lineRule="auto"/>
        <w:textAlignment w:val="baseline"/>
        <w:rPr>
          <w:rFonts w:ascii="Calibri" w:eastAsia="Times New Roman" w:hAnsi="Calibri" w:cs="Calibri"/>
          <w:color w:val="1111FB"/>
        </w:rPr>
      </w:pPr>
      <w:r w:rsidRPr="009752CF">
        <w:rPr>
          <w:rFonts w:ascii="Calibri" w:eastAsia="Times New Roman" w:hAnsi="Calibri" w:cs="Calibri"/>
          <w:color w:val="1111FB"/>
        </w:rPr>
        <w:t xml:space="preserve">Table 2. </w:t>
      </w:r>
      <w:r w:rsidR="00836F6B" w:rsidRPr="00836F6B">
        <w:rPr>
          <w:rFonts w:ascii="Calibri" w:eastAsia="Times New Roman" w:hAnsi="Calibri" w:cs="Calibri"/>
          <w:color w:val="1111FB"/>
        </w:rPr>
        <w:t xml:space="preserve">Overall </w:t>
      </w:r>
      <w:r w:rsidRPr="009752CF">
        <w:rPr>
          <w:rFonts w:ascii="Calibri" w:eastAsia="Times New Roman" w:hAnsi="Calibri" w:cs="Calibri"/>
          <w:color w:val="1111FB"/>
        </w:rPr>
        <w:t xml:space="preserve">Beta-binomial </w:t>
      </w:r>
      <w:r w:rsidR="00836F6B" w:rsidRPr="00836F6B">
        <w:rPr>
          <w:rFonts w:ascii="Calibri" w:eastAsia="Times New Roman" w:hAnsi="Calibri" w:cs="Calibri"/>
          <w:color w:val="1111FB"/>
        </w:rPr>
        <w:t>statistic and distribution of plan reliability</w:t>
      </w:r>
      <w:r w:rsidRPr="009752CF">
        <w:rPr>
          <w:rFonts w:ascii="Calibri" w:eastAsia="Times New Roman" w:hAnsi="Calibri" w:cs="Calibri"/>
          <w:color w:val="1111FB"/>
        </w:rPr>
        <w:t xml:space="preserve"> for commercial, Medicaid, and Medicare </w:t>
      </w:r>
      <w:r w:rsidR="00836F6B" w:rsidRPr="00836F6B">
        <w:rPr>
          <w:rFonts w:ascii="Calibri" w:eastAsia="Times New Roman" w:hAnsi="Calibri" w:cs="Calibri"/>
          <w:color w:val="1111FB"/>
        </w:rPr>
        <w:t>product lines</w:t>
      </w:r>
      <w:r w:rsidR="009500F5" w:rsidRPr="009752CF">
        <w:rPr>
          <w:rFonts w:ascii="Calibri" w:eastAsia="Times New Roman" w:hAnsi="Calibri" w:cs="Calibri"/>
          <w:color w:val="1111FB"/>
        </w:rPr>
        <w:t>, 2018</w:t>
      </w:r>
    </w:p>
    <w:tbl>
      <w:tblPr>
        <w:tblW w:w="9099" w:type="dxa"/>
        <w:tblLook w:val="04A0" w:firstRow="1" w:lastRow="0" w:firstColumn="1" w:lastColumn="0" w:noHBand="0" w:noVBand="1"/>
      </w:tblPr>
      <w:tblGrid>
        <w:gridCol w:w="1287"/>
        <w:gridCol w:w="1092"/>
        <w:gridCol w:w="960"/>
        <w:gridCol w:w="960"/>
        <w:gridCol w:w="960"/>
        <w:gridCol w:w="960"/>
        <w:gridCol w:w="960"/>
        <w:gridCol w:w="960"/>
        <w:gridCol w:w="960"/>
      </w:tblGrid>
      <w:tr w:rsidR="004A33A4" w:rsidRPr="009A707E" w14:paraId="78689F8E" w14:textId="77777777" w:rsidTr="00286871">
        <w:trPr>
          <w:trHeight w:val="300"/>
        </w:trPr>
        <w:tc>
          <w:tcPr>
            <w:tcW w:w="128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7294173F"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Product Line</w:t>
            </w:r>
          </w:p>
        </w:tc>
        <w:tc>
          <w:tcPr>
            <w:tcW w:w="109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64CD346"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Overall Reliability</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3C51F7AD"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Min</w:t>
            </w:r>
          </w:p>
        </w:tc>
        <w:tc>
          <w:tcPr>
            <w:tcW w:w="4800" w:type="dxa"/>
            <w:gridSpan w:val="5"/>
            <w:tcBorders>
              <w:top w:val="single" w:sz="4" w:space="0" w:color="auto"/>
              <w:left w:val="nil"/>
              <w:bottom w:val="single" w:sz="4" w:space="0" w:color="auto"/>
              <w:right w:val="single" w:sz="4" w:space="0" w:color="000000"/>
            </w:tcBorders>
            <w:shd w:val="clear" w:color="auto" w:fill="auto"/>
            <w:noWrap/>
            <w:vAlign w:val="center"/>
          </w:tcPr>
          <w:p w14:paraId="2F977A1F"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Percentiles</w:t>
            </w:r>
          </w:p>
        </w:tc>
        <w:tc>
          <w:tcPr>
            <w:tcW w:w="96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tcPr>
          <w:p w14:paraId="6134BBAB"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Max</w:t>
            </w:r>
          </w:p>
        </w:tc>
      </w:tr>
      <w:tr w:rsidR="004A33A4" w:rsidRPr="009A707E" w14:paraId="095F4D97" w14:textId="77777777" w:rsidTr="00286871">
        <w:trPr>
          <w:trHeight w:val="300"/>
        </w:trPr>
        <w:tc>
          <w:tcPr>
            <w:tcW w:w="1287" w:type="dxa"/>
            <w:vMerge/>
            <w:tcBorders>
              <w:top w:val="single" w:sz="4" w:space="0" w:color="auto"/>
              <w:left w:val="single" w:sz="4" w:space="0" w:color="auto"/>
              <w:bottom w:val="single" w:sz="4" w:space="0" w:color="000000"/>
              <w:right w:val="single" w:sz="4" w:space="0" w:color="auto"/>
            </w:tcBorders>
            <w:vAlign w:val="center"/>
          </w:tcPr>
          <w:p w14:paraId="60BE071D" w14:textId="77777777" w:rsidR="004A33A4" w:rsidRPr="009A707E" w:rsidRDefault="004A33A4" w:rsidP="002F0389">
            <w:pPr>
              <w:spacing w:after="0" w:line="240" w:lineRule="auto"/>
              <w:jc w:val="center"/>
              <w:rPr>
                <w:rFonts w:ascii="Calibri" w:eastAsia="Times New Roman" w:hAnsi="Calibri" w:cs="Calibri"/>
                <w:color w:val="1111FB"/>
              </w:rPr>
            </w:pPr>
          </w:p>
        </w:tc>
        <w:tc>
          <w:tcPr>
            <w:tcW w:w="1092" w:type="dxa"/>
            <w:vMerge/>
            <w:tcBorders>
              <w:top w:val="single" w:sz="4" w:space="0" w:color="auto"/>
              <w:left w:val="single" w:sz="4" w:space="0" w:color="auto"/>
              <w:bottom w:val="single" w:sz="4" w:space="0" w:color="000000"/>
              <w:right w:val="single" w:sz="4" w:space="0" w:color="auto"/>
            </w:tcBorders>
            <w:vAlign w:val="center"/>
          </w:tcPr>
          <w:p w14:paraId="7523DF8A" w14:textId="77777777" w:rsidR="004A33A4" w:rsidRPr="009A707E" w:rsidRDefault="004A33A4" w:rsidP="002F0389">
            <w:pPr>
              <w:spacing w:after="0" w:line="240" w:lineRule="auto"/>
              <w:jc w:val="center"/>
              <w:rPr>
                <w:rFonts w:ascii="Calibri" w:eastAsia="Times New Roman" w:hAnsi="Calibri" w:cs="Calibri"/>
                <w:color w:val="1111FB"/>
              </w:rPr>
            </w:pPr>
          </w:p>
        </w:tc>
        <w:tc>
          <w:tcPr>
            <w:tcW w:w="960" w:type="dxa"/>
            <w:vMerge/>
            <w:tcBorders>
              <w:top w:val="single" w:sz="4" w:space="0" w:color="auto"/>
              <w:left w:val="single" w:sz="4" w:space="0" w:color="auto"/>
              <w:bottom w:val="single" w:sz="4" w:space="0" w:color="000000"/>
              <w:right w:val="single" w:sz="4" w:space="0" w:color="auto"/>
            </w:tcBorders>
            <w:vAlign w:val="center"/>
          </w:tcPr>
          <w:p w14:paraId="7C43A292" w14:textId="77777777" w:rsidR="004A33A4" w:rsidRPr="009A707E" w:rsidRDefault="004A33A4" w:rsidP="002F0389">
            <w:pPr>
              <w:spacing w:after="0" w:line="240" w:lineRule="auto"/>
              <w:jc w:val="center"/>
              <w:rPr>
                <w:rFonts w:ascii="Calibri" w:eastAsia="Times New Roman" w:hAnsi="Calibri" w:cs="Calibri"/>
                <w:color w:val="1111FB"/>
              </w:rPr>
            </w:pPr>
          </w:p>
        </w:tc>
        <w:tc>
          <w:tcPr>
            <w:tcW w:w="960" w:type="dxa"/>
            <w:tcBorders>
              <w:top w:val="nil"/>
              <w:left w:val="nil"/>
              <w:bottom w:val="single" w:sz="4" w:space="0" w:color="auto"/>
              <w:right w:val="single" w:sz="4" w:space="0" w:color="auto"/>
            </w:tcBorders>
            <w:shd w:val="clear" w:color="auto" w:fill="auto"/>
            <w:noWrap/>
            <w:vAlign w:val="center"/>
          </w:tcPr>
          <w:p w14:paraId="49C0BB8A"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10</w:t>
            </w:r>
            <w:r w:rsidRPr="002A5F49">
              <w:rPr>
                <w:rFonts w:ascii="Calibri" w:eastAsia="Times New Roman" w:hAnsi="Calibri" w:cs="Calibri"/>
                <w:color w:val="1111FB"/>
                <w:vertAlign w:val="superscript"/>
              </w:rPr>
              <w:t>th</w:t>
            </w:r>
          </w:p>
        </w:tc>
        <w:tc>
          <w:tcPr>
            <w:tcW w:w="960" w:type="dxa"/>
            <w:tcBorders>
              <w:top w:val="nil"/>
              <w:left w:val="nil"/>
              <w:bottom w:val="single" w:sz="4" w:space="0" w:color="auto"/>
              <w:right w:val="single" w:sz="4" w:space="0" w:color="auto"/>
            </w:tcBorders>
            <w:shd w:val="clear" w:color="auto" w:fill="auto"/>
            <w:noWrap/>
            <w:vAlign w:val="center"/>
          </w:tcPr>
          <w:p w14:paraId="01E78AC2"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25</w:t>
            </w:r>
            <w:r w:rsidRPr="002A5F49">
              <w:rPr>
                <w:rFonts w:ascii="Calibri" w:eastAsia="Times New Roman" w:hAnsi="Calibri" w:cs="Calibri"/>
                <w:color w:val="1111FB"/>
                <w:vertAlign w:val="superscript"/>
              </w:rPr>
              <w:t>th</w:t>
            </w:r>
          </w:p>
        </w:tc>
        <w:tc>
          <w:tcPr>
            <w:tcW w:w="960" w:type="dxa"/>
            <w:tcBorders>
              <w:top w:val="nil"/>
              <w:left w:val="nil"/>
              <w:bottom w:val="single" w:sz="4" w:space="0" w:color="auto"/>
              <w:right w:val="single" w:sz="4" w:space="0" w:color="auto"/>
            </w:tcBorders>
            <w:shd w:val="clear" w:color="auto" w:fill="auto"/>
            <w:noWrap/>
            <w:vAlign w:val="center"/>
          </w:tcPr>
          <w:p w14:paraId="2AC2DDFD"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50</w:t>
            </w:r>
            <w:r w:rsidRPr="002A5F49">
              <w:rPr>
                <w:rFonts w:ascii="Calibri" w:eastAsia="Times New Roman" w:hAnsi="Calibri" w:cs="Calibri"/>
                <w:color w:val="1111FB"/>
                <w:vertAlign w:val="superscript"/>
              </w:rPr>
              <w:t>th</w:t>
            </w:r>
          </w:p>
        </w:tc>
        <w:tc>
          <w:tcPr>
            <w:tcW w:w="960" w:type="dxa"/>
            <w:tcBorders>
              <w:top w:val="nil"/>
              <w:left w:val="nil"/>
              <w:bottom w:val="single" w:sz="4" w:space="0" w:color="auto"/>
              <w:right w:val="single" w:sz="4" w:space="0" w:color="auto"/>
            </w:tcBorders>
            <w:shd w:val="clear" w:color="auto" w:fill="auto"/>
            <w:noWrap/>
            <w:vAlign w:val="center"/>
          </w:tcPr>
          <w:p w14:paraId="10CAFE85"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75</w:t>
            </w:r>
            <w:r w:rsidRPr="002A5F49">
              <w:rPr>
                <w:rFonts w:ascii="Calibri" w:eastAsia="Times New Roman" w:hAnsi="Calibri" w:cs="Calibri"/>
                <w:color w:val="1111FB"/>
                <w:vertAlign w:val="superscript"/>
              </w:rPr>
              <w:t>th</w:t>
            </w:r>
          </w:p>
        </w:tc>
        <w:tc>
          <w:tcPr>
            <w:tcW w:w="960" w:type="dxa"/>
            <w:tcBorders>
              <w:top w:val="nil"/>
              <w:left w:val="nil"/>
              <w:bottom w:val="single" w:sz="4" w:space="0" w:color="auto"/>
              <w:right w:val="single" w:sz="4" w:space="0" w:color="auto"/>
            </w:tcBorders>
            <w:shd w:val="clear" w:color="auto" w:fill="auto"/>
            <w:noWrap/>
            <w:vAlign w:val="center"/>
          </w:tcPr>
          <w:p w14:paraId="5692E2FF"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90</w:t>
            </w:r>
            <w:r w:rsidRPr="002A5F49">
              <w:rPr>
                <w:rFonts w:ascii="Calibri" w:eastAsia="Times New Roman" w:hAnsi="Calibri" w:cs="Calibri"/>
                <w:color w:val="1111FB"/>
                <w:vertAlign w:val="superscript"/>
              </w:rPr>
              <w:t>th</w:t>
            </w:r>
          </w:p>
        </w:tc>
        <w:tc>
          <w:tcPr>
            <w:tcW w:w="960" w:type="dxa"/>
            <w:vMerge/>
            <w:tcBorders>
              <w:top w:val="single" w:sz="4" w:space="0" w:color="auto"/>
              <w:left w:val="single" w:sz="4" w:space="0" w:color="auto"/>
              <w:bottom w:val="single" w:sz="4" w:space="0" w:color="000000"/>
              <w:right w:val="single" w:sz="4" w:space="0" w:color="auto"/>
            </w:tcBorders>
            <w:vAlign w:val="center"/>
          </w:tcPr>
          <w:p w14:paraId="5C1B30B2" w14:textId="77777777" w:rsidR="004A33A4" w:rsidRPr="009A707E" w:rsidRDefault="004A33A4" w:rsidP="002F0389">
            <w:pPr>
              <w:spacing w:after="0" w:line="240" w:lineRule="auto"/>
              <w:jc w:val="center"/>
              <w:rPr>
                <w:rFonts w:ascii="Calibri" w:eastAsia="Times New Roman" w:hAnsi="Calibri" w:cs="Calibri"/>
                <w:color w:val="1111FB"/>
              </w:rPr>
            </w:pPr>
          </w:p>
        </w:tc>
      </w:tr>
      <w:tr w:rsidR="004A33A4" w:rsidRPr="009A707E" w14:paraId="77DF5A33" w14:textId="77777777" w:rsidTr="00286871">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tcPr>
          <w:p w14:paraId="283060D0"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Commercial</w:t>
            </w:r>
          </w:p>
        </w:tc>
        <w:tc>
          <w:tcPr>
            <w:tcW w:w="1092" w:type="dxa"/>
            <w:tcBorders>
              <w:top w:val="nil"/>
              <w:left w:val="nil"/>
              <w:bottom w:val="single" w:sz="4" w:space="0" w:color="auto"/>
              <w:right w:val="single" w:sz="4" w:space="0" w:color="auto"/>
            </w:tcBorders>
            <w:shd w:val="clear" w:color="auto" w:fill="auto"/>
            <w:noWrap/>
            <w:vAlign w:val="center"/>
          </w:tcPr>
          <w:p w14:paraId="62FEE5ED" w14:textId="32ABD165"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0.996</w:t>
            </w:r>
          </w:p>
        </w:tc>
        <w:tc>
          <w:tcPr>
            <w:tcW w:w="960" w:type="dxa"/>
            <w:tcBorders>
              <w:top w:val="nil"/>
              <w:left w:val="nil"/>
              <w:bottom w:val="single" w:sz="4" w:space="0" w:color="auto"/>
              <w:right w:val="single" w:sz="4" w:space="0" w:color="auto"/>
            </w:tcBorders>
            <w:shd w:val="clear" w:color="auto" w:fill="auto"/>
            <w:noWrap/>
            <w:vAlign w:val="center"/>
          </w:tcPr>
          <w:p w14:paraId="67C7912F" w14:textId="63F215A0"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0.831</w:t>
            </w:r>
          </w:p>
        </w:tc>
        <w:tc>
          <w:tcPr>
            <w:tcW w:w="960" w:type="dxa"/>
            <w:tcBorders>
              <w:top w:val="nil"/>
              <w:left w:val="nil"/>
              <w:bottom w:val="single" w:sz="4" w:space="0" w:color="auto"/>
              <w:right w:val="single" w:sz="4" w:space="0" w:color="auto"/>
            </w:tcBorders>
            <w:shd w:val="clear" w:color="auto" w:fill="auto"/>
            <w:noWrap/>
            <w:vAlign w:val="center"/>
          </w:tcPr>
          <w:p w14:paraId="6E199AFA" w14:textId="0DE72FA0"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0.980</w:t>
            </w:r>
          </w:p>
        </w:tc>
        <w:tc>
          <w:tcPr>
            <w:tcW w:w="960" w:type="dxa"/>
            <w:tcBorders>
              <w:top w:val="nil"/>
              <w:left w:val="nil"/>
              <w:bottom w:val="single" w:sz="4" w:space="0" w:color="auto"/>
              <w:right w:val="single" w:sz="4" w:space="0" w:color="auto"/>
            </w:tcBorders>
            <w:shd w:val="clear" w:color="auto" w:fill="auto"/>
            <w:noWrap/>
            <w:vAlign w:val="center"/>
          </w:tcPr>
          <w:p w14:paraId="675B6007" w14:textId="62F5AA4A"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0.982</w:t>
            </w:r>
          </w:p>
        </w:tc>
        <w:tc>
          <w:tcPr>
            <w:tcW w:w="960" w:type="dxa"/>
            <w:tcBorders>
              <w:top w:val="nil"/>
              <w:left w:val="nil"/>
              <w:bottom w:val="single" w:sz="4" w:space="0" w:color="auto"/>
              <w:right w:val="single" w:sz="4" w:space="0" w:color="auto"/>
            </w:tcBorders>
            <w:shd w:val="clear" w:color="auto" w:fill="auto"/>
            <w:noWrap/>
            <w:vAlign w:val="center"/>
          </w:tcPr>
          <w:p w14:paraId="377FEC72" w14:textId="2C734165"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0.983</w:t>
            </w:r>
          </w:p>
        </w:tc>
        <w:tc>
          <w:tcPr>
            <w:tcW w:w="960" w:type="dxa"/>
            <w:tcBorders>
              <w:top w:val="nil"/>
              <w:left w:val="nil"/>
              <w:bottom w:val="single" w:sz="4" w:space="0" w:color="auto"/>
              <w:right w:val="single" w:sz="4" w:space="0" w:color="auto"/>
            </w:tcBorders>
            <w:shd w:val="clear" w:color="auto" w:fill="auto"/>
            <w:noWrap/>
            <w:vAlign w:val="center"/>
          </w:tcPr>
          <w:p w14:paraId="419EAD93" w14:textId="4672F198"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0.987</w:t>
            </w:r>
          </w:p>
        </w:tc>
        <w:tc>
          <w:tcPr>
            <w:tcW w:w="960" w:type="dxa"/>
            <w:tcBorders>
              <w:top w:val="nil"/>
              <w:left w:val="nil"/>
              <w:bottom w:val="single" w:sz="4" w:space="0" w:color="auto"/>
              <w:right w:val="single" w:sz="4" w:space="0" w:color="auto"/>
            </w:tcBorders>
            <w:shd w:val="clear" w:color="auto" w:fill="auto"/>
            <w:noWrap/>
            <w:vAlign w:val="center"/>
          </w:tcPr>
          <w:p w14:paraId="7F75CA46" w14:textId="20B882B3" w:rsidR="004A33A4" w:rsidRPr="009A707E" w:rsidRDefault="007271D2"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0.992</w:t>
            </w:r>
          </w:p>
        </w:tc>
        <w:tc>
          <w:tcPr>
            <w:tcW w:w="960" w:type="dxa"/>
            <w:tcBorders>
              <w:top w:val="nil"/>
              <w:left w:val="nil"/>
              <w:bottom w:val="single" w:sz="4" w:space="0" w:color="auto"/>
              <w:right w:val="single" w:sz="4" w:space="0" w:color="auto"/>
            </w:tcBorders>
            <w:shd w:val="clear" w:color="auto" w:fill="auto"/>
            <w:noWrap/>
            <w:vAlign w:val="center"/>
          </w:tcPr>
          <w:p w14:paraId="64DDD285" w14:textId="59465B19" w:rsidR="004A33A4" w:rsidRPr="009A707E" w:rsidRDefault="002F0389"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1.000</w:t>
            </w:r>
          </w:p>
        </w:tc>
      </w:tr>
      <w:tr w:rsidR="004A33A4" w:rsidRPr="009A707E" w14:paraId="4A7E14F9" w14:textId="77777777" w:rsidTr="00286871">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tcPr>
          <w:p w14:paraId="4E945648"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Medicaid</w:t>
            </w:r>
          </w:p>
        </w:tc>
        <w:tc>
          <w:tcPr>
            <w:tcW w:w="1092" w:type="dxa"/>
            <w:tcBorders>
              <w:top w:val="nil"/>
              <w:left w:val="nil"/>
              <w:bottom w:val="single" w:sz="4" w:space="0" w:color="auto"/>
              <w:right w:val="single" w:sz="4" w:space="0" w:color="auto"/>
            </w:tcBorders>
            <w:shd w:val="clear" w:color="auto" w:fill="auto"/>
            <w:noWrap/>
            <w:vAlign w:val="center"/>
          </w:tcPr>
          <w:p w14:paraId="2BBED675" w14:textId="72C6A942"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0.983</w:t>
            </w:r>
          </w:p>
        </w:tc>
        <w:tc>
          <w:tcPr>
            <w:tcW w:w="960" w:type="dxa"/>
            <w:tcBorders>
              <w:top w:val="nil"/>
              <w:left w:val="nil"/>
              <w:bottom w:val="single" w:sz="4" w:space="0" w:color="auto"/>
              <w:right w:val="single" w:sz="4" w:space="0" w:color="auto"/>
            </w:tcBorders>
            <w:shd w:val="clear" w:color="auto" w:fill="auto"/>
            <w:noWrap/>
            <w:vAlign w:val="center"/>
          </w:tcPr>
          <w:p w14:paraId="53361939" w14:textId="0942ACB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0.627</w:t>
            </w:r>
          </w:p>
        </w:tc>
        <w:tc>
          <w:tcPr>
            <w:tcW w:w="960" w:type="dxa"/>
            <w:tcBorders>
              <w:top w:val="nil"/>
              <w:left w:val="nil"/>
              <w:bottom w:val="single" w:sz="4" w:space="0" w:color="auto"/>
              <w:right w:val="single" w:sz="4" w:space="0" w:color="auto"/>
            </w:tcBorders>
            <w:shd w:val="clear" w:color="auto" w:fill="auto"/>
            <w:noWrap/>
            <w:vAlign w:val="center"/>
          </w:tcPr>
          <w:p w14:paraId="5D728DED" w14:textId="5F3529AD"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0.915</w:t>
            </w:r>
          </w:p>
        </w:tc>
        <w:tc>
          <w:tcPr>
            <w:tcW w:w="960" w:type="dxa"/>
            <w:tcBorders>
              <w:top w:val="nil"/>
              <w:left w:val="nil"/>
              <w:bottom w:val="single" w:sz="4" w:space="0" w:color="auto"/>
              <w:right w:val="single" w:sz="4" w:space="0" w:color="auto"/>
            </w:tcBorders>
            <w:shd w:val="clear" w:color="auto" w:fill="auto"/>
            <w:noWrap/>
            <w:vAlign w:val="center"/>
          </w:tcPr>
          <w:p w14:paraId="0EBB9E5C" w14:textId="71BE3295"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0.955</w:t>
            </w:r>
          </w:p>
        </w:tc>
        <w:tc>
          <w:tcPr>
            <w:tcW w:w="960" w:type="dxa"/>
            <w:tcBorders>
              <w:top w:val="nil"/>
              <w:left w:val="nil"/>
              <w:bottom w:val="single" w:sz="4" w:space="0" w:color="auto"/>
              <w:right w:val="single" w:sz="4" w:space="0" w:color="auto"/>
            </w:tcBorders>
            <w:shd w:val="clear" w:color="auto" w:fill="auto"/>
            <w:noWrap/>
            <w:vAlign w:val="center"/>
          </w:tcPr>
          <w:p w14:paraId="4EB6DA0E" w14:textId="57BE3998"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0.966</w:t>
            </w:r>
          </w:p>
        </w:tc>
        <w:tc>
          <w:tcPr>
            <w:tcW w:w="960" w:type="dxa"/>
            <w:tcBorders>
              <w:top w:val="nil"/>
              <w:left w:val="nil"/>
              <w:bottom w:val="single" w:sz="4" w:space="0" w:color="auto"/>
              <w:right w:val="single" w:sz="4" w:space="0" w:color="auto"/>
            </w:tcBorders>
            <w:shd w:val="clear" w:color="auto" w:fill="auto"/>
            <w:noWrap/>
            <w:vAlign w:val="center"/>
          </w:tcPr>
          <w:p w14:paraId="57D8327C" w14:textId="274AD3BC"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w:t>
            </w:r>
            <w:r w:rsidR="00084281">
              <w:rPr>
                <w:rFonts w:ascii="Calibri" w:eastAsia="Times New Roman" w:hAnsi="Calibri" w:cs="Calibri"/>
                <w:color w:val="1111FB"/>
              </w:rPr>
              <w:t>73</w:t>
            </w:r>
          </w:p>
        </w:tc>
        <w:tc>
          <w:tcPr>
            <w:tcW w:w="960" w:type="dxa"/>
            <w:tcBorders>
              <w:top w:val="nil"/>
              <w:left w:val="nil"/>
              <w:bottom w:val="single" w:sz="4" w:space="0" w:color="auto"/>
              <w:right w:val="single" w:sz="4" w:space="0" w:color="auto"/>
            </w:tcBorders>
            <w:shd w:val="clear" w:color="auto" w:fill="auto"/>
            <w:noWrap/>
            <w:vAlign w:val="center"/>
          </w:tcPr>
          <w:p w14:paraId="1C15B25D" w14:textId="5F4CBCFB" w:rsidR="004A33A4" w:rsidRPr="009A707E" w:rsidRDefault="007271D2"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0.977</w:t>
            </w:r>
          </w:p>
        </w:tc>
        <w:tc>
          <w:tcPr>
            <w:tcW w:w="960" w:type="dxa"/>
            <w:tcBorders>
              <w:top w:val="nil"/>
              <w:left w:val="nil"/>
              <w:bottom w:val="single" w:sz="4" w:space="0" w:color="auto"/>
              <w:right w:val="single" w:sz="4" w:space="0" w:color="auto"/>
            </w:tcBorders>
            <w:shd w:val="clear" w:color="auto" w:fill="auto"/>
            <w:noWrap/>
            <w:vAlign w:val="center"/>
          </w:tcPr>
          <w:p w14:paraId="0768622B" w14:textId="1A0CB527" w:rsidR="004A33A4" w:rsidRPr="009A707E" w:rsidRDefault="002F0389"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1.000</w:t>
            </w:r>
          </w:p>
        </w:tc>
      </w:tr>
      <w:tr w:rsidR="004A33A4" w:rsidRPr="009A707E" w14:paraId="1A0F1E58" w14:textId="77777777" w:rsidTr="00286871">
        <w:trPr>
          <w:trHeight w:val="300"/>
        </w:trPr>
        <w:tc>
          <w:tcPr>
            <w:tcW w:w="1287" w:type="dxa"/>
            <w:tcBorders>
              <w:top w:val="nil"/>
              <w:left w:val="single" w:sz="4" w:space="0" w:color="auto"/>
              <w:bottom w:val="single" w:sz="4" w:space="0" w:color="auto"/>
              <w:right w:val="single" w:sz="4" w:space="0" w:color="auto"/>
            </w:tcBorders>
            <w:shd w:val="clear" w:color="auto" w:fill="auto"/>
            <w:noWrap/>
            <w:vAlign w:val="center"/>
          </w:tcPr>
          <w:p w14:paraId="61F77E7B" w14:textId="77777777"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Medicare</w:t>
            </w:r>
          </w:p>
        </w:tc>
        <w:tc>
          <w:tcPr>
            <w:tcW w:w="1092" w:type="dxa"/>
            <w:tcBorders>
              <w:top w:val="nil"/>
              <w:left w:val="nil"/>
              <w:bottom w:val="single" w:sz="4" w:space="0" w:color="auto"/>
              <w:right w:val="single" w:sz="4" w:space="0" w:color="auto"/>
            </w:tcBorders>
            <w:shd w:val="clear" w:color="auto" w:fill="auto"/>
            <w:noWrap/>
            <w:vAlign w:val="center"/>
          </w:tcPr>
          <w:p w14:paraId="6EBC0F58" w14:textId="427DADB0"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0.980</w:t>
            </w:r>
          </w:p>
        </w:tc>
        <w:tc>
          <w:tcPr>
            <w:tcW w:w="960" w:type="dxa"/>
            <w:tcBorders>
              <w:top w:val="nil"/>
              <w:left w:val="nil"/>
              <w:bottom w:val="single" w:sz="4" w:space="0" w:color="auto"/>
              <w:right w:val="single" w:sz="4" w:space="0" w:color="auto"/>
            </w:tcBorders>
            <w:shd w:val="clear" w:color="auto" w:fill="auto"/>
            <w:noWrap/>
            <w:vAlign w:val="center"/>
          </w:tcPr>
          <w:p w14:paraId="3FA59AEE" w14:textId="7EB37286"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0.792</w:t>
            </w:r>
          </w:p>
        </w:tc>
        <w:tc>
          <w:tcPr>
            <w:tcW w:w="960" w:type="dxa"/>
            <w:tcBorders>
              <w:top w:val="nil"/>
              <w:left w:val="nil"/>
              <w:bottom w:val="single" w:sz="4" w:space="0" w:color="auto"/>
              <w:right w:val="single" w:sz="4" w:space="0" w:color="auto"/>
            </w:tcBorders>
            <w:shd w:val="clear" w:color="auto" w:fill="auto"/>
            <w:noWrap/>
            <w:vAlign w:val="center"/>
          </w:tcPr>
          <w:p w14:paraId="4F356EF5" w14:textId="772E66C9"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0.970</w:t>
            </w:r>
          </w:p>
        </w:tc>
        <w:tc>
          <w:tcPr>
            <w:tcW w:w="960" w:type="dxa"/>
            <w:tcBorders>
              <w:top w:val="nil"/>
              <w:left w:val="nil"/>
              <w:bottom w:val="single" w:sz="4" w:space="0" w:color="auto"/>
              <w:right w:val="single" w:sz="4" w:space="0" w:color="auto"/>
            </w:tcBorders>
            <w:shd w:val="clear" w:color="auto" w:fill="auto"/>
            <w:noWrap/>
            <w:vAlign w:val="center"/>
          </w:tcPr>
          <w:p w14:paraId="4FEE8651" w14:textId="796DE11A"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0.975</w:t>
            </w:r>
          </w:p>
        </w:tc>
        <w:tc>
          <w:tcPr>
            <w:tcW w:w="960" w:type="dxa"/>
            <w:tcBorders>
              <w:top w:val="nil"/>
              <w:left w:val="nil"/>
              <w:bottom w:val="single" w:sz="4" w:space="0" w:color="auto"/>
              <w:right w:val="single" w:sz="4" w:space="0" w:color="auto"/>
            </w:tcBorders>
            <w:shd w:val="clear" w:color="auto" w:fill="auto"/>
            <w:noWrap/>
            <w:vAlign w:val="center"/>
          </w:tcPr>
          <w:p w14:paraId="0CA3BF0D" w14:textId="1EE707A0" w:rsidR="004A33A4" w:rsidRPr="009A707E" w:rsidRDefault="004A33A4"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0.977</w:t>
            </w:r>
          </w:p>
        </w:tc>
        <w:tc>
          <w:tcPr>
            <w:tcW w:w="960" w:type="dxa"/>
            <w:tcBorders>
              <w:top w:val="nil"/>
              <w:left w:val="nil"/>
              <w:bottom w:val="single" w:sz="4" w:space="0" w:color="auto"/>
              <w:right w:val="single" w:sz="4" w:space="0" w:color="auto"/>
            </w:tcBorders>
            <w:shd w:val="clear" w:color="auto" w:fill="auto"/>
            <w:noWrap/>
            <w:vAlign w:val="center"/>
          </w:tcPr>
          <w:p w14:paraId="00E4FF3D" w14:textId="35C3D535" w:rsidR="004A33A4" w:rsidRPr="009A707E" w:rsidRDefault="00084281"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0.982</w:t>
            </w:r>
          </w:p>
        </w:tc>
        <w:tc>
          <w:tcPr>
            <w:tcW w:w="960" w:type="dxa"/>
            <w:tcBorders>
              <w:top w:val="nil"/>
              <w:left w:val="nil"/>
              <w:bottom w:val="single" w:sz="4" w:space="0" w:color="auto"/>
              <w:right w:val="single" w:sz="4" w:space="0" w:color="auto"/>
            </w:tcBorders>
            <w:shd w:val="clear" w:color="auto" w:fill="auto"/>
            <w:noWrap/>
            <w:vAlign w:val="center"/>
          </w:tcPr>
          <w:p w14:paraId="6C206C66" w14:textId="3E43C178" w:rsidR="004A33A4" w:rsidRPr="009A707E" w:rsidRDefault="007271D2"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0.985</w:t>
            </w:r>
          </w:p>
        </w:tc>
        <w:tc>
          <w:tcPr>
            <w:tcW w:w="960" w:type="dxa"/>
            <w:tcBorders>
              <w:top w:val="nil"/>
              <w:left w:val="nil"/>
              <w:bottom w:val="single" w:sz="4" w:space="0" w:color="auto"/>
              <w:right w:val="single" w:sz="4" w:space="0" w:color="auto"/>
            </w:tcBorders>
            <w:shd w:val="clear" w:color="auto" w:fill="auto"/>
            <w:noWrap/>
            <w:vAlign w:val="center"/>
          </w:tcPr>
          <w:p w14:paraId="32EB6976" w14:textId="6C5858FF" w:rsidR="004A33A4" w:rsidRPr="009A707E" w:rsidRDefault="002F0389" w:rsidP="002F0389">
            <w:pPr>
              <w:spacing w:after="0" w:line="240" w:lineRule="auto"/>
              <w:jc w:val="center"/>
              <w:rPr>
                <w:rFonts w:ascii="Calibri" w:eastAsia="Times New Roman" w:hAnsi="Calibri" w:cs="Calibri"/>
                <w:color w:val="1111FB"/>
              </w:rPr>
            </w:pPr>
            <w:r>
              <w:rPr>
                <w:rFonts w:ascii="Calibri" w:eastAsia="Times New Roman" w:hAnsi="Calibri" w:cs="Calibri"/>
                <w:color w:val="1111FB"/>
              </w:rPr>
              <w:t>1.000</w:t>
            </w:r>
          </w:p>
        </w:tc>
      </w:tr>
    </w:tbl>
    <w:p w14:paraId="3745B058" w14:textId="5042F534" w:rsidR="00612CDB" w:rsidRPr="009752CF" w:rsidRDefault="00612CDB" w:rsidP="009752CF">
      <w:pPr>
        <w:spacing w:after="0" w:line="240" w:lineRule="auto"/>
        <w:textAlignment w:val="baseline"/>
        <w:rPr>
          <w:rFonts w:ascii="Calibri" w:eastAsia="Times New Roman" w:hAnsi="Calibri" w:cs="Calibri"/>
          <w:color w:val="1111FB"/>
        </w:rPr>
      </w:pPr>
    </w:p>
    <w:p w14:paraId="0CABCFD4" w14:textId="346A7290" w:rsidR="007422FD" w:rsidRPr="00C530E5" w:rsidRDefault="00092566" w:rsidP="00DB3627">
      <w:pPr>
        <w:autoSpaceDE w:val="0"/>
        <w:autoSpaceDN w:val="0"/>
        <w:adjustRightInd w:val="0"/>
        <w:spacing w:after="0" w:line="240" w:lineRule="auto"/>
        <w:rPr>
          <w:rFonts w:cstheme="minorHAnsi"/>
          <w:bCs/>
        </w:rPr>
      </w:pPr>
      <w:r>
        <w:rPr>
          <w:rFonts w:cstheme="minorHAnsi"/>
          <w:b/>
          <w:bCs/>
        </w:rPr>
        <w:lastRenderedPageBreak/>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w:t>
      </w:r>
      <w:r w:rsidR="000B2DF7" w:rsidRPr="00C530E5">
        <w:rPr>
          <w:rFonts w:cstheme="minorHAnsi"/>
          <w:bCs/>
        </w:rPr>
        <w:t>i</w:t>
      </w:r>
      <w:r w:rsidR="000B2DF7" w:rsidRPr="00C530E5">
        <w:rPr>
          <w:rFonts w:cstheme="minorHAnsi"/>
          <w:bCs/>
          <w:i/>
        </w:rPr>
        <w:t>.e., what do the results mean and what are the norms for the test conducted</w:t>
      </w:r>
      <w:r w:rsidR="007757CE" w:rsidRPr="00C530E5">
        <w:rPr>
          <w:rFonts w:cstheme="minorHAnsi"/>
          <w:bCs/>
          <w:i/>
        </w:rPr>
        <w:t>?</w:t>
      </w:r>
      <w:r w:rsidR="000B2DF7" w:rsidRPr="00C530E5">
        <w:rPr>
          <w:rFonts w:cstheme="minorHAnsi"/>
          <w:bCs/>
        </w:rPr>
        <w:t>)</w:t>
      </w:r>
    </w:p>
    <w:p w14:paraId="1FF0234F" w14:textId="75BBAB32" w:rsidR="00CA6DEB" w:rsidRPr="00C530E5" w:rsidRDefault="00CA6DEB" w:rsidP="00CA6DEB">
      <w:pPr>
        <w:autoSpaceDE w:val="0"/>
        <w:autoSpaceDN w:val="0"/>
        <w:adjustRightInd w:val="0"/>
        <w:spacing w:after="0" w:line="240" w:lineRule="auto"/>
        <w:rPr>
          <w:rFonts w:cstheme="minorHAnsi"/>
          <w:noProof/>
          <w:color w:val="4F81BD" w:themeColor="accent1"/>
        </w:rPr>
      </w:pPr>
      <w:bookmarkStart w:id="13" w:name="_Hlk502677798"/>
      <w:r w:rsidRPr="00D84CB3">
        <w:rPr>
          <w:rFonts w:cstheme="minorHAnsi"/>
          <w:noProof/>
          <w:color w:val="1111FB"/>
        </w:rPr>
        <w:t xml:space="preserve">The values for the beta-binomial statistic across all product lines for the health plan level measure </w:t>
      </w:r>
      <w:r w:rsidR="00C90671">
        <w:rPr>
          <w:rFonts w:cstheme="minorHAnsi"/>
          <w:noProof/>
          <w:color w:val="1111FB"/>
        </w:rPr>
        <w:t>are all greater than 0.7, indicating</w:t>
      </w:r>
      <w:r w:rsidRPr="00D84CB3">
        <w:rPr>
          <w:rFonts w:cstheme="minorHAnsi"/>
          <w:noProof/>
          <w:color w:val="1111FB"/>
        </w:rPr>
        <w:t xml:space="preserve"> the measure has </w:t>
      </w:r>
      <w:r w:rsidR="00C90671">
        <w:rPr>
          <w:rFonts w:cstheme="minorHAnsi"/>
          <w:noProof/>
          <w:color w:val="1111FB"/>
        </w:rPr>
        <w:t xml:space="preserve">very good </w:t>
      </w:r>
      <w:r w:rsidRPr="00D84CB3">
        <w:rPr>
          <w:rFonts w:cstheme="minorHAnsi"/>
          <w:noProof/>
          <w:color w:val="1111FB"/>
        </w:rPr>
        <w:t>reliability.</w:t>
      </w:r>
      <w:r w:rsidR="0060754D">
        <w:rPr>
          <w:rFonts w:cstheme="minorHAnsi"/>
          <w:noProof/>
          <w:color w:val="1111FB"/>
        </w:rPr>
        <w:t xml:space="preserve"> </w:t>
      </w:r>
      <w:r w:rsidR="0060754D" w:rsidRPr="0060754D">
        <w:rPr>
          <w:rFonts w:cstheme="minorHAnsi"/>
          <w:noProof/>
          <w:color w:val="1111FB"/>
        </w:rPr>
        <w:t xml:space="preserve">The 10-90th percentile distribution of health plan level-reliability on this measure show the vast majority of health plans exceeded the minimally accepted threshold of 0.7, and the majority of plans exceeded 0.9. Strong reliability is demonstrated since </w:t>
      </w:r>
      <w:r w:rsidR="009822D7">
        <w:rPr>
          <w:rFonts w:cstheme="minorHAnsi"/>
          <w:noProof/>
          <w:color w:val="1111FB"/>
        </w:rPr>
        <w:t xml:space="preserve">the </w:t>
      </w:r>
      <w:r w:rsidR="0060754D" w:rsidRPr="0060754D">
        <w:rPr>
          <w:rFonts w:cstheme="minorHAnsi"/>
          <w:noProof/>
          <w:color w:val="1111FB"/>
        </w:rPr>
        <w:t>majority of variance is due to signal and not to noise. </w:t>
      </w:r>
      <w:bookmarkEnd w:id="13"/>
    </w:p>
    <w:p w14:paraId="4B234503" w14:textId="77777777" w:rsidR="00CA6DEB" w:rsidRPr="00A25024" w:rsidRDefault="00CA6DEB" w:rsidP="00DB3627">
      <w:pPr>
        <w:autoSpaceDE w:val="0"/>
        <w:autoSpaceDN w:val="0"/>
        <w:adjustRightInd w:val="0"/>
        <w:spacing w:after="0" w:line="240" w:lineRule="auto"/>
        <w:rPr>
          <w:rFonts w:cstheme="minorHAnsi"/>
          <w:bCs/>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C530E5"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r w:rsidR="00D50704" w:rsidRPr="00C530E5">
        <w:rPr>
          <w:rFonts w:cstheme="minorHAnsi"/>
          <w:bCs/>
        </w:rPr>
        <w:t>(</w:t>
      </w:r>
      <w:r w:rsidR="00696262" w:rsidRPr="00C530E5">
        <w:rPr>
          <w:rFonts w:cstheme="minorHAnsi"/>
          <w:bCs/>
          <w:i/>
        </w:rPr>
        <w:t>may</w:t>
      </w:r>
      <w:r w:rsidR="00D50704" w:rsidRPr="00C530E5">
        <w:rPr>
          <w:rFonts w:cstheme="minorHAnsi"/>
          <w:bCs/>
          <w:i/>
        </w:rPr>
        <w:t xml:space="preserve"> be one or both levels</w:t>
      </w:r>
      <w:r w:rsidR="00D50704" w:rsidRPr="00C530E5">
        <w:rPr>
          <w:rFonts w:cstheme="minorHAnsi"/>
          <w:bCs/>
        </w:rPr>
        <w:t>)</w:t>
      </w:r>
      <w:r w:rsidR="0048008A" w:rsidRPr="00C530E5">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A25024" w:rsidRPr="00C530E5">
        <w:rPr>
          <w:rFonts w:eastAsia="MS Mincho" w:cstheme="minorHAnsi"/>
          <w:b/>
          <w:bCs/>
          <w:color w:val="0000FF"/>
        </w:rPr>
        <w:t xml:space="preserve"> </w:t>
      </w:r>
      <w:r w:rsidR="005232D6" w:rsidRPr="00C530E5">
        <w:rPr>
          <w:rFonts w:cstheme="minorHAnsi"/>
          <w:b/>
          <w:bCs/>
        </w:rPr>
        <w:t>C</w:t>
      </w:r>
      <w:r w:rsidR="00D1754D" w:rsidRPr="00C530E5">
        <w:rPr>
          <w:rFonts w:cstheme="minorHAnsi"/>
          <w:b/>
          <w:bCs/>
        </w:rPr>
        <w:t xml:space="preserve">ritical </w:t>
      </w:r>
      <w:r w:rsidR="00B037BA" w:rsidRPr="00C530E5">
        <w:rPr>
          <w:rFonts w:cstheme="minorHAnsi"/>
          <w:b/>
          <w:bCs/>
        </w:rPr>
        <w:t>data</w:t>
      </w:r>
      <w:r w:rsidR="00A41377" w:rsidRPr="00C530E5">
        <w:rPr>
          <w:rFonts w:cstheme="minorHAnsi"/>
          <w:b/>
          <w:bCs/>
        </w:rPr>
        <w:t xml:space="preserve"> elements</w:t>
      </w:r>
      <w:r w:rsidR="000414E8" w:rsidRPr="00C530E5">
        <w:rPr>
          <w:rFonts w:cstheme="minorHAnsi"/>
          <w:b/>
          <w:bCs/>
        </w:rPr>
        <w:t xml:space="preserve"> </w:t>
      </w:r>
      <w:r w:rsidR="000414E8" w:rsidRPr="00C530E5">
        <w:rPr>
          <w:rFonts w:cstheme="minorHAnsi"/>
          <w:bCs/>
        </w:rPr>
        <w:t>(</w:t>
      </w:r>
      <w:r w:rsidR="000414E8" w:rsidRPr="00C530E5">
        <w:rPr>
          <w:rFonts w:cstheme="minorHAnsi"/>
          <w:bCs/>
          <w:i/>
        </w:rPr>
        <w:t>data element validity must address ALL critical data elements</w:t>
      </w:r>
      <w:r w:rsidR="000414E8" w:rsidRPr="00C530E5">
        <w:rPr>
          <w:rFonts w:cstheme="minorHAnsi"/>
          <w:bCs/>
        </w:rPr>
        <w:t>)</w:t>
      </w:r>
    </w:p>
    <w:p w14:paraId="0CABCFD8" w14:textId="74AE93B3" w:rsidR="00696262" w:rsidRPr="00C530E5" w:rsidRDefault="00445A68"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B37C09" w:rsidRPr="00C530E5">
            <w:rPr>
              <w:rFonts w:ascii="Segoe UI Symbol" w:eastAsia="MS Gothic" w:hAnsi="Segoe UI Symbol" w:cs="Segoe UI Symbol"/>
              <w:bCs/>
              <w:color w:val="0000FF"/>
            </w:rPr>
            <w:t>☒</w:t>
          </w:r>
        </w:sdtContent>
      </w:sdt>
      <w:r w:rsidR="000414E8" w:rsidRPr="00C530E5">
        <w:rPr>
          <w:rFonts w:eastAsia="MS Mincho" w:cstheme="minorHAnsi"/>
          <w:b/>
          <w:bCs/>
          <w:color w:val="0000FF"/>
        </w:rPr>
        <w:t xml:space="preserve"> </w:t>
      </w:r>
      <w:r w:rsidR="005232D6" w:rsidRPr="00C530E5">
        <w:rPr>
          <w:rFonts w:eastAsia="MS Gothic" w:cstheme="minorHAnsi"/>
          <w:b/>
          <w:bCs/>
        </w:rPr>
        <w:t>P</w:t>
      </w:r>
      <w:r w:rsidR="00696262" w:rsidRPr="00C530E5">
        <w:rPr>
          <w:rFonts w:eastAsia="MS Gothic" w:cstheme="minorHAnsi"/>
          <w:b/>
          <w:bCs/>
        </w:rPr>
        <w:t xml:space="preserve">erformance </w:t>
      </w:r>
      <w:r w:rsidR="00696262" w:rsidRPr="00C530E5">
        <w:rPr>
          <w:rFonts w:cstheme="minorHAnsi"/>
          <w:b/>
          <w:bCs/>
        </w:rPr>
        <w:t>measure score</w:t>
      </w:r>
    </w:p>
    <w:p w14:paraId="0CABCFD9" w14:textId="219B4FF2" w:rsidR="000574AB" w:rsidRPr="00C530E5" w:rsidRDefault="00445A68"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B37C09" w:rsidRPr="00C530E5">
            <w:rPr>
              <w:rFonts w:ascii="Segoe UI Symbol" w:eastAsia="MS Gothic" w:hAnsi="Segoe UI Symbol" w:cs="Segoe UI Symbol"/>
              <w:bCs/>
              <w:color w:val="0000FF"/>
            </w:rPr>
            <w:t>☒</w:t>
          </w:r>
        </w:sdtContent>
      </w:sdt>
      <w:r w:rsidR="000414E8" w:rsidRPr="00C530E5">
        <w:rPr>
          <w:rFonts w:eastAsia="MS Mincho" w:cstheme="minorHAnsi"/>
          <w:b/>
          <w:bCs/>
          <w:color w:val="0000FF"/>
        </w:rPr>
        <w:t xml:space="preserve"> </w:t>
      </w:r>
      <w:r w:rsidR="005232D6" w:rsidRPr="00C530E5">
        <w:rPr>
          <w:rFonts w:eastAsia="MS Mincho" w:cstheme="minorHAnsi"/>
          <w:b/>
          <w:bCs/>
        </w:rPr>
        <w:t>E</w:t>
      </w:r>
      <w:r w:rsidR="00696262" w:rsidRPr="00C530E5">
        <w:rPr>
          <w:rFonts w:eastAsia="MS Mincho" w:cstheme="minorHAnsi"/>
          <w:b/>
          <w:bCs/>
        </w:rPr>
        <w:t>mpirical validity testing</w:t>
      </w:r>
      <w:r w:rsidR="004B6CEE" w:rsidRPr="00C530E5">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E6428B">
            <w:rPr>
              <w:rFonts w:ascii="MS Gothic" w:eastAsia="MS Gothic" w:hAnsi="MS Gothic" w:cstheme="minorHAnsi" w:hint="eastAsia"/>
              <w:bCs/>
              <w:color w:val="0000FF"/>
            </w:rPr>
            <w:t>☐</w:t>
          </w:r>
        </w:sdtContent>
      </w:sdt>
      <w:r w:rsidR="00A25024" w:rsidRPr="00C530E5">
        <w:rPr>
          <w:rFonts w:eastAsia="MS Mincho" w:cstheme="minorHAnsi"/>
          <w:b/>
          <w:bCs/>
          <w:color w:val="0000FF"/>
        </w:rPr>
        <w:t xml:space="preserve"> </w:t>
      </w:r>
      <w:r w:rsidR="005232D6" w:rsidRPr="00C530E5">
        <w:rPr>
          <w:rFonts w:cstheme="minorHAnsi"/>
          <w:b/>
          <w:bCs/>
        </w:rPr>
        <w:t>S</w:t>
      </w:r>
      <w:r w:rsidR="00D50704" w:rsidRPr="00C530E5">
        <w:rPr>
          <w:rFonts w:cstheme="minorHAnsi"/>
          <w:b/>
          <w:bCs/>
        </w:rPr>
        <w:t xml:space="preserve">ystematic assessment of </w:t>
      </w:r>
      <w:r w:rsidR="004B6CEE" w:rsidRPr="00C530E5">
        <w:rPr>
          <w:rFonts w:cstheme="minorHAnsi"/>
          <w:b/>
          <w:bCs/>
        </w:rPr>
        <w:t xml:space="preserve">face </w:t>
      </w:r>
      <w:r w:rsidR="004B6CEE" w:rsidRPr="00C530E5">
        <w:rPr>
          <w:rFonts w:eastAsia="MS Gothic" w:cstheme="minorHAnsi"/>
          <w:b/>
          <w:bCs/>
        </w:rPr>
        <w:t xml:space="preserve">validity of </w:t>
      </w:r>
      <w:r w:rsidR="00D1754D" w:rsidRPr="00C530E5">
        <w:rPr>
          <w:rFonts w:eastAsia="MS Gothic" w:cstheme="minorHAnsi"/>
          <w:b/>
          <w:bCs/>
          <w:u w:val="single"/>
        </w:rPr>
        <w:t xml:space="preserve">performance </w:t>
      </w:r>
      <w:r w:rsidR="004B6CEE" w:rsidRPr="00C530E5">
        <w:rPr>
          <w:rFonts w:eastAsia="MS Gothic" w:cstheme="minorHAnsi"/>
          <w:b/>
          <w:bCs/>
          <w:u w:val="single"/>
        </w:rPr>
        <w:t>measure score</w:t>
      </w:r>
      <w:r w:rsidR="00CA06D8" w:rsidRPr="00C530E5">
        <w:rPr>
          <w:rFonts w:eastAsia="MS Gothic" w:cstheme="minorHAnsi"/>
          <w:b/>
          <w:bCs/>
        </w:rPr>
        <w:t xml:space="preserve"> </w:t>
      </w:r>
      <w:r w:rsidR="00A41377" w:rsidRPr="00C530E5">
        <w:rPr>
          <w:rFonts w:eastAsia="MS Gothic" w:cstheme="minorHAnsi"/>
          <w:b/>
          <w:bCs/>
        </w:rPr>
        <w:t>as a</w:t>
      </w:r>
      <w:r w:rsidR="00241591" w:rsidRPr="00C530E5">
        <w:rPr>
          <w:rFonts w:eastAsia="MS Gothic" w:cstheme="minorHAnsi"/>
          <w:b/>
          <w:bCs/>
        </w:rPr>
        <w:t>n</w:t>
      </w:r>
      <w:r w:rsidR="00A41377" w:rsidRPr="00C530E5">
        <w:rPr>
          <w:rFonts w:eastAsia="MS Gothic" w:cstheme="minorHAnsi"/>
          <w:b/>
          <w:bCs/>
        </w:rPr>
        <w:t xml:space="preserve"> indicator</w:t>
      </w:r>
      <w:r w:rsidR="00A41377" w:rsidRPr="00C530E5">
        <w:rPr>
          <w:rFonts w:eastAsia="MS Gothic" w:cstheme="minorHAnsi"/>
          <w:bCs/>
        </w:rPr>
        <w:t xml:space="preserve"> </w:t>
      </w:r>
      <w:r w:rsidR="00241591" w:rsidRPr="00C530E5">
        <w:rPr>
          <w:rFonts w:eastAsia="MS Gothic" w:cstheme="minorHAnsi"/>
          <w:bCs/>
        </w:rPr>
        <w:t xml:space="preserve">of quality or resource use </w:t>
      </w:r>
      <w:r w:rsidR="00A41377" w:rsidRPr="00C530E5">
        <w:rPr>
          <w:rFonts w:eastAsia="MS Gothic" w:cstheme="minorHAnsi"/>
          <w:bCs/>
        </w:rPr>
        <w:t>(</w:t>
      </w:r>
      <w:r w:rsidR="00D1754D" w:rsidRPr="00C530E5">
        <w:rPr>
          <w:rFonts w:eastAsia="MS Gothic" w:cstheme="minorHAnsi"/>
          <w:bCs/>
          <w:i/>
        </w:rPr>
        <w:t xml:space="preserve">i.e., is an </w:t>
      </w:r>
      <w:r w:rsidR="00A41377" w:rsidRPr="00C530E5">
        <w:rPr>
          <w:rFonts w:eastAsia="MS Gothic" w:cstheme="minorHAnsi"/>
          <w:bCs/>
          <w:i/>
        </w:rPr>
        <w:t>accurate reflection of</w:t>
      </w:r>
      <w:r w:rsidR="006D6BC1" w:rsidRPr="00C530E5">
        <w:rPr>
          <w:rFonts w:eastAsia="MS Gothic" w:cstheme="minorHAnsi"/>
          <w:bCs/>
          <w:i/>
        </w:rPr>
        <w:t xml:space="preserve"> </w:t>
      </w:r>
      <w:r w:rsidR="005149E7" w:rsidRPr="00C530E5">
        <w:rPr>
          <w:rFonts w:eastAsia="MS Gothic" w:cstheme="minorHAnsi"/>
          <w:bCs/>
          <w:i/>
        </w:rPr>
        <w:t>performance</w:t>
      </w:r>
      <w:r w:rsidR="00A41377" w:rsidRPr="00C530E5">
        <w:rPr>
          <w:rFonts w:eastAsia="MS Gothic" w:cstheme="minorHAnsi"/>
          <w:bCs/>
          <w:i/>
        </w:rPr>
        <w:t xml:space="preserve"> </w:t>
      </w:r>
      <w:r w:rsidR="000414E8" w:rsidRPr="00C530E5">
        <w:rPr>
          <w:rFonts w:eastAsia="MS Gothic" w:cstheme="minorHAnsi"/>
          <w:bCs/>
          <w:i/>
        </w:rPr>
        <w:t xml:space="preserve">on </w:t>
      </w:r>
      <w:r w:rsidR="00241591" w:rsidRPr="00C530E5">
        <w:rPr>
          <w:rFonts w:eastAsia="MS Gothic" w:cstheme="minorHAnsi"/>
          <w:bCs/>
          <w:i/>
        </w:rPr>
        <w:t xml:space="preserve">quality or resource use </w:t>
      </w:r>
      <w:r w:rsidR="00A41377" w:rsidRPr="00C530E5">
        <w:rPr>
          <w:rFonts w:eastAsia="MS Gothic" w:cstheme="minorHAnsi"/>
          <w:bCs/>
          <w:i/>
        </w:rPr>
        <w:t xml:space="preserve">and can distinguish </w:t>
      </w:r>
      <w:r w:rsidR="000414E8" w:rsidRPr="00C530E5">
        <w:rPr>
          <w:rFonts w:eastAsia="MS Gothic" w:cstheme="minorHAnsi"/>
          <w:bCs/>
          <w:i/>
        </w:rPr>
        <w:t>good from poor p</w:t>
      </w:r>
      <w:r w:rsidR="005149E7" w:rsidRPr="00C530E5">
        <w:rPr>
          <w:rFonts w:eastAsia="MS Gothic" w:cstheme="minorHAnsi"/>
          <w:bCs/>
          <w:i/>
        </w:rPr>
        <w:t>erformance</w:t>
      </w:r>
      <w:r w:rsidR="00A41377" w:rsidRPr="00C530E5">
        <w:rPr>
          <w:rFonts w:eastAsia="MS Gothic" w:cstheme="minorHAnsi"/>
          <w:bCs/>
        </w:rPr>
        <w:t>)</w:t>
      </w:r>
      <w:r w:rsidR="00275563" w:rsidRPr="00C530E5">
        <w:rPr>
          <w:rFonts w:eastAsia="MS Gothic" w:cstheme="minorHAnsi"/>
          <w:bCs/>
        </w:rPr>
        <w:t xml:space="preserve">  </w:t>
      </w:r>
      <w:r w:rsidR="00275563" w:rsidRPr="00C530E5">
        <w:rPr>
          <w:rFonts w:eastAsia="MS Gothic" w:cstheme="minorHAnsi"/>
          <w:b/>
          <w:bCs/>
        </w:rPr>
        <w:t>NOTE</w:t>
      </w:r>
      <w:r w:rsidR="00275563" w:rsidRPr="00C530E5">
        <w:rPr>
          <w:rFonts w:eastAsia="MS Gothic" w:cstheme="minorHAnsi"/>
          <w:bCs/>
        </w:rPr>
        <w:t>:  Empirical validity testing is expected at time of maintenance review; if not possible, justification is required.</w:t>
      </w:r>
    </w:p>
    <w:p w14:paraId="0CABCFDA" w14:textId="77777777" w:rsidR="00CA06D8" w:rsidRPr="00C530E5" w:rsidRDefault="00CA06D8" w:rsidP="00DB3627">
      <w:pPr>
        <w:autoSpaceDE w:val="0"/>
        <w:autoSpaceDN w:val="0"/>
        <w:adjustRightInd w:val="0"/>
        <w:spacing w:after="0" w:line="240" w:lineRule="auto"/>
        <w:rPr>
          <w:rFonts w:cstheme="minorHAnsi"/>
        </w:rPr>
      </w:pPr>
    </w:p>
    <w:p w14:paraId="08770CFB" w14:textId="21CBCC4A" w:rsidR="004231FA" w:rsidRPr="009752CF" w:rsidRDefault="009C7513" w:rsidP="009D2E9A">
      <w:pPr>
        <w:autoSpaceDE w:val="0"/>
        <w:autoSpaceDN w:val="0"/>
        <w:adjustRightInd w:val="0"/>
        <w:spacing w:after="0" w:line="240" w:lineRule="auto"/>
        <w:rPr>
          <w:rFonts w:cstheme="minorHAnsi"/>
          <w:bCs/>
          <w:color w:val="1111FB"/>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833325" w:rsidRPr="00C530E5">
        <w:rPr>
          <w:rFonts w:cstheme="minorHAnsi"/>
          <w:bCs/>
        </w:rPr>
        <w:t>(</w:t>
      </w:r>
      <w:r w:rsidR="007757CE" w:rsidRPr="00C530E5">
        <w:rPr>
          <w:rFonts w:cstheme="minorHAnsi"/>
          <w:bCs/>
          <w:i/>
        </w:rPr>
        <w:t>describe the steps―</w:t>
      </w:r>
      <w:r w:rsidR="00696262" w:rsidRPr="00C530E5">
        <w:rPr>
          <w:rFonts w:cstheme="minorHAnsi"/>
          <w:bCs/>
          <w:i/>
        </w:rPr>
        <w:t xml:space="preserve">do </w:t>
      </w:r>
      <w:r w:rsidR="00A25024" w:rsidRPr="00C530E5">
        <w:rPr>
          <w:rFonts w:cstheme="minorHAnsi"/>
          <w:bCs/>
          <w:i/>
        </w:rPr>
        <w:t xml:space="preserve">not just name a method; what was </w:t>
      </w:r>
      <w:r w:rsidR="00696262" w:rsidRPr="00C530E5">
        <w:rPr>
          <w:rFonts w:cstheme="minorHAnsi"/>
          <w:bCs/>
          <w:i/>
        </w:rPr>
        <w:t>tested, e.g., accuracy of data elements compared to authoritative source, relationship to a</w:t>
      </w:r>
      <w:r w:rsidR="0022691B" w:rsidRPr="00C530E5">
        <w:rPr>
          <w:rFonts w:cstheme="minorHAnsi"/>
          <w:bCs/>
          <w:i/>
        </w:rPr>
        <w:t>nother measure as expected; what statistical analysis was used</w:t>
      </w:r>
      <w:r w:rsidR="00696262" w:rsidRPr="00C530E5">
        <w:rPr>
          <w:rFonts w:cstheme="minorHAnsi"/>
          <w:bCs/>
          <w:i/>
        </w:rPr>
        <w:t>)</w:t>
      </w:r>
    </w:p>
    <w:p w14:paraId="5A39C097" w14:textId="383E507A" w:rsidR="004231FA" w:rsidRPr="009752CF" w:rsidRDefault="004231FA" w:rsidP="004231FA">
      <w:pPr>
        <w:autoSpaceDE w:val="0"/>
        <w:autoSpaceDN w:val="0"/>
        <w:adjustRightInd w:val="0"/>
        <w:spacing w:after="0" w:line="240" w:lineRule="auto"/>
        <w:rPr>
          <w:rFonts w:cstheme="minorHAnsi"/>
          <w:bCs/>
          <w:color w:val="1111FB"/>
        </w:rPr>
      </w:pPr>
      <w:r w:rsidRPr="009752CF">
        <w:rPr>
          <w:rFonts w:cstheme="minorHAnsi"/>
          <w:bCs/>
          <w:color w:val="1111FB"/>
        </w:rPr>
        <w:t xml:space="preserve">We tested for construct validity </w:t>
      </w:r>
      <w:r w:rsidR="001675B9">
        <w:rPr>
          <w:rFonts w:cstheme="minorHAnsi"/>
          <w:bCs/>
          <w:color w:val="1111FB"/>
        </w:rPr>
        <w:t xml:space="preserve">of the </w:t>
      </w:r>
      <w:r w:rsidR="00144B19">
        <w:rPr>
          <w:rFonts w:cstheme="minorHAnsi"/>
          <w:bCs/>
          <w:color w:val="1111FB"/>
        </w:rPr>
        <w:t>Comprehensive Diabetes Care</w:t>
      </w:r>
      <w:r w:rsidR="00F72343">
        <w:rPr>
          <w:rFonts w:cstheme="minorHAnsi"/>
          <w:bCs/>
          <w:color w:val="1111FB"/>
        </w:rPr>
        <w:t xml:space="preserve"> (CDC)</w:t>
      </w:r>
      <w:r w:rsidR="00144B19">
        <w:rPr>
          <w:rFonts w:cstheme="minorHAnsi"/>
          <w:bCs/>
          <w:color w:val="1111FB"/>
        </w:rPr>
        <w:t xml:space="preserve">: </w:t>
      </w:r>
      <w:r w:rsidR="00C04999">
        <w:rPr>
          <w:rFonts w:cstheme="minorHAnsi"/>
          <w:bCs/>
          <w:color w:val="1111FB"/>
        </w:rPr>
        <w:t xml:space="preserve">HbA1c Poor Control (&gt;9.0%) </w:t>
      </w:r>
      <w:r w:rsidR="00C67A95">
        <w:rPr>
          <w:rFonts w:cstheme="minorHAnsi"/>
          <w:bCs/>
          <w:color w:val="1111FB"/>
        </w:rPr>
        <w:t xml:space="preserve">measure </w:t>
      </w:r>
      <w:r w:rsidRPr="009752CF">
        <w:rPr>
          <w:rFonts w:cstheme="minorHAnsi"/>
          <w:bCs/>
          <w:color w:val="1111FB"/>
        </w:rPr>
        <w:t>by exploring whether</w:t>
      </w:r>
      <w:r w:rsidR="00327206">
        <w:rPr>
          <w:rFonts w:cstheme="minorHAnsi"/>
          <w:bCs/>
          <w:color w:val="1111FB"/>
        </w:rPr>
        <w:t xml:space="preserve"> it </w:t>
      </w:r>
      <w:r w:rsidRPr="009752CF">
        <w:rPr>
          <w:rFonts w:cstheme="minorHAnsi"/>
          <w:bCs/>
          <w:color w:val="1111FB"/>
        </w:rPr>
        <w:t xml:space="preserve">was correlated with other similar measures of quality hypothesized which are listed below. </w:t>
      </w:r>
    </w:p>
    <w:p w14:paraId="4F3E2F43" w14:textId="591B4680" w:rsidR="003F693F" w:rsidRPr="009752CF" w:rsidRDefault="003F693F" w:rsidP="003F693F">
      <w:pPr>
        <w:pStyle w:val="ListParagraph"/>
        <w:numPr>
          <w:ilvl w:val="0"/>
          <w:numId w:val="31"/>
        </w:numPr>
        <w:autoSpaceDE w:val="0"/>
        <w:autoSpaceDN w:val="0"/>
        <w:adjustRightInd w:val="0"/>
        <w:spacing w:after="0" w:line="240" w:lineRule="auto"/>
        <w:rPr>
          <w:color w:val="1111FB"/>
        </w:rPr>
      </w:pPr>
      <w:r w:rsidRPr="005D23E8">
        <w:rPr>
          <w:color w:val="1111FB"/>
          <w:u w:val="single"/>
        </w:rPr>
        <w:t xml:space="preserve">CDC: Hemoglobin A1c (HbA1c) </w:t>
      </w:r>
      <w:r w:rsidR="005F4576">
        <w:rPr>
          <w:color w:val="1111FB"/>
          <w:u w:val="single"/>
        </w:rPr>
        <w:t>T</w:t>
      </w:r>
      <w:r w:rsidRPr="005D23E8">
        <w:rPr>
          <w:color w:val="1111FB"/>
          <w:u w:val="single"/>
        </w:rPr>
        <w:t>esting</w:t>
      </w:r>
      <w:r w:rsidR="006E4F05">
        <w:rPr>
          <w:color w:val="1111FB"/>
        </w:rPr>
        <w:t xml:space="preserve">: The percentage of adults 18-75 </w:t>
      </w:r>
      <w:r w:rsidR="00C2340D">
        <w:rPr>
          <w:color w:val="1111FB"/>
        </w:rPr>
        <w:t>with diabetes that had an HbA1c test performed during the measurement year</w:t>
      </w:r>
      <w:r w:rsidR="005D23E8">
        <w:rPr>
          <w:color w:val="1111FB"/>
        </w:rPr>
        <w:t>.</w:t>
      </w:r>
    </w:p>
    <w:p w14:paraId="56D05F48" w14:textId="4478248B" w:rsidR="008C03F7" w:rsidRPr="008C03F7" w:rsidRDefault="008C03F7" w:rsidP="008C03F7">
      <w:pPr>
        <w:pStyle w:val="ListParagraph"/>
        <w:numPr>
          <w:ilvl w:val="0"/>
          <w:numId w:val="31"/>
        </w:numPr>
        <w:autoSpaceDE w:val="0"/>
        <w:autoSpaceDN w:val="0"/>
        <w:adjustRightInd w:val="0"/>
        <w:spacing w:after="0" w:line="240" w:lineRule="auto"/>
        <w:rPr>
          <w:color w:val="1111FB"/>
        </w:rPr>
      </w:pPr>
      <w:r w:rsidRPr="005D23E8">
        <w:rPr>
          <w:color w:val="1111FB"/>
          <w:u w:val="single"/>
        </w:rPr>
        <w:t xml:space="preserve">CDC: HbA1c </w:t>
      </w:r>
      <w:r>
        <w:rPr>
          <w:color w:val="1111FB"/>
          <w:u w:val="single"/>
        </w:rPr>
        <w:t>C</w:t>
      </w:r>
      <w:r w:rsidRPr="005D23E8">
        <w:rPr>
          <w:color w:val="1111FB"/>
          <w:u w:val="single"/>
        </w:rPr>
        <w:t>ontrol (&lt;8.0%)</w:t>
      </w:r>
      <w:r>
        <w:rPr>
          <w:color w:val="1111FB"/>
        </w:rPr>
        <w:t>: The percentage of adults 18-75 with diabetes whose most recent HbA1c level is &lt;8% during the measurement year.</w:t>
      </w:r>
    </w:p>
    <w:p w14:paraId="73F01E28" w14:textId="77AA276D" w:rsidR="003F693F" w:rsidRPr="009752CF" w:rsidRDefault="003F693F" w:rsidP="003F693F">
      <w:pPr>
        <w:pStyle w:val="ListParagraph"/>
        <w:numPr>
          <w:ilvl w:val="0"/>
          <w:numId w:val="31"/>
        </w:numPr>
        <w:autoSpaceDE w:val="0"/>
        <w:autoSpaceDN w:val="0"/>
        <w:adjustRightInd w:val="0"/>
        <w:spacing w:after="0" w:line="240" w:lineRule="auto"/>
        <w:rPr>
          <w:color w:val="1111FB"/>
        </w:rPr>
      </w:pPr>
      <w:r w:rsidRPr="005D23E8">
        <w:rPr>
          <w:color w:val="1111FB"/>
          <w:u w:val="single"/>
        </w:rPr>
        <w:t xml:space="preserve">CDC: Eye </w:t>
      </w:r>
      <w:r w:rsidR="005F4576">
        <w:rPr>
          <w:color w:val="1111FB"/>
          <w:u w:val="single"/>
        </w:rPr>
        <w:t>E</w:t>
      </w:r>
      <w:r w:rsidRPr="005D23E8">
        <w:rPr>
          <w:color w:val="1111FB"/>
          <w:u w:val="single"/>
        </w:rPr>
        <w:t>xam (</w:t>
      </w:r>
      <w:r w:rsidR="005F4576">
        <w:rPr>
          <w:color w:val="1111FB"/>
          <w:u w:val="single"/>
        </w:rPr>
        <w:t>R</w:t>
      </w:r>
      <w:r w:rsidRPr="005D23E8">
        <w:rPr>
          <w:color w:val="1111FB"/>
          <w:u w:val="single"/>
        </w:rPr>
        <w:t xml:space="preserve">etinal) </w:t>
      </w:r>
      <w:r w:rsidR="005F4576">
        <w:rPr>
          <w:color w:val="1111FB"/>
          <w:u w:val="single"/>
        </w:rPr>
        <w:t>P</w:t>
      </w:r>
      <w:r w:rsidRPr="005D23E8">
        <w:rPr>
          <w:color w:val="1111FB"/>
          <w:u w:val="single"/>
        </w:rPr>
        <w:t>erformed</w:t>
      </w:r>
      <w:r w:rsidR="00A36945">
        <w:rPr>
          <w:color w:val="1111FB"/>
        </w:rPr>
        <w:t xml:space="preserve">: </w:t>
      </w:r>
      <w:r w:rsidR="005D23E8">
        <w:rPr>
          <w:color w:val="1111FB"/>
        </w:rPr>
        <w:t>The percentage of adults 18-75 with diabetes that had an eye screening for diabetic retinal disease during the measurement year.</w:t>
      </w:r>
    </w:p>
    <w:p w14:paraId="5DC1DCA4" w14:textId="3C127402" w:rsidR="003F693F" w:rsidRPr="009752CF" w:rsidRDefault="003F693F" w:rsidP="003F693F">
      <w:pPr>
        <w:pStyle w:val="ListParagraph"/>
        <w:numPr>
          <w:ilvl w:val="0"/>
          <w:numId w:val="31"/>
        </w:numPr>
        <w:autoSpaceDE w:val="0"/>
        <w:autoSpaceDN w:val="0"/>
        <w:adjustRightInd w:val="0"/>
        <w:spacing w:after="0" w:line="240" w:lineRule="auto"/>
        <w:rPr>
          <w:color w:val="1111FB"/>
        </w:rPr>
      </w:pPr>
      <w:r w:rsidRPr="005D23E8">
        <w:rPr>
          <w:color w:val="1111FB"/>
          <w:u w:val="single"/>
        </w:rPr>
        <w:t xml:space="preserve">CDC: Medical </w:t>
      </w:r>
      <w:r w:rsidR="005F4576">
        <w:rPr>
          <w:color w:val="1111FB"/>
          <w:u w:val="single"/>
        </w:rPr>
        <w:t>A</w:t>
      </w:r>
      <w:r w:rsidRPr="005D23E8">
        <w:rPr>
          <w:color w:val="1111FB"/>
          <w:u w:val="single"/>
        </w:rPr>
        <w:t xml:space="preserve">ttention for </w:t>
      </w:r>
      <w:r w:rsidR="005F4576">
        <w:rPr>
          <w:color w:val="1111FB"/>
          <w:u w:val="single"/>
        </w:rPr>
        <w:t>N</w:t>
      </w:r>
      <w:r w:rsidRPr="005D23E8">
        <w:rPr>
          <w:color w:val="1111FB"/>
          <w:u w:val="single"/>
        </w:rPr>
        <w:t>ephropathy</w:t>
      </w:r>
      <w:r w:rsidR="00A36945">
        <w:rPr>
          <w:color w:val="1111FB"/>
        </w:rPr>
        <w:t xml:space="preserve">: </w:t>
      </w:r>
      <w:r w:rsidR="005D23E8">
        <w:rPr>
          <w:color w:val="1111FB"/>
        </w:rPr>
        <w:t>The percentage of adults 18-75 with diabetes that had a nephropathy screening test or evidence of nephropathy during the measurement year.</w:t>
      </w:r>
    </w:p>
    <w:p w14:paraId="713A6002" w14:textId="51A27270" w:rsidR="003F693F" w:rsidRDefault="003F693F" w:rsidP="003F693F">
      <w:pPr>
        <w:pStyle w:val="ListParagraph"/>
        <w:numPr>
          <w:ilvl w:val="0"/>
          <w:numId w:val="31"/>
        </w:numPr>
        <w:autoSpaceDE w:val="0"/>
        <w:autoSpaceDN w:val="0"/>
        <w:adjustRightInd w:val="0"/>
        <w:spacing w:after="0" w:line="240" w:lineRule="auto"/>
        <w:rPr>
          <w:color w:val="1111FB"/>
        </w:rPr>
      </w:pPr>
      <w:r w:rsidRPr="005D23E8">
        <w:rPr>
          <w:color w:val="1111FB"/>
          <w:u w:val="single"/>
        </w:rPr>
        <w:t>CDC: B</w:t>
      </w:r>
      <w:r w:rsidR="005F4576">
        <w:rPr>
          <w:color w:val="1111FB"/>
          <w:u w:val="single"/>
        </w:rPr>
        <w:t>lood Pressure</w:t>
      </w:r>
      <w:r w:rsidRPr="005D23E8">
        <w:rPr>
          <w:color w:val="1111FB"/>
          <w:u w:val="single"/>
        </w:rPr>
        <w:t xml:space="preserve"> </w:t>
      </w:r>
      <w:r w:rsidR="005F4576">
        <w:rPr>
          <w:color w:val="1111FB"/>
          <w:u w:val="single"/>
        </w:rPr>
        <w:t>C</w:t>
      </w:r>
      <w:r w:rsidRPr="005D23E8">
        <w:rPr>
          <w:color w:val="1111FB"/>
          <w:u w:val="single"/>
        </w:rPr>
        <w:t>ontrol (&lt;140/90 mm Hg)</w:t>
      </w:r>
      <w:r w:rsidR="00A36945">
        <w:rPr>
          <w:color w:val="1111FB"/>
        </w:rPr>
        <w:t xml:space="preserve">: </w:t>
      </w:r>
      <w:r w:rsidR="006E4D6A">
        <w:rPr>
          <w:color w:val="1111FB"/>
        </w:rPr>
        <w:t>The percentage of adults 18-75 with diabetes whose most recent blood pressure level taken during the measurement year is &lt;140/90 mm Hg</w:t>
      </w:r>
      <w:r w:rsidR="005D23E8">
        <w:rPr>
          <w:color w:val="1111FB"/>
        </w:rPr>
        <w:t>.</w:t>
      </w:r>
    </w:p>
    <w:p w14:paraId="60722487" w14:textId="35AAF45B" w:rsidR="00242648" w:rsidRDefault="00242648" w:rsidP="00242648">
      <w:pPr>
        <w:autoSpaceDE w:val="0"/>
        <w:autoSpaceDN w:val="0"/>
        <w:adjustRightInd w:val="0"/>
        <w:spacing w:after="0" w:line="240" w:lineRule="auto"/>
        <w:rPr>
          <w:color w:val="1111FB"/>
        </w:rPr>
      </w:pPr>
    </w:p>
    <w:p w14:paraId="0E59FAD4" w14:textId="673B038F" w:rsidR="00C143F6" w:rsidRDefault="00C143F6" w:rsidP="00C143F6">
      <w:pPr>
        <w:spacing w:after="0" w:line="240" w:lineRule="auto"/>
        <w:textAlignment w:val="baseline"/>
        <w:rPr>
          <w:rFonts w:eastAsia="Times New Roman" w:cstheme="minorHAnsi"/>
          <w:color w:val="1111FB"/>
        </w:rPr>
      </w:pPr>
      <w:r>
        <w:rPr>
          <w:rFonts w:eastAsia="Times New Roman" w:cstheme="minorHAnsi"/>
          <w:color w:val="1111FB"/>
        </w:rPr>
        <w:t xml:space="preserve">These measures were chosen for construct validity because </w:t>
      </w:r>
      <w:r>
        <w:rPr>
          <w:color w:val="1111FB"/>
        </w:rPr>
        <w:t xml:space="preserve">they are similarly focused on a population with diabetes (type 1 and type 2) and </w:t>
      </w:r>
      <w:r w:rsidR="00C43B9F">
        <w:rPr>
          <w:color w:val="1111FB"/>
        </w:rPr>
        <w:t xml:space="preserve">focus on evidenced-based </w:t>
      </w:r>
      <w:r w:rsidR="00FA1A18">
        <w:rPr>
          <w:color w:val="1111FB"/>
        </w:rPr>
        <w:t>monitoring and treatment for patients with diabetes.</w:t>
      </w:r>
      <w:r>
        <w:rPr>
          <w:color w:val="1111FB"/>
        </w:rPr>
        <w:t xml:space="preserve"> We hypothesized that a plan that does well on these measures for diabetes would also do well on this blood pressure control measure for patients who have diabetes.</w:t>
      </w:r>
    </w:p>
    <w:p w14:paraId="734DD334" w14:textId="77777777" w:rsidR="004231FA" w:rsidRPr="009752CF" w:rsidRDefault="004231FA" w:rsidP="00E318B7">
      <w:pPr>
        <w:autoSpaceDE w:val="0"/>
        <w:autoSpaceDN w:val="0"/>
        <w:adjustRightInd w:val="0"/>
        <w:spacing w:after="0" w:line="240" w:lineRule="auto"/>
        <w:rPr>
          <w:rFonts w:cstheme="minorHAnsi"/>
          <w:bCs/>
          <w:color w:val="1111FB"/>
        </w:rPr>
      </w:pPr>
    </w:p>
    <w:p w14:paraId="21B766BE" w14:textId="77777777" w:rsidR="005808CF" w:rsidRDefault="004231FA" w:rsidP="005808CF">
      <w:pPr>
        <w:autoSpaceDE w:val="0"/>
        <w:autoSpaceDN w:val="0"/>
        <w:adjustRightInd w:val="0"/>
        <w:spacing w:after="0" w:line="240" w:lineRule="auto"/>
        <w:rPr>
          <w:rFonts w:cstheme="minorHAnsi"/>
          <w:bCs/>
          <w:color w:val="1111FB"/>
        </w:rPr>
      </w:pPr>
      <w:r w:rsidRPr="009752CF">
        <w:rPr>
          <w:rFonts w:cstheme="minorHAnsi"/>
          <w:bCs/>
          <w:color w:val="1111FB"/>
        </w:rPr>
        <w:t xml:space="preserve">To test these correlations, we used a Pearson correlation test. This test estimates the strength of the linear association between two continuous variables; the magnitude of correlation ranges from -1 to +1. A value of 1 indicates a perfect linear dependence in which increasing values on one variable is associated with increasing values of the second variable. A value of 0 indicates no linear association. A value of -1 indicates a perfect linear relationship in which increasing values of the first variable is </w:t>
      </w:r>
      <w:r w:rsidRPr="009752CF">
        <w:rPr>
          <w:rFonts w:cstheme="minorHAnsi"/>
          <w:bCs/>
          <w:color w:val="1111FB"/>
        </w:rPr>
        <w:lastRenderedPageBreak/>
        <w:t>associated with decreasing values of the second variable. Coefficients with absolute value of less than 0.3 are generally considered indicative of weak associations whereas absolute values of 0.3 or higher denote moderate to strong associations. The significance of a correlation coefficient is evaluated by testing the hypothesis that an observed coefficient calculated for the sample is different from zero. The resulting p-value indicates the probability of obtaining a difference at least as large as the one observed due to chance alone. We used a threshold of 0.05 to evaluate the test results. P-values less than this threshold imply that it is unlikely that a non-zero coefficient was observed due to chance alone.</w:t>
      </w:r>
    </w:p>
    <w:p w14:paraId="6532D885" w14:textId="7C534628" w:rsidR="00E641AA" w:rsidRPr="005808CF" w:rsidRDefault="33F54ACC" w:rsidP="005808CF">
      <w:pPr>
        <w:autoSpaceDE w:val="0"/>
        <w:autoSpaceDN w:val="0"/>
        <w:adjustRightInd w:val="0"/>
        <w:spacing w:after="0" w:line="240" w:lineRule="auto"/>
        <w:rPr>
          <w:rFonts w:cstheme="minorHAnsi"/>
          <w:bCs/>
          <w:color w:val="1111FB"/>
        </w:rPr>
      </w:pPr>
      <w:r w:rsidRPr="33F54ACC">
        <w:rPr>
          <w:rStyle w:val="normaltextrun"/>
          <w:rFonts w:ascii="Calibri" w:hAnsi="Calibri" w:cs="Calibri"/>
          <w:b/>
          <w:bCs/>
          <w:color w:val="1111FB"/>
          <w:u w:val="single"/>
        </w:rPr>
        <w:t xml:space="preserve"> </w:t>
      </w:r>
    </w:p>
    <w:p w14:paraId="65547C6C" w14:textId="6F649577" w:rsidR="00E641AA" w:rsidRPr="009752CF" w:rsidRDefault="33F54ACC" w:rsidP="33F54ACC">
      <w:pPr>
        <w:pStyle w:val="paragraph"/>
        <w:spacing w:before="0" w:beforeAutospacing="0" w:after="0" w:afterAutospacing="0"/>
        <w:textAlignment w:val="baseline"/>
        <w:rPr>
          <w:rStyle w:val="eop"/>
          <w:rFonts w:ascii="Calibri" w:hAnsi="Calibri" w:cs="Calibri"/>
          <w:i/>
          <w:iCs/>
          <w:color w:val="1111FB"/>
          <w:sz w:val="22"/>
          <w:szCs w:val="22"/>
        </w:rPr>
      </w:pPr>
      <w:r w:rsidRPr="33F54ACC">
        <w:rPr>
          <w:rStyle w:val="eop"/>
          <w:rFonts w:ascii="Calibri" w:hAnsi="Calibri" w:cs="Calibri"/>
          <w:i/>
          <w:iCs/>
          <w:color w:val="1111FB"/>
          <w:sz w:val="22"/>
          <w:szCs w:val="22"/>
        </w:rPr>
        <w:t>* Note: All HEDIS value sets are updated annually with the most current codes available. The information below details the process we used to convert value sets that used ICD-9 codes to ICD-10 codes in 2015. *</w:t>
      </w:r>
    </w:p>
    <w:p w14:paraId="24B46F65" w14:textId="048033E5" w:rsidR="00E641AA" w:rsidRDefault="00E641AA" w:rsidP="33F54ACC">
      <w:pPr>
        <w:pStyle w:val="paragraph"/>
        <w:spacing w:before="0" w:beforeAutospacing="0" w:after="0" w:afterAutospacing="0"/>
        <w:textAlignment w:val="baseline"/>
        <w:rPr>
          <w:rStyle w:val="eop"/>
          <w:rFonts w:ascii="Calibri" w:hAnsi="Calibri" w:cs="Calibri"/>
          <w:color w:val="1111FB"/>
          <w:sz w:val="22"/>
          <w:szCs w:val="22"/>
        </w:rPr>
      </w:pPr>
    </w:p>
    <w:p w14:paraId="45539256" w14:textId="6E2A0DA5" w:rsidR="00FD1E64" w:rsidRDefault="00FD1E64" w:rsidP="33F54ACC">
      <w:pPr>
        <w:pStyle w:val="paragraph"/>
        <w:spacing w:before="0" w:beforeAutospacing="0" w:after="0" w:afterAutospacing="0"/>
        <w:textAlignment w:val="baseline"/>
        <w:rPr>
          <w:rStyle w:val="eop"/>
          <w:rFonts w:ascii="Calibri" w:hAnsi="Calibri" w:cs="Calibri"/>
          <w:color w:val="1111FB"/>
          <w:sz w:val="22"/>
          <w:szCs w:val="22"/>
        </w:rPr>
      </w:pPr>
      <w:r w:rsidRPr="000B6655">
        <w:rPr>
          <w:rStyle w:val="eop"/>
          <w:rFonts w:ascii="Calibri" w:hAnsi="Calibri" w:cs="Calibri"/>
          <w:color w:val="1111FB"/>
          <w:sz w:val="22"/>
          <w:szCs w:val="22"/>
          <w:u w:val="single"/>
        </w:rPr>
        <w:t>ICD-10 CONVERSION</w:t>
      </w:r>
      <w:r>
        <w:rPr>
          <w:rStyle w:val="eop"/>
          <w:rFonts w:ascii="Calibri" w:hAnsi="Calibri" w:cs="Calibri"/>
          <w:color w:val="1111FB"/>
          <w:sz w:val="22"/>
          <w:szCs w:val="22"/>
        </w:rPr>
        <w:t>:</w:t>
      </w:r>
    </w:p>
    <w:p w14:paraId="5E5A6116" w14:textId="65BE7E8C" w:rsidR="000B6655" w:rsidRDefault="000B6655" w:rsidP="33F54ACC">
      <w:pPr>
        <w:pStyle w:val="paragraph"/>
        <w:spacing w:before="0" w:beforeAutospacing="0" w:after="0" w:afterAutospacing="0"/>
        <w:textAlignment w:val="baseline"/>
        <w:rPr>
          <w:rStyle w:val="eop"/>
          <w:rFonts w:ascii="Calibri" w:hAnsi="Calibri" w:cs="Calibri"/>
          <w:color w:val="1111FB"/>
          <w:sz w:val="22"/>
          <w:szCs w:val="22"/>
        </w:rPr>
      </w:pPr>
      <w:r>
        <w:rPr>
          <w:rStyle w:val="eop"/>
          <w:rFonts w:ascii="Calibri" w:hAnsi="Calibri" w:cs="Calibri"/>
          <w:color w:val="1111FB"/>
          <w:sz w:val="22"/>
          <w:szCs w:val="22"/>
        </w:rPr>
        <w:t>In preparation for the national implementation of ICD-10 in 2015, NCQA conducted a systematic mapping of all value sets maintained by the organization to ensure the new values used for reporting maintained the reliability, validity, and intent of the original specification.</w:t>
      </w:r>
    </w:p>
    <w:p w14:paraId="58099B26" w14:textId="77777777" w:rsidR="000B6655" w:rsidRPr="009752CF" w:rsidRDefault="000B6655" w:rsidP="33F54ACC">
      <w:pPr>
        <w:pStyle w:val="paragraph"/>
        <w:spacing w:before="0" w:beforeAutospacing="0" w:after="0" w:afterAutospacing="0"/>
        <w:textAlignment w:val="baseline"/>
        <w:rPr>
          <w:rFonts w:ascii="Segoe UI" w:hAnsi="Segoe UI" w:cs="Segoe UI"/>
          <w:color w:val="1111FB"/>
          <w:sz w:val="18"/>
          <w:szCs w:val="18"/>
        </w:rPr>
      </w:pPr>
    </w:p>
    <w:p w14:paraId="39223F0C" w14:textId="77777777" w:rsidR="00E641AA" w:rsidRPr="00FD1E64" w:rsidRDefault="00E641AA" w:rsidP="00E641AA">
      <w:pPr>
        <w:pStyle w:val="paragraph"/>
        <w:spacing w:before="0" w:beforeAutospacing="0" w:after="0" w:afterAutospacing="0"/>
        <w:textAlignment w:val="baseline"/>
        <w:rPr>
          <w:rStyle w:val="normaltextrun"/>
          <w:rFonts w:asciiTheme="minorHAnsi" w:hAnsiTheme="minorHAnsi" w:cstheme="minorHAnsi"/>
          <w:color w:val="1111FB"/>
          <w:sz w:val="22"/>
          <w:szCs w:val="22"/>
        </w:rPr>
      </w:pPr>
      <w:r w:rsidRPr="00FD1E64">
        <w:rPr>
          <w:rStyle w:val="normaltextrun"/>
          <w:rFonts w:asciiTheme="minorHAnsi" w:hAnsiTheme="minorHAnsi" w:cstheme="minorHAnsi"/>
          <w:color w:val="1111FB"/>
          <w:sz w:val="22"/>
          <w:szCs w:val="22"/>
        </w:rPr>
        <w:t>Steps in ICD-9 to ICD-10 Conversion Process</w:t>
      </w:r>
    </w:p>
    <w:p w14:paraId="3173E7D9" w14:textId="6AA15FA0" w:rsidR="00E641AA" w:rsidRDefault="00E641AA" w:rsidP="00DA5838">
      <w:pPr>
        <w:pStyle w:val="paragraph"/>
        <w:numPr>
          <w:ilvl w:val="0"/>
          <w:numId w:val="33"/>
        </w:numPr>
        <w:spacing w:before="0" w:beforeAutospacing="0" w:after="0" w:afterAutospacing="0"/>
        <w:textAlignment w:val="baseline"/>
        <w:rPr>
          <w:rStyle w:val="eop"/>
          <w:rFonts w:asciiTheme="minorHAnsi" w:hAnsiTheme="minorHAnsi" w:cstheme="minorHAnsi"/>
          <w:color w:val="1111FB"/>
          <w:sz w:val="22"/>
          <w:szCs w:val="22"/>
        </w:rPr>
      </w:pPr>
      <w:r w:rsidRPr="009752CF">
        <w:rPr>
          <w:rStyle w:val="normaltextrun"/>
          <w:rFonts w:asciiTheme="minorHAnsi" w:hAnsiTheme="minorHAnsi" w:cstheme="minorHAnsi"/>
          <w:color w:val="1111FB"/>
          <w:sz w:val="22"/>
          <w:szCs w:val="22"/>
        </w:rPr>
        <w:t xml:space="preserve">NCQA </w:t>
      </w:r>
      <w:r w:rsidR="00DA5838">
        <w:rPr>
          <w:rStyle w:val="normaltextrun"/>
          <w:rFonts w:asciiTheme="minorHAnsi" w:hAnsiTheme="minorHAnsi" w:cstheme="minorHAnsi"/>
          <w:color w:val="1111FB"/>
          <w:sz w:val="22"/>
          <w:szCs w:val="22"/>
        </w:rPr>
        <w:t>first identified value sets within the measure that included ICD-9 codes. We used General Equivalence Mapping (GEM) to identify ICD-10 codes that map to ICD-9 codes and reviewed GEM mapping in both directions (</w:t>
      </w:r>
      <w:r w:rsidR="00C32B7C" w:rsidRPr="00D96B86">
        <w:rPr>
          <w:rStyle w:val="normaltextrun"/>
          <w:rFonts w:asciiTheme="minorHAnsi" w:hAnsiTheme="minorHAnsi" w:cstheme="minorHAnsi"/>
          <w:color w:val="1111FB"/>
          <w:sz w:val="22"/>
          <w:szCs w:val="22"/>
        </w:rPr>
        <w:t>ICD-9 to ICD-10 and ICD-10 to ICD-9) to identify potential trending issues.</w:t>
      </w:r>
      <w:r w:rsidR="00C32B7C" w:rsidRPr="00D96B86">
        <w:rPr>
          <w:rStyle w:val="eop"/>
          <w:rFonts w:asciiTheme="minorHAnsi" w:hAnsiTheme="minorHAnsi" w:cstheme="minorHAnsi"/>
          <w:color w:val="1111FB"/>
          <w:sz w:val="22"/>
          <w:szCs w:val="22"/>
        </w:rPr>
        <w:t> </w:t>
      </w:r>
    </w:p>
    <w:p w14:paraId="4BDE5BC2" w14:textId="5F37931A" w:rsidR="00C32B7C" w:rsidRDefault="00C32B7C" w:rsidP="00DA5838">
      <w:pPr>
        <w:pStyle w:val="paragraph"/>
        <w:numPr>
          <w:ilvl w:val="0"/>
          <w:numId w:val="33"/>
        </w:numPr>
        <w:spacing w:before="0" w:beforeAutospacing="0" w:after="0" w:afterAutospacing="0"/>
        <w:textAlignment w:val="baseline"/>
        <w:rPr>
          <w:rStyle w:val="eop"/>
          <w:rFonts w:asciiTheme="minorHAnsi" w:hAnsiTheme="minorHAnsi" w:cstheme="minorHAnsi"/>
          <w:color w:val="1111FB"/>
          <w:sz w:val="22"/>
          <w:szCs w:val="22"/>
        </w:rPr>
      </w:pPr>
      <w:r>
        <w:rPr>
          <w:rStyle w:val="eop"/>
          <w:rFonts w:asciiTheme="minorHAnsi" w:hAnsiTheme="minorHAnsi" w:cstheme="minorHAnsi"/>
          <w:color w:val="1111FB"/>
          <w:sz w:val="22"/>
          <w:szCs w:val="22"/>
        </w:rPr>
        <w:t>NCQA then searched for additional codes (not identified by GEM mapping step) that should be considered due to the expansion of concepts in ICD-10. Using ICD-10 tabular list and ICD-10 Index, searches by diagnosis or procedure name were conducted to identify appropriate codes.</w:t>
      </w:r>
    </w:p>
    <w:p w14:paraId="72133AAA" w14:textId="0FCF6424" w:rsidR="00C32B7C" w:rsidRDefault="00C32B7C" w:rsidP="00DA5838">
      <w:pPr>
        <w:pStyle w:val="paragraph"/>
        <w:numPr>
          <w:ilvl w:val="0"/>
          <w:numId w:val="33"/>
        </w:numPr>
        <w:spacing w:before="0" w:beforeAutospacing="0" w:after="0" w:afterAutospacing="0"/>
        <w:textAlignment w:val="baseline"/>
        <w:rPr>
          <w:rStyle w:val="eop"/>
          <w:rFonts w:asciiTheme="minorHAnsi" w:hAnsiTheme="minorHAnsi" w:cstheme="minorHAnsi"/>
          <w:color w:val="1111FB"/>
          <w:sz w:val="22"/>
          <w:szCs w:val="22"/>
        </w:rPr>
      </w:pPr>
      <w:r>
        <w:rPr>
          <w:rStyle w:val="eop"/>
          <w:rFonts w:asciiTheme="minorHAnsi" w:hAnsiTheme="minorHAnsi" w:cstheme="minorHAnsi"/>
          <w:color w:val="1111FB"/>
          <w:sz w:val="22"/>
          <w:szCs w:val="22"/>
        </w:rPr>
        <w:t xml:space="preserve">NCQA HEDIS Expert Coding Panel </w:t>
      </w:r>
      <w:r w:rsidR="00CD4852">
        <w:rPr>
          <w:rStyle w:val="eop"/>
          <w:rFonts w:asciiTheme="minorHAnsi" w:hAnsiTheme="minorHAnsi" w:cstheme="minorHAnsi"/>
          <w:color w:val="1111FB"/>
          <w:sz w:val="22"/>
          <w:szCs w:val="22"/>
        </w:rPr>
        <w:t>review: Updated value set recommendations were presented for expert review and feedback.</w:t>
      </w:r>
    </w:p>
    <w:p w14:paraId="2241733A" w14:textId="2080024B" w:rsidR="00CD4852" w:rsidRDefault="00CD4852" w:rsidP="00DA5838">
      <w:pPr>
        <w:pStyle w:val="paragraph"/>
        <w:numPr>
          <w:ilvl w:val="0"/>
          <w:numId w:val="33"/>
        </w:numPr>
        <w:spacing w:before="0" w:beforeAutospacing="0" w:after="0" w:afterAutospacing="0"/>
        <w:textAlignment w:val="baseline"/>
        <w:rPr>
          <w:rStyle w:val="eop"/>
          <w:rFonts w:asciiTheme="minorHAnsi" w:hAnsiTheme="minorHAnsi" w:cstheme="minorHAnsi"/>
          <w:color w:val="1111FB"/>
          <w:sz w:val="22"/>
          <w:szCs w:val="22"/>
        </w:rPr>
      </w:pPr>
      <w:r>
        <w:rPr>
          <w:rStyle w:val="eop"/>
          <w:rFonts w:asciiTheme="minorHAnsi" w:hAnsiTheme="minorHAnsi" w:cstheme="minorHAnsi"/>
          <w:color w:val="1111FB"/>
          <w:sz w:val="22"/>
          <w:szCs w:val="22"/>
        </w:rPr>
        <w:t>NCQA RMAP clinical review: Due to increase specificity in ICD-10, new codes and definitions require review to confirm the diagnosis or procedure is consistent and appropriate given the scope of the measure.</w:t>
      </w:r>
    </w:p>
    <w:p w14:paraId="69E4C146" w14:textId="523DBBFB" w:rsidR="00CD4852" w:rsidRDefault="00CD4852" w:rsidP="00DA5838">
      <w:pPr>
        <w:pStyle w:val="paragraph"/>
        <w:numPr>
          <w:ilvl w:val="0"/>
          <w:numId w:val="33"/>
        </w:numPr>
        <w:spacing w:before="0" w:beforeAutospacing="0" w:after="0" w:afterAutospacing="0"/>
        <w:textAlignment w:val="baseline"/>
        <w:rPr>
          <w:rStyle w:val="eop"/>
          <w:rFonts w:asciiTheme="minorHAnsi" w:hAnsiTheme="minorHAnsi" w:cstheme="minorHAnsi"/>
          <w:color w:val="1111FB"/>
          <w:sz w:val="22"/>
          <w:szCs w:val="22"/>
        </w:rPr>
      </w:pPr>
      <w:r>
        <w:rPr>
          <w:rStyle w:val="eop"/>
          <w:rFonts w:asciiTheme="minorHAnsi" w:hAnsiTheme="minorHAnsi" w:cstheme="minorHAnsi"/>
          <w:color w:val="1111FB"/>
          <w:sz w:val="22"/>
          <w:szCs w:val="22"/>
        </w:rPr>
        <w:t>New value sets containing ICD-10 code recommendations were posted for public review and comment in 2014 and updated in 2015. Comments received were reconciled with additional feedback from HEDIS Expert Coding Panel and MAPs as needed.</w:t>
      </w:r>
    </w:p>
    <w:p w14:paraId="25617430" w14:textId="3D501CAC" w:rsidR="00CD4852" w:rsidRPr="009752CF" w:rsidRDefault="00CD4852" w:rsidP="00DA5838">
      <w:pPr>
        <w:pStyle w:val="paragraph"/>
        <w:numPr>
          <w:ilvl w:val="0"/>
          <w:numId w:val="33"/>
        </w:numPr>
        <w:spacing w:before="0" w:beforeAutospacing="0" w:after="0" w:afterAutospacing="0"/>
        <w:textAlignment w:val="baseline"/>
        <w:rPr>
          <w:rFonts w:asciiTheme="minorHAnsi" w:hAnsiTheme="minorHAnsi" w:cstheme="minorHAnsi"/>
          <w:color w:val="1111FB"/>
          <w:sz w:val="22"/>
          <w:szCs w:val="22"/>
        </w:rPr>
      </w:pPr>
      <w:r>
        <w:rPr>
          <w:rStyle w:val="eop"/>
          <w:rFonts w:asciiTheme="minorHAnsi" w:hAnsiTheme="minorHAnsi" w:cstheme="minorHAnsi"/>
          <w:color w:val="1111FB"/>
          <w:sz w:val="22"/>
          <w:szCs w:val="22"/>
        </w:rPr>
        <w:t>NCQA staff finalized value sets containing ICD-10 codes for publication in 2015.</w:t>
      </w:r>
    </w:p>
    <w:p w14:paraId="46925057" w14:textId="77777777" w:rsidR="00E641AA" w:rsidRPr="00E06587" w:rsidRDefault="00E641AA" w:rsidP="00E641AA">
      <w:pPr>
        <w:pStyle w:val="paragraph"/>
        <w:spacing w:before="0" w:beforeAutospacing="0" w:after="0" w:afterAutospacing="0"/>
        <w:textAlignment w:val="baseline"/>
        <w:rPr>
          <w:rFonts w:ascii="Segoe UI" w:hAnsi="Segoe UI" w:cs="Segoe UI"/>
          <w:color w:val="1111FB"/>
          <w:sz w:val="18"/>
          <w:szCs w:val="18"/>
        </w:rPr>
      </w:pPr>
      <w:r w:rsidRPr="00E06587">
        <w:rPr>
          <w:rStyle w:val="eop"/>
          <w:rFonts w:ascii="Calibri" w:hAnsi="Calibri" w:cs="Calibri"/>
          <w:color w:val="1111FB"/>
          <w:sz w:val="22"/>
          <w:szCs w:val="22"/>
        </w:rPr>
        <w:t> </w:t>
      </w:r>
    </w:p>
    <w:p w14:paraId="7620F1A5" w14:textId="77777777" w:rsidR="00E641AA" w:rsidRPr="00E06587" w:rsidRDefault="00E641AA" w:rsidP="00E641AA">
      <w:pPr>
        <w:pStyle w:val="paragraph"/>
        <w:spacing w:before="0" w:beforeAutospacing="0" w:after="0" w:afterAutospacing="0"/>
        <w:textAlignment w:val="baseline"/>
        <w:rPr>
          <w:rFonts w:ascii="Segoe UI" w:hAnsi="Segoe UI" w:cs="Segoe UI"/>
          <w:color w:val="1111FB"/>
          <w:sz w:val="18"/>
          <w:szCs w:val="18"/>
        </w:rPr>
      </w:pPr>
      <w:r w:rsidRPr="00E06587">
        <w:rPr>
          <w:rStyle w:val="normaltextrun"/>
          <w:rFonts w:ascii="Calibri" w:hAnsi="Calibri" w:cs="Calibri"/>
          <w:color w:val="1111FB"/>
          <w:sz w:val="22"/>
          <w:szCs w:val="22"/>
        </w:rPr>
        <w:t>Tools Used to Identify/Map to ICD-10</w:t>
      </w:r>
      <w:r w:rsidRPr="00E06587">
        <w:rPr>
          <w:rStyle w:val="eop"/>
          <w:rFonts w:ascii="Calibri" w:hAnsi="Calibri" w:cs="Calibri"/>
          <w:color w:val="1111FB"/>
          <w:sz w:val="22"/>
          <w:szCs w:val="22"/>
        </w:rPr>
        <w:t> </w:t>
      </w:r>
    </w:p>
    <w:p w14:paraId="68E33130" w14:textId="77777777" w:rsidR="00E641AA" w:rsidRPr="009752CF" w:rsidRDefault="00E641AA" w:rsidP="00E641AA">
      <w:pPr>
        <w:pStyle w:val="paragraph"/>
        <w:spacing w:before="0" w:beforeAutospacing="0" w:after="0" w:afterAutospacing="0"/>
        <w:textAlignment w:val="baseline"/>
        <w:rPr>
          <w:rFonts w:ascii="Segoe UI" w:hAnsi="Segoe UI" w:cs="Segoe UI"/>
          <w:color w:val="1111FB"/>
          <w:sz w:val="18"/>
          <w:szCs w:val="18"/>
        </w:rPr>
      </w:pPr>
      <w:r w:rsidRPr="009752CF">
        <w:rPr>
          <w:rStyle w:val="normaltextrun"/>
          <w:rFonts w:ascii="Calibri" w:hAnsi="Calibri" w:cs="Calibri"/>
          <w:color w:val="1111FB"/>
          <w:sz w:val="22"/>
          <w:szCs w:val="22"/>
        </w:rPr>
        <w:t>All tools used for mapping/code identification from CMS ICD-10 website</w:t>
      </w:r>
      <w:r w:rsidRPr="009752CF">
        <w:rPr>
          <w:rStyle w:val="eop"/>
          <w:rFonts w:ascii="Calibri" w:hAnsi="Calibri" w:cs="Calibri"/>
          <w:color w:val="1111FB"/>
          <w:sz w:val="22"/>
          <w:szCs w:val="22"/>
        </w:rPr>
        <w:t> </w:t>
      </w:r>
    </w:p>
    <w:p w14:paraId="6EE2EE27" w14:textId="77777777" w:rsidR="00E641AA" w:rsidRPr="009752CF" w:rsidRDefault="00E641AA" w:rsidP="00E641AA">
      <w:pPr>
        <w:pStyle w:val="paragraph"/>
        <w:spacing w:before="0" w:beforeAutospacing="0" w:after="0" w:afterAutospacing="0"/>
        <w:textAlignment w:val="baseline"/>
        <w:rPr>
          <w:rFonts w:ascii="Segoe UI" w:hAnsi="Segoe UI" w:cs="Segoe UI"/>
          <w:color w:val="1111FB"/>
          <w:sz w:val="18"/>
          <w:szCs w:val="18"/>
        </w:rPr>
      </w:pPr>
      <w:r w:rsidRPr="009752CF">
        <w:rPr>
          <w:rStyle w:val="normaltextrun"/>
          <w:rFonts w:ascii="Calibri" w:hAnsi="Calibri" w:cs="Calibri"/>
          <w:color w:val="1111FB"/>
          <w:sz w:val="22"/>
          <w:szCs w:val="22"/>
        </w:rPr>
        <w:t>(http://www.cms.gov/Medicare/Coding/ICD10/2012-ICD-10-CM-and-GEMs.html).</w:t>
      </w:r>
      <w:r w:rsidRPr="009752CF">
        <w:rPr>
          <w:rStyle w:val="eop"/>
          <w:rFonts w:ascii="Calibri" w:hAnsi="Calibri" w:cs="Calibri"/>
          <w:color w:val="1111FB"/>
          <w:sz w:val="22"/>
          <w:szCs w:val="22"/>
        </w:rPr>
        <w:t> </w:t>
      </w:r>
    </w:p>
    <w:p w14:paraId="50A73399" w14:textId="29AEEA65" w:rsidR="008B4308" w:rsidRDefault="00E641AA" w:rsidP="00E641AA">
      <w:pPr>
        <w:autoSpaceDE w:val="0"/>
        <w:autoSpaceDN w:val="0"/>
        <w:adjustRightInd w:val="0"/>
        <w:spacing w:after="0" w:line="240" w:lineRule="auto"/>
        <w:rPr>
          <w:rStyle w:val="normaltextrun"/>
          <w:rFonts w:ascii="Calibri" w:hAnsi="Calibri" w:cs="Calibri"/>
          <w:color w:val="1111FB"/>
        </w:rPr>
      </w:pPr>
      <w:r w:rsidRPr="009752CF">
        <w:rPr>
          <w:rStyle w:val="normaltextrun"/>
          <w:rFonts w:ascii="Calibri" w:hAnsi="Calibri" w:cs="Calibri"/>
          <w:color w:val="1111FB"/>
        </w:rPr>
        <w:t>GEM, ICD-10 Guidelines, ICD-10-CM Tabular List of Diseases and Injuries, ICD-10-PCS Tabular List.</w:t>
      </w:r>
    </w:p>
    <w:p w14:paraId="3662F1F2" w14:textId="0CE88ECF" w:rsidR="00E06587" w:rsidRDefault="00E06587" w:rsidP="00E641AA">
      <w:pPr>
        <w:autoSpaceDE w:val="0"/>
        <w:autoSpaceDN w:val="0"/>
        <w:adjustRightInd w:val="0"/>
        <w:spacing w:after="0" w:line="240" w:lineRule="auto"/>
        <w:rPr>
          <w:rStyle w:val="normaltextrun"/>
          <w:rFonts w:ascii="Calibri" w:hAnsi="Calibri" w:cs="Calibri"/>
          <w:color w:val="1111FB"/>
        </w:rPr>
      </w:pPr>
    </w:p>
    <w:p w14:paraId="50BB5006" w14:textId="27E16DA9" w:rsidR="00E06587" w:rsidRDefault="00E06587" w:rsidP="00E641AA">
      <w:pPr>
        <w:autoSpaceDE w:val="0"/>
        <w:autoSpaceDN w:val="0"/>
        <w:adjustRightInd w:val="0"/>
        <w:spacing w:after="0" w:line="240" w:lineRule="auto"/>
        <w:rPr>
          <w:rStyle w:val="normaltextrun"/>
          <w:rFonts w:ascii="Calibri" w:hAnsi="Calibri" w:cs="Calibri"/>
          <w:color w:val="1111FB"/>
        </w:rPr>
      </w:pPr>
      <w:r w:rsidRPr="00FA1A18">
        <w:rPr>
          <w:rStyle w:val="normaltextrun"/>
          <w:rFonts w:ascii="Calibri" w:hAnsi="Calibri" w:cs="Calibri"/>
          <w:i/>
          <w:color w:val="1111FB"/>
        </w:rPr>
        <w:t>Expert Participation</w:t>
      </w:r>
    </w:p>
    <w:p w14:paraId="0E38C410" w14:textId="73610201" w:rsidR="00E06587" w:rsidRPr="00E06587" w:rsidRDefault="00E06587" w:rsidP="00E641AA">
      <w:pPr>
        <w:autoSpaceDE w:val="0"/>
        <w:autoSpaceDN w:val="0"/>
        <w:adjustRightInd w:val="0"/>
        <w:spacing w:after="0" w:line="240" w:lineRule="auto"/>
        <w:rPr>
          <w:rFonts w:cstheme="minorHAnsi"/>
          <w:color w:val="1111FB"/>
        </w:rPr>
      </w:pPr>
      <w:r>
        <w:rPr>
          <w:rStyle w:val="normaltextrun"/>
          <w:rFonts w:ascii="Calibri" w:hAnsi="Calibri" w:cs="Calibri"/>
          <w:color w:val="1111FB"/>
        </w:rPr>
        <w:t xml:space="preserve">The NCQA HEDIS Expert Coding Panel reviewed and provided feedback on staff recommendations. Names and credentials of the experts who served on these panels are listed under </w:t>
      </w:r>
      <w:r w:rsidRPr="00FA1A18">
        <w:rPr>
          <w:rStyle w:val="normaltextrun"/>
          <w:rFonts w:ascii="Calibri" w:hAnsi="Calibri" w:cs="Calibri"/>
          <w:color w:val="1111FB"/>
        </w:rPr>
        <w:t>Additional Information, Ad. 1. Workgroup/Expert Panel Involved in Measure Development.</w:t>
      </w:r>
    </w:p>
    <w:p w14:paraId="07A18155" w14:textId="77777777" w:rsidR="00045941" w:rsidRPr="00C530E5" w:rsidRDefault="00045941" w:rsidP="00DB3627">
      <w:pPr>
        <w:autoSpaceDE w:val="0"/>
        <w:autoSpaceDN w:val="0"/>
        <w:adjustRightInd w:val="0"/>
        <w:spacing w:after="0" w:line="240" w:lineRule="auto"/>
        <w:rPr>
          <w:rFonts w:cstheme="minorHAnsi"/>
          <w:bCs/>
          <w:color w:val="4F81BD" w:themeColor="accent1"/>
        </w:rPr>
      </w:pPr>
    </w:p>
    <w:p w14:paraId="0CABCFDE" w14:textId="34226DAA" w:rsidR="007422FD" w:rsidRPr="00D84CB3" w:rsidRDefault="009C7513" w:rsidP="00092566">
      <w:pPr>
        <w:autoSpaceDE w:val="0"/>
        <w:autoSpaceDN w:val="0"/>
        <w:adjustRightInd w:val="0"/>
        <w:spacing w:after="0" w:line="240" w:lineRule="auto"/>
        <w:rPr>
          <w:rFonts w:cstheme="minorHAnsi"/>
          <w:bCs/>
          <w:color w:val="1111FB"/>
        </w:rPr>
      </w:pPr>
      <w:r>
        <w:rPr>
          <w:rFonts w:cstheme="minorHAnsi"/>
          <w:b/>
          <w:bCs/>
        </w:rPr>
        <w:t>2b1</w:t>
      </w:r>
      <w:r w:rsidR="00092566">
        <w:rPr>
          <w:rFonts w:cstheme="minorHAnsi"/>
          <w:b/>
          <w:bCs/>
        </w:rPr>
        <w:t>.</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C530E5">
        <w:rPr>
          <w:rFonts w:cstheme="minorHAnsi"/>
          <w:bCs/>
          <w:i/>
        </w:rPr>
        <w:t xml:space="preserve">e.g., correlation; </w:t>
      </w:r>
      <w:r w:rsidR="001F1DA1" w:rsidRPr="00C530E5">
        <w:rPr>
          <w:rFonts w:cstheme="minorHAnsi"/>
          <w:bCs/>
          <w:i/>
        </w:rPr>
        <w:t>t-test</w:t>
      </w:r>
      <w:r w:rsidR="00AA5213" w:rsidRPr="00C530E5">
        <w:rPr>
          <w:rFonts w:cstheme="minorHAnsi"/>
          <w:bCs/>
        </w:rPr>
        <w:t>)</w:t>
      </w:r>
    </w:p>
    <w:p w14:paraId="4ED642D6" w14:textId="79BB18C6" w:rsidR="007B2E0D" w:rsidRPr="00F143B6" w:rsidRDefault="007B2E0D" w:rsidP="007B2E0D">
      <w:pPr>
        <w:autoSpaceDE w:val="0"/>
        <w:autoSpaceDN w:val="0"/>
        <w:adjustRightInd w:val="0"/>
        <w:spacing w:after="0" w:line="240" w:lineRule="auto"/>
        <w:rPr>
          <w:rFonts w:cstheme="minorHAnsi"/>
          <w:bCs/>
          <w:color w:val="1111FB"/>
        </w:rPr>
      </w:pPr>
      <w:r w:rsidRPr="00D84CB3">
        <w:rPr>
          <w:rFonts w:cstheme="minorHAnsi"/>
          <w:color w:val="1111FB"/>
        </w:rPr>
        <w:t xml:space="preserve">The results from construct validity testing of the health plan level measure are presented by product line in Tables </w:t>
      </w:r>
      <w:r w:rsidR="005D60C4" w:rsidRPr="00D84CB3">
        <w:rPr>
          <w:rFonts w:cstheme="minorHAnsi"/>
          <w:color w:val="1111FB"/>
        </w:rPr>
        <w:t>3</w:t>
      </w:r>
      <w:r w:rsidRPr="00D84CB3">
        <w:rPr>
          <w:rFonts w:cstheme="minorHAnsi"/>
          <w:color w:val="1111FB"/>
        </w:rPr>
        <w:t xml:space="preserve">a, </w:t>
      </w:r>
      <w:r w:rsidR="005D60C4" w:rsidRPr="00D84CB3">
        <w:rPr>
          <w:rFonts w:cstheme="minorHAnsi"/>
          <w:color w:val="1111FB"/>
        </w:rPr>
        <w:t>3</w:t>
      </w:r>
      <w:r w:rsidRPr="00D84CB3">
        <w:rPr>
          <w:rFonts w:cstheme="minorHAnsi"/>
          <w:color w:val="1111FB"/>
        </w:rPr>
        <w:t xml:space="preserve">b, and </w:t>
      </w:r>
      <w:r w:rsidR="005D60C4" w:rsidRPr="00D84CB3">
        <w:rPr>
          <w:rFonts w:cstheme="minorHAnsi"/>
          <w:color w:val="1111FB"/>
        </w:rPr>
        <w:t>3</w:t>
      </w:r>
      <w:r w:rsidRPr="00D84CB3">
        <w:rPr>
          <w:rFonts w:cstheme="minorHAnsi"/>
          <w:color w:val="1111FB"/>
        </w:rPr>
        <w:t>c below.</w:t>
      </w:r>
    </w:p>
    <w:p w14:paraId="19B26A21" w14:textId="6C9E33C0" w:rsidR="00A72AC9" w:rsidRDefault="00A72AC9" w:rsidP="007B2E0D">
      <w:pPr>
        <w:autoSpaceDE w:val="0"/>
        <w:autoSpaceDN w:val="0"/>
        <w:adjustRightInd w:val="0"/>
        <w:spacing w:after="0" w:line="240" w:lineRule="auto"/>
        <w:rPr>
          <w:rFonts w:cstheme="minorHAnsi"/>
          <w:color w:val="1111FB"/>
        </w:rPr>
      </w:pPr>
    </w:p>
    <w:p w14:paraId="0C343CB2" w14:textId="58F579ED" w:rsidR="00A72AC9" w:rsidRPr="00F143B6" w:rsidRDefault="00A72AC9" w:rsidP="007B2E0D">
      <w:pPr>
        <w:autoSpaceDE w:val="0"/>
        <w:autoSpaceDN w:val="0"/>
        <w:adjustRightInd w:val="0"/>
        <w:spacing w:after="0" w:line="240" w:lineRule="auto"/>
        <w:rPr>
          <w:rFonts w:cstheme="minorHAnsi"/>
          <w:bCs/>
          <w:color w:val="1111FB"/>
        </w:rPr>
      </w:pPr>
      <w:r w:rsidRPr="00A72AC9">
        <w:rPr>
          <w:rFonts w:cstheme="minorHAnsi"/>
          <w:bCs/>
          <w:color w:val="1111FB"/>
        </w:rPr>
        <w:lastRenderedPageBreak/>
        <w:t xml:space="preserve">Note: A lower rate indicates better performance for this </w:t>
      </w:r>
      <w:r w:rsidR="006A2E5A">
        <w:rPr>
          <w:rFonts w:cstheme="minorHAnsi"/>
          <w:bCs/>
          <w:color w:val="1111FB"/>
        </w:rPr>
        <w:t>measure</w:t>
      </w:r>
      <w:r w:rsidRPr="00A72AC9">
        <w:rPr>
          <w:rFonts w:cstheme="minorHAnsi"/>
          <w:bCs/>
          <w:color w:val="1111FB"/>
        </w:rPr>
        <w:t xml:space="preserve"> (i.e., low rates of poor control indicate better care)</w:t>
      </w:r>
      <w:r>
        <w:rPr>
          <w:rFonts w:cstheme="minorHAnsi"/>
          <w:bCs/>
          <w:color w:val="1111FB"/>
        </w:rPr>
        <w:t xml:space="preserve">, which explains the negative relationship with the other </w:t>
      </w:r>
      <w:r w:rsidR="006A2E5A">
        <w:rPr>
          <w:rFonts w:cstheme="minorHAnsi"/>
          <w:bCs/>
          <w:color w:val="1111FB"/>
        </w:rPr>
        <w:t>measures, for which a higher rate indicates better performance.</w:t>
      </w:r>
    </w:p>
    <w:tbl>
      <w:tblPr>
        <w:tblW w:w="9450" w:type="dxa"/>
        <w:jc w:val="center"/>
        <w:tblLayout w:type="fixed"/>
        <w:tblLook w:val="04A0" w:firstRow="1" w:lastRow="0" w:firstColumn="1" w:lastColumn="0" w:noHBand="0" w:noVBand="1"/>
      </w:tblPr>
      <w:tblGrid>
        <w:gridCol w:w="1739"/>
        <w:gridCol w:w="1256"/>
        <w:gridCol w:w="1642"/>
        <w:gridCol w:w="1159"/>
        <w:gridCol w:w="1944"/>
        <w:gridCol w:w="1710"/>
      </w:tblGrid>
      <w:tr w:rsidR="007869AE" w:rsidRPr="00D96B86" w14:paraId="4C774B67" w14:textId="77777777" w:rsidTr="00D85F42">
        <w:trPr>
          <w:trHeight w:val="197"/>
          <w:jc w:val="center"/>
        </w:trPr>
        <w:tc>
          <w:tcPr>
            <w:tcW w:w="9450" w:type="dxa"/>
            <w:gridSpan w:val="6"/>
            <w:tcBorders>
              <w:top w:val="nil"/>
              <w:left w:val="nil"/>
              <w:bottom w:val="nil"/>
              <w:right w:val="nil"/>
            </w:tcBorders>
          </w:tcPr>
          <w:p w14:paraId="508C3FBA" w14:textId="77777777" w:rsidR="007869AE" w:rsidRPr="00D96B86" w:rsidRDefault="007869AE" w:rsidP="00D85F42">
            <w:pPr>
              <w:spacing w:after="0" w:line="240" w:lineRule="auto"/>
              <w:rPr>
                <w:rFonts w:ascii="Calibri" w:eastAsia="Times New Roman" w:hAnsi="Calibri" w:cs="Calibri"/>
                <w:bCs/>
                <w:color w:val="1111FB"/>
              </w:rPr>
            </w:pPr>
          </w:p>
          <w:p w14:paraId="2F759238" w14:textId="77777777" w:rsidR="007869AE" w:rsidRPr="00D96B86" w:rsidRDefault="007869AE" w:rsidP="00D85F42">
            <w:pPr>
              <w:spacing w:after="0" w:line="240" w:lineRule="auto"/>
              <w:ind w:left="-105"/>
              <w:rPr>
                <w:rFonts w:ascii="Calibri" w:eastAsia="Times New Roman" w:hAnsi="Calibri" w:cs="Calibri"/>
                <w:bCs/>
                <w:color w:val="1111FB"/>
              </w:rPr>
            </w:pPr>
            <w:r w:rsidRPr="00D96B86">
              <w:rPr>
                <w:rFonts w:ascii="Calibri" w:eastAsia="Times New Roman" w:hAnsi="Calibri" w:cs="Calibri"/>
                <w:bCs/>
                <w:color w:val="1111FB"/>
              </w:rPr>
              <w:t>Table 3</w:t>
            </w:r>
            <w:r>
              <w:rPr>
                <w:rFonts w:ascii="Calibri" w:eastAsia="Times New Roman" w:hAnsi="Calibri" w:cs="Calibri"/>
                <w:bCs/>
                <w:color w:val="1111FB"/>
              </w:rPr>
              <w:t>a</w:t>
            </w:r>
            <w:r w:rsidRPr="00D96B86">
              <w:rPr>
                <w:rFonts w:ascii="Calibri" w:eastAsia="Times New Roman" w:hAnsi="Calibri" w:cs="Calibri"/>
                <w:bCs/>
                <w:color w:val="1111FB"/>
              </w:rPr>
              <w:t xml:space="preserve">. Correlations among Diabetes Measures in </w:t>
            </w:r>
            <w:r>
              <w:rPr>
                <w:rFonts w:ascii="Calibri" w:eastAsia="Times New Roman" w:hAnsi="Calibri" w:cs="Calibri"/>
                <w:bCs/>
                <w:color w:val="1111FB"/>
              </w:rPr>
              <w:t>Commercial</w:t>
            </w:r>
            <w:r w:rsidRPr="00D96B86">
              <w:rPr>
                <w:rFonts w:ascii="Calibri" w:eastAsia="Times New Roman" w:hAnsi="Calibri" w:cs="Calibri"/>
                <w:bCs/>
                <w:color w:val="1111FB"/>
              </w:rPr>
              <w:t xml:space="preserve"> Health Plans, 2018.</w:t>
            </w:r>
          </w:p>
        </w:tc>
      </w:tr>
      <w:tr w:rsidR="007869AE" w:rsidRPr="00D96B86" w14:paraId="4574D53D" w14:textId="77777777" w:rsidTr="00D85F42">
        <w:trPr>
          <w:trHeight w:val="197"/>
          <w:jc w:val="center"/>
        </w:trPr>
        <w:tc>
          <w:tcPr>
            <w:tcW w:w="1739"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17949F30" w14:textId="77777777" w:rsidR="007869AE" w:rsidRPr="00D96B86" w:rsidRDefault="007869AE" w:rsidP="00D85F42">
            <w:pPr>
              <w:spacing w:after="0" w:line="240" w:lineRule="auto"/>
              <w:ind w:left="-285"/>
              <w:jc w:val="center"/>
              <w:rPr>
                <w:rFonts w:ascii="Calibri" w:eastAsia="Times New Roman" w:hAnsi="Calibri" w:cs="Calibri"/>
                <w:b/>
                <w:bCs/>
                <w:color w:val="1111FB"/>
              </w:rPr>
            </w:pPr>
          </w:p>
        </w:tc>
        <w:tc>
          <w:tcPr>
            <w:tcW w:w="7711" w:type="dxa"/>
            <w:gridSpan w:val="5"/>
            <w:tcBorders>
              <w:top w:val="single" w:sz="8" w:space="0" w:color="auto"/>
              <w:left w:val="nil"/>
              <w:bottom w:val="single" w:sz="4" w:space="0" w:color="auto"/>
              <w:right w:val="single" w:sz="4" w:space="0" w:color="auto"/>
            </w:tcBorders>
            <w:shd w:val="clear" w:color="auto" w:fill="BFBFBF" w:themeFill="background1" w:themeFillShade="BF"/>
          </w:tcPr>
          <w:p w14:paraId="3BABB613" w14:textId="77777777" w:rsidR="007869AE" w:rsidRPr="00D96B86" w:rsidRDefault="007869AE" w:rsidP="00D85F42">
            <w:pPr>
              <w:spacing w:after="0" w:line="240" w:lineRule="auto"/>
              <w:jc w:val="center"/>
              <w:rPr>
                <w:rFonts w:ascii="Calibri" w:eastAsia="Times New Roman" w:hAnsi="Calibri" w:cs="Calibri"/>
                <w:b/>
                <w:bCs/>
                <w:color w:val="1111FB"/>
              </w:rPr>
            </w:pPr>
            <w:r w:rsidRPr="00D96B86">
              <w:rPr>
                <w:rFonts w:ascii="Calibri" w:eastAsia="Times New Roman" w:hAnsi="Calibri" w:cs="Calibri"/>
                <w:b/>
                <w:bCs/>
                <w:color w:val="1111FB"/>
              </w:rPr>
              <w:t>Pearson Correlation Coefficients</w:t>
            </w:r>
          </w:p>
        </w:tc>
      </w:tr>
      <w:tr w:rsidR="007869AE" w:rsidRPr="00D96B86" w14:paraId="7D9C7660" w14:textId="77777777" w:rsidTr="00D85F42">
        <w:trPr>
          <w:trHeight w:val="197"/>
          <w:jc w:val="center"/>
        </w:trPr>
        <w:tc>
          <w:tcPr>
            <w:tcW w:w="1739" w:type="dxa"/>
            <w:vMerge/>
            <w:tcBorders>
              <w:top w:val="single" w:sz="8" w:space="0" w:color="auto"/>
              <w:left w:val="single" w:sz="8" w:space="0" w:color="auto"/>
              <w:bottom w:val="single" w:sz="8" w:space="0" w:color="000000"/>
              <w:right w:val="single" w:sz="4" w:space="0" w:color="auto"/>
            </w:tcBorders>
            <w:vAlign w:val="center"/>
            <w:hideMark/>
          </w:tcPr>
          <w:p w14:paraId="2E2552F0" w14:textId="77777777" w:rsidR="007869AE" w:rsidRPr="00D96B86" w:rsidRDefault="007869AE" w:rsidP="00D85F42">
            <w:pPr>
              <w:spacing w:after="0" w:line="240" w:lineRule="auto"/>
              <w:rPr>
                <w:rFonts w:ascii="Calibri" w:eastAsia="Times New Roman" w:hAnsi="Calibri" w:cs="Calibri"/>
                <w:b/>
                <w:bCs/>
                <w:color w:val="1111FB"/>
              </w:rPr>
            </w:pPr>
          </w:p>
        </w:tc>
        <w:tc>
          <w:tcPr>
            <w:tcW w:w="125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8EB897E" w14:textId="77777777" w:rsidR="007869AE" w:rsidRPr="00D96B86" w:rsidRDefault="007869AE" w:rsidP="00D85F42">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HbA1c Testing</w:t>
            </w:r>
          </w:p>
        </w:tc>
        <w:tc>
          <w:tcPr>
            <w:tcW w:w="1642" w:type="dxa"/>
            <w:tcBorders>
              <w:top w:val="nil"/>
              <w:left w:val="single" w:sz="8" w:space="0" w:color="auto"/>
              <w:bottom w:val="single" w:sz="4" w:space="0" w:color="auto"/>
              <w:right w:val="single" w:sz="4" w:space="0" w:color="auto"/>
            </w:tcBorders>
            <w:shd w:val="clear" w:color="auto" w:fill="auto"/>
            <w:noWrap/>
            <w:vAlign w:val="center"/>
            <w:hideMark/>
          </w:tcPr>
          <w:p w14:paraId="2F068B7A" w14:textId="46164F68" w:rsidR="007869AE" w:rsidRPr="00D96B86" w:rsidRDefault="007869AE" w:rsidP="00D85F42">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HbA1c Control (</w:t>
            </w:r>
            <w:r w:rsidR="0017648F">
              <w:rPr>
                <w:rFonts w:ascii="Calibri" w:eastAsia="Times New Roman" w:hAnsi="Calibri" w:cs="Calibri"/>
                <w:color w:val="1111FB"/>
              </w:rPr>
              <w:t>&lt;8</w:t>
            </w:r>
            <w:r w:rsidRPr="00D96B86">
              <w:rPr>
                <w:rFonts w:ascii="Calibri" w:eastAsia="Times New Roman" w:hAnsi="Calibri" w:cs="Calibri"/>
                <w:color w:val="1111FB"/>
              </w:rPr>
              <w:t>.0%)</w:t>
            </w:r>
          </w:p>
        </w:tc>
        <w:tc>
          <w:tcPr>
            <w:tcW w:w="1159" w:type="dxa"/>
            <w:tcBorders>
              <w:top w:val="nil"/>
              <w:left w:val="single" w:sz="8" w:space="0" w:color="auto"/>
              <w:bottom w:val="single" w:sz="4" w:space="0" w:color="auto"/>
              <w:right w:val="single" w:sz="4" w:space="0" w:color="auto"/>
            </w:tcBorders>
            <w:shd w:val="clear" w:color="auto" w:fill="auto"/>
            <w:noWrap/>
            <w:vAlign w:val="center"/>
            <w:hideMark/>
          </w:tcPr>
          <w:p w14:paraId="2921A5F5" w14:textId="77777777" w:rsidR="007869AE" w:rsidRPr="00D96B86" w:rsidRDefault="007869AE" w:rsidP="00D85F42">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Eye Exams</w:t>
            </w:r>
          </w:p>
        </w:tc>
        <w:tc>
          <w:tcPr>
            <w:tcW w:w="1944" w:type="dxa"/>
            <w:tcBorders>
              <w:top w:val="nil"/>
              <w:left w:val="single" w:sz="8" w:space="0" w:color="auto"/>
              <w:bottom w:val="single" w:sz="4" w:space="0" w:color="auto"/>
              <w:right w:val="single" w:sz="4" w:space="0" w:color="auto"/>
            </w:tcBorders>
            <w:vAlign w:val="center"/>
          </w:tcPr>
          <w:p w14:paraId="0AE86B4B" w14:textId="77777777" w:rsidR="007869AE" w:rsidRPr="00D96B86" w:rsidRDefault="007869AE" w:rsidP="00D85F42">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Medical Attention for Diabetic Nephropathy</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68D412" w14:textId="77777777" w:rsidR="007869AE" w:rsidRPr="00D96B86" w:rsidRDefault="007869AE" w:rsidP="00D85F42">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Blood Pressure Control &lt;140/90</w:t>
            </w:r>
          </w:p>
        </w:tc>
      </w:tr>
      <w:tr w:rsidR="007869AE" w:rsidRPr="00D96B86" w14:paraId="42A08A31" w14:textId="77777777" w:rsidTr="00D85F42">
        <w:trPr>
          <w:trHeight w:val="189"/>
          <w:jc w:val="center"/>
        </w:trPr>
        <w:tc>
          <w:tcPr>
            <w:tcW w:w="1739" w:type="dxa"/>
            <w:tcBorders>
              <w:top w:val="nil"/>
              <w:left w:val="single" w:sz="8" w:space="0" w:color="auto"/>
              <w:bottom w:val="single" w:sz="4" w:space="0" w:color="auto"/>
              <w:right w:val="single" w:sz="4" w:space="0" w:color="auto"/>
            </w:tcBorders>
            <w:shd w:val="clear" w:color="auto" w:fill="auto"/>
            <w:noWrap/>
            <w:vAlign w:val="bottom"/>
            <w:hideMark/>
          </w:tcPr>
          <w:p w14:paraId="767637C9" w14:textId="5129E426" w:rsidR="007869AE" w:rsidRPr="00D96B86" w:rsidRDefault="007869AE" w:rsidP="00D85F42">
            <w:pPr>
              <w:spacing w:after="0" w:line="240" w:lineRule="auto"/>
              <w:rPr>
                <w:rFonts w:ascii="Calibri" w:eastAsia="Times New Roman" w:hAnsi="Calibri" w:cs="Calibri"/>
                <w:color w:val="1111FB"/>
              </w:rPr>
            </w:pPr>
            <w:r w:rsidRPr="00D96B86">
              <w:rPr>
                <w:rFonts w:ascii="Calibri" w:eastAsia="Times New Roman" w:hAnsi="Calibri" w:cs="Calibri"/>
                <w:color w:val="1111FB"/>
              </w:rPr>
              <w:t xml:space="preserve">HbA1c </w:t>
            </w:r>
            <w:r w:rsidR="007A60EF">
              <w:rPr>
                <w:rFonts w:ascii="Calibri" w:eastAsia="Times New Roman" w:hAnsi="Calibri" w:cs="Calibri"/>
                <w:color w:val="1111FB"/>
              </w:rPr>
              <w:t xml:space="preserve">Poor </w:t>
            </w:r>
            <w:r w:rsidRPr="00D96B86">
              <w:rPr>
                <w:rFonts w:ascii="Calibri" w:eastAsia="Times New Roman" w:hAnsi="Calibri" w:cs="Calibri"/>
                <w:color w:val="1111FB"/>
              </w:rPr>
              <w:t xml:space="preserve">Control </w:t>
            </w:r>
            <w:r w:rsidR="007A60EF">
              <w:rPr>
                <w:rFonts w:ascii="Calibri" w:eastAsia="Times New Roman" w:hAnsi="Calibri" w:cs="Calibri"/>
                <w:color w:val="1111FB"/>
              </w:rPr>
              <w:t>&gt;9</w:t>
            </w:r>
            <w:r w:rsidRPr="00D96B86">
              <w:rPr>
                <w:rFonts w:ascii="Calibri" w:eastAsia="Times New Roman" w:hAnsi="Calibri" w:cs="Calibri"/>
                <w:color w:val="1111FB"/>
              </w:rPr>
              <w:t>.0%)</w:t>
            </w:r>
          </w:p>
        </w:tc>
        <w:tc>
          <w:tcPr>
            <w:tcW w:w="1256" w:type="dxa"/>
            <w:tcBorders>
              <w:top w:val="nil"/>
              <w:left w:val="nil"/>
              <w:bottom w:val="single" w:sz="4" w:space="0" w:color="auto"/>
              <w:right w:val="single" w:sz="4" w:space="0" w:color="auto"/>
            </w:tcBorders>
            <w:shd w:val="clear" w:color="auto" w:fill="auto"/>
            <w:noWrap/>
            <w:vAlign w:val="center"/>
          </w:tcPr>
          <w:p w14:paraId="3046FE0D" w14:textId="14A5F8E0" w:rsidR="007869AE" w:rsidRPr="00D96B86" w:rsidRDefault="00FB4747" w:rsidP="00D85F42">
            <w:pPr>
              <w:spacing w:after="0" w:line="240" w:lineRule="auto"/>
              <w:jc w:val="center"/>
              <w:rPr>
                <w:rFonts w:ascii="Calibri" w:eastAsia="Times New Roman" w:hAnsi="Calibri" w:cs="Calibri"/>
                <w:color w:val="1111FB"/>
              </w:rPr>
            </w:pPr>
            <w:r>
              <w:rPr>
                <w:rFonts w:ascii="Calibri" w:eastAsia="Times New Roman" w:hAnsi="Calibri" w:cs="Calibri"/>
                <w:color w:val="1111FB"/>
              </w:rPr>
              <w:t>-0.</w:t>
            </w:r>
            <w:r w:rsidR="00032FB9">
              <w:rPr>
                <w:rFonts w:ascii="Calibri" w:eastAsia="Times New Roman" w:hAnsi="Calibri" w:cs="Calibri"/>
                <w:color w:val="1111FB"/>
              </w:rPr>
              <w:t>3266</w:t>
            </w:r>
          </w:p>
        </w:tc>
        <w:tc>
          <w:tcPr>
            <w:tcW w:w="1642" w:type="dxa"/>
            <w:tcBorders>
              <w:top w:val="nil"/>
              <w:left w:val="nil"/>
              <w:bottom w:val="single" w:sz="4" w:space="0" w:color="auto"/>
              <w:right w:val="single" w:sz="4" w:space="0" w:color="auto"/>
            </w:tcBorders>
            <w:shd w:val="clear" w:color="auto" w:fill="auto"/>
            <w:noWrap/>
            <w:vAlign w:val="center"/>
          </w:tcPr>
          <w:p w14:paraId="2E8CFF15" w14:textId="24FFE596" w:rsidR="007869AE" w:rsidRPr="00D96B86" w:rsidRDefault="0017648F" w:rsidP="00D85F42">
            <w:pPr>
              <w:spacing w:after="0" w:line="240" w:lineRule="auto"/>
              <w:jc w:val="center"/>
              <w:rPr>
                <w:rFonts w:ascii="Calibri" w:eastAsia="Times New Roman" w:hAnsi="Calibri" w:cs="Calibri"/>
                <w:color w:val="1111FB"/>
              </w:rPr>
            </w:pPr>
            <w:r>
              <w:rPr>
                <w:rFonts w:ascii="Calibri" w:eastAsia="Times New Roman" w:hAnsi="Calibri" w:cs="Calibri"/>
                <w:color w:val="1111FB"/>
              </w:rPr>
              <w:t>-0.</w:t>
            </w:r>
            <w:r w:rsidR="00EC455C">
              <w:rPr>
                <w:rFonts w:ascii="Calibri" w:eastAsia="Times New Roman" w:hAnsi="Calibri" w:cs="Calibri"/>
                <w:color w:val="1111FB"/>
              </w:rPr>
              <w:t>9896</w:t>
            </w:r>
          </w:p>
        </w:tc>
        <w:tc>
          <w:tcPr>
            <w:tcW w:w="1159" w:type="dxa"/>
            <w:tcBorders>
              <w:top w:val="nil"/>
              <w:left w:val="nil"/>
              <w:bottom w:val="single" w:sz="4" w:space="0" w:color="auto"/>
              <w:right w:val="single" w:sz="4" w:space="0" w:color="auto"/>
            </w:tcBorders>
            <w:shd w:val="clear" w:color="auto" w:fill="auto"/>
            <w:noWrap/>
            <w:vAlign w:val="center"/>
          </w:tcPr>
          <w:p w14:paraId="7222919B" w14:textId="7A7B4A3C" w:rsidR="007869AE" w:rsidRPr="00D96B86" w:rsidRDefault="00EC455C" w:rsidP="00D85F42">
            <w:pPr>
              <w:spacing w:after="0" w:line="240" w:lineRule="auto"/>
              <w:jc w:val="center"/>
              <w:rPr>
                <w:rFonts w:ascii="Calibri" w:eastAsia="Times New Roman" w:hAnsi="Calibri" w:cs="Calibri"/>
                <w:color w:val="1111FB"/>
              </w:rPr>
            </w:pPr>
            <w:r>
              <w:rPr>
                <w:rFonts w:ascii="Calibri" w:eastAsia="Times New Roman" w:hAnsi="Calibri" w:cs="Calibri"/>
                <w:color w:val="1111FB"/>
              </w:rPr>
              <w:t>-0.4370</w:t>
            </w:r>
          </w:p>
        </w:tc>
        <w:tc>
          <w:tcPr>
            <w:tcW w:w="1944" w:type="dxa"/>
            <w:tcBorders>
              <w:top w:val="nil"/>
              <w:left w:val="nil"/>
              <w:bottom w:val="single" w:sz="4" w:space="0" w:color="auto"/>
              <w:right w:val="single" w:sz="4" w:space="0" w:color="auto"/>
            </w:tcBorders>
            <w:shd w:val="clear" w:color="auto" w:fill="auto"/>
            <w:vAlign w:val="center"/>
          </w:tcPr>
          <w:p w14:paraId="3338E45D" w14:textId="376C3DB0" w:rsidR="007869AE" w:rsidRPr="00D96B86" w:rsidRDefault="00EC455C" w:rsidP="00D85F42">
            <w:pPr>
              <w:spacing w:after="0" w:line="240" w:lineRule="auto"/>
              <w:jc w:val="center"/>
              <w:rPr>
                <w:rFonts w:ascii="Calibri" w:eastAsia="Times New Roman" w:hAnsi="Calibri" w:cs="Calibri"/>
                <w:color w:val="1111FB"/>
              </w:rPr>
            </w:pPr>
            <w:r>
              <w:rPr>
                <w:rFonts w:ascii="Calibri" w:eastAsia="Times New Roman" w:hAnsi="Calibri" w:cs="Calibri"/>
                <w:color w:val="1111FB"/>
              </w:rPr>
              <w:t>-0.3419</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289DA3C5" w14:textId="3D931B80" w:rsidR="007869AE" w:rsidRPr="00D96B86" w:rsidRDefault="00EC455C" w:rsidP="00D85F42">
            <w:pPr>
              <w:spacing w:after="0" w:line="240" w:lineRule="auto"/>
              <w:jc w:val="center"/>
              <w:rPr>
                <w:rFonts w:ascii="Calibri" w:eastAsia="Times New Roman" w:hAnsi="Calibri" w:cs="Calibri"/>
                <w:color w:val="1111FB"/>
              </w:rPr>
            </w:pPr>
            <w:r>
              <w:rPr>
                <w:rFonts w:ascii="Calibri" w:eastAsia="Times New Roman" w:hAnsi="Calibri" w:cs="Calibri"/>
                <w:color w:val="1111FB"/>
              </w:rPr>
              <w:t>-0.</w:t>
            </w:r>
            <w:r w:rsidR="00D35032">
              <w:rPr>
                <w:rFonts w:ascii="Calibri" w:eastAsia="Times New Roman" w:hAnsi="Calibri" w:cs="Calibri"/>
                <w:color w:val="1111FB"/>
              </w:rPr>
              <w:t>8986</w:t>
            </w:r>
          </w:p>
        </w:tc>
      </w:tr>
    </w:tbl>
    <w:p w14:paraId="2B264980" w14:textId="0DC760D7" w:rsidR="007B2E0D" w:rsidRPr="007869AE" w:rsidRDefault="007869AE" w:rsidP="00092566">
      <w:pPr>
        <w:autoSpaceDE w:val="0"/>
        <w:autoSpaceDN w:val="0"/>
        <w:adjustRightInd w:val="0"/>
        <w:spacing w:after="0" w:line="240" w:lineRule="auto"/>
        <w:rPr>
          <w:color w:val="1111FB"/>
        </w:rPr>
      </w:pPr>
      <w:r w:rsidRPr="00D96B86">
        <w:rPr>
          <w:rFonts w:ascii="Calibri" w:eastAsia="Times New Roman" w:hAnsi="Calibri" w:cs="Calibri"/>
          <w:color w:val="1111FB"/>
        </w:rPr>
        <w:t xml:space="preserve">Note: All correlations are significant at </w:t>
      </w:r>
      <w:r w:rsidRPr="00D96B86">
        <w:rPr>
          <w:color w:val="1111FB"/>
        </w:rPr>
        <w:t>p&lt;0.0001</w:t>
      </w:r>
    </w:p>
    <w:tbl>
      <w:tblPr>
        <w:tblW w:w="9450" w:type="dxa"/>
        <w:jc w:val="center"/>
        <w:tblLayout w:type="fixed"/>
        <w:tblLook w:val="04A0" w:firstRow="1" w:lastRow="0" w:firstColumn="1" w:lastColumn="0" w:noHBand="0" w:noVBand="1"/>
      </w:tblPr>
      <w:tblGrid>
        <w:gridCol w:w="1739"/>
        <w:gridCol w:w="1256"/>
        <w:gridCol w:w="1642"/>
        <w:gridCol w:w="1159"/>
        <w:gridCol w:w="1944"/>
        <w:gridCol w:w="1710"/>
      </w:tblGrid>
      <w:tr w:rsidR="007869AE" w:rsidRPr="00D96B86" w14:paraId="3FC8B3CC" w14:textId="77777777" w:rsidTr="00D85F42">
        <w:trPr>
          <w:trHeight w:val="197"/>
          <w:jc w:val="center"/>
        </w:trPr>
        <w:tc>
          <w:tcPr>
            <w:tcW w:w="9450" w:type="dxa"/>
            <w:gridSpan w:val="6"/>
            <w:tcBorders>
              <w:top w:val="nil"/>
              <w:left w:val="nil"/>
              <w:bottom w:val="nil"/>
              <w:right w:val="nil"/>
            </w:tcBorders>
          </w:tcPr>
          <w:p w14:paraId="48BF5827" w14:textId="77777777" w:rsidR="007869AE" w:rsidRPr="00D96B86" w:rsidRDefault="007869AE" w:rsidP="00D85F42">
            <w:pPr>
              <w:spacing w:after="0" w:line="240" w:lineRule="auto"/>
              <w:rPr>
                <w:rFonts w:ascii="Calibri" w:eastAsia="Times New Roman" w:hAnsi="Calibri" w:cs="Calibri"/>
                <w:bCs/>
                <w:color w:val="1111FB"/>
              </w:rPr>
            </w:pPr>
          </w:p>
          <w:p w14:paraId="6FA59EC4" w14:textId="5532CE16" w:rsidR="007869AE" w:rsidRPr="00D96B86" w:rsidRDefault="007869AE" w:rsidP="00D85F42">
            <w:pPr>
              <w:spacing w:after="0" w:line="240" w:lineRule="auto"/>
              <w:ind w:left="-105"/>
              <w:rPr>
                <w:rFonts w:ascii="Calibri" w:eastAsia="Times New Roman" w:hAnsi="Calibri" w:cs="Calibri"/>
                <w:bCs/>
                <w:color w:val="1111FB"/>
              </w:rPr>
            </w:pPr>
            <w:r w:rsidRPr="00D96B86">
              <w:rPr>
                <w:rFonts w:ascii="Calibri" w:eastAsia="Times New Roman" w:hAnsi="Calibri" w:cs="Calibri"/>
                <w:bCs/>
                <w:color w:val="1111FB"/>
              </w:rPr>
              <w:t>Table 3</w:t>
            </w:r>
            <w:r>
              <w:rPr>
                <w:rFonts w:ascii="Calibri" w:eastAsia="Times New Roman" w:hAnsi="Calibri" w:cs="Calibri"/>
                <w:bCs/>
                <w:color w:val="1111FB"/>
              </w:rPr>
              <w:t>b</w:t>
            </w:r>
            <w:r w:rsidRPr="00D96B86">
              <w:rPr>
                <w:rFonts w:ascii="Calibri" w:eastAsia="Times New Roman" w:hAnsi="Calibri" w:cs="Calibri"/>
                <w:bCs/>
                <w:color w:val="1111FB"/>
              </w:rPr>
              <w:t xml:space="preserve">. Correlations among Diabetes Measures in </w:t>
            </w:r>
            <w:r>
              <w:rPr>
                <w:rFonts w:ascii="Calibri" w:eastAsia="Times New Roman" w:hAnsi="Calibri" w:cs="Calibri"/>
                <w:bCs/>
                <w:color w:val="1111FB"/>
              </w:rPr>
              <w:t>Medi</w:t>
            </w:r>
            <w:r w:rsidR="0083512B">
              <w:rPr>
                <w:rFonts w:ascii="Calibri" w:eastAsia="Times New Roman" w:hAnsi="Calibri" w:cs="Calibri"/>
                <w:bCs/>
                <w:color w:val="1111FB"/>
              </w:rPr>
              <w:t>caid</w:t>
            </w:r>
            <w:r>
              <w:rPr>
                <w:rFonts w:ascii="Calibri" w:eastAsia="Times New Roman" w:hAnsi="Calibri" w:cs="Calibri"/>
                <w:bCs/>
                <w:color w:val="1111FB"/>
              </w:rPr>
              <w:t xml:space="preserve"> </w:t>
            </w:r>
            <w:r w:rsidRPr="00D96B86">
              <w:rPr>
                <w:rFonts w:ascii="Calibri" w:eastAsia="Times New Roman" w:hAnsi="Calibri" w:cs="Calibri"/>
                <w:bCs/>
                <w:color w:val="1111FB"/>
              </w:rPr>
              <w:t>Health Plans, 2018.</w:t>
            </w:r>
          </w:p>
        </w:tc>
      </w:tr>
      <w:tr w:rsidR="007869AE" w:rsidRPr="00D96B86" w14:paraId="7CFCB6FA" w14:textId="77777777" w:rsidTr="00D85F42">
        <w:trPr>
          <w:trHeight w:val="197"/>
          <w:jc w:val="center"/>
        </w:trPr>
        <w:tc>
          <w:tcPr>
            <w:tcW w:w="1739"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11A676D9" w14:textId="77777777" w:rsidR="007869AE" w:rsidRPr="00D96B86" w:rsidRDefault="007869AE" w:rsidP="00D85F42">
            <w:pPr>
              <w:spacing w:after="0" w:line="240" w:lineRule="auto"/>
              <w:ind w:left="-285"/>
              <w:jc w:val="center"/>
              <w:rPr>
                <w:rFonts w:ascii="Calibri" w:eastAsia="Times New Roman" w:hAnsi="Calibri" w:cs="Calibri"/>
                <w:b/>
                <w:bCs/>
                <w:color w:val="1111FB"/>
              </w:rPr>
            </w:pPr>
          </w:p>
        </w:tc>
        <w:tc>
          <w:tcPr>
            <w:tcW w:w="7711" w:type="dxa"/>
            <w:gridSpan w:val="5"/>
            <w:tcBorders>
              <w:top w:val="single" w:sz="8" w:space="0" w:color="auto"/>
              <w:left w:val="nil"/>
              <w:bottom w:val="single" w:sz="4" w:space="0" w:color="auto"/>
              <w:right w:val="single" w:sz="4" w:space="0" w:color="auto"/>
            </w:tcBorders>
            <w:shd w:val="clear" w:color="auto" w:fill="BFBFBF" w:themeFill="background1" w:themeFillShade="BF"/>
          </w:tcPr>
          <w:p w14:paraId="3A2A1F3A" w14:textId="77777777" w:rsidR="007869AE" w:rsidRPr="00D96B86" w:rsidRDefault="007869AE" w:rsidP="00D85F42">
            <w:pPr>
              <w:spacing w:after="0" w:line="240" w:lineRule="auto"/>
              <w:jc w:val="center"/>
              <w:rPr>
                <w:rFonts w:ascii="Calibri" w:eastAsia="Times New Roman" w:hAnsi="Calibri" w:cs="Calibri"/>
                <w:b/>
                <w:bCs/>
                <w:color w:val="1111FB"/>
              </w:rPr>
            </w:pPr>
            <w:r w:rsidRPr="00D96B86">
              <w:rPr>
                <w:rFonts w:ascii="Calibri" w:eastAsia="Times New Roman" w:hAnsi="Calibri" w:cs="Calibri"/>
                <w:b/>
                <w:bCs/>
                <w:color w:val="1111FB"/>
              </w:rPr>
              <w:t>Pearson Correlation Coefficients</w:t>
            </w:r>
          </w:p>
        </w:tc>
      </w:tr>
      <w:tr w:rsidR="007869AE" w:rsidRPr="00D96B86" w14:paraId="1FDD3038" w14:textId="77777777" w:rsidTr="00D85F42">
        <w:trPr>
          <w:trHeight w:val="197"/>
          <w:jc w:val="center"/>
        </w:trPr>
        <w:tc>
          <w:tcPr>
            <w:tcW w:w="1739" w:type="dxa"/>
            <w:vMerge/>
            <w:tcBorders>
              <w:top w:val="single" w:sz="8" w:space="0" w:color="auto"/>
              <w:left w:val="single" w:sz="8" w:space="0" w:color="auto"/>
              <w:bottom w:val="single" w:sz="8" w:space="0" w:color="000000"/>
              <w:right w:val="single" w:sz="4" w:space="0" w:color="auto"/>
            </w:tcBorders>
            <w:vAlign w:val="center"/>
            <w:hideMark/>
          </w:tcPr>
          <w:p w14:paraId="06049CE5" w14:textId="77777777" w:rsidR="007869AE" w:rsidRPr="00D96B86" w:rsidRDefault="007869AE" w:rsidP="00D85F42">
            <w:pPr>
              <w:spacing w:after="0" w:line="240" w:lineRule="auto"/>
              <w:rPr>
                <w:rFonts w:ascii="Calibri" w:eastAsia="Times New Roman" w:hAnsi="Calibri" w:cs="Calibri"/>
                <w:b/>
                <w:bCs/>
                <w:color w:val="1111FB"/>
              </w:rPr>
            </w:pPr>
          </w:p>
        </w:tc>
        <w:tc>
          <w:tcPr>
            <w:tcW w:w="125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A03AB45" w14:textId="77777777" w:rsidR="007869AE" w:rsidRPr="00D96B86" w:rsidRDefault="007869AE" w:rsidP="00D85F42">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HbA1c Testing</w:t>
            </w:r>
          </w:p>
        </w:tc>
        <w:tc>
          <w:tcPr>
            <w:tcW w:w="1642" w:type="dxa"/>
            <w:tcBorders>
              <w:top w:val="nil"/>
              <w:left w:val="single" w:sz="8" w:space="0" w:color="auto"/>
              <w:bottom w:val="single" w:sz="4" w:space="0" w:color="auto"/>
              <w:right w:val="single" w:sz="4" w:space="0" w:color="auto"/>
            </w:tcBorders>
            <w:shd w:val="clear" w:color="auto" w:fill="auto"/>
            <w:noWrap/>
            <w:vAlign w:val="center"/>
            <w:hideMark/>
          </w:tcPr>
          <w:p w14:paraId="79CE6B1A" w14:textId="66946BD7" w:rsidR="007869AE" w:rsidRPr="00D96B86" w:rsidRDefault="007869AE" w:rsidP="00D85F42">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HbA1c Control (</w:t>
            </w:r>
            <w:r w:rsidR="0017648F">
              <w:rPr>
                <w:rFonts w:ascii="Calibri" w:eastAsia="Times New Roman" w:hAnsi="Calibri" w:cs="Calibri"/>
                <w:color w:val="1111FB"/>
              </w:rPr>
              <w:t>&lt;8</w:t>
            </w:r>
            <w:r w:rsidRPr="00D96B86">
              <w:rPr>
                <w:rFonts w:ascii="Calibri" w:eastAsia="Times New Roman" w:hAnsi="Calibri" w:cs="Calibri"/>
                <w:color w:val="1111FB"/>
              </w:rPr>
              <w:t>.0%)</w:t>
            </w:r>
          </w:p>
        </w:tc>
        <w:tc>
          <w:tcPr>
            <w:tcW w:w="1159" w:type="dxa"/>
            <w:tcBorders>
              <w:top w:val="nil"/>
              <w:left w:val="single" w:sz="8" w:space="0" w:color="auto"/>
              <w:bottom w:val="single" w:sz="4" w:space="0" w:color="auto"/>
              <w:right w:val="single" w:sz="4" w:space="0" w:color="auto"/>
            </w:tcBorders>
            <w:shd w:val="clear" w:color="auto" w:fill="auto"/>
            <w:noWrap/>
            <w:vAlign w:val="center"/>
            <w:hideMark/>
          </w:tcPr>
          <w:p w14:paraId="7EEFBA27" w14:textId="77777777" w:rsidR="007869AE" w:rsidRPr="00D96B86" w:rsidRDefault="007869AE" w:rsidP="00D85F42">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Eye Exams</w:t>
            </w:r>
          </w:p>
        </w:tc>
        <w:tc>
          <w:tcPr>
            <w:tcW w:w="1944" w:type="dxa"/>
            <w:tcBorders>
              <w:top w:val="nil"/>
              <w:left w:val="single" w:sz="8" w:space="0" w:color="auto"/>
              <w:bottom w:val="single" w:sz="4" w:space="0" w:color="auto"/>
              <w:right w:val="single" w:sz="4" w:space="0" w:color="auto"/>
            </w:tcBorders>
            <w:vAlign w:val="center"/>
          </w:tcPr>
          <w:p w14:paraId="4DC57828" w14:textId="77777777" w:rsidR="007869AE" w:rsidRPr="00D96B86" w:rsidRDefault="007869AE" w:rsidP="00D85F42">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Medical Attention for Diabetic Nephropathy</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9F7877" w14:textId="77777777" w:rsidR="007869AE" w:rsidRPr="00D96B86" w:rsidRDefault="007869AE" w:rsidP="00D85F42">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Blood Pressure Control &lt;140/90</w:t>
            </w:r>
          </w:p>
        </w:tc>
      </w:tr>
      <w:tr w:rsidR="007869AE" w:rsidRPr="00D96B86" w14:paraId="3D588A56" w14:textId="77777777" w:rsidTr="00D85F42">
        <w:trPr>
          <w:trHeight w:val="189"/>
          <w:jc w:val="center"/>
        </w:trPr>
        <w:tc>
          <w:tcPr>
            <w:tcW w:w="1739" w:type="dxa"/>
            <w:tcBorders>
              <w:top w:val="nil"/>
              <w:left w:val="single" w:sz="8" w:space="0" w:color="auto"/>
              <w:bottom w:val="single" w:sz="4" w:space="0" w:color="auto"/>
              <w:right w:val="single" w:sz="4" w:space="0" w:color="auto"/>
            </w:tcBorders>
            <w:shd w:val="clear" w:color="auto" w:fill="auto"/>
            <w:noWrap/>
            <w:vAlign w:val="bottom"/>
            <w:hideMark/>
          </w:tcPr>
          <w:p w14:paraId="038F96A9" w14:textId="053D0C02" w:rsidR="007869AE" w:rsidRPr="00D96B86" w:rsidRDefault="007869AE" w:rsidP="00D85F42">
            <w:pPr>
              <w:spacing w:after="0" w:line="240" w:lineRule="auto"/>
              <w:rPr>
                <w:rFonts w:ascii="Calibri" w:eastAsia="Times New Roman" w:hAnsi="Calibri" w:cs="Calibri"/>
                <w:color w:val="1111FB"/>
              </w:rPr>
            </w:pPr>
            <w:r w:rsidRPr="00D96B86">
              <w:rPr>
                <w:rFonts w:ascii="Calibri" w:eastAsia="Times New Roman" w:hAnsi="Calibri" w:cs="Calibri"/>
                <w:color w:val="1111FB"/>
              </w:rPr>
              <w:t xml:space="preserve">HbA1c </w:t>
            </w:r>
            <w:r w:rsidR="007A60EF">
              <w:rPr>
                <w:rFonts w:ascii="Calibri" w:eastAsia="Times New Roman" w:hAnsi="Calibri" w:cs="Calibri"/>
                <w:color w:val="1111FB"/>
              </w:rPr>
              <w:t xml:space="preserve">Poor </w:t>
            </w:r>
            <w:r w:rsidRPr="00D96B86">
              <w:rPr>
                <w:rFonts w:ascii="Calibri" w:eastAsia="Times New Roman" w:hAnsi="Calibri" w:cs="Calibri"/>
                <w:color w:val="1111FB"/>
              </w:rPr>
              <w:t xml:space="preserve">Control </w:t>
            </w:r>
            <w:r w:rsidR="007A60EF">
              <w:rPr>
                <w:rFonts w:ascii="Calibri" w:eastAsia="Times New Roman" w:hAnsi="Calibri" w:cs="Calibri"/>
                <w:color w:val="1111FB"/>
              </w:rPr>
              <w:t>&gt;9</w:t>
            </w:r>
            <w:r w:rsidRPr="00D96B86">
              <w:rPr>
                <w:rFonts w:ascii="Calibri" w:eastAsia="Times New Roman" w:hAnsi="Calibri" w:cs="Calibri"/>
                <w:color w:val="1111FB"/>
              </w:rPr>
              <w:t>.0%)</w:t>
            </w:r>
          </w:p>
        </w:tc>
        <w:tc>
          <w:tcPr>
            <w:tcW w:w="1256" w:type="dxa"/>
            <w:tcBorders>
              <w:top w:val="nil"/>
              <w:left w:val="nil"/>
              <w:bottom w:val="single" w:sz="4" w:space="0" w:color="auto"/>
              <w:right w:val="single" w:sz="4" w:space="0" w:color="auto"/>
            </w:tcBorders>
            <w:shd w:val="clear" w:color="auto" w:fill="auto"/>
            <w:noWrap/>
            <w:vAlign w:val="center"/>
          </w:tcPr>
          <w:p w14:paraId="36937B5B" w14:textId="19A6DED2" w:rsidR="007869AE" w:rsidRPr="00D96B86" w:rsidRDefault="00D35032" w:rsidP="00D85F42">
            <w:pPr>
              <w:spacing w:after="0" w:line="240" w:lineRule="auto"/>
              <w:jc w:val="center"/>
              <w:rPr>
                <w:rFonts w:ascii="Calibri" w:eastAsia="Times New Roman" w:hAnsi="Calibri" w:cs="Calibri"/>
                <w:color w:val="1111FB"/>
              </w:rPr>
            </w:pPr>
            <w:r>
              <w:rPr>
                <w:rFonts w:ascii="Calibri" w:eastAsia="Times New Roman" w:hAnsi="Calibri" w:cs="Calibri"/>
                <w:color w:val="1111FB"/>
              </w:rPr>
              <w:t>-0.6663</w:t>
            </w:r>
          </w:p>
        </w:tc>
        <w:tc>
          <w:tcPr>
            <w:tcW w:w="1642" w:type="dxa"/>
            <w:tcBorders>
              <w:top w:val="nil"/>
              <w:left w:val="nil"/>
              <w:bottom w:val="single" w:sz="4" w:space="0" w:color="auto"/>
              <w:right w:val="single" w:sz="4" w:space="0" w:color="auto"/>
            </w:tcBorders>
            <w:shd w:val="clear" w:color="auto" w:fill="auto"/>
            <w:noWrap/>
            <w:vAlign w:val="center"/>
          </w:tcPr>
          <w:p w14:paraId="52F0211B" w14:textId="134962D5" w:rsidR="007869AE" w:rsidRPr="00D96B86" w:rsidRDefault="00D35032" w:rsidP="00D85F42">
            <w:pPr>
              <w:spacing w:after="0" w:line="240" w:lineRule="auto"/>
              <w:jc w:val="center"/>
              <w:rPr>
                <w:rFonts w:ascii="Calibri" w:eastAsia="Times New Roman" w:hAnsi="Calibri" w:cs="Calibri"/>
                <w:color w:val="1111FB"/>
              </w:rPr>
            </w:pPr>
            <w:r>
              <w:rPr>
                <w:rFonts w:ascii="Calibri" w:eastAsia="Times New Roman" w:hAnsi="Calibri" w:cs="Calibri"/>
                <w:color w:val="1111FB"/>
              </w:rPr>
              <w:t>-0.</w:t>
            </w:r>
            <w:r w:rsidR="00D23095">
              <w:rPr>
                <w:rFonts w:ascii="Calibri" w:eastAsia="Times New Roman" w:hAnsi="Calibri" w:cs="Calibri"/>
                <w:color w:val="1111FB"/>
              </w:rPr>
              <w:t>9868</w:t>
            </w:r>
          </w:p>
        </w:tc>
        <w:tc>
          <w:tcPr>
            <w:tcW w:w="1159" w:type="dxa"/>
            <w:tcBorders>
              <w:top w:val="nil"/>
              <w:left w:val="nil"/>
              <w:bottom w:val="single" w:sz="4" w:space="0" w:color="auto"/>
              <w:right w:val="single" w:sz="4" w:space="0" w:color="auto"/>
            </w:tcBorders>
            <w:shd w:val="clear" w:color="auto" w:fill="auto"/>
            <w:noWrap/>
            <w:vAlign w:val="center"/>
          </w:tcPr>
          <w:p w14:paraId="6132FAD9" w14:textId="3415FA51" w:rsidR="007869AE" w:rsidRPr="00D96B86" w:rsidRDefault="00D23095" w:rsidP="00D85F42">
            <w:pPr>
              <w:spacing w:after="0" w:line="240" w:lineRule="auto"/>
              <w:jc w:val="center"/>
              <w:rPr>
                <w:rFonts w:ascii="Calibri" w:eastAsia="Times New Roman" w:hAnsi="Calibri" w:cs="Calibri"/>
                <w:color w:val="1111FB"/>
              </w:rPr>
            </w:pPr>
            <w:r>
              <w:rPr>
                <w:rFonts w:ascii="Calibri" w:eastAsia="Times New Roman" w:hAnsi="Calibri" w:cs="Calibri"/>
                <w:color w:val="1111FB"/>
              </w:rPr>
              <w:t>-0.6275</w:t>
            </w:r>
          </w:p>
        </w:tc>
        <w:tc>
          <w:tcPr>
            <w:tcW w:w="1944" w:type="dxa"/>
            <w:tcBorders>
              <w:top w:val="nil"/>
              <w:left w:val="nil"/>
              <w:bottom w:val="single" w:sz="4" w:space="0" w:color="auto"/>
              <w:right w:val="single" w:sz="4" w:space="0" w:color="auto"/>
            </w:tcBorders>
            <w:shd w:val="clear" w:color="auto" w:fill="auto"/>
            <w:vAlign w:val="center"/>
          </w:tcPr>
          <w:p w14:paraId="7BCE4233" w14:textId="31B2D3F1" w:rsidR="007869AE" w:rsidRPr="00D96B86" w:rsidRDefault="00D23095" w:rsidP="00D85F42">
            <w:pPr>
              <w:spacing w:after="0" w:line="240" w:lineRule="auto"/>
              <w:jc w:val="center"/>
              <w:rPr>
                <w:rFonts w:ascii="Calibri" w:eastAsia="Times New Roman" w:hAnsi="Calibri" w:cs="Calibri"/>
                <w:color w:val="1111FB"/>
              </w:rPr>
            </w:pPr>
            <w:r>
              <w:rPr>
                <w:rFonts w:ascii="Calibri" w:eastAsia="Times New Roman" w:hAnsi="Calibri" w:cs="Calibri"/>
                <w:color w:val="1111FB"/>
              </w:rPr>
              <w:t>-0.3286</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32CEA9E5" w14:textId="2A3CC76E" w:rsidR="007869AE" w:rsidRPr="00D96B86" w:rsidRDefault="00D23095" w:rsidP="00D85F42">
            <w:pPr>
              <w:spacing w:after="0" w:line="240" w:lineRule="auto"/>
              <w:jc w:val="center"/>
              <w:rPr>
                <w:rFonts w:ascii="Calibri" w:eastAsia="Times New Roman" w:hAnsi="Calibri" w:cs="Calibri"/>
                <w:color w:val="1111FB"/>
              </w:rPr>
            </w:pPr>
            <w:r>
              <w:rPr>
                <w:rFonts w:ascii="Calibri" w:eastAsia="Times New Roman" w:hAnsi="Calibri" w:cs="Calibri"/>
                <w:color w:val="1111FB"/>
              </w:rPr>
              <w:t>-0.7820</w:t>
            </w:r>
          </w:p>
        </w:tc>
      </w:tr>
    </w:tbl>
    <w:p w14:paraId="08BFDE69" w14:textId="77777777" w:rsidR="007869AE" w:rsidRPr="00D2021B" w:rsidRDefault="007869AE" w:rsidP="007869AE">
      <w:pPr>
        <w:autoSpaceDE w:val="0"/>
        <w:autoSpaceDN w:val="0"/>
        <w:adjustRightInd w:val="0"/>
        <w:spacing w:after="0" w:line="240" w:lineRule="auto"/>
        <w:rPr>
          <w:color w:val="1111FB"/>
        </w:rPr>
      </w:pPr>
      <w:r w:rsidRPr="00D96B86">
        <w:rPr>
          <w:rFonts w:ascii="Calibri" w:eastAsia="Times New Roman" w:hAnsi="Calibri" w:cs="Calibri"/>
          <w:color w:val="1111FB"/>
        </w:rPr>
        <w:t xml:space="preserve">Note: All correlations are significant at </w:t>
      </w:r>
      <w:r w:rsidRPr="00D96B86">
        <w:rPr>
          <w:color w:val="1111FB"/>
        </w:rPr>
        <w:t>p&lt;0.0001</w:t>
      </w:r>
    </w:p>
    <w:tbl>
      <w:tblPr>
        <w:tblW w:w="9450" w:type="dxa"/>
        <w:jc w:val="center"/>
        <w:tblLayout w:type="fixed"/>
        <w:tblLook w:val="04A0" w:firstRow="1" w:lastRow="0" w:firstColumn="1" w:lastColumn="0" w:noHBand="0" w:noVBand="1"/>
      </w:tblPr>
      <w:tblGrid>
        <w:gridCol w:w="1739"/>
        <w:gridCol w:w="1256"/>
        <w:gridCol w:w="1642"/>
        <w:gridCol w:w="1159"/>
        <w:gridCol w:w="1944"/>
        <w:gridCol w:w="1710"/>
      </w:tblGrid>
      <w:tr w:rsidR="00A95F17" w:rsidRPr="00D96B86" w14:paraId="66DDCC93" w14:textId="77777777" w:rsidTr="00750855">
        <w:trPr>
          <w:trHeight w:val="197"/>
          <w:jc w:val="center"/>
        </w:trPr>
        <w:tc>
          <w:tcPr>
            <w:tcW w:w="9450" w:type="dxa"/>
            <w:gridSpan w:val="6"/>
            <w:tcBorders>
              <w:top w:val="nil"/>
              <w:left w:val="nil"/>
              <w:bottom w:val="nil"/>
              <w:right w:val="nil"/>
            </w:tcBorders>
          </w:tcPr>
          <w:p w14:paraId="20703F21" w14:textId="77777777" w:rsidR="00A95F17" w:rsidRPr="00D96B86" w:rsidRDefault="00A95F17" w:rsidP="00750855">
            <w:pPr>
              <w:spacing w:after="0" w:line="240" w:lineRule="auto"/>
              <w:rPr>
                <w:rFonts w:ascii="Calibri" w:eastAsia="Times New Roman" w:hAnsi="Calibri" w:cs="Calibri"/>
                <w:bCs/>
                <w:color w:val="1111FB"/>
              </w:rPr>
            </w:pPr>
          </w:p>
          <w:p w14:paraId="0D3289D1" w14:textId="48B14F0F" w:rsidR="00A95F17" w:rsidRPr="00D96B86" w:rsidRDefault="00A95F17" w:rsidP="00750855">
            <w:pPr>
              <w:spacing w:after="0" w:line="240" w:lineRule="auto"/>
              <w:ind w:left="-105"/>
              <w:rPr>
                <w:rFonts w:ascii="Calibri" w:eastAsia="Times New Roman" w:hAnsi="Calibri" w:cs="Calibri"/>
                <w:bCs/>
                <w:color w:val="1111FB"/>
              </w:rPr>
            </w:pPr>
            <w:r w:rsidRPr="00D96B86">
              <w:rPr>
                <w:rFonts w:ascii="Calibri" w:eastAsia="Times New Roman" w:hAnsi="Calibri" w:cs="Calibri"/>
                <w:bCs/>
                <w:color w:val="1111FB"/>
              </w:rPr>
              <w:t>Table 3</w:t>
            </w:r>
            <w:r>
              <w:rPr>
                <w:rFonts w:ascii="Calibri" w:eastAsia="Times New Roman" w:hAnsi="Calibri" w:cs="Calibri"/>
                <w:bCs/>
                <w:color w:val="1111FB"/>
              </w:rPr>
              <w:t>c</w:t>
            </w:r>
            <w:r w:rsidRPr="00D96B86">
              <w:rPr>
                <w:rFonts w:ascii="Calibri" w:eastAsia="Times New Roman" w:hAnsi="Calibri" w:cs="Calibri"/>
                <w:bCs/>
                <w:color w:val="1111FB"/>
              </w:rPr>
              <w:t xml:space="preserve">. Correlations among Diabetes Measures in </w:t>
            </w:r>
            <w:r>
              <w:rPr>
                <w:rFonts w:ascii="Calibri" w:eastAsia="Times New Roman" w:hAnsi="Calibri" w:cs="Calibri"/>
                <w:bCs/>
                <w:color w:val="1111FB"/>
              </w:rPr>
              <w:t>Medica</w:t>
            </w:r>
            <w:r w:rsidR="0083512B">
              <w:rPr>
                <w:rFonts w:ascii="Calibri" w:eastAsia="Times New Roman" w:hAnsi="Calibri" w:cs="Calibri"/>
                <w:bCs/>
                <w:color w:val="1111FB"/>
              </w:rPr>
              <w:t>re</w:t>
            </w:r>
            <w:r w:rsidRPr="00D96B86">
              <w:rPr>
                <w:rFonts w:ascii="Calibri" w:eastAsia="Times New Roman" w:hAnsi="Calibri" w:cs="Calibri"/>
                <w:bCs/>
                <w:color w:val="1111FB"/>
              </w:rPr>
              <w:t xml:space="preserve"> Health Plans, 2018.</w:t>
            </w:r>
          </w:p>
        </w:tc>
      </w:tr>
      <w:tr w:rsidR="00A95F17" w:rsidRPr="00D96B86" w14:paraId="252CBD7E" w14:textId="77777777" w:rsidTr="00750855">
        <w:trPr>
          <w:trHeight w:val="197"/>
          <w:jc w:val="center"/>
        </w:trPr>
        <w:tc>
          <w:tcPr>
            <w:tcW w:w="1739" w:type="dxa"/>
            <w:vMerge w:val="restart"/>
            <w:tcBorders>
              <w:top w:val="single" w:sz="8" w:space="0" w:color="auto"/>
              <w:left w:val="single" w:sz="8" w:space="0" w:color="auto"/>
              <w:bottom w:val="single" w:sz="8" w:space="0" w:color="000000" w:themeColor="text1"/>
              <w:right w:val="single" w:sz="4" w:space="0" w:color="auto"/>
            </w:tcBorders>
            <w:shd w:val="clear" w:color="auto" w:fill="BFBFBF" w:themeFill="background1" w:themeFillShade="BF"/>
            <w:vAlign w:val="center"/>
            <w:hideMark/>
          </w:tcPr>
          <w:p w14:paraId="65FDFF56" w14:textId="77777777" w:rsidR="00A95F17" w:rsidRPr="00D96B86" w:rsidRDefault="00A95F17" w:rsidP="00750855">
            <w:pPr>
              <w:spacing w:after="0" w:line="240" w:lineRule="auto"/>
              <w:ind w:left="-285"/>
              <w:jc w:val="center"/>
              <w:rPr>
                <w:rFonts w:ascii="Calibri" w:eastAsia="Times New Roman" w:hAnsi="Calibri" w:cs="Calibri"/>
                <w:b/>
                <w:bCs/>
                <w:color w:val="1111FB"/>
              </w:rPr>
            </w:pPr>
          </w:p>
        </w:tc>
        <w:tc>
          <w:tcPr>
            <w:tcW w:w="7711" w:type="dxa"/>
            <w:gridSpan w:val="5"/>
            <w:tcBorders>
              <w:top w:val="single" w:sz="8" w:space="0" w:color="auto"/>
              <w:left w:val="nil"/>
              <w:bottom w:val="single" w:sz="4" w:space="0" w:color="auto"/>
              <w:right w:val="single" w:sz="4" w:space="0" w:color="auto"/>
            </w:tcBorders>
            <w:shd w:val="clear" w:color="auto" w:fill="BFBFBF" w:themeFill="background1" w:themeFillShade="BF"/>
          </w:tcPr>
          <w:p w14:paraId="5C398193" w14:textId="77777777" w:rsidR="00A95F17" w:rsidRPr="00D96B86" w:rsidRDefault="00A95F17" w:rsidP="00750855">
            <w:pPr>
              <w:spacing w:after="0" w:line="240" w:lineRule="auto"/>
              <w:jc w:val="center"/>
              <w:rPr>
                <w:rFonts w:ascii="Calibri" w:eastAsia="Times New Roman" w:hAnsi="Calibri" w:cs="Calibri"/>
                <w:b/>
                <w:bCs/>
                <w:color w:val="1111FB"/>
              </w:rPr>
            </w:pPr>
            <w:r w:rsidRPr="00D96B86">
              <w:rPr>
                <w:rFonts w:ascii="Calibri" w:eastAsia="Times New Roman" w:hAnsi="Calibri" w:cs="Calibri"/>
                <w:b/>
                <w:bCs/>
                <w:color w:val="1111FB"/>
              </w:rPr>
              <w:t>Pearson Correlation Coefficients</w:t>
            </w:r>
          </w:p>
        </w:tc>
      </w:tr>
      <w:tr w:rsidR="00A95F17" w:rsidRPr="00D96B86" w14:paraId="53B42943" w14:textId="77777777" w:rsidTr="00750855">
        <w:trPr>
          <w:trHeight w:val="197"/>
          <w:jc w:val="center"/>
        </w:trPr>
        <w:tc>
          <w:tcPr>
            <w:tcW w:w="1739" w:type="dxa"/>
            <w:vMerge/>
            <w:tcBorders>
              <w:top w:val="single" w:sz="8" w:space="0" w:color="auto"/>
              <w:left w:val="single" w:sz="8" w:space="0" w:color="auto"/>
              <w:bottom w:val="single" w:sz="8" w:space="0" w:color="000000"/>
              <w:right w:val="single" w:sz="4" w:space="0" w:color="auto"/>
            </w:tcBorders>
            <w:vAlign w:val="center"/>
            <w:hideMark/>
          </w:tcPr>
          <w:p w14:paraId="406E637D" w14:textId="77777777" w:rsidR="00A95F17" w:rsidRPr="00D96B86" w:rsidRDefault="00A95F17" w:rsidP="00750855">
            <w:pPr>
              <w:spacing w:after="0" w:line="240" w:lineRule="auto"/>
              <w:rPr>
                <w:rFonts w:ascii="Calibri" w:eastAsia="Times New Roman" w:hAnsi="Calibri" w:cs="Calibri"/>
                <w:b/>
                <w:bCs/>
                <w:color w:val="1111FB"/>
              </w:rPr>
            </w:pPr>
          </w:p>
        </w:tc>
        <w:tc>
          <w:tcPr>
            <w:tcW w:w="1256"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65EB8EA5" w14:textId="77777777" w:rsidR="00A95F17" w:rsidRPr="00D96B86" w:rsidRDefault="00A95F17" w:rsidP="00750855">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HbA1c Testing</w:t>
            </w:r>
          </w:p>
        </w:tc>
        <w:tc>
          <w:tcPr>
            <w:tcW w:w="1642" w:type="dxa"/>
            <w:tcBorders>
              <w:top w:val="nil"/>
              <w:left w:val="single" w:sz="8" w:space="0" w:color="auto"/>
              <w:bottom w:val="single" w:sz="4" w:space="0" w:color="auto"/>
              <w:right w:val="single" w:sz="4" w:space="0" w:color="auto"/>
            </w:tcBorders>
            <w:shd w:val="clear" w:color="auto" w:fill="auto"/>
            <w:noWrap/>
            <w:vAlign w:val="center"/>
            <w:hideMark/>
          </w:tcPr>
          <w:p w14:paraId="18CC40C9" w14:textId="77777777" w:rsidR="00A95F17" w:rsidRPr="00D96B86" w:rsidRDefault="00A95F17" w:rsidP="00750855">
            <w:pPr>
              <w:spacing w:after="0" w:line="240" w:lineRule="auto"/>
              <w:jc w:val="center"/>
              <w:rPr>
                <w:rFonts w:ascii="Calibri" w:eastAsia="Times New Roman" w:hAnsi="Calibri" w:cs="Calibri"/>
                <w:color w:val="1111FB"/>
              </w:rPr>
            </w:pPr>
            <w:r>
              <w:rPr>
                <w:rFonts w:ascii="Calibri" w:eastAsia="Times New Roman" w:hAnsi="Calibri" w:cs="Calibri"/>
                <w:color w:val="1111FB"/>
              </w:rPr>
              <w:t>HbA1c</w:t>
            </w:r>
            <w:r w:rsidRPr="00D96B86">
              <w:rPr>
                <w:rFonts w:ascii="Calibri" w:eastAsia="Times New Roman" w:hAnsi="Calibri" w:cs="Calibri"/>
                <w:color w:val="1111FB"/>
              </w:rPr>
              <w:t xml:space="preserve"> Control (</w:t>
            </w:r>
            <w:r>
              <w:rPr>
                <w:rFonts w:ascii="Calibri" w:eastAsia="Times New Roman" w:hAnsi="Calibri" w:cs="Calibri"/>
                <w:color w:val="1111FB"/>
              </w:rPr>
              <w:t>&lt;8</w:t>
            </w:r>
            <w:r w:rsidRPr="00D96B86">
              <w:rPr>
                <w:rFonts w:ascii="Calibri" w:eastAsia="Times New Roman" w:hAnsi="Calibri" w:cs="Calibri"/>
                <w:color w:val="1111FB"/>
              </w:rPr>
              <w:t>.0%)</w:t>
            </w:r>
          </w:p>
        </w:tc>
        <w:tc>
          <w:tcPr>
            <w:tcW w:w="1159" w:type="dxa"/>
            <w:tcBorders>
              <w:top w:val="nil"/>
              <w:left w:val="single" w:sz="8" w:space="0" w:color="auto"/>
              <w:bottom w:val="single" w:sz="4" w:space="0" w:color="auto"/>
              <w:right w:val="single" w:sz="4" w:space="0" w:color="auto"/>
            </w:tcBorders>
            <w:shd w:val="clear" w:color="auto" w:fill="auto"/>
            <w:noWrap/>
            <w:vAlign w:val="center"/>
            <w:hideMark/>
          </w:tcPr>
          <w:p w14:paraId="6EDE279F" w14:textId="77777777" w:rsidR="00A95F17" w:rsidRPr="00D96B86" w:rsidRDefault="00A95F17" w:rsidP="00750855">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Eye Exams</w:t>
            </w:r>
          </w:p>
        </w:tc>
        <w:tc>
          <w:tcPr>
            <w:tcW w:w="1944" w:type="dxa"/>
            <w:tcBorders>
              <w:top w:val="nil"/>
              <w:left w:val="single" w:sz="8" w:space="0" w:color="auto"/>
              <w:bottom w:val="single" w:sz="4" w:space="0" w:color="auto"/>
              <w:right w:val="single" w:sz="4" w:space="0" w:color="auto"/>
            </w:tcBorders>
            <w:vAlign w:val="center"/>
          </w:tcPr>
          <w:p w14:paraId="5BA2FF56" w14:textId="77777777" w:rsidR="00A95F17" w:rsidRPr="00D96B86" w:rsidRDefault="00A95F17" w:rsidP="00750855">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Medical Attention for Diabetic Nephropathy</w:t>
            </w:r>
          </w:p>
        </w:tc>
        <w:tc>
          <w:tcPr>
            <w:tcW w:w="17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A7AC2" w14:textId="77777777" w:rsidR="00A95F17" w:rsidRPr="00D96B86" w:rsidRDefault="00A95F17" w:rsidP="00750855">
            <w:pPr>
              <w:spacing w:after="0" w:line="240" w:lineRule="auto"/>
              <w:jc w:val="center"/>
              <w:rPr>
                <w:rFonts w:ascii="Calibri" w:eastAsia="Times New Roman" w:hAnsi="Calibri" w:cs="Calibri"/>
                <w:color w:val="1111FB"/>
              </w:rPr>
            </w:pPr>
            <w:r w:rsidRPr="00D96B86">
              <w:rPr>
                <w:rFonts w:ascii="Calibri" w:eastAsia="Times New Roman" w:hAnsi="Calibri" w:cs="Calibri"/>
                <w:color w:val="1111FB"/>
              </w:rPr>
              <w:t>Blood Pressure Control &lt;140/90</w:t>
            </w:r>
          </w:p>
        </w:tc>
      </w:tr>
      <w:tr w:rsidR="00A95F17" w:rsidRPr="00D96B86" w14:paraId="143F79A9" w14:textId="77777777" w:rsidTr="00750855">
        <w:trPr>
          <w:trHeight w:val="189"/>
          <w:jc w:val="center"/>
        </w:trPr>
        <w:tc>
          <w:tcPr>
            <w:tcW w:w="1739" w:type="dxa"/>
            <w:tcBorders>
              <w:top w:val="nil"/>
              <w:left w:val="single" w:sz="8" w:space="0" w:color="auto"/>
              <w:bottom w:val="single" w:sz="4" w:space="0" w:color="auto"/>
              <w:right w:val="single" w:sz="4" w:space="0" w:color="auto"/>
            </w:tcBorders>
            <w:shd w:val="clear" w:color="auto" w:fill="auto"/>
            <w:noWrap/>
            <w:vAlign w:val="bottom"/>
            <w:hideMark/>
          </w:tcPr>
          <w:p w14:paraId="419FBF70" w14:textId="77777777" w:rsidR="00A95F17" w:rsidRPr="00D96B86" w:rsidRDefault="00A95F17" w:rsidP="00750855">
            <w:pPr>
              <w:spacing w:after="0" w:line="240" w:lineRule="auto"/>
              <w:rPr>
                <w:rFonts w:ascii="Calibri" w:eastAsia="Times New Roman" w:hAnsi="Calibri" w:cs="Calibri"/>
                <w:color w:val="1111FB"/>
              </w:rPr>
            </w:pPr>
            <w:r w:rsidRPr="00D96B86">
              <w:rPr>
                <w:rFonts w:ascii="Calibri" w:eastAsia="Times New Roman" w:hAnsi="Calibri" w:cs="Calibri"/>
                <w:color w:val="1111FB"/>
              </w:rPr>
              <w:t xml:space="preserve">HbA1c </w:t>
            </w:r>
            <w:r>
              <w:rPr>
                <w:rFonts w:ascii="Calibri" w:eastAsia="Times New Roman" w:hAnsi="Calibri" w:cs="Calibri"/>
                <w:color w:val="1111FB"/>
              </w:rPr>
              <w:t xml:space="preserve">Poor </w:t>
            </w:r>
            <w:r w:rsidRPr="00D96B86">
              <w:rPr>
                <w:rFonts w:ascii="Calibri" w:eastAsia="Times New Roman" w:hAnsi="Calibri" w:cs="Calibri"/>
                <w:color w:val="1111FB"/>
              </w:rPr>
              <w:t xml:space="preserve">Control </w:t>
            </w:r>
            <w:r>
              <w:rPr>
                <w:rFonts w:ascii="Calibri" w:eastAsia="Times New Roman" w:hAnsi="Calibri" w:cs="Calibri"/>
                <w:color w:val="1111FB"/>
              </w:rPr>
              <w:t>(&gt;9</w:t>
            </w:r>
            <w:r w:rsidRPr="00D96B86">
              <w:rPr>
                <w:rFonts w:ascii="Calibri" w:eastAsia="Times New Roman" w:hAnsi="Calibri" w:cs="Calibri"/>
                <w:color w:val="1111FB"/>
              </w:rPr>
              <w:t>.0%)</w:t>
            </w:r>
          </w:p>
        </w:tc>
        <w:tc>
          <w:tcPr>
            <w:tcW w:w="1256" w:type="dxa"/>
            <w:tcBorders>
              <w:top w:val="nil"/>
              <w:left w:val="nil"/>
              <w:bottom w:val="single" w:sz="4" w:space="0" w:color="auto"/>
              <w:right w:val="single" w:sz="4" w:space="0" w:color="auto"/>
            </w:tcBorders>
            <w:shd w:val="clear" w:color="auto" w:fill="auto"/>
            <w:noWrap/>
            <w:vAlign w:val="center"/>
          </w:tcPr>
          <w:p w14:paraId="28800C32" w14:textId="77777777" w:rsidR="00A95F17" w:rsidRPr="00D96B86" w:rsidRDefault="00A95F17" w:rsidP="00750855">
            <w:pPr>
              <w:spacing w:after="0" w:line="240" w:lineRule="auto"/>
              <w:jc w:val="center"/>
              <w:rPr>
                <w:rFonts w:ascii="Calibri" w:eastAsia="Times New Roman" w:hAnsi="Calibri" w:cs="Calibri"/>
                <w:color w:val="1111FB"/>
              </w:rPr>
            </w:pPr>
            <w:r>
              <w:rPr>
                <w:rFonts w:ascii="Calibri" w:eastAsia="Times New Roman" w:hAnsi="Calibri" w:cs="Calibri"/>
                <w:color w:val="1111FB"/>
              </w:rPr>
              <w:t>-0.5984</w:t>
            </w:r>
          </w:p>
        </w:tc>
        <w:tc>
          <w:tcPr>
            <w:tcW w:w="1642" w:type="dxa"/>
            <w:tcBorders>
              <w:top w:val="nil"/>
              <w:left w:val="nil"/>
              <w:bottom w:val="single" w:sz="4" w:space="0" w:color="auto"/>
              <w:right w:val="single" w:sz="4" w:space="0" w:color="auto"/>
            </w:tcBorders>
            <w:shd w:val="clear" w:color="auto" w:fill="auto"/>
            <w:noWrap/>
            <w:vAlign w:val="center"/>
          </w:tcPr>
          <w:p w14:paraId="5360B234" w14:textId="77777777" w:rsidR="00A95F17" w:rsidRPr="00D96B86" w:rsidRDefault="00A95F17" w:rsidP="00750855">
            <w:pPr>
              <w:spacing w:after="0" w:line="240" w:lineRule="auto"/>
              <w:jc w:val="center"/>
              <w:rPr>
                <w:rFonts w:ascii="Calibri" w:eastAsia="Times New Roman" w:hAnsi="Calibri" w:cs="Calibri"/>
                <w:color w:val="1111FB"/>
              </w:rPr>
            </w:pPr>
            <w:r>
              <w:rPr>
                <w:rFonts w:ascii="Calibri" w:eastAsia="Times New Roman" w:hAnsi="Calibri" w:cs="Calibri"/>
                <w:color w:val="1111FB"/>
              </w:rPr>
              <w:t>-0.9657</w:t>
            </w:r>
          </w:p>
        </w:tc>
        <w:tc>
          <w:tcPr>
            <w:tcW w:w="1159" w:type="dxa"/>
            <w:tcBorders>
              <w:top w:val="nil"/>
              <w:left w:val="nil"/>
              <w:bottom w:val="single" w:sz="4" w:space="0" w:color="auto"/>
              <w:right w:val="single" w:sz="4" w:space="0" w:color="auto"/>
            </w:tcBorders>
            <w:shd w:val="clear" w:color="auto" w:fill="auto"/>
            <w:noWrap/>
            <w:vAlign w:val="center"/>
          </w:tcPr>
          <w:p w14:paraId="3FA15F24" w14:textId="77777777" w:rsidR="00A95F17" w:rsidRPr="00D96B86" w:rsidRDefault="00A95F17" w:rsidP="00750855">
            <w:pPr>
              <w:spacing w:after="0" w:line="240" w:lineRule="auto"/>
              <w:jc w:val="center"/>
              <w:rPr>
                <w:rFonts w:ascii="Calibri" w:eastAsia="Times New Roman" w:hAnsi="Calibri" w:cs="Calibri"/>
                <w:color w:val="1111FB"/>
              </w:rPr>
            </w:pPr>
            <w:r>
              <w:rPr>
                <w:rFonts w:ascii="Calibri" w:eastAsia="Times New Roman" w:hAnsi="Calibri" w:cs="Calibri"/>
                <w:color w:val="1111FB"/>
              </w:rPr>
              <w:t>-0.6049</w:t>
            </w:r>
          </w:p>
        </w:tc>
        <w:tc>
          <w:tcPr>
            <w:tcW w:w="1944" w:type="dxa"/>
            <w:tcBorders>
              <w:top w:val="nil"/>
              <w:left w:val="nil"/>
              <w:bottom w:val="single" w:sz="4" w:space="0" w:color="auto"/>
              <w:right w:val="single" w:sz="4" w:space="0" w:color="auto"/>
            </w:tcBorders>
            <w:shd w:val="clear" w:color="auto" w:fill="auto"/>
            <w:vAlign w:val="center"/>
          </w:tcPr>
          <w:p w14:paraId="2CCBB149" w14:textId="77777777" w:rsidR="00A95F17" w:rsidRPr="00D96B86" w:rsidRDefault="00A95F17" w:rsidP="00750855">
            <w:pPr>
              <w:spacing w:after="0" w:line="240" w:lineRule="auto"/>
              <w:jc w:val="center"/>
              <w:rPr>
                <w:rFonts w:ascii="Calibri" w:eastAsia="Times New Roman" w:hAnsi="Calibri" w:cs="Calibri"/>
                <w:color w:val="1111FB"/>
              </w:rPr>
            </w:pPr>
            <w:r>
              <w:rPr>
                <w:rFonts w:ascii="Calibri" w:eastAsia="Times New Roman" w:hAnsi="Calibri" w:cs="Calibri"/>
                <w:color w:val="1111FB"/>
              </w:rPr>
              <w:t>-0.4761</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14:paraId="1D5D02C1" w14:textId="77777777" w:rsidR="00A95F17" w:rsidRPr="00D96B86" w:rsidRDefault="00A95F17" w:rsidP="00750855">
            <w:pPr>
              <w:spacing w:after="0" w:line="240" w:lineRule="auto"/>
              <w:jc w:val="center"/>
              <w:rPr>
                <w:rFonts w:ascii="Calibri" w:eastAsia="Times New Roman" w:hAnsi="Calibri" w:cs="Calibri"/>
                <w:color w:val="1111FB"/>
              </w:rPr>
            </w:pPr>
            <w:r>
              <w:rPr>
                <w:rFonts w:ascii="Calibri" w:eastAsia="Times New Roman" w:hAnsi="Calibri" w:cs="Calibri"/>
                <w:color w:val="1111FB"/>
              </w:rPr>
              <w:t>-0.5914</w:t>
            </w:r>
          </w:p>
        </w:tc>
      </w:tr>
    </w:tbl>
    <w:p w14:paraId="25765C4A" w14:textId="606045E7" w:rsidR="007869AE" w:rsidRDefault="007869AE" w:rsidP="00092566">
      <w:pPr>
        <w:autoSpaceDE w:val="0"/>
        <w:autoSpaceDN w:val="0"/>
        <w:adjustRightInd w:val="0"/>
        <w:spacing w:after="0" w:line="240" w:lineRule="auto"/>
        <w:rPr>
          <w:color w:val="1111FB"/>
        </w:rPr>
      </w:pPr>
      <w:r w:rsidRPr="00D96B86">
        <w:rPr>
          <w:rFonts w:ascii="Calibri" w:eastAsia="Times New Roman" w:hAnsi="Calibri" w:cs="Calibri"/>
          <w:color w:val="1111FB"/>
        </w:rPr>
        <w:t xml:space="preserve">Note: All correlations are significant at </w:t>
      </w:r>
      <w:r w:rsidRPr="00D96B86">
        <w:rPr>
          <w:color w:val="1111FB"/>
        </w:rPr>
        <w:t>p&lt;0.0001</w:t>
      </w:r>
    </w:p>
    <w:p w14:paraId="6866A5C1" w14:textId="77777777" w:rsidR="00A95F17" w:rsidRPr="00C530E5" w:rsidRDefault="00A95F17" w:rsidP="00092566">
      <w:pPr>
        <w:autoSpaceDE w:val="0"/>
        <w:autoSpaceDN w:val="0"/>
        <w:adjustRightInd w:val="0"/>
        <w:spacing w:after="0" w:line="240" w:lineRule="auto"/>
        <w:rPr>
          <w:rFonts w:cstheme="minorHAnsi"/>
          <w:bCs/>
        </w:rPr>
      </w:pPr>
    </w:p>
    <w:p w14:paraId="35BEC6CD" w14:textId="6B7006BA" w:rsidR="009C6A0D" w:rsidRDefault="009C7513" w:rsidP="009C6A0D">
      <w:pPr>
        <w:pStyle w:val="paragraph"/>
        <w:spacing w:before="0" w:beforeAutospacing="0" w:after="0" w:afterAutospacing="0"/>
        <w:textAlignment w:val="baseline"/>
        <w:rPr>
          <w:rFonts w:asciiTheme="minorHAnsi" w:hAnsiTheme="minorHAnsi" w:cstheme="minorHAnsi"/>
          <w:color w:val="1111FB"/>
          <w:sz w:val="22"/>
          <w:szCs w:val="22"/>
        </w:rPr>
      </w:pPr>
      <w:r w:rsidRPr="00045150">
        <w:rPr>
          <w:rFonts w:asciiTheme="minorHAnsi" w:hAnsiTheme="minorHAnsi" w:cstheme="minorHAnsi"/>
          <w:b/>
          <w:bCs/>
          <w:sz w:val="22"/>
          <w:szCs w:val="22"/>
        </w:rPr>
        <w:t>2b1</w:t>
      </w:r>
      <w:r w:rsidR="00092566" w:rsidRPr="00045150">
        <w:rPr>
          <w:rFonts w:asciiTheme="minorHAnsi" w:hAnsiTheme="minorHAnsi" w:cstheme="minorHAnsi"/>
          <w:b/>
          <w:bCs/>
          <w:sz w:val="22"/>
          <w:szCs w:val="22"/>
        </w:rPr>
        <w:t>.</w:t>
      </w:r>
      <w:r w:rsidR="007757CE" w:rsidRPr="00045150">
        <w:rPr>
          <w:rFonts w:asciiTheme="minorHAnsi" w:hAnsiTheme="minorHAnsi" w:cstheme="minorHAnsi"/>
          <w:b/>
          <w:bCs/>
          <w:sz w:val="22"/>
          <w:szCs w:val="22"/>
        </w:rPr>
        <w:t xml:space="preserve">4. </w:t>
      </w:r>
      <w:r w:rsidR="000B2DF7" w:rsidRPr="00045150">
        <w:rPr>
          <w:rFonts w:asciiTheme="minorHAnsi" w:hAnsiTheme="minorHAnsi" w:cstheme="minorHAnsi"/>
          <w:b/>
          <w:bCs/>
          <w:sz w:val="22"/>
          <w:szCs w:val="22"/>
        </w:rPr>
        <w:t xml:space="preserve">What is your interpretation of the results </w:t>
      </w:r>
      <w:r w:rsidR="007422FD" w:rsidRPr="00045150">
        <w:rPr>
          <w:rFonts w:asciiTheme="minorHAnsi" w:hAnsiTheme="minorHAnsi" w:cstheme="minorHAnsi"/>
          <w:b/>
          <w:bCs/>
          <w:sz w:val="22"/>
          <w:szCs w:val="22"/>
        </w:rPr>
        <w:t>in terms of demonstrating validity</w:t>
      </w:r>
      <w:r w:rsidR="007422FD" w:rsidRPr="00045150">
        <w:rPr>
          <w:rFonts w:asciiTheme="minorHAnsi" w:hAnsiTheme="minorHAnsi" w:cstheme="minorHAnsi"/>
          <w:bCs/>
          <w:sz w:val="22"/>
          <w:szCs w:val="22"/>
        </w:rPr>
        <w:t xml:space="preserve">? </w:t>
      </w:r>
      <w:r w:rsidR="000B2DF7" w:rsidRPr="00045150">
        <w:rPr>
          <w:rFonts w:asciiTheme="minorHAnsi" w:hAnsiTheme="minorHAnsi" w:cstheme="minorHAnsi"/>
          <w:bCs/>
          <w:sz w:val="22"/>
          <w:szCs w:val="22"/>
        </w:rPr>
        <w:t>(i</w:t>
      </w:r>
      <w:r w:rsidR="000B2DF7" w:rsidRPr="00045150">
        <w:rPr>
          <w:rFonts w:asciiTheme="minorHAnsi" w:hAnsiTheme="minorHAnsi" w:cstheme="minorHAnsi"/>
          <w:bCs/>
          <w:i/>
          <w:sz w:val="22"/>
          <w:szCs w:val="22"/>
        </w:rPr>
        <w:t>.e., what do the results mean and what are the norms for the test conducted</w:t>
      </w:r>
      <w:r w:rsidR="00A25024" w:rsidRPr="00045150">
        <w:rPr>
          <w:rFonts w:asciiTheme="minorHAnsi" w:hAnsiTheme="minorHAnsi" w:cstheme="minorHAnsi"/>
          <w:bCs/>
          <w:i/>
          <w:sz w:val="22"/>
          <w:szCs w:val="22"/>
        </w:rPr>
        <w:t>?</w:t>
      </w:r>
      <w:r w:rsidR="000B2DF7" w:rsidRPr="00045150">
        <w:rPr>
          <w:rFonts w:asciiTheme="minorHAnsi" w:hAnsiTheme="minorHAnsi" w:cstheme="minorHAnsi"/>
          <w:bCs/>
          <w:sz w:val="22"/>
          <w:szCs w:val="22"/>
        </w:rPr>
        <w:t>)</w:t>
      </w:r>
      <w:r w:rsidR="007422FD" w:rsidRPr="00C530E5">
        <w:rPr>
          <w:rFonts w:cstheme="minorHAnsi"/>
          <w:bCs/>
        </w:rPr>
        <w:br/>
      </w:r>
      <w:r w:rsidR="009C6A0D" w:rsidRPr="001A1AC8">
        <w:rPr>
          <w:rFonts w:asciiTheme="minorHAnsi" w:hAnsiTheme="minorHAnsi" w:cstheme="minorHAnsi"/>
          <w:color w:val="1111FB"/>
          <w:sz w:val="22"/>
          <w:szCs w:val="22"/>
        </w:rPr>
        <w:t xml:space="preserve">Across all product lines, the correlations are moderate to </w:t>
      </w:r>
      <w:r w:rsidR="009C6A0D">
        <w:rPr>
          <w:rFonts w:asciiTheme="minorHAnsi" w:hAnsiTheme="minorHAnsi" w:cstheme="minorHAnsi"/>
          <w:color w:val="1111FB"/>
          <w:sz w:val="22"/>
          <w:szCs w:val="22"/>
        </w:rPr>
        <w:t xml:space="preserve">very </w:t>
      </w:r>
      <w:r w:rsidR="009C6A0D" w:rsidRPr="001A1AC8">
        <w:rPr>
          <w:rFonts w:asciiTheme="minorHAnsi" w:hAnsiTheme="minorHAnsi" w:cstheme="minorHAnsi"/>
          <w:color w:val="1111FB"/>
          <w:sz w:val="22"/>
          <w:szCs w:val="22"/>
        </w:rPr>
        <w:t xml:space="preserve">strong and statistically significant. These results confirm the hypothesis that </w:t>
      </w:r>
      <w:r w:rsidR="009C6A0D">
        <w:rPr>
          <w:rFonts w:asciiTheme="minorHAnsi" w:hAnsiTheme="minorHAnsi" w:cstheme="minorHAnsi"/>
          <w:color w:val="1111FB"/>
          <w:sz w:val="22"/>
          <w:szCs w:val="22"/>
        </w:rPr>
        <w:t xml:space="preserve">plan performance on </w:t>
      </w:r>
      <w:r w:rsidR="009C6A0D" w:rsidRPr="001A1AC8">
        <w:rPr>
          <w:rFonts w:asciiTheme="minorHAnsi" w:hAnsiTheme="minorHAnsi" w:cstheme="minorHAnsi"/>
          <w:color w:val="1111FB"/>
          <w:sz w:val="22"/>
          <w:szCs w:val="22"/>
        </w:rPr>
        <w:t>the</w:t>
      </w:r>
      <w:r w:rsidR="009C6A0D">
        <w:rPr>
          <w:rFonts w:asciiTheme="minorHAnsi" w:hAnsiTheme="minorHAnsi" w:cstheme="minorHAnsi"/>
          <w:color w:val="1111FB"/>
          <w:sz w:val="22"/>
          <w:szCs w:val="22"/>
        </w:rPr>
        <w:t>se</w:t>
      </w:r>
      <w:r w:rsidR="009C6A0D" w:rsidRPr="001A1AC8">
        <w:rPr>
          <w:rFonts w:asciiTheme="minorHAnsi" w:hAnsiTheme="minorHAnsi" w:cstheme="minorHAnsi"/>
          <w:color w:val="1111FB"/>
          <w:sz w:val="22"/>
          <w:szCs w:val="22"/>
        </w:rPr>
        <w:t xml:space="preserve"> diabetes measures are correlated with each other. Coefficients with absolute value of less than .3 are generally considered indicative of weak associations. Absolute values of .3 to .59 are considered moderate associations, absolute values of .6 to .69 indicate a strong positive relationship, and absolute values of .7 or higher indicate a very strong positive relationship. </w:t>
      </w:r>
      <w:bookmarkStart w:id="14" w:name="_Hlk502681560"/>
      <w:r w:rsidR="009C6A0D" w:rsidRPr="001A1AC8">
        <w:rPr>
          <w:rFonts w:asciiTheme="minorHAnsi" w:hAnsiTheme="minorHAnsi" w:cstheme="minorHAnsi"/>
          <w:color w:val="1111FB"/>
          <w:sz w:val="22"/>
          <w:szCs w:val="22"/>
        </w:rPr>
        <w:t xml:space="preserve">These correlation results suggest </w:t>
      </w:r>
      <w:r w:rsidR="00BD3985">
        <w:rPr>
          <w:rFonts w:asciiTheme="minorHAnsi" w:hAnsiTheme="minorHAnsi" w:cstheme="minorHAnsi"/>
          <w:color w:val="1111FB"/>
          <w:sz w:val="22"/>
          <w:szCs w:val="22"/>
        </w:rPr>
        <w:t xml:space="preserve">that </w:t>
      </w:r>
      <w:r w:rsidR="000807F7">
        <w:rPr>
          <w:rFonts w:asciiTheme="minorHAnsi" w:hAnsiTheme="minorHAnsi" w:cstheme="minorHAnsi"/>
          <w:color w:val="1111FB"/>
          <w:sz w:val="22"/>
          <w:szCs w:val="22"/>
        </w:rPr>
        <w:t>this plan level</w:t>
      </w:r>
      <w:r w:rsidR="009C6A0D" w:rsidRPr="001A1AC8">
        <w:rPr>
          <w:rFonts w:asciiTheme="minorHAnsi" w:hAnsiTheme="minorHAnsi" w:cstheme="minorHAnsi"/>
          <w:color w:val="1111FB"/>
          <w:sz w:val="22"/>
          <w:szCs w:val="22"/>
        </w:rPr>
        <w:t xml:space="preserve"> measure has sufficient validity.</w:t>
      </w:r>
      <w:bookmarkEnd w:id="14"/>
    </w:p>
    <w:p w14:paraId="72DD7DFC" w14:textId="77777777" w:rsidR="009C6A0D" w:rsidRPr="00101451" w:rsidRDefault="009C6A0D" w:rsidP="009C6A0D">
      <w:pPr>
        <w:pStyle w:val="paragraph"/>
        <w:spacing w:before="0" w:beforeAutospacing="0" w:after="0" w:afterAutospacing="0"/>
        <w:textAlignment w:val="baseline"/>
        <w:rPr>
          <w:rFonts w:asciiTheme="minorHAnsi" w:hAnsiTheme="minorHAnsi" w:cstheme="minorHAnsi"/>
          <w:color w:val="1111FB"/>
          <w:sz w:val="22"/>
          <w:szCs w:val="22"/>
        </w:rPr>
      </w:pPr>
    </w:p>
    <w:p w14:paraId="363732BF" w14:textId="18E909B7" w:rsidR="009C6A0D" w:rsidRPr="00101451" w:rsidRDefault="009C6A0D" w:rsidP="009C6A0D">
      <w:pPr>
        <w:spacing w:after="0" w:line="240" w:lineRule="auto"/>
        <w:rPr>
          <w:i/>
          <w:iCs/>
          <w:color w:val="1111FB"/>
        </w:rPr>
      </w:pPr>
      <w:r w:rsidRPr="00101451">
        <w:rPr>
          <w:i/>
          <w:iCs/>
          <w:color w:val="1111FB"/>
        </w:rPr>
        <w:t xml:space="preserve">Note: </w:t>
      </w:r>
      <w:r w:rsidR="00101451" w:rsidRPr="00101451">
        <w:rPr>
          <w:rStyle w:val="normaltextrun"/>
          <w:rFonts w:ascii="Calibri" w:hAnsi="Calibri" w:cs="Calibri"/>
          <w:i/>
          <w:iCs/>
          <w:color w:val="1111FB"/>
          <w:shd w:val="clear" w:color="auto" w:fill="FFFFFF"/>
        </w:rPr>
        <w:t>The correlation values are all negative because the HbA1c Poor Control measure is a “lower is better quality” measure, while the other measures are “higher is better”</w:t>
      </w:r>
      <w:r w:rsidRPr="00101451">
        <w:rPr>
          <w:i/>
          <w:iCs/>
          <w:color w:val="1111FB"/>
        </w:rPr>
        <w:t>.</w:t>
      </w:r>
      <w:r w:rsidR="00C627C6">
        <w:rPr>
          <w:i/>
          <w:iCs/>
          <w:color w:val="1111FB"/>
        </w:rPr>
        <w:t xml:space="preserve"> This indicates that plans that have low rates on this measure will have high rates on the others.</w:t>
      </w:r>
    </w:p>
    <w:p w14:paraId="7446F02F" w14:textId="6DD34576" w:rsidR="00686843" w:rsidRPr="00C530E5" w:rsidRDefault="00686843" w:rsidP="009C6A0D">
      <w:pPr>
        <w:autoSpaceDE w:val="0"/>
        <w:autoSpaceDN w:val="0"/>
        <w:adjustRightInd w:val="0"/>
        <w:spacing w:after="0" w:line="240" w:lineRule="auto"/>
        <w:rPr>
          <w:rFonts w:cstheme="minorHAnsi"/>
          <w:bCs/>
        </w:rPr>
      </w:pP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07FA2726" w:rsidR="00097012" w:rsidRPr="00A25024" w:rsidRDefault="0013339E" w:rsidP="00DB3627">
      <w:pPr>
        <w:autoSpaceDE w:val="0"/>
        <w:autoSpaceDN w:val="0"/>
        <w:adjustRightInd w:val="0"/>
        <w:spacing w:after="0" w:line="240" w:lineRule="auto"/>
        <w:rPr>
          <w:rFonts w:cstheme="minorHAnsi"/>
          <w:b/>
          <w:bCs/>
        </w:rPr>
      </w:pPr>
      <w:r w:rsidRPr="00A25024">
        <w:rPr>
          <w:rFonts w:cstheme="minorHAnsi"/>
          <w:b/>
          <w:bCs/>
        </w:rPr>
        <w:t>2b</w:t>
      </w:r>
      <w:r>
        <w:rPr>
          <w:rFonts w:cstheme="minorHAnsi"/>
          <w:b/>
          <w:bCs/>
        </w:rPr>
        <w:t>2</w:t>
      </w:r>
      <w:r w:rsidR="009C7513">
        <w:rPr>
          <w:rFonts w:cstheme="minorHAnsi"/>
          <w:b/>
          <w:bCs/>
        </w:rPr>
        <w:t>.</w:t>
      </w:r>
      <w:r w:rsidR="00021170" w:rsidRPr="00A25024">
        <w:rPr>
          <w:rFonts w:cstheme="minorHAnsi"/>
          <w:b/>
          <w:bCs/>
        </w:rPr>
        <w:t xml:space="preserve"> </w:t>
      </w:r>
      <w:r w:rsidR="007E42E8" w:rsidRPr="3C795A04">
        <w:rPr>
          <w:b/>
        </w:rPr>
        <w:t>EXCLUSIONS ANALYSIS</w:t>
      </w:r>
    </w:p>
    <w:p w14:paraId="0CABCFE2" w14:textId="3DC2C131"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lastRenderedPageBreak/>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565946">
          <w:rPr>
            <w:rStyle w:val="Hyperlink"/>
            <w:rFonts w:cstheme="minorHAnsi"/>
            <w:b/>
            <w:bCs/>
            <w:i/>
            <w:highlight w:val="green"/>
          </w:rPr>
          <w:t>3</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0CABCFE4" w14:textId="4980DF7E" w:rsidR="00833325"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C530E5">
        <w:rPr>
          <w:rFonts w:cstheme="minorHAnsi"/>
          <w:bCs/>
          <w:i/>
        </w:rPr>
        <w:t>describe the steps―do not just name a method; what was tested, e.g., whether exclusions affect overall performance scores</w:t>
      </w:r>
      <w:r w:rsidR="0022691B" w:rsidRPr="00C530E5">
        <w:rPr>
          <w:rFonts w:cstheme="minorHAnsi"/>
          <w:bCs/>
          <w:i/>
        </w:rPr>
        <w:t>; what statistical analysis was used</w:t>
      </w:r>
      <w:r w:rsidR="00833325" w:rsidRPr="00C530E5">
        <w:rPr>
          <w:rFonts w:cstheme="minorHAnsi"/>
          <w:bCs/>
        </w:rPr>
        <w:t>)</w:t>
      </w:r>
    </w:p>
    <w:p w14:paraId="28EE0420" w14:textId="77777777" w:rsidR="00CE3325" w:rsidRDefault="00CE3325" w:rsidP="00DB3627">
      <w:pPr>
        <w:autoSpaceDE w:val="0"/>
        <w:autoSpaceDN w:val="0"/>
        <w:adjustRightInd w:val="0"/>
        <w:spacing w:after="0" w:line="240" w:lineRule="auto"/>
        <w:rPr>
          <w:rFonts w:cstheme="minorHAnsi"/>
          <w:bCs/>
          <w:color w:val="1111FB"/>
        </w:rPr>
      </w:pPr>
    </w:p>
    <w:p w14:paraId="0CABCFE5" w14:textId="5031FE1A" w:rsidR="00833325" w:rsidRDefault="004B783B" w:rsidP="00DB3627">
      <w:pPr>
        <w:autoSpaceDE w:val="0"/>
        <w:autoSpaceDN w:val="0"/>
        <w:adjustRightInd w:val="0"/>
        <w:spacing w:after="0" w:line="240" w:lineRule="auto"/>
        <w:rPr>
          <w:rFonts w:cstheme="minorHAnsi"/>
          <w:color w:val="1111FB"/>
        </w:rPr>
      </w:pPr>
      <w:r w:rsidRPr="004B783B">
        <w:rPr>
          <w:rFonts w:cstheme="minorHAnsi"/>
          <w:bCs/>
          <w:color w:val="1111FB"/>
        </w:rPr>
        <w:t>We did not perform testing of the following exclusions for this submission:</w:t>
      </w:r>
    </w:p>
    <w:p w14:paraId="4B4DF1EC" w14:textId="00243144" w:rsidR="004B783B" w:rsidRDefault="004B783B" w:rsidP="004B783B">
      <w:pPr>
        <w:pStyle w:val="ListParagraph"/>
        <w:numPr>
          <w:ilvl w:val="0"/>
          <w:numId w:val="34"/>
        </w:numPr>
        <w:autoSpaceDE w:val="0"/>
        <w:autoSpaceDN w:val="0"/>
        <w:adjustRightInd w:val="0"/>
        <w:spacing w:after="0" w:line="240" w:lineRule="auto"/>
        <w:rPr>
          <w:rFonts w:cstheme="minorHAnsi"/>
          <w:bCs/>
          <w:color w:val="1111FB"/>
        </w:rPr>
      </w:pPr>
      <w:r>
        <w:rPr>
          <w:rFonts w:cstheme="minorHAnsi"/>
          <w:bCs/>
          <w:color w:val="1111FB"/>
        </w:rPr>
        <w:t>Gestational diabetes</w:t>
      </w:r>
    </w:p>
    <w:p w14:paraId="0782A6EB" w14:textId="40E177EB" w:rsidR="004B783B" w:rsidRDefault="004B783B" w:rsidP="004B783B">
      <w:pPr>
        <w:pStyle w:val="ListParagraph"/>
        <w:numPr>
          <w:ilvl w:val="0"/>
          <w:numId w:val="34"/>
        </w:numPr>
        <w:autoSpaceDE w:val="0"/>
        <w:autoSpaceDN w:val="0"/>
        <w:adjustRightInd w:val="0"/>
        <w:spacing w:after="0" w:line="240" w:lineRule="auto"/>
        <w:rPr>
          <w:rFonts w:cstheme="minorHAnsi"/>
          <w:bCs/>
          <w:color w:val="1111FB"/>
        </w:rPr>
      </w:pPr>
      <w:r>
        <w:rPr>
          <w:rFonts w:cstheme="minorHAnsi"/>
          <w:bCs/>
          <w:color w:val="1111FB"/>
        </w:rPr>
        <w:t>Steroid-induced diabetes</w:t>
      </w:r>
    </w:p>
    <w:p w14:paraId="24C242B2" w14:textId="317B05E7" w:rsidR="004B783B" w:rsidRDefault="004B783B" w:rsidP="00CE3325">
      <w:pPr>
        <w:autoSpaceDE w:val="0"/>
        <w:autoSpaceDN w:val="0"/>
        <w:adjustRightInd w:val="0"/>
        <w:spacing w:after="0" w:line="240" w:lineRule="auto"/>
        <w:rPr>
          <w:rFonts w:cstheme="minorHAnsi"/>
          <w:bCs/>
          <w:color w:val="1111FB"/>
        </w:rPr>
      </w:pPr>
    </w:p>
    <w:p w14:paraId="579E4E9A" w14:textId="176C8242" w:rsidR="004B783B" w:rsidRPr="004B783B" w:rsidRDefault="00282C4C" w:rsidP="004B783B">
      <w:pPr>
        <w:autoSpaceDE w:val="0"/>
        <w:autoSpaceDN w:val="0"/>
        <w:adjustRightInd w:val="0"/>
        <w:spacing w:after="0" w:line="240" w:lineRule="auto"/>
        <w:rPr>
          <w:rFonts w:cstheme="minorHAnsi"/>
          <w:bCs/>
          <w:color w:val="1111FB"/>
        </w:rPr>
      </w:pPr>
      <w:r w:rsidRPr="00282C4C">
        <w:rPr>
          <w:rFonts w:cstheme="minorHAnsi"/>
          <w:bCs/>
          <w:color w:val="1111FB"/>
        </w:rPr>
        <w:t>NCQA engaged expert panels to inform the face validity of these exclusions</w:t>
      </w:r>
      <w:r w:rsidR="002B7045">
        <w:rPr>
          <w:rFonts w:cstheme="minorHAnsi"/>
          <w:bCs/>
          <w:color w:val="1111FB"/>
        </w:rPr>
        <w:t xml:space="preserve"> for this measure</w:t>
      </w:r>
      <w:r w:rsidR="00495796">
        <w:rPr>
          <w:rFonts w:cstheme="minorHAnsi"/>
          <w:bCs/>
          <w:color w:val="1111FB"/>
        </w:rPr>
        <w:t xml:space="preserve">, which </w:t>
      </w:r>
      <w:r>
        <w:rPr>
          <w:rFonts w:cstheme="minorHAnsi"/>
          <w:bCs/>
          <w:color w:val="1111FB"/>
        </w:rPr>
        <w:t>align</w:t>
      </w:r>
      <w:r w:rsidR="002B7045">
        <w:rPr>
          <w:rFonts w:cstheme="minorHAnsi"/>
          <w:bCs/>
          <w:color w:val="1111FB"/>
        </w:rPr>
        <w:t>s</w:t>
      </w:r>
      <w:r>
        <w:rPr>
          <w:rFonts w:cstheme="minorHAnsi"/>
          <w:bCs/>
          <w:color w:val="1111FB"/>
        </w:rPr>
        <w:t xml:space="preserve"> with</w:t>
      </w:r>
      <w:r w:rsidR="00495796">
        <w:rPr>
          <w:rFonts w:cstheme="minorHAnsi"/>
          <w:bCs/>
          <w:color w:val="1111FB"/>
        </w:rPr>
        <w:t xml:space="preserve"> evidence focused on the general population of people with Type I or Type II diabetes. </w:t>
      </w:r>
      <w:r w:rsidR="008D0657">
        <w:rPr>
          <w:rFonts w:cstheme="minorHAnsi"/>
          <w:bCs/>
          <w:color w:val="1111FB"/>
        </w:rPr>
        <w:t>T</w:t>
      </w:r>
      <w:r w:rsidR="001B4D23" w:rsidRPr="001B4D23">
        <w:rPr>
          <w:rFonts w:cstheme="minorHAnsi"/>
          <w:bCs/>
          <w:color w:val="1111FB"/>
        </w:rPr>
        <w:t xml:space="preserve">his measure has been reviewed by NCQA’s </w:t>
      </w:r>
      <w:r w:rsidR="001C772B">
        <w:rPr>
          <w:rFonts w:cstheme="minorHAnsi"/>
          <w:bCs/>
          <w:color w:val="1111FB"/>
        </w:rPr>
        <w:t xml:space="preserve">Diabetes Measurement Advisory Panel, </w:t>
      </w:r>
      <w:r w:rsidR="001B4D23" w:rsidRPr="001B4D23">
        <w:rPr>
          <w:rFonts w:cstheme="minorHAnsi"/>
          <w:bCs/>
          <w:color w:val="1111FB"/>
        </w:rPr>
        <w:t>Cardiovascular Measurement Advisory Panel, Technical Measurement Advisory Panel, and the Committee on Performance Measurement. The measure also received public comment feedback upon initial development.</w:t>
      </w:r>
    </w:p>
    <w:p w14:paraId="5F4C73D6" w14:textId="1304B5CE" w:rsidR="004B783B" w:rsidRDefault="004B783B" w:rsidP="00DB3627">
      <w:pPr>
        <w:autoSpaceDE w:val="0"/>
        <w:autoSpaceDN w:val="0"/>
        <w:adjustRightInd w:val="0"/>
        <w:spacing w:after="0" w:line="240" w:lineRule="auto"/>
        <w:rPr>
          <w:rFonts w:cstheme="minorHAnsi"/>
          <w:bCs/>
          <w:color w:val="1111FB"/>
        </w:rPr>
      </w:pPr>
    </w:p>
    <w:p w14:paraId="2CC959B1" w14:textId="77777777" w:rsidR="00116FCD" w:rsidRPr="0085123A" w:rsidRDefault="00116FCD" w:rsidP="00116FCD">
      <w:pPr>
        <w:autoSpaceDE w:val="0"/>
        <w:autoSpaceDN w:val="0"/>
        <w:adjustRightInd w:val="0"/>
        <w:spacing w:after="0" w:line="240" w:lineRule="auto"/>
        <w:rPr>
          <w:rFonts w:cstheme="minorHAnsi"/>
          <w:bCs/>
          <w:color w:val="1111FB"/>
          <w:u w:val="single"/>
        </w:rPr>
      </w:pPr>
      <w:r w:rsidRPr="0085123A">
        <w:rPr>
          <w:rFonts w:cstheme="minorHAnsi"/>
          <w:bCs/>
          <w:color w:val="1111FB"/>
          <w:u w:val="single"/>
        </w:rPr>
        <w:t>Hospice, I-SNPs and Long-Term Care Institutions</w:t>
      </w:r>
    </w:p>
    <w:p w14:paraId="43829C6A" w14:textId="4EF9F054" w:rsidR="00116FCD" w:rsidRPr="0085123A" w:rsidRDefault="000636B4" w:rsidP="00116FCD">
      <w:pPr>
        <w:autoSpaceDE w:val="0"/>
        <w:autoSpaceDN w:val="0"/>
        <w:adjustRightInd w:val="0"/>
        <w:spacing w:after="0" w:line="240" w:lineRule="auto"/>
        <w:rPr>
          <w:rFonts w:cstheme="minorHAnsi"/>
          <w:bCs/>
          <w:color w:val="1111FB"/>
        </w:rPr>
      </w:pPr>
      <w:r w:rsidRPr="000636B4">
        <w:rPr>
          <w:rFonts w:cstheme="minorHAnsi"/>
          <w:bCs/>
          <w:color w:val="1111FB"/>
        </w:rPr>
        <w:t>These exclusions were also not formally tested for this submission. This measure is designed to be scientifically valid and feasible for comparing the quality of care provided to general populations, such as healthy older adults or those with a single condition. Patients receiving hospice, enrolled in an I-SNP, or residing in a long-term care institution would likely have different care needs and quality concerns, therefore they are excluded from this measure.</w:t>
      </w:r>
      <w:r w:rsidR="00116FCD">
        <w:rPr>
          <w:rFonts w:cstheme="minorHAnsi"/>
          <w:bCs/>
          <w:color w:val="1111FB"/>
        </w:rPr>
        <w:t xml:space="preserve"> </w:t>
      </w:r>
    </w:p>
    <w:p w14:paraId="36BF6A3E" w14:textId="685B8E29" w:rsidR="004B783B" w:rsidRDefault="004B783B" w:rsidP="00DB3627">
      <w:pPr>
        <w:autoSpaceDE w:val="0"/>
        <w:autoSpaceDN w:val="0"/>
        <w:adjustRightInd w:val="0"/>
        <w:spacing w:after="0" w:line="240" w:lineRule="auto"/>
        <w:rPr>
          <w:rFonts w:cstheme="minorHAnsi"/>
          <w:bCs/>
          <w:color w:val="1111FB"/>
        </w:rPr>
      </w:pPr>
    </w:p>
    <w:p w14:paraId="0BF61CC6" w14:textId="77777777" w:rsidR="00B53C24" w:rsidRPr="001E266C" w:rsidRDefault="00B53C24" w:rsidP="00B53C24">
      <w:pPr>
        <w:autoSpaceDE w:val="0"/>
        <w:autoSpaceDN w:val="0"/>
        <w:adjustRightInd w:val="0"/>
        <w:spacing w:after="0" w:line="240" w:lineRule="auto"/>
        <w:rPr>
          <w:rFonts w:cstheme="minorHAnsi"/>
          <w:bCs/>
          <w:color w:val="1111FB"/>
          <w:u w:val="single"/>
        </w:rPr>
      </w:pPr>
      <w:r w:rsidRPr="001E266C">
        <w:rPr>
          <w:rFonts w:cstheme="minorHAnsi"/>
          <w:bCs/>
          <w:color w:val="1111FB"/>
          <w:u w:val="single"/>
        </w:rPr>
        <w:t>Advanced Illness and Frailty</w:t>
      </w:r>
    </w:p>
    <w:p w14:paraId="7BBA9CEF" w14:textId="3781EFBA" w:rsidR="00B53C24" w:rsidRPr="00B8407D" w:rsidRDefault="00B53C24" w:rsidP="00B53C24">
      <w:pPr>
        <w:autoSpaceDE w:val="0"/>
        <w:autoSpaceDN w:val="0"/>
        <w:adjustRightInd w:val="0"/>
        <w:spacing w:after="0" w:line="240" w:lineRule="auto"/>
        <w:rPr>
          <w:rFonts w:cstheme="minorHAnsi"/>
          <w:bCs/>
          <w:color w:val="1111FB"/>
        </w:rPr>
      </w:pPr>
      <w:r>
        <w:rPr>
          <w:rFonts w:cstheme="minorHAnsi"/>
          <w:bCs/>
          <w:color w:val="1111FB"/>
        </w:rPr>
        <w:t xml:space="preserve">For HEDIS 2019 (measurement year 2018), NCQA added exclusions for </w:t>
      </w:r>
      <w:r w:rsidRPr="00971197">
        <w:rPr>
          <w:rFonts w:cstheme="minorHAnsi"/>
          <w:bCs/>
          <w:color w:val="1111FB"/>
        </w:rPr>
        <w:t>advanced illness and frailty</w:t>
      </w:r>
      <w:r>
        <w:rPr>
          <w:rFonts w:cstheme="minorHAnsi"/>
          <w:bCs/>
          <w:color w:val="1111FB"/>
        </w:rPr>
        <w:t xml:space="preserve"> to the </w:t>
      </w:r>
      <w:r w:rsidRPr="005F5840">
        <w:rPr>
          <w:rFonts w:cstheme="minorHAnsi"/>
          <w:bCs/>
          <w:color w:val="1111FB"/>
        </w:rPr>
        <w:t>Comprehensive Diabetes Care: HbA1c Poor Control (&gt;9.0%)</w:t>
      </w:r>
      <w:r w:rsidRPr="00813048">
        <w:rPr>
          <w:rFonts w:cstheme="minorHAnsi"/>
          <w:bCs/>
          <w:color w:val="1111FB"/>
        </w:rPr>
        <w:t xml:space="preserve"> </w:t>
      </w:r>
      <w:r w:rsidRPr="0016114C">
        <w:rPr>
          <w:rFonts w:cstheme="minorHAnsi"/>
          <w:bCs/>
          <w:color w:val="1111FB"/>
        </w:rPr>
        <w:t>measur</w:t>
      </w:r>
      <w:r>
        <w:rPr>
          <w:rFonts w:cstheme="minorHAnsi"/>
          <w:bCs/>
          <w:color w:val="1111FB"/>
        </w:rPr>
        <w:t xml:space="preserve">e. NCQA decided to explore implementing these exclusions, recognizing that for </w:t>
      </w:r>
      <w:r w:rsidRPr="006B52C5">
        <w:rPr>
          <w:rFonts w:cstheme="minorHAnsi"/>
          <w:bCs/>
          <w:color w:val="1111FB"/>
        </w:rPr>
        <w:t xml:space="preserve">individuals with </w:t>
      </w:r>
      <w:r>
        <w:rPr>
          <w:rFonts w:cstheme="minorHAnsi"/>
          <w:bCs/>
          <w:color w:val="1111FB"/>
        </w:rPr>
        <w:t xml:space="preserve">limited </w:t>
      </w:r>
      <w:r w:rsidRPr="006B52C5">
        <w:rPr>
          <w:rFonts w:cstheme="minorHAnsi"/>
          <w:bCs/>
          <w:color w:val="1111FB"/>
        </w:rPr>
        <w:t xml:space="preserve">life expectancy, advanced illness </w:t>
      </w:r>
      <w:r w:rsidR="00C26151">
        <w:rPr>
          <w:rFonts w:cstheme="minorHAnsi"/>
          <w:bCs/>
          <w:color w:val="1111FB"/>
        </w:rPr>
        <w:t>and</w:t>
      </w:r>
      <w:r w:rsidRPr="006B52C5">
        <w:rPr>
          <w:rFonts w:cstheme="minorHAnsi"/>
          <w:bCs/>
          <w:color w:val="1111FB"/>
        </w:rPr>
        <w:t xml:space="preserve"> </w:t>
      </w:r>
      <w:r>
        <w:rPr>
          <w:rFonts w:cstheme="minorHAnsi"/>
          <w:bCs/>
          <w:color w:val="1111FB"/>
        </w:rPr>
        <w:t>frailty,</w:t>
      </w:r>
      <w:r w:rsidRPr="006B52C5">
        <w:rPr>
          <w:rFonts w:cstheme="minorHAnsi"/>
          <w:bCs/>
          <w:color w:val="1111FB"/>
        </w:rPr>
        <w:t xml:space="preserve"> the </w:t>
      </w:r>
      <w:r w:rsidR="00290234">
        <w:rPr>
          <w:rFonts w:cstheme="minorHAnsi"/>
          <w:bCs/>
          <w:color w:val="1111FB"/>
        </w:rPr>
        <w:t>focus of</w:t>
      </w:r>
      <w:r w:rsidRPr="006B52C5">
        <w:rPr>
          <w:rFonts w:cstheme="minorHAnsi"/>
          <w:bCs/>
          <w:color w:val="1111FB"/>
        </w:rPr>
        <w:t xml:space="preserve"> this measure may not be</w:t>
      </w:r>
      <w:r>
        <w:rPr>
          <w:rFonts w:cstheme="minorHAnsi"/>
          <w:bCs/>
          <w:color w:val="1111FB"/>
        </w:rPr>
        <w:t xml:space="preserve"> clinically appropriate,</w:t>
      </w:r>
      <w:r w:rsidRPr="006B52C5">
        <w:rPr>
          <w:rFonts w:cstheme="minorHAnsi"/>
          <w:bCs/>
          <w:color w:val="1111FB"/>
        </w:rPr>
        <w:t xml:space="preserve"> relevant or in line with the patient’s goals of care. </w:t>
      </w:r>
      <w:r>
        <w:rPr>
          <w:rFonts w:cstheme="minorHAnsi"/>
          <w:bCs/>
          <w:color w:val="1111FB"/>
        </w:rPr>
        <w:t>We</w:t>
      </w:r>
      <w:r w:rsidRPr="00B8407D">
        <w:rPr>
          <w:rFonts w:cstheme="minorHAnsi"/>
          <w:bCs/>
          <w:color w:val="1111FB"/>
        </w:rPr>
        <w:t xml:space="preserve"> performed a review of literature on different approaches to defining advanced illness and used this, along with feedback received from expert work groups, measurement advisory panels and public comment to create a list of illnesses, conditions and service codes to be included in testing. The conditions included: dementia and other neurodegenerative conditions, emphysema, end stage renal disease (ESRD), heart failure, liver failure, metastatic cancer, pulmonary fibrosis and respiratory failure. </w:t>
      </w:r>
    </w:p>
    <w:p w14:paraId="41238831" w14:textId="77777777" w:rsidR="00B53C24" w:rsidRPr="00B8407D" w:rsidRDefault="00B53C24" w:rsidP="00B53C24">
      <w:pPr>
        <w:autoSpaceDE w:val="0"/>
        <w:autoSpaceDN w:val="0"/>
        <w:adjustRightInd w:val="0"/>
        <w:spacing w:after="0" w:line="240" w:lineRule="auto"/>
        <w:rPr>
          <w:rFonts w:cstheme="minorHAnsi"/>
          <w:bCs/>
          <w:color w:val="1111FB"/>
        </w:rPr>
      </w:pPr>
    </w:p>
    <w:p w14:paraId="0B2C93F3" w14:textId="427EB3D9" w:rsidR="00B53C24" w:rsidRDefault="00B53C24" w:rsidP="00B53C24">
      <w:pPr>
        <w:autoSpaceDE w:val="0"/>
        <w:autoSpaceDN w:val="0"/>
        <w:adjustRightInd w:val="0"/>
        <w:spacing w:after="0" w:line="240" w:lineRule="auto"/>
        <w:rPr>
          <w:rFonts w:cstheme="minorHAnsi"/>
          <w:bCs/>
          <w:color w:val="1111FB"/>
        </w:rPr>
      </w:pPr>
      <w:r w:rsidRPr="00B8407D">
        <w:rPr>
          <w:rFonts w:cstheme="minorHAnsi"/>
          <w:bCs/>
          <w:color w:val="1111FB"/>
        </w:rPr>
        <w:t>NCQA then conducted a search of ICD-10 codes that were relevant to each of the conditions to create value sets for testing. To identify those with dementia, NCQA also included drug codes for medications such as donepezil hydrochloride and galantamine hydrobromide, to capture those who may not carry a diagnosis of dementia but are prescribed a drug for treatment.</w:t>
      </w:r>
    </w:p>
    <w:p w14:paraId="48348414" w14:textId="77777777" w:rsidR="00B53C24" w:rsidRDefault="00B53C24" w:rsidP="00B53C24">
      <w:pPr>
        <w:autoSpaceDE w:val="0"/>
        <w:autoSpaceDN w:val="0"/>
        <w:adjustRightInd w:val="0"/>
        <w:spacing w:after="0" w:line="240" w:lineRule="auto"/>
        <w:rPr>
          <w:rFonts w:cstheme="minorHAnsi"/>
          <w:bCs/>
          <w:color w:val="1111FB"/>
        </w:rPr>
      </w:pPr>
    </w:p>
    <w:p w14:paraId="639ED761" w14:textId="088CD396" w:rsidR="00C851C2" w:rsidRDefault="00C851C2" w:rsidP="00C851C2">
      <w:pPr>
        <w:autoSpaceDE w:val="0"/>
        <w:autoSpaceDN w:val="0"/>
        <w:adjustRightInd w:val="0"/>
        <w:spacing w:after="0" w:line="240" w:lineRule="auto"/>
        <w:rPr>
          <w:rFonts w:cstheme="minorHAnsi"/>
          <w:bCs/>
          <w:color w:val="1111FB"/>
        </w:rPr>
      </w:pPr>
      <w:r w:rsidRPr="00CC346E">
        <w:rPr>
          <w:rFonts w:cstheme="minorHAnsi"/>
          <w:bCs/>
          <w:color w:val="1111FB"/>
        </w:rPr>
        <w:lastRenderedPageBreak/>
        <w:t>The proxy for frailty was developed based on previously studied approaches</w:t>
      </w:r>
      <w:r>
        <w:rPr>
          <w:rStyle w:val="FootnoteReference"/>
          <w:bCs/>
          <w:color w:val="1111FB"/>
        </w:rPr>
        <w:footnoteReference w:id="2"/>
      </w:r>
      <w:r>
        <w:rPr>
          <w:rFonts w:cstheme="minorHAnsi"/>
          <w:bCs/>
          <w:color w:val="1111FB"/>
          <w:vertAlign w:val="superscript"/>
        </w:rPr>
        <w:t xml:space="preserve">, </w:t>
      </w:r>
      <w:r>
        <w:rPr>
          <w:rStyle w:val="FootnoteReference"/>
          <w:bCs/>
          <w:color w:val="1111FB"/>
        </w:rPr>
        <w:footnoteReference w:id="3"/>
      </w:r>
      <w:r>
        <w:rPr>
          <w:rFonts w:cstheme="minorHAnsi"/>
          <w:bCs/>
          <w:color w:val="1111FB"/>
          <w:vertAlign w:val="superscript"/>
        </w:rPr>
        <w:t xml:space="preserve">, </w:t>
      </w:r>
      <w:r>
        <w:rPr>
          <w:rStyle w:val="FootnoteReference"/>
          <w:bCs/>
          <w:color w:val="1111FB"/>
        </w:rPr>
        <w:footnoteReference w:id="4"/>
      </w:r>
      <w:r>
        <w:rPr>
          <w:rFonts w:cstheme="minorHAnsi"/>
          <w:bCs/>
          <w:color w:val="1111FB"/>
        </w:rPr>
        <w:t xml:space="preserve"> </w:t>
      </w:r>
      <w:r w:rsidRPr="00CC346E">
        <w:rPr>
          <w:rFonts w:cstheme="minorHAnsi"/>
          <w:bCs/>
          <w:color w:val="1111FB"/>
        </w:rPr>
        <w:t>and feedback received from expert work groups and measurement advisory panels. The proxy is comprised of HCPCS</w:t>
      </w:r>
      <w:r w:rsidR="005B05C3">
        <w:rPr>
          <w:rFonts w:cstheme="minorHAnsi"/>
          <w:bCs/>
          <w:color w:val="1111FB"/>
        </w:rPr>
        <w:t xml:space="preserve"> </w:t>
      </w:r>
      <w:r w:rsidRPr="00CC346E">
        <w:rPr>
          <w:rFonts w:cstheme="minorHAnsi"/>
          <w:bCs/>
          <w:color w:val="1111FB"/>
        </w:rPr>
        <w:t>and ICD-10 codes for diagnoses or services that can indicate when an individual is frail or dependent in activities of daily living. Examples include: gait abnormality, abnormal loss of weight and underweight, adult failure to thrive, debility, fall, pressure ulcer, durable medical equipment (hospital bed, walker, portable or home oxygen, wheelchair), bed confinement, palliative care and age-related physical debility. Members met the frailty proxy criteria if they had a claim for any of the codes included in the frailty code set in the measurement year</w:t>
      </w:r>
      <w:r>
        <w:rPr>
          <w:rFonts w:cstheme="minorHAnsi"/>
          <w:bCs/>
          <w:color w:val="1111FB"/>
        </w:rPr>
        <w:t>.</w:t>
      </w:r>
    </w:p>
    <w:p w14:paraId="3D988C65" w14:textId="77777777" w:rsidR="00B53C24" w:rsidRDefault="00B53C24" w:rsidP="00B53C24">
      <w:pPr>
        <w:autoSpaceDE w:val="0"/>
        <w:autoSpaceDN w:val="0"/>
        <w:adjustRightInd w:val="0"/>
        <w:spacing w:after="0" w:line="240" w:lineRule="auto"/>
        <w:rPr>
          <w:rFonts w:cstheme="minorHAnsi"/>
          <w:bCs/>
          <w:color w:val="1111FB"/>
        </w:rPr>
      </w:pPr>
    </w:p>
    <w:p w14:paraId="204EC98C" w14:textId="1188499D" w:rsidR="00B53C24" w:rsidRDefault="00B53C24" w:rsidP="00B53C24">
      <w:pPr>
        <w:autoSpaceDE w:val="0"/>
        <w:autoSpaceDN w:val="0"/>
        <w:adjustRightInd w:val="0"/>
        <w:spacing w:after="0" w:line="240" w:lineRule="auto"/>
        <w:rPr>
          <w:rFonts w:cstheme="minorHAnsi"/>
          <w:bCs/>
          <w:color w:val="1111FB"/>
        </w:rPr>
      </w:pPr>
      <w:r>
        <w:rPr>
          <w:rFonts w:cstheme="minorHAnsi"/>
          <w:bCs/>
          <w:color w:val="1111FB"/>
        </w:rPr>
        <w:t xml:space="preserve">To determine the feasibility and impact of applying </w:t>
      </w:r>
      <w:r w:rsidR="002C0284">
        <w:rPr>
          <w:rFonts w:cstheme="minorHAnsi"/>
          <w:bCs/>
          <w:color w:val="1111FB"/>
        </w:rPr>
        <w:t>this exclusion</w:t>
      </w:r>
      <w:r>
        <w:rPr>
          <w:rFonts w:cstheme="minorHAnsi"/>
          <w:bCs/>
          <w:color w:val="1111FB"/>
        </w:rPr>
        <w:t xml:space="preserve"> to the measure, </w:t>
      </w:r>
      <w:r w:rsidR="005E628B" w:rsidRPr="009A52A1">
        <w:rPr>
          <w:rFonts w:cstheme="minorHAnsi"/>
          <w:bCs/>
          <w:color w:val="1111FB"/>
        </w:rPr>
        <w:t xml:space="preserve">NCQA </w:t>
      </w:r>
      <w:r w:rsidR="005E628B">
        <w:rPr>
          <w:rFonts w:cstheme="minorHAnsi"/>
          <w:bCs/>
          <w:color w:val="1111FB"/>
        </w:rPr>
        <w:t>used</w:t>
      </w:r>
      <w:r w:rsidR="005E628B" w:rsidRPr="009A52A1">
        <w:rPr>
          <w:rFonts w:cstheme="minorHAnsi"/>
          <w:bCs/>
          <w:color w:val="1111FB"/>
        </w:rPr>
        <w:t xml:space="preserve"> a research database </w:t>
      </w:r>
      <w:r w:rsidR="005E628B">
        <w:rPr>
          <w:rFonts w:cstheme="minorHAnsi"/>
          <w:bCs/>
          <w:color w:val="1111FB"/>
        </w:rPr>
        <w:t>that consisted</w:t>
      </w:r>
      <w:r w:rsidR="005E628B" w:rsidRPr="009A52A1">
        <w:rPr>
          <w:rFonts w:cstheme="minorHAnsi"/>
          <w:bCs/>
          <w:color w:val="1111FB"/>
        </w:rPr>
        <w:t xml:space="preserve"> of two years of inpatient</w:t>
      </w:r>
      <w:r w:rsidRPr="009A52A1">
        <w:rPr>
          <w:rFonts w:cstheme="minorHAnsi"/>
          <w:bCs/>
          <w:color w:val="1111FB"/>
        </w:rPr>
        <w:t xml:space="preserve">, outpatient, and pharmacy claims for members age 18 and older enrolled in </w:t>
      </w:r>
      <w:r>
        <w:rPr>
          <w:rFonts w:cstheme="minorHAnsi"/>
          <w:bCs/>
          <w:color w:val="1111FB"/>
        </w:rPr>
        <w:t xml:space="preserve">a sample of </w:t>
      </w:r>
      <w:r w:rsidRPr="009A52A1">
        <w:rPr>
          <w:rFonts w:cstheme="minorHAnsi"/>
          <w:bCs/>
          <w:color w:val="1111FB"/>
        </w:rPr>
        <w:t>Medicare Advantage plans</w:t>
      </w:r>
      <w:r>
        <w:rPr>
          <w:rFonts w:cstheme="minorHAnsi"/>
          <w:bCs/>
          <w:color w:val="1111FB"/>
        </w:rPr>
        <w:t xml:space="preserve"> (N=</w:t>
      </w:r>
      <w:r w:rsidR="009C0E2A">
        <w:rPr>
          <w:rFonts w:cstheme="minorHAnsi"/>
          <w:bCs/>
          <w:color w:val="1111FB"/>
        </w:rPr>
        <w:t>25</w:t>
      </w:r>
      <w:r>
        <w:rPr>
          <w:rFonts w:cstheme="minorHAnsi"/>
          <w:bCs/>
          <w:color w:val="1111FB"/>
        </w:rPr>
        <w:t>).</w:t>
      </w:r>
      <w:r w:rsidRPr="00451293">
        <w:rPr>
          <w:rFonts w:cstheme="minorHAnsi"/>
          <w:bCs/>
          <w:color w:val="1111FB"/>
        </w:rPr>
        <w:t xml:space="preserve"> </w:t>
      </w:r>
      <w:r w:rsidR="00BA5AB2">
        <w:rPr>
          <w:rFonts w:cstheme="minorHAnsi"/>
          <w:bCs/>
          <w:color w:val="1111FB"/>
        </w:rPr>
        <w:t>NCQA</w:t>
      </w:r>
      <w:r>
        <w:rPr>
          <w:rFonts w:cstheme="minorHAnsi"/>
          <w:bCs/>
          <w:color w:val="1111FB"/>
        </w:rPr>
        <w:t xml:space="preserve"> compare</w:t>
      </w:r>
      <w:r w:rsidR="00BA5AB2">
        <w:rPr>
          <w:rFonts w:cstheme="minorHAnsi"/>
          <w:bCs/>
          <w:color w:val="1111FB"/>
        </w:rPr>
        <w:t>d</w:t>
      </w:r>
      <w:r>
        <w:rPr>
          <w:rFonts w:cstheme="minorHAnsi"/>
          <w:bCs/>
          <w:color w:val="1111FB"/>
        </w:rPr>
        <w:t xml:space="preserve"> several approaches for identifying the advanced illness and frailty populations, examining different age ranges and diagnos</w:t>
      </w:r>
      <w:r w:rsidR="00BA5AB2">
        <w:rPr>
          <w:rFonts w:cstheme="minorHAnsi"/>
          <w:bCs/>
          <w:color w:val="1111FB"/>
        </w:rPr>
        <w:t>i</w:t>
      </w:r>
      <w:r>
        <w:rPr>
          <w:rFonts w:cstheme="minorHAnsi"/>
          <w:bCs/>
          <w:color w:val="1111FB"/>
        </w:rPr>
        <w:t xml:space="preserve">s positions and their impact on the denominator. The results of those queries </w:t>
      </w:r>
      <w:bookmarkStart w:id="15" w:name="_Hlk15420704"/>
      <w:r>
        <w:rPr>
          <w:rFonts w:cstheme="minorHAnsi"/>
          <w:bCs/>
          <w:color w:val="1111FB"/>
        </w:rPr>
        <w:t xml:space="preserve">along with input from </w:t>
      </w:r>
      <w:bookmarkEnd w:id="15"/>
      <w:r>
        <w:rPr>
          <w:rFonts w:cstheme="minorHAnsi"/>
          <w:bCs/>
          <w:color w:val="1111FB"/>
        </w:rPr>
        <w:t xml:space="preserve">the </w:t>
      </w:r>
      <w:r w:rsidRPr="00A21CDC">
        <w:rPr>
          <w:rFonts w:cstheme="minorHAnsi"/>
          <w:bCs/>
          <w:color w:val="1111FB"/>
        </w:rPr>
        <w:t>expert work groups, measurement advisory panels and public comment</w:t>
      </w:r>
      <w:r>
        <w:rPr>
          <w:rFonts w:cstheme="minorHAnsi"/>
          <w:bCs/>
          <w:color w:val="1111FB"/>
        </w:rPr>
        <w:t xml:space="preserve"> led us to determine that the best approach for identifying the advanced illness and frailty population that should be excluded from the measure was to apply the following criteri</w:t>
      </w:r>
      <w:r w:rsidR="008008AC">
        <w:rPr>
          <w:rFonts w:cstheme="minorHAnsi"/>
          <w:bCs/>
          <w:color w:val="1111FB"/>
        </w:rPr>
        <w:t>a</w:t>
      </w:r>
      <w:r>
        <w:rPr>
          <w:rFonts w:cstheme="minorHAnsi"/>
          <w:bCs/>
          <w:color w:val="1111FB"/>
        </w:rPr>
        <w:t>:</w:t>
      </w:r>
    </w:p>
    <w:p w14:paraId="0996C4F2" w14:textId="3BC23033" w:rsidR="00B53C24" w:rsidRDefault="00B53C24" w:rsidP="00B53C24">
      <w:pPr>
        <w:pStyle w:val="ListParagraph"/>
        <w:numPr>
          <w:ilvl w:val="0"/>
          <w:numId w:val="35"/>
        </w:numPr>
        <w:autoSpaceDE w:val="0"/>
        <w:autoSpaceDN w:val="0"/>
        <w:adjustRightInd w:val="0"/>
        <w:spacing w:after="0" w:line="240" w:lineRule="auto"/>
        <w:rPr>
          <w:rFonts w:cstheme="minorHAnsi"/>
          <w:bCs/>
          <w:color w:val="1111FB"/>
        </w:rPr>
      </w:pPr>
      <w:r>
        <w:rPr>
          <w:rFonts w:cstheme="minorHAnsi"/>
          <w:bCs/>
          <w:color w:val="1111FB"/>
        </w:rPr>
        <w:t>Adults</w:t>
      </w:r>
      <w:r w:rsidRPr="00983504">
        <w:rPr>
          <w:rFonts w:cstheme="minorHAnsi"/>
          <w:bCs/>
          <w:color w:val="1111FB"/>
        </w:rPr>
        <w:t xml:space="preserve"> 66</w:t>
      </w:r>
      <w:r w:rsidR="00427A03">
        <w:rPr>
          <w:rFonts w:cstheme="minorHAnsi"/>
          <w:bCs/>
          <w:color w:val="1111FB"/>
        </w:rPr>
        <w:t xml:space="preserve"> and older</w:t>
      </w:r>
      <w:r w:rsidRPr="00983504">
        <w:rPr>
          <w:rFonts w:cstheme="minorHAnsi"/>
          <w:bCs/>
          <w:color w:val="1111FB"/>
        </w:rPr>
        <w:t xml:space="preserve"> as of December 31 of the measurement year (all product lines) with frailty and advanced illness</w:t>
      </w:r>
    </w:p>
    <w:p w14:paraId="76C23490" w14:textId="77777777" w:rsidR="00B53C24" w:rsidRPr="00C530E5" w:rsidRDefault="00B53C24" w:rsidP="00DB3627">
      <w:pPr>
        <w:autoSpaceDE w:val="0"/>
        <w:autoSpaceDN w:val="0"/>
        <w:adjustRightInd w:val="0"/>
        <w:spacing w:after="0" w:line="240" w:lineRule="auto"/>
        <w:rPr>
          <w:rFonts w:cstheme="minorHAnsi"/>
          <w:bCs/>
        </w:rPr>
      </w:pPr>
    </w:p>
    <w:p w14:paraId="0CABCFE6" w14:textId="700ABFA9" w:rsidR="007422FD" w:rsidRPr="00C530E5" w:rsidRDefault="00092566" w:rsidP="00092566">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r w:rsidR="00833325" w:rsidRPr="00A25024">
        <w:rPr>
          <w:rFonts w:cstheme="minorHAnsi"/>
          <w:b/>
          <w:bCs/>
        </w:rPr>
        <w:t xml:space="preserve">What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r w:rsidR="000B2DF7" w:rsidRPr="00C530E5">
        <w:rPr>
          <w:rFonts w:cstheme="minorHAnsi"/>
          <w:bCs/>
          <w:i/>
        </w:rPr>
        <w:t xml:space="preserve">include </w:t>
      </w:r>
      <w:r w:rsidR="00356BAD" w:rsidRPr="00C530E5">
        <w:rPr>
          <w:rFonts w:cstheme="minorHAnsi"/>
          <w:bCs/>
          <w:i/>
        </w:rPr>
        <w:t xml:space="preserve">overall </w:t>
      </w:r>
      <w:r w:rsidR="000B2DF7" w:rsidRPr="00C530E5">
        <w:rPr>
          <w:rFonts w:cstheme="minorHAnsi"/>
          <w:bCs/>
          <w:i/>
        </w:rPr>
        <w:t>number and percentage of individuals excluded</w:t>
      </w:r>
      <w:r w:rsidR="0025762F" w:rsidRPr="00C530E5">
        <w:rPr>
          <w:rFonts w:cstheme="minorHAnsi"/>
          <w:bCs/>
          <w:i/>
        </w:rPr>
        <w:t>, frequency distribution of exclusions across measured entities,</w:t>
      </w:r>
      <w:r w:rsidR="000B2DF7" w:rsidRPr="00C530E5">
        <w:rPr>
          <w:rFonts w:cstheme="minorHAnsi"/>
          <w:bCs/>
          <w:i/>
        </w:rPr>
        <w:t xml:space="preserve"> and impact on performance measure scores</w:t>
      </w:r>
      <w:r w:rsidR="000B2DF7" w:rsidRPr="00C530E5">
        <w:rPr>
          <w:rFonts w:cstheme="minorHAnsi"/>
          <w:bCs/>
        </w:rPr>
        <w:t>)</w:t>
      </w:r>
    </w:p>
    <w:p w14:paraId="15D2FB5E" w14:textId="571B85F5" w:rsidR="00964945" w:rsidRDefault="00964945" w:rsidP="00964945">
      <w:pPr>
        <w:autoSpaceDE w:val="0"/>
        <w:autoSpaceDN w:val="0"/>
        <w:adjustRightInd w:val="0"/>
        <w:spacing w:after="0" w:line="240" w:lineRule="auto"/>
        <w:rPr>
          <w:rFonts w:cstheme="minorHAnsi"/>
          <w:bCs/>
          <w:color w:val="1111FB"/>
        </w:rPr>
      </w:pPr>
      <w:r>
        <w:rPr>
          <w:rFonts w:cstheme="minorHAnsi"/>
          <w:bCs/>
          <w:color w:val="1111FB"/>
        </w:rPr>
        <w:t xml:space="preserve">Table 4 shows the results of applying the exclusion of adults </w:t>
      </w:r>
      <w:r w:rsidRPr="00E21623">
        <w:rPr>
          <w:rFonts w:cstheme="minorHAnsi"/>
          <w:bCs/>
          <w:color w:val="1111FB"/>
        </w:rPr>
        <w:t>66</w:t>
      </w:r>
      <w:r w:rsidR="00427A03">
        <w:rPr>
          <w:rFonts w:cstheme="minorHAnsi"/>
          <w:bCs/>
          <w:color w:val="1111FB"/>
        </w:rPr>
        <w:t xml:space="preserve"> and older</w:t>
      </w:r>
      <w:r w:rsidRPr="00E21623">
        <w:rPr>
          <w:rFonts w:cstheme="minorHAnsi"/>
          <w:bCs/>
          <w:color w:val="1111FB"/>
        </w:rPr>
        <w:t xml:space="preserve"> with </w:t>
      </w:r>
      <w:r w:rsidR="000967F9" w:rsidRPr="00E21623">
        <w:rPr>
          <w:rFonts w:cstheme="minorHAnsi"/>
          <w:bCs/>
          <w:color w:val="1111FB"/>
        </w:rPr>
        <w:t xml:space="preserve">advanced illness and </w:t>
      </w:r>
      <w:r w:rsidRPr="00E21623">
        <w:rPr>
          <w:rFonts w:cstheme="minorHAnsi"/>
          <w:bCs/>
          <w:color w:val="1111FB"/>
        </w:rPr>
        <w:t xml:space="preserve">frailty </w:t>
      </w:r>
      <w:r>
        <w:rPr>
          <w:rFonts w:cstheme="minorHAnsi"/>
          <w:bCs/>
          <w:color w:val="1111FB"/>
        </w:rPr>
        <w:t xml:space="preserve">to the </w:t>
      </w:r>
      <w:r w:rsidR="00211711" w:rsidRPr="005F5840">
        <w:rPr>
          <w:rFonts w:cstheme="minorHAnsi"/>
          <w:bCs/>
          <w:color w:val="1111FB"/>
        </w:rPr>
        <w:t>Comprehensive Diabetes Care: HbA1c Poor Control (&gt;9.0%)</w:t>
      </w:r>
      <w:r w:rsidR="00211711" w:rsidRPr="00813048">
        <w:rPr>
          <w:rFonts w:cstheme="minorHAnsi"/>
          <w:bCs/>
          <w:color w:val="1111FB"/>
        </w:rPr>
        <w:t xml:space="preserve"> </w:t>
      </w:r>
      <w:r w:rsidR="00211711" w:rsidRPr="0016114C">
        <w:rPr>
          <w:rFonts w:cstheme="minorHAnsi"/>
          <w:bCs/>
          <w:color w:val="1111FB"/>
        </w:rPr>
        <w:t>measur</w:t>
      </w:r>
      <w:r w:rsidR="00211711">
        <w:rPr>
          <w:rFonts w:cstheme="minorHAnsi"/>
          <w:bCs/>
          <w:color w:val="1111FB"/>
        </w:rPr>
        <w:t>e</w:t>
      </w:r>
      <w:r>
        <w:rPr>
          <w:rFonts w:cstheme="minorHAnsi"/>
          <w:bCs/>
          <w:color w:val="1111FB"/>
        </w:rPr>
        <w:t xml:space="preserve">. </w:t>
      </w:r>
    </w:p>
    <w:p w14:paraId="387F0ABF" w14:textId="77777777" w:rsidR="00E1593E" w:rsidRDefault="00E1593E" w:rsidP="00964945">
      <w:pPr>
        <w:autoSpaceDE w:val="0"/>
        <w:autoSpaceDN w:val="0"/>
        <w:adjustRightInd w:val="0"/>
        <w:spacing w:after="0" w:line="240" w:lineRule="auto"/>
        <w:rPr>
          <w:rFonts w:cstheme="minorHAnsi"/>
          <w:bCs/>
          <w:color w:val="1111FB"/>
        </w:rPr>
      </w:pPr>
    </w:p>
    <w:p w14:paraId="1A7AAEFA" w14:textId="54A8DE66" w:rsidR="00964945" w:rsidRDefault="00964945" w:rsidP="00964945">
      <w:pPr>
        <w:autoSpaceDE w:val="0"/>
        <w:autoSpaceDN w:val="0"/>
        <w:adjustRightInd w:val="0"/>
        <w:spacing w:after="0" w:line="240" w:lineRule="auto"/>
        <w:rPr>
          <w:rFonts w:cstheme="minorHAnsi"/>
          <w:bCs/>
          <w:color w:val="1111FB"/>
        </w:rPr>
      </w:pPr>
      <w:r>
        <w:rPr>
          <w:rFonts w:cstheme="minorHAnsi"/>
          <w:bCs/>
          <w:color w:val="1111FB"/>
        </w:rPr>
        <w:t xml:space="preserve">Table 4. </w:t>
      </w:r>
      <w:r w:rsidR="005560B1">
        <w:rPr>
          <w:rFonts w:cstheme="minorHAnsi"/>
          <w:bCs/>
          <w:color w:val="1111FB"/>
        </w:rPr>
        <w:t>Impact</w:t>
      </w:r>
      <w:r>
        <w:rPr>
          <w:rFonts w:cstheme="minorHAnsi"/>
          <w:bCs/>
          <w:color w:val="1111FB"/>
        </w:rPr>
        <w:t xml:space="preserve"> of applying the advanced illness and f</w:t>
      </w:r>
      <w:r w:rsidRPr="0095437C">
        <w:rPr>
          <w:rFonts w:cstheme="minorHAnsi"/>
          <w:bCs/>
          <w:color w:val="1111FB"/>
        </w:rPr>
        <w:t>railty</w:t>
      </w:r>
      <w:r>
        <w:rPr>
          <w:rFonts w:cstheme="minorHAnsi"/>
          <w:bCs/>
          <w:color w:val="1111FB"/>
        </w:rPr>
        <w:t xml:space="preserve"> for patients aged 66</w:t>
      </w:r>
      <w:r w:rsidR="00366F4E">
        <w:rPr>
          <w:rFonts w:cstheme="minorHAnsi"/>
          <w:bCs/>
          <w:color w:val="1111FB"/>
        </w:rPr>
        <w:t xml:space="preserve"> and older</w:t>
      </w:r>
      <w:r>
        <w:rPr>
          <w:rFonts w:cstheme="minorHAnsi"/>
          <w:bCs/>
          <w:color w:val="1111FB"/>
        </w:rPr>
        <w:t xml:space="preserve"> </w:t>
      </w:r>
    </w:p>
    <w:tbl>
      <w:tblPr>
        <w:tblpPr w:leftFromText="180" w:rightFromText="180" w:vertAnchor="text" w:tblpY="50"/>
        <w:tblW w:w="38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5"/>
        <w:gridCol w:w="1530"/>
        <w:gridCol w:w="1350"/>
      </w:tblGrid>
      <w:tr w:rsidR="00A55964" w:rsidRPr="00E17872" w14:paraId="1511C9D0" w14:textId="77777777" w:rsidTr="00A55964">
        <w:trPr>
          <w:trHeight w:val="825"/>
        </w:trPr>
        <w:tc>
          <w:tcPr>
            <w:tcW w:w="965" w:type="dxa"/>
            <w:shd w:val="clear" w:color="auto" w:fill="D9D9D9" w:themeFill="background1" w:themeFillShade="D9"/>
            <w:noWrap/>
            <w:vAlign w:val="center"/>
            <w:hideMark/>
          </w:tcPr>
          <w:p w14:paraId="6F977AE5" w14:textId="77777777" w:rsidR="00A55964" w:rsidRPr="00836A38" w:rsidRDefault="00A55964" w:rsidP="00750855">
            <w:pPr>
              <w:autoSpaceDE w:val="0"/>
              <w:autoSpaceDN w:val="0"/>
              <w:adjustRightInd w:val="0"/>
              <w:spacing w:after="0" w:line="240" w:lineRule="auto"/>
              <w:jc w:val="center"/>
              <w:rPr>
                <w:rFonts w:cstheme="minorHAnsi"/>
                <w:bCs/>
                <w:color w:val="1111FB"/>
              </w:rPr>
            </w:pPr>
            <w:r w:rsidRPr="00836A38">
              <w:rPr>
                <w:rFonts w:cstheme="minorHAnsi"/>
                <w:bCs/>
                <w:color w:val="1111FB"/>
              </w:rPr>
              <w:t>Number of Plans</w:t>
            </w:r>
          </w:p>
          <w:p w14:paraId="2152875F" w14:textId="77777777" w:rsidR="00A55964" w:rsidRPr="00836A38" w:rsidRDefault="00A55964" w:rsidP="00750855">
            <w:pPr>
              <w:autoSpaceDE w:val="0"/>
              <w:autoSpaceDN w:val="0"/>
              <w:adjustRightInd w:val="0"/>
              <w:spacing w:after="0" w:line="240" w:lineRule="auto"/>
              <w:jc w:val="center"/>
              <w:rPr>
                <w:rFonts w:cstheme="minorHAnsi"/>
                <w:bCs/>
                <w:color w:val="1111FB"/>
              </w:rPr>
            </w:pPr>
            <w:r w:rsidRPr="00E17872">
              <w:rPr>
                <w:rFonts w:cstheme="minorHAnsi"/>
                <w:bCs/>
                <w:color w:val="1111FB"/>
              </w:rPr>
              <w:t>(</w:t>
            </w:r>
            <w:r w:rsidRPr="00836A38">
              <w:rPr>
                <w:rFonts w:cstheme="minorHAnsi"/>
                <w:bCs/>
                <w:color w:val="1111FB"/>
              </w:rPr>
              <w:t>N</w:t>
            </w:r>
            <w:r w:rsidRPr="00E17872">
              <w:rPr>
                <w:rFonts w:cstheme="minorHAnsi"/>
                <w:bCs/>
                <w:color w:val="1111FB"/>
              </w:rPr>
              <w:t>)</w:t>
            </w:r>
          </w:p>
        </w:tc>
        <w:tc>
          <w:tcPr>
            <w:tcW w:w="1530" w:type="dxa"/>
            <w:shd w:val="clear" w:color="auto" w:fill="D9D9D9" w:themeFill="background1" w:themeFillShade="D9"/>
            <w:vAlign w:val="center"/>
            <w:hideMark/>
          </w:tcPr>
          <w:p w14:paraId="76201BCE" w14:textId="77777777" w:rsidR="00A55964" w:rsidRPr="00E17872" w:rsidRDefault="00A55964" w:rsidP="00750855">
            <w:pPr>
              <w:autoSpaceDE w:val="0"/>
              <w:autoSpaceDN w:val="0"/>
              <w:adjustRightInd w:val="0"/>
              <w:spacing w:after="0" w:line="240" w:lineRule="auto"/>
              <w:jc w:val="center"/>
              <w:rPr>
                <w:rFonts w:cstheme="minorHAnsi"/>
                <w:bCs/>
                <w:color w:val="1111FB"/>
              </w:rPr>
            </w:pPr>
            <w:r w:rsidRPr="00836A38">
              <w:rPr>
                <w:rFonts w:cstheme="minorHAnsi"/>
                <w:bCs/>
                <w:color w:val="1111FB"/>
              </w:rPr>
              <w:t xml:space="preserve">Average Number </w:t>
            </w:r>
            <w:r w:rsidRPr="00E17872">
              <w:rPr>
                <w:rFonts w:cstheme="minorHAnsi"/>
                <w:bCs/>
                <w:color w:val="1111FB"/>
              </w:rPr>
              <w:t>Excluded</w:t>
            </w:r>
          </w:p>
          <w:p w14:paraId="48D794F0" w14:textId="77777777" w:rsidR="00A55964" w:rsidRPr="00836A38" w:rsidRDefault="00A55964" w:rsidP="00750855">
            <w:pPr>
              <w:autoSpaceDE w:val="0"/>
              <w:autoSpaceDN w:val="0"/>
              <w:adjustRightInd w:val="0"/>
              <w:spacing w:after="0" w:line="240" w:lineRule="auto"/>
              <w:jc w:val="center"/>
              <w:rPr>
                <w:rFonts w:cstheme="minorHAnsi"/>
                <w:bCs/>
                <w:color w:val="1111FB"/>
              </w:rPr>
            </w:pPr>
          </w:p>
        </w:tc>
        <w:tc>
          <w:tcPr>
            <w:tcW w:w="1350" w:type="dxa"/>
            <w:shd w:val="clear" w:color="auto" w:fill="D9D9D9" w:themeFill="background1" w:themeFillShade="D9"/>
            <w:vAlign w:val="center"/>
            <w:hideMark/>
          </w:tcPr>
          <w:p w14:paraId="117992A2" w14:textId="77777777" w:rsidR="00A55964" w:rsidRPr="00E17872" w:rsidRDefault="00A55964" w:rsidP="00750855">
            <w:pPr>
              <w:autoSpaceDE w:val="0"/>
              <w:autoSpaceDN w:val="0"/>
              <w:adjustRightInd w:val="0"/>
              <w:spacing w:after="0" w:line="240" w:lineRule="auto"/>
              <w:jc w:val="center"/>
              <w:rPr>
                <w:rFonts w:cstheme="minorHAnsi"/>
                <w:bCs/>
                <w:color w:val="1111FB"/>
              </w:rPr>
            </w:pPr>
            <w:r w:rsidRPr="00836A38">
              <w:rPr>
                <w:rFonts w:cstheme="minorHAnsi"/>
                <w:bCs/>
                <w:color w:val="1111FB"/>
              </w:rPr>
              <w:t>Average % Removed by</w:t>
            </w:r>
            <w:r w:rsidRPr="00E17872">
              <w:rPr>
                <w:rFonts w:cstheme="minorHAnsi"/>
                <w:bCs/>
                <w:color w:val="1111FB"/>
              </w:rPr>
              <w:t xml:space="preserve"> Exclusion</w:t>
            </w:r>
          </w:p>
          <w:p w14:paraId="7FFB035A" w14:textId="77777777" w:rsidR="00A55964" w:rsidRPr="00836A38" w:rsidRDefault="00A55964" w:rsidP="00750855">
            <w:pPr>
              <w:autoSpaceDE w:val="0"/>
              <w:autoSpaceDN w:val="0"/>
              <w:adjustRightInd w:val="0"/>
              <w:spacing w:after="0" w:line="240" w:lineRule="auto"/>
              <w:jc w:val="center"/>
              <w:rPr>
                <w:rFonts w:cstheme="minorHAnsi"/>
                <w:bCs/>
                <w:color w:val="1111FB"/>
              </w:rPr>
            </w:pPr>
          </w:p>
        </w:tc>
      </w:tr>
      <w:tr w:rsidR="00E1593E" w:rsidRPr="00836A38" w14:paraId="2B16443D" w14:textId="77777777" w:rsidTr="00750855">
        <w:trPr>
          <w:trHeight w:val="274"/>
        </w:trPr>
        <w:tc>
          <w:tcPr>
            <w:tcW w:w="965" w:type="dxa"/>
            <w:shd w:val="clear" w:color="auto" w:fill="auto"/>
            <w:hideMark/>
          </w:tcPr>
          <w:p w14:paraId="6677EF33" w14:textId="17CA9BB7" w:rsidR="00E1593E" w:rsidRPr="00836A38" w:rsidRDefault="00E1593E" w:rsidP="00E1593E">
            <w:pPr>
              <w:autoSpaceDE w:val="0"/>
              <w:autoSpaceDN w:val="0"/>
              <w:adjustRightInd w:val="0"/>
              <w:spacing w:after="0" w:line="240" w:lineRule="auto"/>
              <w:jc w:val="center"/>
              <w:rPr>
                <w:rFonts w:cstheme="minorHAnsi"/>
                <w:color w:val="0000FF"/>
              </w:rPr>
            </w:pPr>
            <w:r w:rsidRPr="00E1593E">
              <w:rPr>
                <w:color w:val="0000FF"/>
              </w:rPr>
              <w:t>25</w:t>
            </w:r>
          </w:p>
        </w:tc>
        <w:tc>
          <w:tcPr>
            <w:tcW w:w="1530" w:type="dxa"/>
            <w:shd w:val="clear" w:color="auto" w:fill="auto"/>
            <w:noWrap/>
            <w:hideMark/>
          </w:tcPr>
          <w:p w14:paraId="2220720A" w14:textId="54AAE122" w:rsidR="00E1593E" w:rsidRPr="00836A38" w:rsidRDefault="00E1593E" w:rsidP="00E1593E">
            <w:pPr>
              <w:autoSpaceDE w:val="0"/>
              <w:autoSpaceDN w:val="0"/>
              <w:adjustRightInd w:val="0"/>
              <w:spacing w:after="0" w:line="240" w:lineRule="auto"/>
              <w:jc w:val="center"/>
              <w:rPr>
                <w:rFonts w:cstheme="minorHAnsi"/>
                <w:color w:val="0000FF"/>
              </w:rPr>
            </w:pPr>
            <w:r w:rsidRPr="00E1593E">
              <w:rPr>
                <w:color w:val="0000FF"/>
              </w:rPr>
              <w:t>350</w:t>
            </w:r>
          </w:p>
        </w:tc>
        <w:tc>
          <w:tcPr>
            <w:tcW w:w="1350" w:type="dxa"/>
            <w:shd w:val="clear" w:color="auto" w:fill="auto"/>
            <w:noWrap/>
            <w:hideMark/>
          </w:tcPr>
          <w:p w14:paraId="51C39C6F" w14:textId="1BF7DA89" w:rsidR="00E1593E" w:rsidRPr="00836A38" w:rsidRDefault="00E1593E" w:rsidP="00E1593E">
            <w:pPr>
              <w:autoSpaceDE w:val="0"/>
              <w:autoSpaceDN w:val="0"/>
              <w:adjustRightInd w:val="0"/>
              <w:spacing w:after="0" w:line="240" w:lineRule="auto"/>
              <w:jc w:val="center"/>
              <w:rPr>
                <w:rFonts w:cstheme="minorHAnsi"/>
                <w:color w:val="0000FF"/>
              </w:rPr>
            </w:pPr>
            <w:r w:rsidRPr="00E1593E">
              <w:rPr>
                <w:color w:val="0000FF"/>
              </w:rPr>
              <w:t>2.0</w:t>
            </w:r>
          </w:p>
        </w:tc>
      </w:tr>
    </w:tbl>
    <w:p w14:paraId="10449DEC" w14:textId="77777777" w:rsidR="00964945" w:rsidRPr="00AD782C" w:rsidRDefault="00964945" w:rsidP="00964945">
      <w:pPr>
        <w:autoSpaceDE w:val="0"/>
        <w:autoSpaceDN w:val="0"/>
        <w:adjustRightInd w:val="0"/>
        <w:spacing w:after="0" w:line="240" w:lineRule="auto"/>
        <w:rPr>
          <w:rFonts w:cstheme="minorHAnsi"/>
          <w:color w:val="1111FB"/>
        </w:rPr>
      </w:pPr>
    </w:p>
    <w:p w14:paraId="336B1E55" w14:textId="77777777" w:rsidR="00964945" w:rsidRPr="009D3882" w:rsidRDefault="00964945" w:rsidP="00964945">
      <w:pPr>
        <w:autoSpaceDE w:val="0"/>
        <w:autoSpaceDN w:val="0"/>
        <w:adjustRightInd w:val="0"/>
        <w:spacing w:after="0" w:line="240" w:lineRule="auto"/>
        <w:rPr>
          <w:rFonts w:cstheme="minorHAnsi"/>
          <w:bCs/>
          <w:sz w:val="12"/>
        </w:rPr>
      </w:pPr>
    </w:p>
    <w:p w14:paraId="2F77742D" w14:textId="77777777" w:rsidR="00964945" w:rsidRDefault="00964945" w:rsidP="00964945">
      <w:pPr>
        <w:autoSpaceDE w:val="0"/>
        <w:autoSpaceDN w:val="0"/>
        <w:adjustRightInd w:val="0"/>
        <w:spacing w:after="0" w:line="240" w:lineRule="auto"/>
        <w:rPr>
          <w:rFonts w:cstheme="minorHAnsi"/>
          <w:b/>
          <w:bCs/>
        </w:rPr>
      </w:pPr>
    </w:p>
    <w:p w14:paraId="14B0BF43" w14:textId="77777777" w:rsidR="00964945" w:rsidRDefault="00964945" w:rsidP="00964945">
      <w:pPr>
        <w:autoSpaceDE w:val="0"/>
        <w:autoSpaceDN w:val="0"/>
        <w:adjustRightInd w:val="0"/>
        <w:spacing w:after="0" w:line="240" w:lineRule="auto"/>
        <w:rPr>
          <w:rFonts w:cstheme="minorHAnsi"/>
          <w:b/>
          <w:bCs/>
        </w:rPr>
      </w:pPr>
    </w:p>
    <w:p w14:paraId="5BA629CE" w14:textId="77777777" w:rsidR="000F25B8" w:rsidRDefault="000F25B8" w:rsidP="000F25B8">
      <w:pPr>
        <w:autoSpaceDE w:val="0"/>
        <w:autoSpaceDN w:val="0"/>
        <w:adjustRightInd w:val="0"/>
        <w:spacing w:after="0" w:line="240" w:lineRule="auto"/>
        <w:rPr>
          <w:rFonts w:cstheme="minorHAnsi"/>
          <w:b/>
        </w:rPr>
      </w:pPr>
    </w:p>
    <w:p w14:paraId="109EB415" w14:textId="77777777" w:rsidR="000F25B8" w:rsidRDefault="000F25B8" w:rsidP="00092566">
      <w:pPr>
        <w:autoSpaceDE w:val="0"/>
        <w:autoSpaceDN w:val="0"/>
        <w:adjustRightInd w:val="0"/>
        <w:spacing w:after="0" w:line="240" w:lineRule="auto"/>
        <w:rPr>
          <w:rFonts w:cstheme="minorHAnsi"/>
          <w:b/>
        </w:rPr>
      </w:pPr>
    </w:p>
    <w:p w14:paraId="0CABCFE8" w14:textId="773A1B61" w:rsidR="007422FD" w:rsidRPr="00C530E5"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r w:rsidR="000B2DF7" w:rsidRPr="00A25024">
        <w:rPr>
          <w:rFonts w:cstheme="minorHAnsi"/>
          <w:b/>
          <w:bCs/>
        </w:rPr>
        <w:t xml:space="preserve">What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C530E5">
        <w:rPr>
          <w:rFonts w:cstheme="minorHAnsi"/>
          <w:bCs/>
          <w:i/>
        </w:rPr>
        <w:t>i.e.,</w:t>
      </w:r>
      <w:r w:rsidR="000B2DF7" w:rsidRPr="00C530E5">
        <w:rPr>
          <w:rFonts w:cstheme="minorHAnsi"/>
          <w:bCs/>
          <w:i/>
        </w:rPr>
        <w:t xml:space="preserve"> the value </w:t>
      </w:r>
      <w:r w:rsidR="00713394" w:rsidRPr="00C530E5">
        <w:rPr>
          <w:rFonts w:cstheme="minorHAnsi"/>
          <w:bCs/>
          <w:i/>
        </w:rPr>
        <w:t>outweighs the</w:t>
      </w:r>
      <w:r w:rsidR="000B2DF7" w:rsidRPr="00C530E5">
        <w:rPr>
          <w:rFonts w:cstheme="minorHAnsi"/>
          <w:bCs/>
          <w:i/>
        </w:rPr>
        <w:t xml:space="preserve"> burden of increased data collection and analysi</w:t>
      </w:r>
      <w:r w:rsidR="00CC086A" w:rsidRPr="00C530E5">
        <w:rPr>
          <w:rFonts w:cstheme="minorHAnsi"/>
          <w:bCs/>
          <w:i/>
        </w:rPr>
        <w:t xml:space="preserve">s. </w:t>
      </w:r>
      <w:r w:rsidR="00713394" w:rsidRPr="00C530E5">
        <w:rPr>
          <w:rFonts w:cstheme="minorHAnsi"/>
          <w:bCs/>
        </w:rPr>
        <w:t xml:space="preserve"> </w:t>
      </w:r>
      <w:r w:rsidR="00713394" w:rsidRPr="00C530E5">
        <w:rPr>
          <w:rFonts w:cstheme="minorHAnsi"/>
          <w:bCs/>
          <w:i/>
          <w:u w:val="single"/>
        </w:rPr>
        <w:t>Note</w:t>
      </w:r>
      <w:r w:rsidR="00713394" w:rsidRPr="00C530E5">
        <w:rPr>
          <w:rFonts w:cstheme="minorHAnsi"/>
          <w:bCs/>
          <w:i/>
        </w:rPr>
        <w:t xml:space="preserve">: </w:t>
      </w:r>
      <w:r w:rsidR="00713394" w:rsidRPr="00C530E5">
        <w:rPr>
          <w:rFonts w:cstheme="minorHAnsi"/>
          <w:b/>
          <w:bCs/>
          <w:i/>
        </w:rPr>
        <w:t>If patient preference is an exclusion</w:t>
      </w:r>
      <w:r w:rsidR="00713394" w:rsidRPr="00C530E5">
        <w:rPr>
          <w:rFonts w:cstheme="minorHAnsi"/>
          <w:bCs/>
          <w:i/>
        </w:rPr>
        <w:t>, the measure must be specified so that the effect on the performance score is transparent, e.g., scores with and without exclusion</w:t>
      </w:r>
      <w:r w:rsidR="00713394" w:rsidRPr="00C530E5">
        <w:rPr>
          <w:rFonts w:cstheme="minorHAnsi"/>
          <w:bCs/>
        </w:rPr>
        <w:t>)</w:t>
      </w:r>
    </w:p>
    <w:p w14:paraId="197AB83D" w14:textId="77777777" w:rsidR="00366F4E" w:rsidRDefault="00366F4E" w:rsidP="00366F4E">
      <w:pPr>
        <w:autoSpaceDE w:val="0"/>
        <w:autoSpaceDN w:val="0"/>
        <w:adjustRightInd w:val="0"/>
        <w:spacing w:after="0" w:line="240" w:lineRule="auto"/>
        <w:rPr>
          <w:rFonts w:cstheme="minorHAnsi"/>
          <w:bCs/>
          <w:color w:val="1111FB"/>
          <w:u w:val="single"/>
        </w:rPr>
      </w:pPr>
      <w:r w:rsidRPr="001E266C">
        <w:rPr>
          <w:rFonts w:cstheme="minorHAnsi"/>
          <w:bCs/>
          <w:color w:val="1111FB"/>
          <w:u w:val="single"/>
        </w:rPr>
        <w:t>Advanced Illness and Frailty</w:t>
      </w:r>
    </w:p>
    <w:p w14:paraId="13FABD47" w14:textId="59D48C20" w:rsidR="00366F4E" w:rsidRPr="00A25024" w:rsidRDefault="00DC1A44" w:rsidP="00366F4E">
      <w:pPr>
        <w:autoSpaceDE w:val="0"/>
        <w:autoSpaceDN w:val="0"/>
        <w:adjustRightInd w:val="0"/>
        <w:spacing w:after="0" w:line="240" w:lineRule="auto"/>
        <w:rPr>
          <w:rFonts w:cstheme="minorHAnsi"/>
          <w:bCs/>
        </w:rPr>
      </w:pPr>
      <w:r>
        <w:rPr>
          <w:rFonts w:cstheme="minorHAnsi"/>
          <w:bCs/>
          <w:color w:val="1111FB"/>
        </w:rPr>
        <w:t>T</w:t>
      </w:r>
      <w:r w:rsidR="00366F4E">
        <w:rPr>
          <w:rFonts w:cstheme="minorHAnsi"/>
          <w:bCs/>
          <w:color w:val="1111FB"/>
        </w:rPr>
        <w:t xml:space="preserve">he advanced illness and frailty exclusion </w:t>
      </w:r>
      <w:r>
        <w:rPr>
          <w:rFonts w:cstheme="minorHAnsi"/>
          <w:bCs/>
          <w:color w:val="1111FB"/>
        </w:rPr>
        <w:t xml:space="preserve">had a small impact on the eligible population: </w:t>
      </w:r>
      <w:r w:rsidR="00B06404">
        <w:rPr>
          <w:rFonts w:cstheme="minorHAnsi"/>
          <w:bCs/>
          <w:color w:val="1111FB"/>
        </w:rPr>
        <w:t>2.0% on average were removed for advance illness and frailty</w:t>
      </w:r>
      <w:r w:rsidR="00366F4E">
        <w:rPr>
          <w:rFonts w:cstheme="minorHAnsi"/>
          <w:bCs/>
          <w:color w:val="1111FB"/>
        </w:rPr>
        <w:t xml:space="preserve">. Feedback from NCQA’s </w:t>
      </w:r>
      <w:r w:rsidR="00366F4E" w:rsidRPr="008346AE">
        <w:rPr>
          <w:rFonts w:cstheme="minorHAnsi"/>
          <w:bCs/>
          <w:color w:val="1111FB"/>
        </w:rPr>
        <w:t>expert work groups</w:t>
      </w:r>
      <w:r w:rsidR="00366F4E">
        <w:rPr>
          <w:rFonts w:cstheme="minorHAnsi"/>
          <w:bCs/>
          <w:color w:val="1111FB"/>
        </w:rPr>
        <w:t xml:space="preserve"> and </w:t>
      </w:r>
      <w:r w:rsidR="00366F4E" w:rsidRPr="008346AE">
        <w:rPr>
          <w:rFonts w:cstheme="minorHAnsi"/>
          <w:bCs/>
          <w:color w:val="1111FB"/>
        </w:rPr>
        <w:lastRenderedPageBreak/>
        <w:t>measurement advisory panels</w:t>
      </w:r>
      <w:r w:rsidR="00366F4E">
        <w:rPr>
          <w:rFonts w:cstheme="minorHAnsi"/>
          <w:bCs/>
          <w:color w:val="1111FB"/>
        </w:rPr>
        <w:t xml:space="preserve">, as well as </w:t>
      </w:r>
      <w:r w:rsidR="00366F4E" w:rsidRPr="008346AE">
        <w:rPr>
          <w:rFonts w:cstheme="minorHAnsi"/>
          <w:bCs/>
          <w:color w:val="1111FB"/>
        </w:rPr>
        <w:t>public comment</w:t>
      </w:r>
      <w:r w:rsidR="00366F4E">
        <w:rPr>
          <w:rFonts w:cstheme="minorHAnsi"/>
          <w:bCs/>
          <w:color w:val="1111FB"/>
        </w:rPr>
        <w:t xml:space="preserve"> feedback, supported the application of </w:t>
      </w:r>
      <w:r w:rsidR="00327594">
        <w:rPr>
          <w:rFonts w:cstheme="minorHAnsi"/>
          <w:bCs/>
          <w:color w:val="1111FB"/>
        </w:rPr>
        <w:t xml:space="preserve">this </w:t>
      </w:r>
      <w:r w:rsidR="00366F4E">
        <w:rPr>
          <w:rFonts w:cstheme="minorHAnsi"/>
          <w:bCs/>
          <w:color w:val="1111FB"/>
        </w:rPr>
        <w:t xml:space="preserve">exclusion to the </w:t>
      </w:r>
      <w:r w:rsidR="00366F4E" w:rsidRPr="00366F4E">
        <w:rPr>
          <w:rFonts w:cstheme="minorHAnsi"/>
          <w:bCs/>
          <w:color w:val="1111FB"/>
        </w:rPr>
        <w:t>Comprehensive Diabetes Care: HbA1c Poor Control (&gt;9.0%) measure</w:t>
      </w:r>
      <w:r w:rsidR="009B5123">
        <w:rPr>
          <w:rFonts w:cstheme="minorHAnsi"/>
          <w:bCs/>
          <w:color w:val="1111FB"/>
        </w:rPr>
        <w:t xml:space="preserve"> for clinical reasons</w:t>
      </w:r>
      <w:r w:rsidR="00366F4E">
        <w:rPr>
          <w:rFonts w:cstheme="minorHAnsi"/>
          <w:bCs/>
          <w:color w:val="1111FB"/>
        </w:rPr>
        <w:t xml:space="preserve">. </w:t>
      </w:r>
      <w:r w:rsidR="00366F4E" w:rsidRPr="00722203">
        <w:rPr>
          <w:rFonts w:cstheme="minorHAnsi"/>
          <w:bCs/>
          <w:color w:val="1111FB"/>
        </w:rPr>
        <w:t xml:space="preserve">By implementing this </w:t>
      </w:r>
      <w:r w:rsidR="00A360D8">
        <w:rPr>
          <w:rFonts w:cstheme="minorHAnsi"/>
          <w:bCs/>
          <w:color w:val="1111FB"/>
        </w:rPr>
        <w:t>exclusion</w:t>
      </w:r>
      <w:r w:rsidR="00366F4E" w:rsidRPr="00722203">
        <w:rPr>
          <w:rFonts w:cstheme="minorHAnsi"/>
          <w:bCs/>
          <w:color w:val="1111FB"/>
        </w:rPr>
        <w:t xml:space="preserve">, </w:t>
      </w:r>
      <w:r w:rsidR="00366F4E">
        <w:rPr>
          <w:rFonts w:cstheme="minorHAnsi"/>
          <w:bCs/>
          <w:color w:val="1111FB"/>
        </w:rPr>
        <w:t>those providing care to</w:t>
      </w:r>
      <w:r w:rsidR="00A360D8">
        <w:rPr>
          <w:rFonts w:cstheme="minorHAnsi"/>
          <w:bCs/>
          <w:color w:val="1111FB"/>
        </w:rPr>
        <w:t xml:space="preserve"> patients with</w:t>
      </w:r>
      <w:r w:rsidR="00366F4E" w:rsidRPr="00722203">
        <w:rPr>
          <w:rFonts w:cstheme="minorHAnsi"/>
          <w:bCs/>
          <w:color w:val="1111FB"/>
        </w:rPr>
        <w:t xml:space="preserve"> advanced illness</w:t>
      </w:r>
      <w:r w:rsidR="00A360D8">
        <w:rPr>
          <w:rFonts w:cstheme="minorHAnsi"/>
          <w:bCs/>
          <w:color w:val="1111FB"/>
        </w:rPr>
        <w:t xml:space="preserve"> and frailty</w:t>
      </w:r>
      <w:r w:rsidR="00366F4E" w:rsidRPr="00722203">
        <w:rPr>
          <w:rFonts w:cstheme="minorHAnsi"/>
          <w:bCs/>
          <w:color w:val="1111FB"/>
        </w:rPr>
        <w:t xml:space="preserve"> can focus on care that</w:t>
      </w:r>
      <w:r w:rsidR="00FF24D0">
        <w:rPr>
          <w:rFonts w:cstheme="minorHAnsi"/>
          <w:bCs/>
          <w:color w:val="1111FB"/>
        </w:rPr>
        <w:t xml:space="preserve"> i</w:t>
      </w:r>
      <w:r w:rsidR="00366F4E" w:rsidRPr="00722203">
        <w:rPr>
          <w:rFonts w:cstheme="minorHAnsi"/>
          <w:bCs/>
          <w:color w:val="1111FB"/>
        </w:rPr>
        <w:t xml:space="preserve">s more appropriate for their conditions and health status. Attention </w:t>
      </w:r>
      <w:r w:rsidR="00366F4E">
        <w:rPr>
          <w:rFonts w:cstheme="minorHAnsi"/>
          <w:bCs/>
          <w:color w:val="1111FB"/>
        </w:rPr>
        <w:t>can be mor</w:t>
      </w:r>
      <w:r w:rsidR="00366F4E" w:rsidRPr="00722203">
        <w:rPr>
          <w:rFonts w:cstheme="minorHAnsi"/>
          <w:bCs/>
          <w:color w:val="1111FB"/>
        </w:rPr>
        <w:t>e focused on quality measures that capture services and care processes that are most relevant for this population (e.g., improving care transitions, getting follow-up after acute care episodes, or avoiding preventable hospitalizations).</w:t>
      </w:r>
    </w:p>
    <w:p w14:paraId="52138940" w14:textId="77777777" w:rsidR="00BF1FC1" w:rsidRDefault="00BF1FC1" w:rsidP="00DB3627">
      <w:pPr>
        <w:autoSpaceDE w:val="0"/>
        <w:autoSpaceDN w:val="0"/>
        <w:adjustRightInd w:val="0"/>
        <w:spacing w:after="0" w:line="240" w:lineRule="auto"/>
        <w:rPr>
          <w:rFonts w:cstheme="minorHAnsi"/>
          <w:bCs/>
          <w:color w:val="4F81BD" w:themeColor="accent1"/>
        </w:rPr>
      </w:pPr>
    </w:p>
    <w:p w14:paraId="0CABCFE9" w14:textId="2C1238A3" w:rsidR="001202E9" w:rsidRPr="00BF1FC1" w:rsidRDefault="0086464B" w:rsidP="00DB3627">
      <w:pPr>
        <w:autoSpaceDE w:val="0"/>
        <w:autoSpaceDN w:val="0"/>
        <w:adjustRightInd w:val="0"/>
        <w:spacing w:after="0" w:line="240" w:lineRule="auto"/>
        <w:rPr>
          <w:rFonts w:cstheme="minorHAnsi"/>
          <w:bCs/>
          <w:color w:val="4F81BD" w:themeColor="accent1"/>
        </w:rPr>
      </w:pPr>
      <w:r>
        <w:rPr>
          <w:rFonts w:cstheme="minorHAnsi"/>
          <w:bCs/>
        </w:rPr>
        <w:t>____________________________</w:t>
      </w:r>
    </w:p>
    <w:p w14:paraId="0CABCFEA" w14:textId="1A6C3041" w:rsidR="00AC1D8E" w:rsidRPr="0086464B" w:rsidRDefault="00092566" w:rsidP="00AC1D8E">
      <w:pPr>
        <w:autoSpaceDE w:val="0"/>
        <w:autoSpaceDN w:val="0"/>
        <w:adjustRightInd w:val="0"/>
        <w:spacing w:after="0" w:line="240" w:lineRule="auto"/>
        <w:rPr>
          <w:rFonts w:cstheme="minorHAnsi"/>
          <w:b/>
          <w:bCs/>
          <w:i/>
        </w:rPr>
      </w:pPr>
      <w:bookmarkStart w:id="16" w:name="section2b4"/>
      <w:bookmarkEnd w:id="16"/>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w:t>
        </w:r>
        <w:r w:rsidR="00565946">
          <w:rPr>
            <w:rStyle w:val="Hyperlink"/>
            <w:rFonts w:cstheme="minorHAnsi"/>
            <w:b/>
            <w:bCs/>
            <w:i/>
            <w:highlight w:val="green"/>
          </w:rPr>
          <w:t>4</w:t>
        </w:r>
      </w:hyperlink>
      <w:r w:rsidR="00BE592D" w:rsidRPr="00BE592D">
        <w:rPr>
          <w:rFonts w:cstheme="minorHAnsi"/>
          <w:b/>
          <w:bCs/>
          <w:i/>
          <w:highlight w:val="green"/>
        </w:rPr>
        <w:t>.</w:t>
      </w:r>
    </w:p>
    <w:p w14:paraId="0CABCFEB" w14:textId="77777777" w:rsidR="008871A9" w:rsidRDefault="008871A9"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r w:rsidR="00743E46" w:rsidRPr="005232D6">
        <w:rPr>
          <w:rFonts w:cstheme="minorHAnsi"/>
          <w:b/>
          <w:bCs/>
        </w:rPr>
        <w:t>What method of controlling for differences in case mix is used?</w:t>
      </w:r>
    </w:p>
    <w:p w14:paraId="0CABCFED" w14:textId="2E087367" w:rsidR="00033038" w:rsidRPr="00C530E5" w:rsidRDefault="00445A68"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DE1C55" w:rsidRPr="00C530E5">
            <w:rPr>
              <w:rFonts w:ascii="Segoe UI Symbol" w:eastAsia="MS Gothic" w:hAnsi="Segoe UI Symbol" w:cs="Segoe UI Symbol"/>
              <w:bCs/>
              <w:color w:val="0000FF"/>
            </w:rPr>
            <w:t>☒</w:t>
          </w:r>
        </w:sdtContent>
      </w:sdt>
      <w:r w:rsidR="00033038" w:rsidRPr="00C530E5">
        <w:rPr>
          <w:rFonts w:eastAsia="MS Mincho" w:cstheme="minorHAnsi"/>
          <w:b/>
          <w:bCs/>
          <w:color w:val="0000FF"/>
        </w:rPr>
        <w:t xml:space="preserve"> </w:t>
      </w:r>
      <w:r w:rsidR="00033038" w:rsidRPr="00C530E5">
        <w:rPr>
          <w:rFonts w:cstheme="minorHAnsi"/>
          <w:b/>
          <w:bCs/>
        </w:rPr>
        <w:t>No risk adjustment or stratification</w:t>
      </w:r>
    </w:p>
    <w:p w14:paraId="0CABCFEE" w14:textId="77777777" w:rsidR="00743E46" w:rsidRPr="00C530E5" w:rsidRDefault="00445A68"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6574D2" w:rsidRPr="00C530E5">
        <w:rPr>
          <w:rFonts w:cstheme="minorHAnsi"/>
          <w:bCs/>
          <w:color w:val="0000FF"/>
        </w:rPr>
        <w:t xml:space="preserve"> </w:t>
      </w:r>
      <w:r w:rsidR="00743E46" w:rsidRPr="00C530E5">
        <w:rPr>
          <w:rFonts w:cstheme="minorHAnsi"/>
          <w:b/>
          <w:bCs/>
        </w:rPr>
        <w:t xml:space="preserve">Statistical risk model with </w:t>
      </w:r>
      <w:sdt>
        <w:sdtPr>
          <w:rPr>
            <w:rStyle w:val="Style4"/>
            <w:rFonts w:asciiTheme="minorHAnsi" w:hAnsiTheme="minorHAnsi" w:cstheme="minorHAnsi"/>
            <w:u w:val="none"/>
          </w:rPr>
          <w:id w:val="309760327"/>
          <w:showingPlcHdr/>
          <w:text/>
        </w:sdtPr>
        <w:sdtEndPr>
          <w:rPr>
            <w:rStyle w:val="DefaultParagraphFont"/>
            <w:b w:val="0"/>
            <w:bCs/>
            <w:color w:val="auto"/>
          </w:rPr>
        </w:sdtEndPr>
        <w:sdtContent>
          <w:r w:rsidR="00E562C0" w:rsidRPr="00C530E5">
            <w:rPr>
              <w:rStyle w:val="PlaceholderText"/>
              <w:rFonts w:cstheme="minorHAnsi"/>
            </w:rPr>
            <w:t>Click here to enter number of factors</w:t>
          </w:r>
        </w:sdtContent>
      </w:sdt>
      <w:r w:rsidR="00E562C0" w:rsidRPr="00C530E5">
        <w:rPr>
          <w:rStyle w:val="Style4"/>
          <w:rFonts w:asciiTheme="minorHAnsi" w:hAnsiTheme="minorHAnsi" w:cstheme="minorHAnsi"/>
          <w:u w:val="none"/>
        </w:rPr>
        <w:t xml:space="preserve"> </w:t>
      </w:r>
      <w:r w:rsidR="00743E46" w:rsidRPr="00C530E5">
        <w:rPr>
          <w:rFonts w:cstheme="minorHAnsi"/>
          <w:b/>
          <w:bCs/>
        </w:rPr>
        <w:t>risk factors</w:t>
      </w:r>
    </w:p>
    <w:p w14:paraId="0CABCFEF" w14:textId="77777777" w:rsidR="00743E46" w:rsidRPr="00C530E5" w:rsidRDefault="00445A68"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0414E8" w:rsidRPr="00C530E5">
        <w:rPr>
          <w:rFonts w:eastAsia="MS Mincho" w:cstheme="minorHAnsi"/>
          <w:b/>
          <w:bCs/>
          <w:color w:val="0000FF"/>
        </w:rPr>
        <w:t xml:space="preserve"> </w:t>
      </w:r>
      <w:r w:rsidR="00743E46" w:rsidRPr="00C530E5">
        <w:rPr>
          <w:rFonts w:cstheme="minorHAnsi"/>
          <w:b/>
          <w:bCs/>
        </w:rPr>
        <w:t xml:space="preserve">Stratification by </w:t>
      </w:r>
      <w:sdt>
        <w:sdtPr>
          <w:rPr>
            <w:rStyle w:val="Style4"/>
            <w:rFonts w:asciiTheme="minorHAnsi" w:hAnsiTheme="minorHAnsi" w:cstheme="minorHAnsi"/>
            <w:u w:val="none"/>
          </w:rPr>
          <w:id w:val="-52006544"/>
          <w:showingPlcHdr/>
          <w:text/>
        </w:sdtPr>
        <w:sdtEndPr>
          <w:rPr>
            <w:rStyle w:val="DefaultParagraphFont"/>
            <w:b w:val="0"/>
            <w:bCs/>
            <w:color w:val="auto"/>
          </w:rPr>
        </w:sdtEndPr>
        <w:sdtContent>
          <w:r w:rsidR="00E562C0" w:rsidRPr="00C530E5">
            <w:rPr>
              <w:rStyle w:val="PlaceholderText"/>
              <w:rFonts w:cstheme="minorHAnsi"/>
            </w:rPr>
            <w:t>Click here to enter number of categories</w:t>
          </w:r>
        </w:sdtContent>
      </w:sdt>
      <w:r w:rsidR="00E562C0" w:rsidRPr="00C530E5">
        <w:rPr>
          <w:rStyle w:val="Style4"/>
          <w:rFonts w:asciiTheme="minorHAnsi" w:hAnsiTheme="minorHAnsi" w:cstheme="minorHAnsi"/>
          <w:u w:val="none"/>
        </w:rPr>
        <w:t xml:space="preserve"> </w:t>
      </w:r>
      <w:r w:rsidR="00C33F2E" w:rsidRPr="00C530E5">
        <w:rPr>
          <w:rFonts w:cstheme="minorHAnsi"/>
          <w:b/>
          <w:bCs/>
        </w:rPr>
        <w:t xml:space="preserve">risk </w:t>
      </w:r>
      <w:r w:rsidR="00743E46" w:rsidRPr="00C530E5">
        <w:rPr>
          <w:rFonts w:cstheme="minorHAnsi"/>
          <w:b/>
          <w:bCs/>
        </w:rPr>
        <w:t>categories</w:t>
      </w:r>
    </w:p>
    <w:p w14:paraId="0CABCFF0" w14:textId="77777777" w:rsidR="00743E46" w:rsidRPr="00C530E5" w:rsidRDefault="00445A68"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C530E5">
            <w:rPr>
              <w:rFonts w:ascii="Segoe UI Symbol" w:eastAsia="MS Gothic" w:hAnsi="Segoe UI Symbol" w:cs="Segoe UI Symbol"/>
              <w:bCs/>
              <w:color w:val="0000FF"/>
            </w:rPr>
            <w:t>☐</w:t>
          </w:r>
        </w:sdtContent>
      </w:sdt>
      <w:r w:rsidR="000414E8" w:rsidRPr="00C530E5">
        <w:rPr>
          <w:rFonts w:eastAsia="MS Mincho" w:cstheme="minorHAnsi"/>
          <w:b/>
          <w:bCs/>
          <w:color w:val="0000FF"/>
        </w:rPr>
        <w:t xml:space="preserve"> </w:t>
      </w:r>
      <w:r w:rsidR="00743E46" w:rsidRPr="00C530E5">
        <w:rPr>
          <w:rFonts w:cstheme="minorHAnsi"/>
          <w:b/>
          <w:bCs/>
        </w:rPr>
        <w:t xml:space="preserve">Other, </w:t>
      </w:r>
      <w:sdt>
        <w:sdtPr>
          <w:rPr>
            <w:rStyle w:val="Style1"/>
            <w:rFonts w:cstheme="minorHAnsi"/>
          </w:rPr>
          <w:id w:val="-1471512333"/>
          <w:showingPlcHdr/>
          <w:text/>
        </w:sdtPr>
        <w:sdtEndPr>
          <w:rPr>
            <w:rStyle w:val="DefaultParagraphFont"/>
            <w:b/>
            <w:bCs/>
            <w:color w:val="auto"/>
          </w:rPr>
        </w:sdtEndPr>
        <w:sdtContent>
          <w:r w:rsidR="00E562C0" w:rsidRPr="00C530E5">
            <w:rPr>
              <w:rStyle w:val="PlaceholderText"/>
              <w:rFonts w:cstheme="minorHAnsi"/>
            </w:rPr>
            <w:t>Click here to enter description</w:t>
          </w:r>
        </w:sdtContent>
      </w:sdt>
    </w:p>
    <w:p w14:paraId="0CABCFF1" w14:textId="77777777" w:rsidR="00743E46" w:rsidRPr="00C530E5" w:rsidRDefault="00743E46" w:rsidP="00092566">
      <w:pPr>
        <w:autoSpaceDE w:val="0"/>
        <w:autoSpaceDN w:val="0"/>
        <w:adjustRightInd w:val="0"/>
        <w:spacing w:after="0" w:line="240" w:lineRule="auto"/>
        <w:rPr>
          <w:rFonts w:cstheme="minorHAnsi"/>
          <w:b/>
          <w:bCs/>
        </w:rPr>
      </w:pPr>
    </w:p>
    <w:p w14:paraId="0A1E352E" w14:textId="641D3A40" w:rsidR="00AF2D68" w:rsidRPr="00C026DA" w:rsidRDefault="000B7D57" w:rsidP="00C026DA">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7825EE6A" w14:textId="77777777" w:rsidR="00A57908" w:rsidRPr="00D84CB3" w:rsidRDefault="00A57908" w:rsidP="00275DC0">
      <w:pPr>
        <w:spacing w:after="0" w:line="240" w:lineRule="auto"/>
        <w:rPr>
          <w:rFonts w:cs="Calibri"/>
          <w:bCs/>
          <w:color w:val="1111FB"/>
        </w:rPr>
      </w:pPr>
      <w:r w:rsidRPr="00D84CB3">
        <w:rPr>
          <w:rFonts w:cs="Calibri"/>
          <w:bCs/>
          <w:color w:val="1111FB"/>
        </w:rPr>
        <w:t>N/A</w:t>
      </w:r>
    </w:p>
    <w:p w14:paraId="5DE451A9" w14:textId="77777777" w:rsidR="00A57908" w:rsidRDefault="00A57908" w:rsidP="00275DC0">
      <w:pPr>
        <w:spacing w:after="0" w:line="240" w:lineRule="auto"/>
        <w:rPr>
          <w:rFonts w:cs="Calibri"/>
          <w:b/>
          <w:bCs/>
        </w:rPr>
      </w:pPr>
    </w:p>
    <w:p w14:paraId="330BCD65" w14:textId="77777777" w:rsidR="00797386" w:rsidRDefault="00EA0FF4" w:rsidP="00C530E5">
      <w:pPr>
        <w:spacing w:after="0" w:line="240" w:lineRule="auto"/>
        <w:rPr>
          <w:rFonts w:cstheme="minorHAnsi"/>
          <w:bCs/>
          <w:color w:val="1111FB"/>
        </w:rPr>
      </w:pPr>
      <w:r w:rsidRPr="00865EDA">
        <w:rPr>
          <w:rFonts w:ascii="Calibri" w:hAnsi="Calibri" w:cs="Calibri"/>
          <w:b/>
          <w:bCs/>
        </w:rPr>
        <w:t xml:space="preserve">2b3.2. If an outcome or resource use component measure is </w:t>
      </w:r>
      <w:r w:rsidRPr="00865EDA">
        <w:rPr>
          <w:rFonts w:ascii="Calibri" w:hAnsi="Calibri" w:cs="Calibri"/>
          <w:b/>
          <w:bCs/>
          <w:u w:val="single"/>
        </w:rPr>
        <w:t>not risk adjusted or stratified</w:t>
      </w:r>
      <w:r w:rsidRPr="00865EDA">
        <w:rPr>
          <w:rFonts w:ascii="Calibri" w:hAnsi="Calibri" w:cs="Calibri"/>
          <w:b/>
          <w:bCs/>
        </w:rPr>
        <w:t xml:space="preserve">, provide </w:t>
      </w:r>
      <w:r w:rsidRPr="00865EDA">
        <w:rPr>
          <w:rFonts w:ascii="Calibri" w:hAnsi="Calibri" w:cs="Calibri"/>
          <w:b/>
          <w:bCs/>
          <w:u w:val="single"/>
        </w:rPr>
        <w:t>rationale and analyses</w:t>
      </w:r>
      <w:r w:rsidRPr="00865EDA">
        <w:rPr>
          <w:rFonts w:ascii="Calibri" w:hAnsi="Calibri" w:cs="Calibri"/>
          <w:b/>
          <w:bCs/>
        </w:rPr>
        <w:t xml:space="preserve"> to demonstrate that controlling for differences in patient characteristics (case mix) is not needed to achieve fair comparisons across measured entities</w:t>
      </w:r>
      <w:r w:rsidRPr="00865EDA">
        <w:rPr>
          <w:rFonts w:ascii="Calibri" w:hAnsi="Calibri" w:cs="Calibri"/>
          <w:bCs/>
        </w:rPr>
        <w:t>.</w:t>
      </w:r>
      <w:r w:rsidR="009D3882">
        <w:rPr>
          <w:rFonts w:cs="Calibri"/>
          <w:bCs/>
        </w:rPr>
        <w:br/>
      </w:r>
    </w:p>
    <w:p w14:paraId="4DDAACB8" w14:textId="3152D2EE" w:rsidR="001A2984" w:rsidRDefault="001A2984" w:rsidP="00C530E5">
      <w:pPr>
        <w:spacing w:after="0" w:line="240" w:lineRule="auto"/>
        <w:rPr>
          <w:rFonts w:cstheme="minorHAnsi"/>
          <w:bCs/>
          <w:color w:val="1111FB"/>
        </w:rPr>
      </w:pPr>
      <w:r>
        <w:rPr>
          <w:rFonts w:cstheme="minorHAnsi"/>
          <w:bCs/>
          <w:color w:val="1111FB"/>
        </w:rPr>
        <w:t xml:space="preserve">NCQA recognizes that there is a growing body of literature that might support </w:t>
      </w:r>
      <w:r w:rsidR="00DD00BA">
        <w:rPr>
          <w:rFonts w:cstheme="minorHAnsi"/>
          <w:bCs/>
          <w:color w:val="1111FB"/>
        </w:rPr>
        <w:t>risk adjustment or stratification of intermediate outcome measures</w:t>
      </w:r>
      <w:r w:rsidR="00513694">
        <w:rPr>
          <w:rFonts w:cstheme="minorHAnsi"/>
          <w:bCs/>
          <w:color w:val="1111FB"/>
        </w:rPr>
        <w:t xml:space="preserve">. However, at this time, </w:t>
      </w:r>
      <w:r w:rsidR="00513694" w:rsidRPr="00513694">
        <w:rPr>
          <w:rFonts w:cstheme="minorHAnsi"/>
          <w:bCs/>
          <w:color w:val="1111FB"/>
        </w:rPr>
        <w:t>NCQA does not currently risk adjust this measure given the potential to mask poor performance and disparities in care</w:t>
      </w:r>
      <w:r w:rsidR="00513694">
        <w:rPr>
          <w:rFonts w:cstheme="minorHAnsi"/>
          <w:bCs/>
          <w:color w:val="1111FB"/>
        </w:rPr>
        <w:t>.</w:t>
      </w:r>
    </w:p>
    <w:p w14:paraId="1E655DA0" w14:textId="77777777" w:rsidR="00513694" w:rsidRDefault="00513694" w:rsidP="00C530E5">
      <w:pPr>
        <w:spacing w:after="0" w:line="240" w:lineRule="auto"/>
        <w:rPr>
          <w:rFonts w:cstheme="minorHAnsi"/>
          <w:bCs/>
          <w:color w:val="1111FB"/>
        </w:rPr>
      </w:pPr>
    </w:p>
    <w:p w14:paraId="622C4019" w14:textId="2EF2DB28" w:rsidR="00FF6959" w:rsidRDefault="00FF6959" w:rsidP="00C530E5">
      <w:pPr>
        <w:spacing w:after="0" w:line="240" w:lineRule="auto"/>
        <w:rPr>
          <w:rFonts w:cstheme="minorHAnsi"/>
          <w:bCs/>
          <w:color w:val="1111FB"/>
        </w:rPr>
      </w:pPr>
      <w:r w:rsidRPr="00FF6959">
        <w:rPr>
          <w:rFonts w:cstheme="minorHAnsi"/>
          <w:bCs/>
          <w:color w:val="1111FB"/>
        </w:rPr>
        <w:t xml:space="preserve">NCQA conducted a study on the </w:t>
      </w:r>
      <w:bookmarkStart w:id="17" w:name="_Hlk15459693"/>
      <w:r w:rsidRPr="00FF6959">
        <w:rPr>
          <w:rFonts w:cstheme="minorHAnsi"/>
          <w:bCs/>
          <w:color w:val="1111FB"/>
        </w:rPr>
        <w:t>Comprehensive Diabetes Care: HbA1c Poor Control (&gt;9.0%)</w:t>
      </w:r>
      <w:bookmarkEnd w:id="17"/>
      <w:r w:rsidRPr="00FF6959">
        <w:rPr>
          <w:rFonts w:cstheme="minorHAnsi"/>
          <w:bCs/>
          <w:color w:val="1111FB"/>
        </w:rPr>
        <w:t xml:space="preserve"> measure among Medicare Advantage plans to assess whether to account for a member’s socioeconomic status (SES) when comparing plan performance. A qualitative assessment included key informant interviews exploring ways in which SES may affect performance on this and other select HEDIS measures, and whether there was a conceptual basis for case-mix adjustment or other strategies. In the quantitative analysis, we assessed whether SES affected plan performance, using member low-income status, dual eligibility, and disability as proxies for SES. For this measure, adjusting for SES did not have a meaningful impact on results. When adjusting for disparity in performance between low- and high-SES populations, plan ranks were not substantially impacted. When accounting for clinical and demographic factors, we found that low-SES beneficiaries were as likely, or more likely, to receive recommended care as high-SES beneficiaries. Our results suggest there is neither a conceptual nor empirical basis for risk adjustment for this measure.</w:t>
      </w:r>
    </w:p>
    <w:p w14:paraId="299E9EBF" w14:textId="77777777" w:rsidR="00275DC0" w:rsidRDefault="00275DC0" w:rsidP="00C530E5">
      <w:pPr>
        <w:spacing w:after="0" w:line="240" w:lineRule="auto"/>
        <w:rPr>
          <w:rFonts w:cstheme="minorHAnsi"/>
          <w:b/>
        </w:rPr>
      </w:pPr>
    </w:p>
    <w:p w14:paraId="73BEBC8B" w14:textId="4CDF326F" w:rsidR="00C530E5" w:rsidRPr="00C026DA" w:rsidRDefault="009C7513" w:rsidP="00C530E5">
      <w:pPr>
        <w:spacing w:after="0" w:line="240" w:lineRule="auto"/>
        <w:rPr>
          <w:rFonts w:cstheme="minorHAnsi"/>
          <w:bCs/>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lastRenderedPageBreak/>
        <w:t>Also discuss any “ordering” of risk factor inclusion</w:t>
      </w:r>
      <w:r w:rsidR="00CE284E">
        <w:rPr>
          <w:rFonts w:cstheme="minorHAnsi"/>
          <w:bCs/>
        </w:rPr>
        <w:t>; for example, a</w:t>
      </w:r>
      <w:r w:rsidR="00AF2D68">
        <w:rPr>
          <w:rFonts w:cstheme="minorHAnsi"/>
          <w:bCs/>
        </w:rPr>
        <w:t>re social risk factors added after all clinical factors?</w:t>
      </w:r>
    </w:p>
    <w:p w14:paraId="6D1A5442" w14:textId="67319219" w:rsidR="00C530E5" w:rsidRPr="00D84CB3" w:rsidRDefault="00C530E5" w:rsidP="00C530E5">
      <w:pPr>
        <w:spacing w:after="0" w:line="240" w:lineRule="auto"/>
        <w:rPr>
          <w:rFonts w:cs="Calibri"/>
          <w:bCs/>
          <w:color w:val="1111FB"/>
        </w:rPr>
      </w:pPr>
      <w:r w:rsidRPr="00D84CB3">
        <w:rPr>
          <w:rFonts w:cs="Calibri"/>
          <w:bCs/>
          <w:color w:val="1111FB"/>
        </w:rPr>
        <w:t>N/A</w:t>
      </w:r>
    </w:p>
    <w:p w14:paraId="3B4BFC49" w14:textId="77541D2C" w:rsidR="00C530E5" w:rsidRPr="00C530E5" w:rsidRDefault="00C530E5" w:rsidP="00C530E5">
      <w:pPr>
        <w:spacing w:after="0" w:line="240" w:lineRule="auto"/>
        <w:rPr>
          <w:rFonts w:cstheme="minorHAnsi"/>
          <w:bCs/>
        </w:rPr>
      </w:pPr>
    </w:p>
    <w:p w14:paraId="4260792A" w14:textId="019483A8" w:rsidR="00275563" w:rsidRDefault="00275563" w:rsidP="00C530E5">
      <w:pPr>
        <w:autoSpaceDE w:val="0"/>
        <w:autoSpaceDN w:val="0"/>
        <w:adjustRightInd w:val="0"/>
        <w:spacing w:after="0" w:line="240" w:lineRule="auto"/>
        <w:rPr>
          <w:rFonts w:cstheme="minorHAnsi"/>
          <w:b/>
          <w:bCs/>
        </w:rPr>
      </w:pPr>
      <w:r>
        <w:rPr>
          <w:rFonts w:cstheme="minorHAnsi"/>
          <w:b/>
          <w:bCs/>
        </w:rPr>
        <w:t xml:space="preserve">2b3.3b. How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C530E5" w:rsidRDefault="00445A68"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sidRPr="00C530E5">
            <w:rPr>
              <w:rFonts w:ascii="Segoe UI Symbol" w:eastAsia="MS Gothic" w:hAnsi="Segoe UI Symbol" w:cs="Segoe UI Symbol"/>
              <w:bCs/>
              <w:color w:val="0000FF"/>
            </w:rPr>
            <w:t>☐</w:t>
          </w:r>
        </w:sdtContent>
      </w:sdt>
      <w:r w:rsidR="00275563" w:rsidRPr="00C530E5">
        <w:rPr>
          <w:rFonts w:eastAsia="MS Mincho" w:cstheme="minorHAnsi"/>
          <w:b/>
          <w:bCs/>
          <w:color w:val="0000FF"/>
        </w:rPr>
        <w:t xml:space="preserve"> </w:t>
      </w:r>
      <w:r w:rsidR="00CE284E" w:rsidRPr="00C530E5">
        <w:rPr>
          <w:rFonts w:cstheme="minorHAnsi"/>
          <w:b/>
          <w:bCs/>
        </w:rPr>
        <w:t>Published l</w:t>
      </w:r>
      <w:r w:rsidR="00275563" w:rsidRPr="00C530E5">
        <w:rPr>
          <w:rFonts w:cstheme="minorHAnsi"/>
          <w:b/>
          <w:bCs/>
        </w:rPr>
        <w:t>iterature</w:t>
      </w:r>
    </w:p>
    <w:p w14:paraId="7E969A3E" w14:textId="6BA683BB" w:rsidR="00275563" w:rsidRPr="00C530E5" w:rsidRDefault="00445A68"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sidRPr="00C530E5">
            <w:rPr>
              <w:rFonts w:ascii="Segoe UI Symbol" w:eastAsia="MS Gothic" w:hAnsi="Segoe UI Symbol" w:cs="Segoe UI Symbol"/>
              <w:bCs/>
              <w:color w:val="0000FF"/>
            </w:rPr>
            <w:t>☐</w:t>
          </w:r>
        </w:sdtContent>
      </w:sdt>
      <w:r w:rsidR="00275563" w:rsidRPr="00C530E5">
        <w:rPr>
          <w:rFonts w:cstheme="minorHAnsi"/>
          <w:bCs/>
          <w:color w:val="0000FF"/>
        </w:rPr>
        <w:t xml:space="preserve"> </w:t>
      </w:r>
      <w:r w:rsidR="00CE284E" w:rsidRPr="00C530E5">
        <w:rPr>
          <w:rFonts w:cstheme="minorHAnsi"/>
          <w:b/>
          <w:bCs/>
        </w:rPr>
        <w:t>Internal d</w:t>
      </w:r>
      <w:r w:rsidR="00275563" w:rsidRPr="00C530E5">
        <w:rPr>
          <w:rFonts w:cstheme="minorHAnsi"/>
          <w:b/>
          <w:bCs/>
        </w:rPr>
        <w:t>ata</w:t>
      </w:r>
      <w:r w:rsidR="00CE284E" w:rsidRPr="00C530E5">
        <w:rPr>
          <w:rFonts w:cstheme="minorHAnsi"/>
          <w:b/>
          <w:bCs/>
        </w:rPr>
        <w:t xml:space="preserve"> analysis</w:t>
      </w:r>
    </w:p>
    <w:p w14:paraId="72A847BD" w14:textId="1489D6C2" w:rsidR="00275563" w:rsidRPr="00C530E5" w:rsidRDefault="00445A68"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C530E5">
            <w:rPr>
              <w:rFonts w:ascii="Segoe UI Symbol" w:eastAsia="MS Gothic" w:hAnsi="Segoe UI Symbol" w:cs="Segoe UI Symbol"/>
              <w:bCs/>
              <w:color w:val="0000FF"/>
            </w:rPr>
            <w:t>☐</w:t>
          </w:r>
        </w:sdtContent>
      </w:sdt>
      <w:r w:rsidR="00275563" w:rsidRPr="00C530E5">
        <w:rPr>
          <w:rFonts w:eastAsia="MS Mincho" w:cstheme="minorHAnsi"/>
          <w:b/>
          <w:bCs/>
          <w:color w:val="0000FF"/>
        </w:rPr>
        <w:t xml:space="preserve"> </w:t>
      </w:r>
      <w:r w:rsidR="00275563" w:rsidRPr="00C530E5">
        <w:rPr>
          <w:rFonts w:cstheme="minorHAnsi"/>
          <w:b/>
          <w:bCs/>
        </w:rPr>
        <w:t>Other (please describe)</w:t>
      </w:r>
    </w:p>
    <w:p w14:paraId="7C5644B4" w14:textId="77777777" w:rsidR="00275563" w:rsidRPr="00C530E5" w:rsidRDefault="00275563" w:rsidP="00001D73">
      <w:pPr>
        <w:autoSpaceDE w:val="0"/>
        <w:autoSpaceDN w:val="0"/>
        <w:adjustRightInd w:val="0"/>
        <w:spacing w:after="0" w:line="240" w:lineRule="auto"/>
        <w:rPr>
          <w:rFonts w:cstheme="minorHAnsi"/>
          <w:b/>
          <w:bCs/>
        </w:rPr>
      </w:pPr>
    </w:p>
    <w:p w14:paraId="0CABCFF7" w14:textId="0CFAE99E" w:rsidR="00092566" w:rsidRPr="00D84CB3" w:rsidRDefault="009C7513" w:rsidP="00001D73">
      <w:pPr>
        <w:autoSpaceDE w:val="0"/>
        <w:autoSpaceDN w:val="0"/>
        <w:adjustRightInd w:val="0"/>
        <w:spacing w:after="0" w:line="240" w:lineRule="auto"/>
        <w:rPr>
          <w:rFonts w:cstheme="minorHAnsi"/>
          <w:b/>
          <w:bCs/>
          <w:color w:val="1111FB"/>
        </w:rPr>
      </w:pPr>
      <w:r w:rsidRPr="002A1ADB">
        <w:rPr>
          <w:rFonts w:cstheme="minorHAnsi"/>
          <w:b/>
          <w:bCs/>
        </w:rPr>
        <w:t>2b3</w:t>
      </w:r>
      <w:r w:rsidR="00092566" w:rsidRPr="002A1ADB">
        <w:rPr>
          <w:rFonts w:cstheme="minorHAnsi"/>
          <w:b/>
          <w:bCs/>
        </w:rPr>
        <w:t>.4</w:t>
      </w:r>
      <w:r w:rsidR="00193F21" w:rsidRPr="002A1ADB">
        <w:rPr>
          <w:rFonts w:cstheme="minorHAnsi"/>
          <w:b/>
          <w:bCs/>
        </w:rPr>
        <w:t>a</w:t>
      </w:r>
      <w:r w:rsidR="00092566" w:rsidRPr="002A1ADB">
        <w:rPr>
          <w:rFonts w:cstheme="minorHAnsi"/>
          <w:b/>
          <w:bCs/>
        </w:rPr>
        <w:t>. What were the statistical results of the analyses used to select risk factors?</w:t>
      </w:r>
    </w:p>
    <w:p w14:paraId="483C6F83" w14:textId="658C3B9E" w:rsidR="00C530E5" w:rsidRPr="00D84CB3" w:rsidRDefault="00C530E5" w:rsidP="00C530E5">
      <w:pPr>
        <w:spacing w:after="0" w:line="240" w:lineRule="auto"/>
        <w:rPr>
          <w:rFonts w:cs="Calibri"/>
          <w:bCs/>
          <w:color w:val="1111FB"/>
        </w:rPr>
      </w:pPr>
      <w:r w:rsidRPr="00D84CB3">
        <w:rPr>
          <w:rFonts w:cs="Calibri"/>
          <w:bCs/>
          <w:color w:val="1111FB"/>
        </w:rPr>
        <w:t>N/A</w:t>
      </w:r>
    </w:p>
    <w:p w14:paraId="1EAC04AF" w14:textId="77777777" w:rsidR="00C530E5" w:rsidRPr="002A1ADB" w:rsidRDefault="00C530E5" w:rsidP="00001D73">
      <w:pPr>
        <w:autoSpaceDE w:val="0"/>
        <w:autoSpaceDN w:val="0"/>
        <w:adjustRightInd w:val="0"/>
        <w:spacing w:after="0" w:line="240" w:lineRule="auto"/>
        <w:rPr>
          <w:rFonts w:cstheme="minorHAnsi"/>
          <w:b/>
          <w:bCs/>
        </w:rPr>
      </w:pPr>
    </w:p>
    <w:p w14:paraId="0CABCFF9" w14:textId="5C97610B" w:rsidR="00C1695E" w:rsidRPr="00C026DA" w:rsidRDefault="009C7513" w:rsidP="00001D73">
      <w:pPr>
        <w:autoSpaceDE w:val="0"/>
        <w:autoSpaceDN w:val="0"/>
        <w:adjustRightInd w:val="0"/>
        <w:spacing w:after="0" w:line="240" w:lineRule="auto"/>
        <w:rPr>
          <w:rFonts w:cstheme="minorHAnsi"/>
          <w:b/>
          <w:bCs/>
        </w:rPr>
      </w:pPr>
      <w:r w:rsidRPr="002A1ADB">
        <w:rPr>
          <w:rFonts w:cstheme="minorHAnsi"/>
          <w:b/>
          <w:bCs/>
        </w:rPr>
        <w:t>2b3</w:t>
      </w:r>
      <w:r w:rsidR="00C1695E" w:rsidRPr="002A1ADB">
        <w:rPr>
          <w:rFonts w:cstheme="minorHAnsi"/>
          <w:b/>
          <w:bCs/>
        </w:rPr>
        <w:t xml:space="preserve">.4b. Describe the analyses and interpretation resulting in the decision to select </w:t>
      </w:r>
      <w:r w:rsidR="00AF2D68" w:rsidRPr="002A1ADB">
        <w:rPr>
          <w:rFonts w:cstheme="minorHAnsi"/>
          <w:b/>
          <w:bCs/>
        </w:rPr>
        <w:t>social risk</w:t>
      </w:r>
      <w:r w:rsidR="00C1695E" w:rsidRPr="002A1ADB">
        <w:rPr>
          <w:rFonts w:cstheme="minorHAnsi"/>
          <w:b/>
          <w:bCs/>
        </w:rPr>
        <w:t xml:space="preserve"> factors </w:t>
      </w:r>
      <w:r w:rsidR="00C1695E" w:rsidRPr="002A1ADB">
        <w:rPr>
          <w:rFonts w:cstheme="minorHAnsi"/>
          <w:bCs/>
          <w:i/>
        </w:rPr>
        <w:t>(e.g. prevalence of the factor across measured entities, empirical association with the outcome, contribution of unique variation in the outcome, assessment of between-unit effects and within-unit effects</w:t>
      </w:r>
      <w:r w:rsidR="00CE284E" w:rsidRPr="002A1ADB">
        <w:rPr>
          <w:rFonts w:cstheme="minorHAnsi"/>
          <w:bCs/>
          <w:i/>
        </w:rPr>
        <w:t xml:space="preserve">.)  </w:t>
      </w:r>
      <w:r w:rsidR="00CE284E" w:rsidRPr="002A1ADB">
        <w:rPr>
          <w:rFonts w:cstheme="minorHAnsi"/>
          <w:b/>
          <w:bCs/>
        </w:rPr>
        <w:t>Also describe the</w:t>
      </w:r>
      <w:r w:rsidR="00AF2D68" w:rsidRPr="002A1ADB">
        <w:rPr>
          <w:rFonts w:cstheme="minorHAnsi"/>
          <w:b/>
          <w:bCs/>
        </w:rPr>
        <w:t xml:space="preserve"> impact of adjusting for social risk (or not) on providers</w:t>
      </w:r>
      <w:r w:rsidR="00CE284E" w:rsidRPr="002A1ADB">
        <w:rPr>
          <w:rFonts w:cstheme="minorHAnsi"/>
          <w:b/>
          <w:bCs/>
        </w:rPr>
        <w:t xml:space="preserve"> at high or low extremes of risk.</w:t>
      </w:r>
    </w:p>
    <w:p w14:paraId="54CE9703" w14:textId="4FD7FD6E" w:rsidR="00D724DC" w:rsidRPr="00D84CB3" w:rsidRDefault="00D724DC" w:rsidP="00D724DC">
      <w:pPr>
        <w:spacing w:after="0" w:line="240" w:lineRule="auto"/>
        <w:rPr>
          <w:rFonts w:cs="Calibri"/>
          <w:bCs/>
          <w:color w:val="1111FB"/>
        </w:rPr>
      </w:pPr>
      <w:r w:rsidRPr="00D84CB3">
        <w:rPr>
          <w:rFonts w:cs="Calibri"/>
          <w:bCs/>
          <w:color w:val="1111FB"/>
        </w:rPr>
        <w:t>N/A</w:t>
      </w:r>
    </w:p>
    <w:p w14:paraId="492613B3" w14:textId="77777777" w:rsidR="00D724DC" w:rsidRPr="002A1ADB" w:rsidRDefault="00D724DC" w:rsidP="00001D73">
      <w:pPr>
        <w:autoSpaceDE w:val="0"/>
        <w:autoSpaceDN w:val="0"/>
        <w:adjustRightInd w:val="0"/>
        <w:spacing w:after="0" w:line="240" w:lineRule="auto"/>
        <w:rPr>
          <w:rFonts w:cstheme="minorHAnsi"/>
          <w:b/>
          <w:bCs/>
        </w:rPr>
      </w:pPr>
    </w:p>
    <w:p w14:paraId="0CABCFFA" w14:textId="3672B7BE" w:rsidR="00092566" w:rsidRPr="00D84CB3" w:rsidRDefault="009C7513" w:rsidP="00092566">
      <w:pPr>
        <w:autoSpaceDE w:val="0"/>
        <w:autoSpaceDN w:val="0"/>
        <w:adjustRightInd w:val="0"/>
        <w:spacing w:after="0" w:line="240" w:lineRule="auto"/>
        <w:rPr>
          <w:rFonts w:cstheme="minorHAnsi"/>
          <w:bCs/>
          <w:color w:val="1111FB"/>
        </w:rPr>
      </w:pPr>
      <w:r w:rsidRPr="002A1ADB">
        <w:rPr>
          <w:rFonts w:cstheme="minorHAnsi"/>
          <w:b/>
          <w:bCs/>
        </w:rPr>
        <w:t>2b3</w:t>
      </w:r>
      <w:r w:rsidR="00E1508F" w:rsidRPr="002A1ADB">
        <w:rPr>
          <w:rFonts w:cstheme="minorHAnsi"/>
          <w:b/>
          <w:bCs/>
        </w:rPr>
        <w:t>.</w:t>
      </w:r>
      <w:r w:rsidR="00092566" w:rsidRPr="002A1ADB">
        <w:rPr>
          <w:rFonts w:cstheme="minorHAnsi"/>
          <w:b/>
          <w:bCs/>
        </w:rPr>
        <w:t xml:space="preserve">5. </w:t>
      </w:r>
      <w:r w:rsidR="008871A9" w:rsidRPr="002A1ADB">
        <w:rPr>
          <w:rFonts w:cstheme="minorHAnsi"/>
          <w:b/>
          <w:bCs/>
        </w:rPr>
        <w:t>Describe the method of</w:t>
      </w:r>
      <w:r w:rsidR="00092566" w:rsidRPr="002A1ADB">
        <w:rPr>
          <w:rFonts w:cstheme="minorHAnsi"/>
          <w:b/>
          <w:bCs/>
        </w:rPr>
        <w:t xml:space="preserve"> </w:t>
      </w:r>
      <w:r w:rsidR="008871A9" w:rsidRPr="002A1ADB">
        <w:rPr>
          <w:rFonts w:cstheme="minorHAnsi"/>
          <w:b/>
          <w:bCs/>
        </w:rPr>
        <w:t xml:space="preserve">testing/analysis used </w:t>
      </w:r>
      <w:r w:rsidR="00092566" w:rsidRPr="002A1ADB">
        <w:rPr>
          <w:rFonts w:cstheme="minorHAnsi"/>
          <w:b/>
          <w:bCs/>
        </w:rPr>
        <w:t xml:space="preserve">to develop and validate the adequacy of the statistical model </w:t>
      </w:r>
      <w:r w:rsidR="00092566" w:rsidRPr="002A1ADB">
        <w:rPr>
          <w:rFonts w:cstheme="minorHAnsi"/>
          <w:b/>
          <w:bCs/>
          <w:u w:val="single"/>
        </w:rPr>
        <w:t>or</w:t>
      </w:r>
      <w:r w:rsidR="00092566" w:rsidRPr="002A1ADB">
        <w:rPr>
          <w:rFonts w:cstheme="minorHAnsi"/>
          <w:b/>
          <w:bCs/>
        </w:rPr>
        <w:t xml:space="preserve"> stratification approach</w:t>
      </w:r>
      <w:r w:rsidR="00092566" w:rsidRPr="002A1ADB">
        <w:rPr>
          <w:rFonts w:cstheme="minorHAnsi"/>
          <w:bCs/>
        </w:rPr>
        <w:t xml:space="preserve"> (</w:t>
      </w:r>
      <w:r w:rsidR="008871A9" w:rsidRPr="002A1ADB">
        <w:rPr>
          <w:rFonts w:cstheme="minorHAnsi"/>
          <w:bCs/>
          <w:i/>
        </w:rPr>
        <w:t>describe the steps―do not just name a method</w:t>
      </w:r>
      <w:r w:rsidR="006C3A4F" w:rsidRPr="002A1ADB">
        <w:rPr>
          <w:rFonts w:cstheme="minorHAnsi"/>
          <w:bCs/>
          <w:i/>
        </w:rPr>
        <w:t>; what statistical analysis was used</w:t>
      </w:r>
      <w:r w:rsidR="00092566" w:rsidRPr="002A1ADB">
        <w:rPr>
          <w:rFonts w:cstheme="minorHAnsi"/>
          <w:bCs/>
        </w:rPr>
        <w:t>)</w:t>
      </w:r>
    </w:p>
    <w:p w14:paraId="072133C5" w14:textId="7F1E8044" w:rsidR="00D724DC" w:rsidRPr="00D84CB3" w:rsidRDefault="00D724DC" w:rsidP="00092566">
      <w:pPr>
        <w:autoSpaceDE w:val="0"/>
        <w:autoSpaceDN w:val="0"/>
        <w:adjustRightInd w:val="0"/>
        <w:spacing w:after="0" w:line="240" w:lineRule="auto"/>
        <w:rPr>
          <w:rFonts w:cstheme="minorHAnsi"/>
          <w:bCs/>
          <w:color w:val="1111FB"/>
        </w:rPr>
      </w:pPr>
      <w:r w:rsidRPr="00D84CB3">
        <w:rPr>
          <w:rFonts w:cstheme="minorHAnsi"/>
          <w:bCs/>
          <w:color w:val="1111FB"/>
        </w:rPr>
        <w:t>N/A</w:t>
      </w:r>
    </w:p>
    <w:p w14:paraId="502BB8FF" w14:textId="77777777" w:rsidR="00D724DC" w:rsidRPr="002A1ADB" w:rsidRDefault="00D724DC" w:rsidP="00092566">
      <w:pPr>
        <w:autoSpaceDE w:val="0"/>
        <w:autoSpaceDN w:val="0"/>
        <w:adjustRightInd w:val="0"/>
        <w:spacing w:after="0" w:line="240" w:lineRule="auto"/>
        <w:rPr>
          <w:rFonts w:cstheme="minorHAnsi"/>
          <w:bCs/>
        </w:rPr>
      </w:pPr>
    </w:p>
    <w:p w14:paraId="0CABCFFB" w14:textId="78FCA6D3" w:rsidR="00E1508F" w:rsidRPr="002A1ADB" w:rsidRDefault="00001D73" w:rsidP="00092566">
      <w:pPr>
        <w:autoSpaceDE w:val="0"/>
        <w:autoSpaceDN w:val="0"/>
        <w:adjustRightInd w:val="0"/>
        <w:spacing w:after="0" w:line="240" w:lineRule="auto"/>
        <w:rPr>
          <w:rFonts w:cstheme="minorHAnsi"/>
          <w:b/>
          <w:bCs/>
          <w:color w:val="808080" w:themeColor="background1" w:themeShade="80"/>
        </w:rPr>
      </w:pPr>
      <w:r w:rsidRPr="002A1ADB">
        <w:rPr>
          <w:rFonts w:cstheme="minorHAnsi"/>
          <w:bCs/>
          <w:i/>
          <w:color w:val="808080" w:themeColor="background1" w:themeShade="80"/>
        </w:rPr>
        <w:t>Provide</w:t>
      </w:r>
      <w:r w:rsidR="00092566" w:rsidRPr="002A1ADB">
        <w:rPr>
          <w:rFonts w:cstheme="minorHAnsi"/>
          <w:bCs/>
          <w:i/>
          <w:color w:val="808080" w:themeColor="background1" w:themeShade="80"/>
        </w:rPr>
        <w:t xml:space="preserve"> the statistical results from testing the approach to controlling for differences in patient characteristics (case mix)</w:t>
      </w:r>
      <w:r w:rsidRPr="002A1ADB">
        <w:rPr>
          <w:rFonts w:cstheme="minorHAnsi"/>
          <w:bCs/>
          <w:i/>
          <w:color w:val="808080" w:themeColor="background1" w:themeShade="80"/>
        </w:rPr>
        <w:t xml:space="preserve"> below</w:t>
      </w:r>
      <w:r w:rsidRPr="002A1ADB">
        <w:rPr>
          <w:rFonts w:cstheme="minorHAnsi"/>
          <w:bCs/>
          <w:color w:val="808080" w:themeColor="background1" w:themeShade="80"/>
        </w:rPr>
        <w:t>.</w:t>
      </w:r>
      <w:r w:rsidR="00092566" w:rsidRPr="002A1ADB">
        <w:rPr>
          <w:rFonts w:cstheme="minorHAnsi"/>
          <w:bCs/>
          <w:color w:val="808080" w:themeColor="background1" w:themeShade="80"/>
        </w:rPr>
        <w:br/>
      </w:r>
      <w:r w:rsidR="001F7A20" w:rsidRPr="002A1ADB">
        <w:rPr>
          <w:rFonts w:cstheme="minorHAnsi"/>
          <w:b/>
          <w:bCs/>
          <w:i/>
          <w:color w:val="808080" w:themeColor="background1" w:themeShade="80"/>
          <w:highlight w:val="green"/>
        </w:rPr>
        <w:t>If</w:t>
      </w:r>
      <w:r w:rsidR="00743E46" w:rsidRPr="002A1ADB">
        <w:rPr>
          <w:rFonts w:cstheme="minorHAnsi"/>
          <w:b/>
          <w:bCs/>
          <w:i/>
          <w:color w:val="808080" w:themeColor="background1" w:themeShade="80"/>
          <w:highlight w:val="green"/>
        </w:rPr>
        <w:t xml:space="preserve"> stratified, skip to </w:t>
      </w:r>
      <w:hyperlink w:anchor="question2b49" w:history="1">
        <w:r w:rsidR="009C7513" w:rsidRPr="002A1ADB">
          <w:rPr>
            <w:rStyle w:val="Hyperlink"/>
            <w:rFonts w:cstheme="minorHAnsi"/>
            <w:b/>
            <w:bCs/>
            <w:i/>
            <w:color w:val="808080" w:themeColor="background1" w:themeShade="80"/>
            <w:highlight w:val="green"/>
          </w:rPr>
          <w:t>2b3.9</w:t>
        </w:r>
      </w:hyperlink>
    </w:p>
    <w:p w14:paraId="0CABCFFC" w14:textId="77777777" w:rsidR="00743E46" w:rsidRPr="002A1ADB" w:rsidRDefault="00743E46" w:rsidP="00092566">
      <w:pPr>
        <w:autoSpaceDE w:val="0"/>
        <w:autoSpaceDN w:val="0"/>
        <w:adjustRightInd w:val="0"/>
        <w:spacing w:after="0" w:line="240" w:lineRule="auto"/>
        <w:rPr>
          <w:rFonts w:cstheme="minorHAnsi"/>
          <w:b/>
          <w:bCs/>
          <w:color w:val="808080" w:themeColor="background1" w:themeShade="80"/>
        </w:rPr>
      </w:pPr>
    </w:p>
    <w:p w14:paraId="0CABCFFD" w14:textId="79D5D7A7" w:rsidR="00001D73" w:rsidRPr="002A1ADB" w:rsidRDefault="00743E46" w:rsidP="00092566">
      <w:pPr>
        <w:autoSpaceDE w:val="0"/>
        <w:autoSpaceDN w:val="0"/>
        <w:adjustRightInd w:val="0"/>
        <w:spacing w:after="0" w:line="240" w:lineRule="auto"/>
        <w:rPr>
          <w:rFonts w:cstheme="minorHAnsi"/>
          <w:b/>
          <w:bCs/>
          <w:color w:val="808080" w:themeColor="background1" w:themeShade="80"/>
        </w:rPr>
      </w:pPr>
      <w:r w:rsidRPr="002A1ADB">
        <w:rPr>
          <w:rFonts w:cstheme="minorHAnsi"/>
          <w:b/>
          <w:bCs/>
          <w:color w:val="808080" w:themeColor="background1" w:themeShade="80"/>
        </w:rPr>
        <w:t>2b</w:t>
      </w:r>
      <w:r w:rsidR="009C7513" w:rsidRPr="002A1ADB">
        <w:rPr>
          <w:rFonts w:cstheme="minorHAnsi"/>
          <w:b/>
          <w:bCs/>
          <w:color w:val="808080" w:themeColor="background1" w:themeShade="80"/>
        </w:rPr>
        <w:t>3</w:t>
      </w:r>
      <w:r w:rsidRPr="002A1ADB">
        <w:rPr>
          <w:rFonts w:cstheme="minorHAnsi"/>
          <w:b/>
          <w:bCs/>
          <w:color w:val="808080" w:themeColor="background1" w:themeShade="80"/>
        </w:rPr>
        <w:t xml:space="preserve">.6. </w:t>
      </w:r>
      <w:r w:rsidR="00001D73" w:rsidRPr="002A1ADB">
        <w:rPr>
          <w:rFonts w:cstheme="minorHAnsi"/>
          <w:b/>
          <w:bCs/>
          <w:color w:val="808080" w:themeColor="background1" w:themeShade="80"/>
        </w:rPr>
        <w:t xml:space="preserve">Statistical </w:t>
      </w:r>
      <w:r w:rsidR="00092566" w:rsidRPr="002A1ADB">
        <w:rPr>
          <w:rFonts w:cstheme="minorHAnsi"/>
          <w:b/>
          <w:bCs/>
          <w:color w:val="808080" w:themeColor="background1" w:themeShade="80"/>
        </w:rPr>
        <w:t>Risk Model Discrimination Statistics</w:t>
      </w:r>
      <w:r w:rsidR="003605B4" w:rsidRPr="002A1ADB">
        <w:rPr>
          <w:rFonts w:cstheme="minorHAnsi"/>
          <w:bCs/>
          <w:color w:val="808080" w:themeColor="background1" w:themeShade="80"/>
        </w:rPr>
        <w:t xml:space="preserve"> (</w:t>
      </w:r>
      <w:r w:rsidR="003605B4" w:rsidRPr="002A1ADB">
        <w:rPr>
          <w:rFonts w:cstheme="minorHAnsi"/>
          <w:bCs/>
          <w:i/>
          <w:color w:val="808080" w:themeColor="background1" w:themeShade="80"/>
        </w:rPr>
        <w:t>e.g., c-statistic, R-squared</w:t>
      </w:r>
      <w:r w:rsidR="003605B4" w:rsidRPr="002A1ADB">
        <w:rPr>
          <w:rFonts w:cstheme="minorHAnsi"/>
          <w:bCs/>
          <w:color w:val="808080" w:themeColor="background1" w:themeShade="80"/>
        </w:rPr>
        <w:t>)</w:t>
      </w:r>
      <w:r w:rsidRPr="002A1ADB">
        <w:rPr>
          <w:rFonts w:cstheme="minorHAnsi"/>
          <w:b/>
          <w:bCs/>
          <w:color w:val="808080" w:themeColor="background1" w:themeShade="80"/>
        </w:rPr>
        <w:t>:</w:t>
      </w:r>
      <w:r w:rsidR="00092566" w:rsidRPr="002A1ADB">
        <w:rPr>
          <w:rFonts w:cstheme="minorHAnsi"/>
          <w:b/>
          <w:bCs/>
          <w:color w:val="808080" w:themeColor="background1" w:themeShade="80"/>
        </w:rPr>
        <w:t xml:space="preserve">  </w:t>
      </w:r>
      <w:r w:rsidR="00092566" w:rsidRPr="002A1ADB">
        <w:rPr>
          <w:rFonts w:cstheme="minorHAnsi"/>
          <w:b/>
          <w:color w:val="808080" w:themeColor="background1" w:themeShade="80"/>
        </w:rPr>
        <w:br/>
      </w:r>
    </w:p>
    <w:p w14:paraId="0CABCFFE" w14:textId="57E7DDD4" w:rsidR="00001D73" w:rsidRPr="002A1ADB" w:rsidRDefault="009C7513" w:rsidP="00092566">
      <w:pPr>
        <w:autoSpaceDE w:val="0"/>
        <w:autoSpaceDN w:val="0"/>
        <w:adjustRightInd w:val="0"/>
        <w:spacing w:after="0" w:line="240" w:lineRule="auto"/>
        <w:rPr>
          <w:rFonts w:cstheme="minorHAnsi"/>
          <w:b/>
          <w:bCs/>
          <w:color w:val="808080" w:themeColor="background1" w:themeShade="80"/>
        </w:rPr>
      </w:pPr>
      <w:r w:rsidRPr="002A1ADB">
        <w:rPr>
          <w:rFonts w:cstheme="minorHAnsi"/>
          <w:b/>
          <w:bCs/>
          <w:color w:val="808080" w:themeColor="background1" w:themeShade="80"/>
        </w:rPr>
        <w:t>2b3</w:t>
      </w:r>
      <w:r w:rsidR="00743E46" w:rsidRPr="002A1ADB">
        <w:rPr>
          <w:rFonts w:cstheme="minorHAnsi"/>
          <w:b/>
          <w:bCs/>
          <w:color w:val="808080" w:themeColor="background1" w:themeShade="80"/>
        </w:rPr>
        <w:t>.7</w:t>
      </w:r>
      <w:r w:rsidR="00001D73" w:rsidRPr="002A1ADB">
        <w:rPr>
          <w:rFonts w:cstheme="minorHAnsi"/>
          <w:b/>
          <w:bCs/>
          <w:color w:val="808080" w:themeColor="background1" w:themeShade="80"/>
        </w:rPr>
        <w:t xml:space="preserve">. </w:t>
      </w:r>
      <w:r w:rsidR="00743E46" w:rsidRPr="002A1ADB">
        <w:rPr>
          <w:rFonts w:cstheme="minorHAnsi"/>
          <w:b/>
          <w:bCs/>
          <w:color w:val="808080" w:themeColor="background1" w:themeShade="80"/>
        </w:rPr>
        <w:t xml:space="preserve">Statistical </w:t>
      </w:r>
      <w:r w:rsidR="00092566" w:rsidRPr="002A1ADB">
        <w:rPr>
          <w:rFonts w:cstheme="minorHAnsi"/>
          <w:b/>
          <w:bCs/>
          <w:color w:val="808080" w:themeColor="background1" w:themeShade="80"/>
        </w:rPr>
        <w:t>Risk Model Calibration Statistics</w:t>
      </w:r>
      <w:r w:rsidR="003605B4" w:rsidRPr="002A1ADB">
        <w:rPr>
          <w:rFonts w:cstheme="minorHAnsi"/>
          <w:b/>
          <w:bCs/>
          <w:color w:val="808080" w:themeColor="background1" w:themeShade="80"/>
        </w:rPr>
        <w:t xml:space="preserve"> </w:t>
      </w:r>
      <w:r w:rsidR="003605B4" w:rsidRPr="002A1ADB">
        <w:rPr>
          <w:rFonts w:cstheme="minorHAnsi"/>
          <w:bCs/>
          <w:color w:val="808080" w:themeColor="background1" w:themeShade="80"/>
        </w:rPr>
        <w:t>(</w:t>
      </w:r>
      <w:r w:rsidR="003605B4" w:rsidRPr="002A1ADB">
        <w:rPr>
          <w:rFonts w:cstheme="minorHAnsi"/>
          <w:bCs/>
          <w:i/>
          <w:color w:val="808080" w:themeColor="background1" w:themeShade="80"/>
        </w:rPr>
        <w:t>e.g., Hosmer-</w:t>
      </w:r>
      <w:proofErr w:type="spellStart"/>
      <w:r w:rsidR="003605B4" w:rsidRPr="002A1ADB">
        <w:rPr>
          <w:rFonts w:cstheme="minorHAnsi"/>
          <w:bCs/>
          <w:i/>
          <w:color w:val="808080" w:themeColor="background1" w:themeShade="80"/>
        </w:rPr>
        <w:t>Lemeshow</w:t>
      </w:r>
      <w:proofErr w:type="spellEnd"/>
      <w:r w:rsidR="003605B4" w:rsidRPr="002A1ADB">
        <w:rPr>
          <w:rFonts w:cstheme="minorHAnsi"/>
          <w:bCs/>
          <w:i/>
          <w:color w:val="808080" w:themeColor="background1" w:themeShade="80"/>
        </w:rPr>
        <w:t xml:space="preserve"> statistic</w:t>
      </w:r>
      <w:r w:rsidR="003605B4" w:rsidRPr="002A1ADB">
        <w:rPr>
          <w:rFonts w:cstheme="minorHAnsi"/>
          <w:bCs/>
          <w:color w:val="808080" w:themeColor="background1" w:themeShade="80"/>
        </w:rPr>
        <w:t>)</w:t>
      </w:r>
      <w:r w:rsidR="00092566" w:rsidRPr="002A1ADB">
        <w:rPr>
          <w:rFonts w:cstheme="minorHAnsi"/>
          <w:bCs/>
          <w:color w:val="808080" w:themeColor="background1" w:themeShade="80"/>
        </w:rPr>
        <w:t xml:space="preserve">:  </w:t>
      </w:r>
      <w:r w:rsidR="00092566" w:rsidRPr="002A1ADB">
        <w:rPr>
          <w:rFonts w:cstheme="minorHAnsi"/>
          <w:bCs/>
          <w:color w:val="808080" w:themeColor="background1" w:themeShade="80"/>
        </w:rPr>
        <w:br/>
      </w:r>
    </w:p>
    <w:p w14:paraId="0CABCFFF" w14:textId="7ECFB7AA" w:rsidR="00743E46" w:rsidRPr="002A1ADB" w:rsidRDefault="009C7513" w:rsidP="00092566">
      <w:pPr>
        <w:autoSpaceDE w:val="0"/>
        <w:autoSpaceDN w:val="0"/>
        <w:adjustRightInd w:val="0"/>
        <w:spacing w:after="0" w:line="240" w:lineRule="auto"/>
        <w:rPr>
          <w:rFonts w:cstheme="minorHAnsi"/>
          <w:b/>
          <w:color w:val="808080" w:themeColor="background1" w:themeShade="80"/>
        </w:rPr>
      </w:pPr>
      <w:r w:rsidRPr="002A1ADB">
        <w:rPr>
          <w:rFonts w:cstheme="minorHAnsi"/>
          <w:b/>
          <w:bCs/>
          <w:color w:val="808080" w:themeColor="background1" w:themeShade="80"/>
        </w:rPr>
        <w:t>2b3</w:t>
      </w:r>
      <w:r w:rsidR="00743E46" w:rsidRPr="002A1ADB">
        <w:rPr>
          <w:rFonts w:cstheme="minorHAnsi"/>
          <w:b/>
          <w:bCs/>
          <w:color w:val="808080" w:themeColor="background1" w:themeShade="80"/>
        </w:rPr>
        <w:t>.8</w:t>
      </w:r>
      <w:r w:rsidR="00001D73" w:rsidRPr="002A1ADB">
        <w:rPr>
          <w:rFonts w:cstheme="minorHAnsi"/>
          <w:b/>
          <w:bCs/>
          <w:color w:val="808080" w:themeColor="background1" w:themeShade="80"/>
        </w:rPr>
        <w:t xml:space="preserve">. </w:t>
      </w:r>
      <w:r w:rsidR="00743E46" w:rsidRPr="002A1ADB">
        <w:rPr>
          <w:rFonts w:cstheme="minorHAnsi"/>
          <w:b/>
          <w:bCs/>
          <w:color w:val="808080" w:themeColor="background1" w:themeShade="80"/>
        </w:rPr>
        <w:t xml:space="preserve">Statistical </w:t>
      </w:r>
      <w:r w:rsidR="00092566" w:rsidRPr="002A1ADB">
        <w:rPr>
          <w:rFonts w:cstheme="minorHAnsi"/>
          <w:b/>
          <w:bCs/>
          <w:color w:val="808080" w:themeColor="background1" w:themeShade="80"/>
        </w:rPr>
        <w:t>Risk Model Calibration – Risk decile plots or calibration curves</w:t>
      </w:r>
      <w:r w:rsidR="00092566" w:rsidRPr="002A1ADB">
        <w:rPr>
          <w:rFonts w:cstheme="minorHAnsi"/>
          <w:bCs/>
          <w:color w:val="808080" w:themeColor="background1" w:themeShade="80"/>
        </w:rPr>
        <w:t>:</w:t>
      </w:r>
      <w:r w:rsidR="00092566" w:rsidRPr="002A1ADB">
        <w:rPr>
          <w:rFonts w:cstheme="minorHAnsi"/>
          <w:bCs/>
          <w:color w:val="808080" w:themeColor="background1" w:themeShade="80"/>
        </w:rPr>
        <w:br/>
      </w:r>
    </w:p>
    <w:p w14:paraId="0CABD000" w14:textId="2277C090" w:rsidR="00092566" w:rsidRPr="002A1ADB" w:rsidRDefault="009C7513" w:rsidP="00092566">
      <w:pPr>
        <w:autoSpaceDE w:val="0"/>
        <w:autoSpaceDN w:val="0"/>
        <w:adjustRightInd w:val="0"/>
        <w:spacing w:after="0" w:line="240" w:lineRule="auto"/>
        <w:rPr>
          <w:rFonts w:cstheme="minorHAnsi"/>
          <w:bCs/>
          <w:color w:val="808080" w:themeColor="background1" w:themeShade="80"/>
        </w:rPr>
      </w:pPr>
      <w:bookmarkStart w:id="18" w:name="question2b49"/>
      <w:bookmarkEnd w:id="18"/>
      <w:r w:rsidRPr="002A1ADB">
        <w:rPr>
          <w:rFonts w:cstheme="minorHAnsi"/>
          <w:b/>
          <w:color w:val="808080" w:themeColor="background1" w:themeShade="80"/>
        </w:rPr>
        <w:t>2b3</w:t>
      </w:r>
      <w:r w:rsidR="00743E46" w:rsidRPr="002A1ADB">
        <w:rPr>
          <w:rFonts w:cstheme="minorHAnsi"/>
          <w:b/>
          <w:color w:val="808080" w:themeColor="background1" w:themeShade="80"/>
        </w:rPr>
        <w:t>.9</w:t>
      </w:r>
      <w:r w:rsidR="00001D73" w:rsidRPr="002A1ADB">
        <w:rPr>
          <w:rFonts w:cstheme="minorHAnsi"/>
          <w:b/>
          <w:color w:val="808080" w:themeColor="background1" w:themeShade="80"/>
        </w:rPr>
        <w:t xml:space="preserve">. Results of </w:t>
      </w:r>
      <w:r w:rsidR="00092566" w:rsidRPr="002A1ADB">
        <w:rPr>
          <w:rFonts w:cstheme="minorHAnsi"/>
          <w:b/>
          <w:color w:val="808080" w:themeColor="background1" w:themeShade="80"/>
        </w:rPr>
        <w:t>Risk Stratification Analysis</w:t>
      </w:r>
      <w:r w:rsidR="00092566" w:rsidRPr="002A1ADB">
        <w:rPr>
          <w:rFonts w:cstheme="minorHAnsi"/>
          <w:color w:val="808080" w:themeColor="background1" w:themeShade="80"/>
        </w:rPr>
        <w:t xml:space="preserve">: </w:t>
      </w:r>
      <w:r w:rsidR="00092566" w:rsidRPr="002A1ADB">
        <w:rPr>
          <w:rFonts w:cstheme="minorHAnsi"/>
          <w:bCs/>
          <w:color w:val="808080" w:themeColor="background1" w:themeShade="80"/>
        </w:rPr>
        <w:t xml:space="preserve"> </w:t>
      </w:r>
    </w:p>
    <w:p w14:paraId="03B22264" w14:textId="77777777" w:rsidR="00D724DC" w:rsidRPr="002A1ADB" w:rsidRDefault="00D724DC" w:rsidP="00092566">
      <w:pPr>
        <w:autoSpaceDE w:val="0"/>
        <w:autoSpaceDN w:val="0"/>
        <w:adjustRightInd w:val="0"/>
        <w:spacing w:after="0" w:line="240" w:lineRule="auto"/>
        <w:rPr>
          <w:rFonts w:cstheme="minorHAnsi"/>
          <w:b/>
          <w:bCs/>
        </w:rPr>
      </w:pPr>
    </w:p>
    <w:p w14:paraId="0CABD003" w14:textId="1A495DB5" w:rsidR="00092566" w:rsidRPr="002A1ADB" w:rsidRDefault="009C7513" w:rsidP="00D724DC">
      <w:pPr>
        <w:autoSpaceDE w:val="0"/>
        <w:autoSpaceDN w:val="0"/>
        <w:adjustRightInd w:val="0"/>
        <w:spacing w:after="0" w:line="240" w:lineRule="auto"/>
        <w:rPr>
          <w:rFonts w:cstheme="minorHAnsi"/>
        </w:rPr>
      </w:pPr>
      <w:r w:rsidRPr="002A1ADB">
        <w:rPr>
          <w:rFonts w:cstheme="minorHAnsi"/>
          <w:b/>
          <w:bCs/>
          <w:color w:val="808080" w:themeColor="background1" w:themeShade="80"/>
        </w:rPr>
        <w:t>2b3</w:t>
      </w:r>
      <w:r w:rsidR="00743E46" w:rsidRPr="002A1ADB">
        <w:rPr>
          <w:rFonts w:cstheme="minorHAnsi"/>
          <w:b/>
          <w:bCs/>
          <w:color w:val="808080" w:themeColor="background1" w:themeShade="80"/>
        </w:rPr>
        <w:t>.10</w:t>
      </w:r>
      <w:r w:rsidR="00001D73" w:rsidRPr="002A1ADB">
        <w:rPr>
          <w:rFonts w:cstheme="minorHAnsi"/>
          <w:b/>
          <w:bCs/>
          <w:color w:val="808080" w:themeColor="background1" w:themeShade="80"/>
        </w:rPr>
        <w:t xml:space="preserve">. </w:t>
      </w:r>
      <w:r w:rsidR="00092566" w:rsidRPr="002A1ADB">
        <w:rPr>
          <w:rFonts w:cstheme="minorHAnsi"/>
          <w:b/>
          <w:bCs/>
          <w:color w:val="808080" w:themeColor="background1" w:themeShade="80"/>
        </w:rPr>
        <w:t>What is your interpretation of the results in terms of demonstrating adequacy of controlling for differences in patient characteristics (case mix)?</w:t>
      </w:r>
      <w:r w:rsidR="00092566" w:rsidRPr="002A1ADB">
        <w:rPr>
          <w:rFonts w:cstheme="minorHAnsi"/>
          <w:bCs/>
          <w:color w:val="808080" w:themeColor="background1" w:themeShade="80"/>
        </w:rPr>
        <w:t xml:space="preserve"> (i</w:t>
      </w:r>
      <w:r w:rsidR="00092566" w:rsidRPr="002A1ADB">
        <w:rPr>
          <w:rFonts w:cstheme="minorHAnsi"/>
          <w:bCs/>
          <w:i/>
          <w:color w:val="808080" w:themeColor="background1" w:themeShade="80"/>
        </w:rPr>
        <w:t>.e., what do the results mean and what are the norms for the test conducted</w:t>
      </w:r>
      <w:r w:rsidR="00092566" w:rsidRPr="002A1ADB">
        <w:rPr>
          <w:rFonts w:cstheme="minorHAnsi"/>
          <w:bCs/>
          <w:color w:val="808080" w:themeColor="background1" w:themeShade="80"/>
        </w:rPr>
        <w:t>)</w:t>
      </w:r>
      <w:r w:rsidR="00092566" w:rsidRPr="002A1ADB">
        <w:rPr>
          <w:rFonts w:cstheme="minorHAnsi"/>
          <w:bCs/>
          <w:color w:val="808080" w:themeColor="background1" w:themeShade="80"/>
        </w:rPr>
        <w:br/>
      </w:r>
    </w:p>
    <w:p w14:paraId="0CABD004" w14:textId="74D8FEB4" w:rsidR="00021170" w:rsidRPr="002A1ADB" w:rsidRDefault="009C7513" w:rsidP="009B1A15">
      <w:pPr>
        <w:spacing w:after="0" w:line="240" w:lineRule="auto"/>
        <w:rPr>
          <w:rFonts w:cstheme="minorHAnsi"/>
          <w:color w:val="808080" w:themeColor="background1" w:themeShade="80"/>
        </w:rPr>
      </w:pPr>
      <w:r w:rsidRPr="002A1ADB">
        <w:rPr>
          <w:rFonts w:cstheme="minorHAnsi"/>
          <w:b/>
          <w:color w:val="808080" w:themeColor="background1" w:themeShade="80"/>
          <w:highlight w:val="green"/>
        </w:rPr>
        <w:t>2b3</w:t>
      </w:r>
      <w:r w:rsidR="009B1A15" w:rsidRPr="002A1ADB">
        <w:rPr>
          <w:rFonts w:cstheme="minorHAnsi"/>
          <w:b/>
          <w:color w:val="808080" w:themeColor="background1" w:themeShade="80"/>
          <w:highlight w:val="green"/>
        </w:rPr>
        <w:t>.11.</w:t>
      </w:r>
      <w:r w:rsidR="009B1A15" w:rsidRPr="002A1ADB">
        <w:rPr>
          <w:rFonts w:cstheme="minorHAnsi"/>
          <w:color w:val="808080" w:themeColor="background1" w:themeShade="80"/>
          <w:highlight w:val="green"/>
        </w:rPr>
        <w:t xml:space="preserve"> </w:t>
      </w:r>
      <w:r w:rsidR="00092566" w:rsidRPr="002A1ADB">
        <w:rPr>
          <w:rFonts w:cstheme="minorHAnsi"/>
          <w:b/>
          <w:color w:val="808080" w:themeColor="background1" w:themeShade="80"/>
          <w:highlight w:val="green"/>
        </w:rPr>
        <w:t>Optional</w:t>
      </w:r>
      <w:r w:rsidR="009B1A15" w:rsidRPr="002A1ADB">
        <w:rPr>
          <w:rFonts w:cstheme="minorHAnsi"/>
          <w:b/>
          <w:color w:val="808080" w:themeColor="background1" w:themeShade="80"/>
          <w:highlight w:val="green"/>
        </w:rPr>
        <w:t xml:space="preserve"> Additional Testing</w:t>
      </w:r>
      <w:r w:rsidR="004756E1" w:rsidRPr="002A1ADB">
        <w:rPr>
          <w:rFonts w:cstheme="minorHAnsi"/>
          <w:b/>
          <w:color w:val="808080" w:themeColor="background1" w:themeShade="80"/>
          <w:highlight w:val="green"/>
        </w:rPr>
        <w:t xml:space="preserve"> for Risk Adjustment</w:t>
      </w:r>
      <w:r w:rsidR="00092566" w:rsidRPr="002A1ADB">
        <w:rPr>
          <w:rFonts w:cstheme="minorHAnsi"/>
          <w:b/>
          <w:color w:val="808080" w:themeColor="background1" w:themeShade="80"/>
        </w:rPr>
        <w:t xml:space="preserve"> </w:t>
      </w:r>
      <w:r w:rsidR="00092566" w:rsidRPr="002A1ADB">
        <w:rPr>
          <w:rFonts w:cstheme="minorHAnsi"/>
          <w:color w:val="808080" w:themeColor="background1" w:themeShade="80"/>
        </w:rPr>
        <w:t>(</w:t>
      </w:r>
      <w:r w:rsidR="00092566" w:rsidRPr="002A1ADB">
        <w:rPr>
          <w:rFonts w:cstheme="minorHAnsi"/>
          <w:i/>
          <w:color w:val="808080" w:themeColor="background1" w:themeShade="80"/>
          <w:u w:val="single"/>
        </w:rPr>
        <w:t>not required</w:t>
      </w:r>
      <w:r w:rsidR="00092566" w:rsidRPr="002A1ADB">
        <w:rPr>
          <w:rFonts w:cstheme="minorHAnsi"/>
          <w:i/>
          <w:color w:val="808080" w:themeColor="background1" w:themeShade="80"/>
        </w:rPr>
        <w:t>, but would provide additional support of adequacy of risk model</w:t>
      </w:r>
      <w:r w:rsidR="009B1A15" w:rsidRPr="002A1ADB">
        <w:rPr>
          <w:rFonts w:cstheme="minorHAnsi"/>
          <w:i/>
          <w:color w:val="808080" w:themeColor="background1" w:themeShade="80"/>
        </w:rPr>
        <w:t>, e.g., testing of risk model in another data se</w:t>
      </w:r>
      <w:r w:rsidR="002408E4" w:rsidRPr="002A1ADB">
        <w:rPr>
          <w:rFonts w:cstheme="minorHAnsi"/>
          <w:i/>
          <w:color w:val="808080" w:themeColor="background1" w:themeShade="80"/>
        </w:rPr>
        <w:t>t</w:t>
      </w:r>
      <w:r w:rsidR="009B1A15" w:rsidRPr="002A1ADB">
        <w:rPr>
          <w:rFonts w:cstheme="minorHAnsi"/>
          <w:i/>
          <w:color w:val="808080" w:themeColor="background1" w:themeShade="80"/>
        </w:rPr>
        <w:t>; sensitivity analysis for missing data</w:t>
      </w:r>
      <w:r w:rsidR="002408E4" w:rsidRPr="002A1ADB">
        <w:rPr>
          <w:rFonts w:cstheme="minorHAnsi"/>
          <w:i/>
          <w:color w:val="808080" w:themeColor="background1" w:themeShade="80"/>
        </w:rPr>
        <w:t>;</w:t>
      </w:r>
      <w:r w:rsidR="009B1A15" w:rsidRPr="002A1ADB">
        <w:rPr>
          <w:rFonts w:cstheme="minorHAnsi"/>
          <w:i/>
          <w:color w:val="808080" w:themeColor="background1" w:themeShade="80"/>
        </w:rPr>
        <w:t xml:space="preserve"> other methods</w:t>
      </w:r>
      <w:r w:rsidR="008F7E67" w:rsidRPr="002A1ADB">
        <w:rPr>
          <w:rFonts w:cstheme="minorHAnsi"/>
          <w:i/>
          <w:color w:val="808080" w:themeColor="background1" w:themeShade="80"/>
        </w:rPr>
        <w:t xml:space="preserve"> that were assessed</w:t>
      </w:r>
      <w:r w:rsidR="009B1A15" w:rsidRPr="002A1ADB">
        <w:rPr>
          <w:rFonts w:cstheme="minorHAnsi"/>
          <w:color w:val="808080" w:themeColor="background1" w:themeShade="80"/>
        </w:rPr>
        <w:t>)</w:t>
      </w:r>
    </w:p>
    <w:p w14:paraId="3BE71CAC" w14:textId="0FC896C5" w:rsidR="00920DD1" w:rsidRDefault="00920DD1" w:rsidP="00D61410">
      <w:pPr>
        <w:autoSpaceDE w:val="0"/>
        <w:autoSpaceDN w:val="0"/>
        <w:adjustRightInd w:val="0"/>
        <w:spacing w:after="0" w:line="240" w:lineRule="auto"/>
        <w:rPr>
          <w:rFonts w:cstheme="minorHAnsi"/>
          <w:bCs/>
        </w:rPr>
      </w:pPr>
    </w:p>
    <w:p w14:paraId="0CABD006" w14:textId="764122F6"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9" w:name="section2b5"/>
      <w:bookmarkEnd w:id="19"/>
      <w:r>
        <w:rPr>
          <w:rFonts w:cstheme="minorHAnsi"/>
          <w:b/>
          <w:bCs/>
        </w:rPr>
        <w:t>2b4</w:t>
      </w:r>
      <w:r w:rsidR="00D61410" w:rsidRPr="00A25024">
        <w:rPr>
          <w:rFonts w:cstheme="minorHAnsi"/>
          <w:b/>
          <w:bCs/>
        </w:rPr>
        <w:t>. IDENTIFICATION OF STATISTICALLY SIGNIFICANT &amp; MEANINGFUL DIFFERENCES IN PERFORMANCE</w:t>
      </w:r>
    </w:p>
    <w:p w14:paraId="0CABD008" w14:textId="74CC6181" w:rsidR="00D61410" w:rsidRPr="00A25024" w:rsidRDefault="009C7513" w:rsidP="002A1ADB">
      <w:pPr>
        <w:autoSpaceDE w:val="0"/>
        <w:autoSpaceDN w:val="0"/>
        <w:adjustRightInd w:val="0"/>
        <w:spacing w:after="0" w:line="240" w:lineRule="auto"/>
        <w:rPr>
          <w:rFonts w:cstheme="minorHAnsi"/>
          <w:bCs/>
        </w:rPr>
      </w:pPr>
      <w:r>
        <w:rPr>
          <w:rFonts w:cstheme="minorHAnsi"/>
          <w:b/>
          <w:bCs/>
        </w:rPr>
        <w:lastRenderedPageBreak/>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p>
    <w:p w14:paraId="2FD9B2BB" w14:textId="77777777" w:rsidR="008B281F" w:rsidRDefault="002A1ADB" w:rsidP="002A1ADB">
      <w:pPr>
        <w:autoSpaceDE w:val="0"/>
        <w:autoSpaceDN w:val="0"/>
        <w:adjustRightInd w:val="0"/>
        <w:spacing w:after="0" w:line="240" w:lineRule="auto"/>
        <w:rPr>
          <w:rFonts w:cstheme="minorHAnsi"/>
          <w:bCs/>
          <w:color w:val="1111FB"/>
        </w:rPr>
      </w:pPr>
      <w:r w:rsidRPr="00D84CB3">
        <w:rPr>
          <w:rFonts w:cstheme="minorHAnsi"/>
          <w:bCs/>
          <w:color w:val="1111FB"/>
        </w:rPr>
        <w:t xml:space="preserve">To demonstrate meaningful differences in performance, NCQA calculates an inter-quartile range (IQR) for each measure. The IQR provides a measure of the dispersion of performance. The IQR can be interpreted as the difference between the 25th and 75th percentile on a measure. </w:t>
      </w:r>
    </w:p>
    <w:p w14:paraId="22D8DE14" w14:textId="77777777" w:rsidR="008B281F" w:rsidRDefault="008B281F" w:rsidP="002A1ADB">
      <w:pPr>
        <w:autoSpaceDE w:val="0"/>
        <w:autoSpaceDN w:val="0"/>
        <w:adjustRightInd w:val="0"/>
        <w:spacing w:after="0" w:line="240" w:lineRule="auto"/>
        <w:rPr>
          <w:rFonts w:cstheme="minorHAnsi"/>
          <w:bCs/>
          <w:color w:val="1111FB"/>
        </w:rPr>
      </w:pPr>
    </w:p>
    <w:p w14:paraId="12514F19" w14:textId="27CE21AD" w:rsidR="002A1ADB" w:rsidRPr="00D84CB3" w:rsidRDefault="002A1ADB" w:rsidP="002A1ADB">
      <w:pPr>
        <w:autoSpaceDE w:val="0"/>
        <w:autoSpaceDN w:val="0"/>
        <w:adjustRightInd w:val="0"/>
        <w:spacing w:after="0" w:line="240" w:lineRule="auto"/>
        <w:rPr>
          <w:rFonts w:cstheme="minorHAnsi"/>
          <w:bCs/>
          <w:color w:val="1111FB"/>
        </w:rPr>
      </w:pPr>
      <w:r w:rsidRPr="00D84CB3">
        <w:rPr>
          <w:rFonts w:cstheme="minorHAnsi"/>
          <w:bCs/>
          <w:color w:val="1111FB"/>
        </w:rPr>
        <w:t>To determine if this difference is statistically significant, NCQA calculates an independent sample t-test of the performance difference between two randomly selected plans at the 25</w:t>
      </w:r>
      <w:r w:rsidRPr="00D84CB3">
        <w:rPr>
          <w:rFonts w:cstheme="minorHAnsi"/>
          <w:bCs/>
          <w:color w:val="1111FB"/>
          <w:vertAlign w:val="superscript"/>
        </w:rPr>
        <w:t>th</w:t>
      </w:r>
      <w:r w:rsidRPr="00D84CB3">
        <w:rPr>
          <w:rFonts w:cstheme="minorHAnsi"/>
          <w:bCs/>
          <w:color w:val="1111FB"/>
        </w:rPr>
        <w:t xml:space="preserve"> and 75</w:t>
      </w:r>
      <w:r w:rsidRPr="00D84CB3">
        <w:rPr>
          <w:rFonts w:cstheme="minorHAnsi"/>
          <w:bCs/>
          <w:color w:val="1111FB"/>
          <w:vertAlign w:val="superscript"/>
        </w:rPr>
        <w:t>th</w:t>
      </w:r>
      <w:r w:rsidRPr="00D84CB3">
        <w:rPr>
          <w:rFonts w:cstheme="minorHAnsi"/>
          <w:bCs/>
          <w:color w:val="1111FB"/>
        </w:rPr>
        <w:t xml:space="preserve"> percentile. The t-test method calculates a testing statistic based on the sample size, performance rate, and standardized error of each plan. The test statistic is then compared against a normal distribution. If the p value of the test statistic is less than 0.05, then the </w:t>
      </w:r>
      <w:r w:rsidR="006772A4" w:rsidRPr="00D84CB3">
        <w:rPr>
          <w:rFonts w:cstheme="minorHAnsi"/>
          <w:bCs/>
          <w:color w:val="1111FB"/>
        </w:rPr>
        <w:t xml:space="preserve">performance </w:t>
      </w:r>
      <w:r w:rsidR="006772A4">
        <w:rPr>
          <w:rFonts w:cstheme="minorHAnsi"/>
          <w:bCs/>
          <w:color w:val="1111FB"/>
        </w:rPr>
        <w:t xml:space="preserve">of the </w:t>
      </w:r>
      <w:r w:rsidRPr="00D84CB3">
        <w:rPr>
          <w:rFonts w:cstheme="minorHAnsi"/>
          <w:bCs/>
          <w:color w:val="1111FB"/>
        </w:rPr>
        <w:t xml:space="preserve">two plans </w:t>
      </w:r>
      <w:r w:rsidR="003D5B27">
        <w:rPr>
          <w:rFonts w:cstheme="minorHAnsi"/>
          <w:bCs/>
          <w:color w:val="1111FB"/>
        </w:rPr>
        <w:t>differs</w:t>
      </w:r>
      <w:r w:rsidR="003D5B27" w:rsidRPr="00D84CB3">
        <w:rPr>
          <w:rFonts w:cstheme="minorHAnsi"/>
          <w:bCs/>
          <w:color w:val="1111FB"/>
        </w:rPr>
        <w:t xml:space="preserve"> </w:t>
      </w:r>
      <w:r w:rsidRPr="00D84CB3">
        <w:rPr>
          <w:rFonts w:cstheme="minorHAnsi"/>
          <w:bCs/>
          <w:color w:val="1111FB"/>
        </w:rPr>
        <w:t xml:space="preserve">significantly. </w:t>
      </w:r>
    </w:p>
    <w:p w14:paraId="0CABD009" w14:textId="77777777" w:rsidR="00D61410" w:rsidRPr="002A1ADB" w:rsidRDefault="00D61410" w:rsidP="002A1ADB">
      <w:pPr>
        <w:autoSpaceDE w:val="0"/>
        <w:autoSpaceDN w:val="0"/>
        <w:adjustRightInd w:val="0"/>
        <w:spacing w:after="0" w:line="240" w:lineRule="auto"/>
        <w:rPr>
          <w:rFonts w:cstheme="minorHAnsi"/>
          <w:bCs/>
          <w:color w:val="4F81BD" w:themeColor="accent1"/>
        </w:rPr>
      </w:pPr>
    </w:p>
    <w:p w14:paraId="0CABD00A" w14:textId="4304E39B" w:rsidR="00D61410" w:rsidRPr="00265F96" w:rsidRDefault="009C7513" w:rsidP="00D61410">
      <w:pPr>
        <w:autoSpaceDE w:val="0"/>
        <w:autoSpaceDN w:val="0"/>
        <w:adjustRightInd w:val="0"/>
        <w:spacing w:after="0" w:line="240" w:lineRule="auto"/>
        <w:rPr>
          <w:rFonts w:cstheme="minorHAnsi"/>
          <w:bCs/>
        </w:rPr>
      </w:pPr>
      <w:r w:rsidRPr="00265F96">
        <w:rPr>
          <w:rFonts w:cstheme="minorHAnsi"/>
          <w:b/>
          <w:bCs/>
        </w:rPr>
        <w:t>2b4</w:t>
      </w:r>
      <w:r w:rsidR="00D61410" w:rsidRPr="00265F96">
        <w:rPr>
          <w:rFonts w:cstheme="minorHAnsi"/>
          <w:b/>
          <w:bCs/>
        </w:rPr>
        <w:t xml:space="preserve">.2. What were the statistical results from testing the ability to identify </w:t>
      </w:r>
      <w:r w:rsidR="001E69DC" w:rsidRPr="00265F96">
        <w:rPr>
          <w:rFonts w:cstheme="minorHAnsi"/>
          <w:b/>
          <w:bCs/>
        </w:rPr>
        <w:t xml:space="preserve">statistically significant and/or clinically/practically meaningful </w:t>
      </w:r>
      <w:r w:rsidR="00D61410" w:rsidRPr="00265F96">
        <w:rPr>
          <w:rFonts w:cstheme="minorHAnsi"/>
          <w:b/>
          <w:bCs/>
        </w:rPr>
        <w:t>differences in performance measure scores across measured entities?</w:t>
      </w:r>
      <w:r w:rsidR="00D61410" w:rsidRPr="00265F96">
        <w:rPr>
          <w:rFonts w:cstheme="minorHAnsi"/>
          <w:bCs/>
        </w:rPr>
        <w:t xml:space="preserve"> (e.g., </w:t>
      </w:r>
      <w:r w:rsidR="00D61410" w:rsidRPr="00265F96">
        <w:rPr>
          <w:rFonts w:cstheme="minorHAnsi"/>
          <w:bCs/>
          <w:i/>
        </w:rPr>
        <w:t xml:space="preserve">number and percentage </w:t>
      </w:r>
      <w:r w:rsidR="001E69DC" w:rsidRPr="00265F96">
        <w:rPr>
          <w:rFonts w:cstheme="minorHAnsi"/>
          <w:bCs/>
          <w:i/>
        </w:rPr>
        <w:t xml:space="preserve">of entities with scores </w:t>
      </w:r>
      <w:r w:rsidR="00D61410" w:rsidRPr="00265F96">
        <w:rPr>
          <w:rFonts w:cstheme="minorHAnsi"/>
          <w:bCs/>
          <w:i/>
        </w:rPr>
        <w:t xml:space="preserve">that were statistically significantly different from mean </w:t>
      </w:r>
      <w:r w:rsidR="001E69DC" w:rsidRPr="00265F96">
        <w:rPr>
          <w:rFonts w:cstheme="minorHAnsi"/>
          <w:bCs/>
          <w:i/>
        </w:rPr>
        <w:t>or some benchmark, different from expected; how was meaningful difference defined</w:t>
      </w:r>
      <w:r w:rsidR="00D61410" w:rsidRPr="00265F96">
        <w:rPr>
          <w:rFonts w:cstheme="minorHAnsi"/>
          <w:bCs/>
        </w:rPr>
        <w:t>)</w:t>
      </w:r>
    </w:p>
    <w:p w14:paraId="3D87729D" w14:textId="77777777" w:rsidR="00265F96" w:rsidRPr="00D84CB3" w:rsidRDefault="00265F96" w:rsidP="00265F96">
      <w:pPr>
        <w:autoSpaceDE w:val="0"/>
        <w:autoSpaceDN w:val="0"/>
        <w:adjustRightInd w:val="0"/>
        <w:spacing w:after="0" w:line="240" w:lineRule="auto"/>
        <w:rPr>
          <w:rFonts w:cstheme="minorHAnsi"/>
          <w:bCs/>
          <w:i/>
          <w:color w:val="1111FB"/>
        </w:rPr>
      </w:pPr>
      <w:r w:rsidRPr="00D84CB3">
        <w:rPr>
          <w:rFonts w:cstheme="minorHAnsi"/>
          <w:bCs/>
          <w:i/>
          <w:color w:val="1111FB"/>
        </w:rPr>
        <w:t>Note that for this measure, a lower rate equals better performance so the values in the 10</w:t>
      </w:r>
      <w:r w:rsidRPr="00D84CB3">
        <w:rPr>
          <w:rFonts w:cstheme="minorHAnsi"/>
          <w:bCs/>
          <w:i/>
          <w:color w:val="1111FB"/>
          <w:vertAlign w:val="superscript"/>
        </w:rPr>
        <w:t>th</w:t>
      </w:r>
      <w:r w:rsidRPr="00D84CB3">
        <w:rPr>
          <w:rFonts w:cstheme="minorHAnsi"/>
          <w:bCs/>
          <w:i/>
          <w:color w:val="1111FB"/>
        </w:rPr>
        <w:t xml:space="preserve"> percentile are representative of the top performers and the values in the 90</w:t>
      </w:r>
      <w:r w:rsidRPr="00D84CB3">
        <w:rPr>
          <w:rFonts w:cstheme="minorHAnsi"/>
          <w:bCs/>
          <w:i/>
          <w:color w:val="1111FB"/>
          <w:vertAlign w:val="superscript"/>
        </w:rPr>
        <w:t>th</w:t>
      </w:r>
      <w:r w:rsidRPr="00D84CB3">
        <w:rPr>
          <w:rFonts w:cstheme="minorHAnsi"/>
          <w:bCs/>
          <w:i/>
          <w:color w:val="1111FB"/>
        </w:rPr>
        <w:t xml:space="preserve"> percentile are representative of the poor performers.</w:t>
      </w:r>
    </w:p>
    <w:p w14:paraId="38339B8D" w14:textId="08220BDF" w:rsidR="00265F96" w:rsidRPr="00D84CB3" w:rsidRDefault="00265F96" w:rsidP="00265F96">
      <w:pPr>
        <w:autoSpaceDE w:val="0"/>
        <w:autoSpaceDN w:val="0"/>
        <w:adjustRightInd w:val="0"/>
        <w:spacing w:after="0" w:line="240" w:lineRule="auto"/>
        <w:rPr>
          <w:rFonts w:cstheme="minorHAnsi"/>
          <w:bCs/>
          <w:color w:val="1111FB"/>
        </w:rPr>
      </w:pPr>
    </w:p>
    <w:p w14:paraId="1D2E13AD" w14:textId="653DF02F" w:rsidR="00F429C8" w:rsidRPr="00D84CB3" w:rsidRDefault="00F429C8" w:rsidP="00265F96">
      <w:pPr>
        <w:autoSpaceDE w:val="0"/>
        <w:autoSpaceDN w:val="0"/>
        <w:adjustRightInd w:val="0"/>
        <w:spacing w:after="0" w:line="240" w:lineRule="auto"/>
        <w:rPr>
          <w:rFonts w:cstheme="minorHAnsi"/>
          <w:bCs/>
          <w:color w:val="1111FB"/>
        </w:rPr>
      </w:pPr>
      <w:r w:rsidRPr="00D84CB3">
        <w:rPr>
          <w:rFonts w:cstheme="minorHAnsi"/>
          <w:bCs/>
          <w:color w:val="1111FB"/>
        </w:rPr>
        <w:t xml:space="preserve">Table </w:t>
      </w:r>
      <w:r w:rsidR="001B061F" w:rsidRPr="00D84CB3">
        <w:rPr>
          <w:rFonts w:cstheme="minorHAnsi"/>
          <w:bCs/>
          <w:color w:val="1111FB"/>
        </w:rPr>
        <w:t>5</w:t>
      </w:r>
      <w:r w:rsidRPr="00D84CB3">
        <w:rPr>
          <w:rFonts w:cstheme="minorHAnsi"/>
          <w:bCs/>
          <w:color w:val="1111FB"/>
        </w:rPr>
        <w:t>. Variation in Performance for commercial, Medicaid, and Medicare health plans</w:t>
      </w:r>
      <w:r w:rsidR="009A02A8" w:rsidRPr="00D84CB3">
        <w:rPr>
          <w:rFonts w:cstheme="minorHAnsi"/>
          <w:bCs/>
          <w:color w:val="1111FB"/>
        </w:rPr>
        <w:t>, 2018.</w:t>
      </w:r>
    </w:p>
    <w:tbl>
      <w:tblPr>
        <w:tblStyle w:val="TableGrid"/>
        <w:tblW w:w="0" w:type="auto"/>
        <w:tblLook w:val="04A0" w:firstRow="1" w:lastRow="0" w:firstColumn="1" w:lastColumn="0" w:noHBand="0" w:noVBand="1"/>
      </w:tblPr>
      <w:tblGrid>
        <w:gridCol w:w="1287"/>
        <w:gridCol w:w="581"/>
        <w:gridCol w:w="967"/>
        <w:gridCol w:w="900"/>
        <w:gridCol w:w="714"/>
        <w:gridCol w:w="817"/>
        <w:gridCol w:w="716"/>
        <w:gridCol w:w="812"/>
        <w:gridCol w:w="717"/>
        <w:gridCol w:w="716"/>
        <w:gridCol w:w="1123"/>
      </w:tblGrid>
      <w:tr w:rsidR="00D84CB3" w:rsidRPr="00D84CB3" w14:paraId="3ECF9DCD" w14:textId="77777777" w:rsidTr="00307519">
        <w:tc>
          <w:tcPr>
            <w:tcW w:w="1287" w:type="dxa"/>
          </w:tcPr>
          <w:p w14:paraId="2EE33DC6" w14:textId="7D327915" w:rsidR="00265F96" w:rsidRPr="00D84CB3" w:rsidRDefault="00136769" w:rsidP="00D85F42">
            <w:pPr>
              <w:autoSpaceDE w:val="0"/>
              <w:autoSpaceDN w:val="0"/>
              <w:adjustRightInd w:val="0"/>
              <w:jc w:val="center"/>
              <w:rPr>
                <w:rFonts w:cstheme="minorHAnsi"/>
                <w:b/>
                <w:bCs/>
                <w:color w:val="1111FB"/>
              </w:rPr>
            </w:pPr>
            <w:r>
              <w:rPr>
                <w:rFonts w:cstheme="minorHAnsi"/>
                <w:b/>
                <w:bCs/>
                <w:color w:val="1111FB"/>
              </w:rPr>
              <w:t>Plan Type</w:t>
            </w:r>
          </w:p>
        </w:tc>
        <w:tc>
          <w:tcPr>
            <w:tcW w:w="587" w:type="dxa"/>
          </w:tcPr>
          <w:p w14:paraId="5EC5AEB1" w14:textId="77777777" w:rsidR="00265F96" w:rsidRPr="00D84CB3" w:rsidRDefault="00265F96" w:rsidP="00D85F42">
            <w:pPr>
              <w:autoSpaceDE w:val="0"/>
              <w:autoSpaceDN w:val="0"/>
              <w:adjustRightInd w:val="0"/>
              <w:jc w:val="center"/>
              <w:rPr>
                <w:rFonts w:cstheme="minorHAnsi"/>
                <w:b/>
                <w:bCs/>
                <w:color w:val="1111FB"/>
              </w:rPr>
            </w:pPr>
            <w:r w:rsidRPr="00D84CB3">
              <w:rPr>
                <w:rFonts w:cstheme="minorHAnsi"/>
                <w:b/>
                <w:bCs/>
                <w:color w:val="1111FB"/>
              </w:rPr>
              <w:t>N</w:t>
            </w:r>
          </w:p>
        </w:tc>
        <w:tc>
          <w:tcPr>
            <w:tcW w:w="967" w:type="dxa"/>
          </w:tcPr>
          <w:p w14:paraId="00C6CCAA" w14:textId="515571E9" w:rsidR="00265F96" w:rsidRPr="00D84CB3" w:rsidRDefault="00307519" w:rsidP="00307519">
            <w:pPr>
              <w:autoSpaceDE w:val="0"/>
              <w:autoSpaceDN w:val="0"/>
              <w:adjustRightInd w:val="0"/>
              <w:jc w:val="center"/>
              <w:rPr>
                <w:b/>
                <w:color w:val="1111FB"/>
              </w:rPr>
            </w:pPr>
            <w:r w:rsidRPr="7C318462">
              <w:rPr>
                <w:b/>
                <w:color w:val="1111FB"/>
              </w:rPr>
              <w:t>Average</w:t>
            </w:r>
            <w:r w:rsidR="7C318462" w:rsidRPr="7C318462">
              <w:rPr>
                <w:b/>
                <w:bCs/>
                <w:color w:val="1111FB"/>
              </w:rPr>
              <w:t xml:space="preserve"> (%)</w:t>
            </w:r>
          </w:p>
        </w:tc>
        <w:tc>
          <w:tcPr>
            <w:tcW w:w="934" w:type="dxa"/>
          </w:tcPr>
          <w:p w14:paraId="65A63D3E" w14:textId="77777777" w:rsidR="00265F96" w:rsidRPr="00D84CB3" w:rsidRDefault="00265F96" w:rsidP="00D85F42">
            <w:pPr>
              <w:autoSpaceDE w:val="0"/>
              <w:autoSpaceDN w:val="0"/>
              <w:adjustRightInd w:val="0"/>
              <w:jc w:val="center"/>
              <w:rPr>
                <w:rFonts w:cstheme="minorHAnsi"/>
                <w:b/>
                <w:bCs/>
                <w:color w:val="1111FB"/>
              </w:rPr>
            </w:pPr>
            <w:r w:rsidRPr="00D84CB3">
              <w:rPr>
                <w:rFonts w:cstheme="minorHAnsi"/>
                <w:b/>
                <w:bCs/>
                <w:color w:val="1111FB"/>
              </w:rPr>
              <w:t>St Dev</w:t>
            </w:r>
          </w:p>
          <w:p w14:paraId="3588692A" w14:textId="77777777" w:rsidR="00265F96" w:rsidRPr="00D84CB3" w:rsidRDefault="00265F96" w:rsidP="00D85F42">
            <w:pPr>
              <w:autoSpaceDE w:val="0"/>
              <w:autoSpaceDN w:val="0"/>
              <w:adjustRightInd w:val="0"/>
              <w:jc w:val="center"/>
              <w:rPr>
                <w:rFonts w:cstheme="minorHAnsi"/>
                <w:b/>
                <w:bCs/>
                <w:color w:val="1111FB"/>
              </w:rPr>
            </w:pPr>
            <w:r w:rsidRPr="00D84CB3">
              <w:rPr>
                <w:rFonts w:cstheme="minorHAnsi"/>
                <w:b/>
                <w:bCs/>
                <w:color w:val="1111FB"/>
              </w:rPr>
              <w:t>(%)</w:t>
            </w:r>
          </w:p>
        </w:tc>
        <w:tc>
          <w:tcPr>
            <w:tcW w:w="605" w:type="dxa"/>
          </w:tcPr>
          <w:p w14:paraId="4D3735F1" w14:textId="77777777" w:rsidR="00265F96" w:rsidRPr="00D84CB3" w:rsidRDefault="00265F96" w:rsidP="00D85F42">
            <w:pPr>
              <w:autoSpaceDE w:val="0"/>
              <w:autoSpaceDN w:val="0"/>
              <w:adjustRightInd w:val="0"/>
              <w:jc w:val="center"/>
              <w:rPr>
                <w:rFonts w:cstheme="minorHAnsi"/>
                <w:b/>
                <w:bCs/>
                <w:color w:val="1111FB"/>
                <w:vertAlign w:val="superscript"/>
              </w:rPr>
            </w:pPr>
            <w:r w:rsidRPr="00D84CB3">
              <w:rPr>
                <w:rFonts w:cstheme="minorHAnsi"/>
                <w:b/>
                <w:bCs/>
                <w:color w:val="1111FB"/>
              </w:rPr>
              <w:t>10</w:t>
            </w:r>
            <w:r w:rsidRPr="00D84CB3">
              <w:rPr>
                <w:rFonts w:cstheme="minorHAnsi"/>
                <w:b/>
                <w:bCs/>
                <w:color w:val="1111FB"/>
                <w:vertAlign w:val="superscript"/>
              </w:rPr>
              <w:t>th</w:t>
            </w:r>
          </w:p>
          <w:p w14:paraId="5A1D358B" w14:textId="77777777" w:rsidR="00265F96" w:rsidRPr="00D84CB3" w:rsidRDefault="00265F96" w:rsidP="00D85F42">
            <w:pPr>
              <w:autoSpaceDE w:val="0"/>
              <w:autoSpaceDN w:val="0"/>
              <w:adjustRightInd w:val="0"/>
              <w:jc w:val="center"/>
              <w:rPr>
                <w:rFonts w:cstheme="minorHAnsi"/>
                <w:b/>
                <w:bCs/>
                <w:color w:val="1111FB"/>
              </w:rPr>
            </w:pPr>
            <w:r w:rsidRPr="00D84CB3">
              <w:rPr>
                <w:rFonts w:cstheme="minorHAnsi"/>
                <w:b/>
                <w:bCs/>
                <w:color w:val="1111FB"/>
              </w:rPr>
              <w:t>(%)</w:t>
            </w:r>
          </w:p>
        </w:tc>
        <w:tc>
          <w:tcPr>
            <w:tcW w:w="835" w:type="dxa"/>
          </w:tcPr>
          <w:p w14:paraId="2D9BEAEA" w14:textId="77777777" w:rsidR="00265F96" w:rsidRPr="00D84CB3" w:rsidRDefault="00265F96" w:rsidP="00D85F42">
            <w:pPr>
              <w:autoSpaceDE w:val="0"/>
              <w:autoSpaceDN w:val="0"/>
              <w:adjustRightInd w:val="0"/>
              <w:jc w:val="center"/>
              <w:rPr>
                <w:rFonts w:cstheme="minorHAnsi"/>
                <w:b/>
                <w:bCs/>
                <w:color w:val="1111FB"/>
                <w:vertAlign w:val="superscript"/>
              </w:rPr>
            </w:pPr>
            <w:r w:rsidRPr="00D84CB3">
              <w:rPr>
                <w:rFonts w:cstheme="minorHAnsi"/>
                <w:b/>
                <w:bCs/>
                <w:color w:val="1111FB"/>
              </w:rPr>
              <w:t>25</w:t>
            </w:r>
            <w:r w:rsidRPr="00D84CB3">
              <w:rPr>
                <w:rFonts w:cstheme="minorHAnsi"/>
                <w:b/>
                <w:bCs/>
                <w:color w:val="1111FB"/>
                <w:vertAlign w:val="superscript"/>
              </w:rPr>
              <w:t>th</w:t>
            </w:r>
          </w:p>
          <w:p w14:paraId="518FEF8B" w14:textId="77777777" w:rsidR="00265F96" w:rsidRPr="00D84CB3" w:rsidRDefault="00265F96" w:rsidP="00D85F42">
            <w:pPr>
              <w:autoSpaceDE w:val="0"/>
              <w:autoSpaceDN w:val="0"/>
              <w:adjustRightInd w:val="0"/>
              <w:jc w:val="center"/>
              <w:rPr>
                <w:rFonts w:cstheme="minorHAnsi"/>
                <w:b/>
                <w:bCs/>
                <w:color w:val="1111FB"/>
              </w:rPr>
            </w:pPr>
            <w:r w:rsidRPr="00D84CB3">
              <w:rPr>
                <w:rFonts w:cstheme="minorHAnsi"/>
                <w:b/>
                <w:bCs/>
                <w:color w:val="1111FB"/>
              </w:rPr>
              <w:t>(%)</w:t>
            </w:r>
          </w:p>
        </w:tc>
        <w:tc>
          <w:tcPr>
            <w:tcW w:w="716" w:type="dxa"/>
          </w:tcPr>
          <w:p w14:paraId="19E58DDA" w14:textId="77777777" w:rsidR="00265F96" w:rsidRPr="00D84CB3" w:rsidRDefault="00265F96" w:rsidP="00D85F42">
            <w:pPr>
              <w:autoSpaceDE w:val="0"/>
              <w:autoSpaceDN w:val="0"/>
              <w:adjustRightInd w:val="0"/>
              <w:jc w:val="center"/>
              <w:rPr>
                <w:rFonts w:cstheme="minorHAnsi"/>
                <w:b/>
                <w:bCs/>
                <w:color w:val="1111FB"/>
                <w:vertAlign w:val="superscript"/>
              </w:rPr>
            </w:pPr>
            <w:r w:rsidRPr="00D84CB3">
              <w:rPr>
                <w:rFonts w:cstheme="minorHAnsi"/>
                <w:b/>
                <w:bCs/>
                <w:color w:val="1111FB"/>
              </w:rPr>
              <w:t>50</w:t>
            </w:r>
            <w:r w:rsidRPr="00D84CB3">
              <w:rPr>
                <w:rFonts w:cstheme="minorHAnsi"/>
                <w:b/>
                <w:bCs/>
                <w:color w:val="1111FB"/>
                <w:vertAlign w:val="superscript"/>
              </w:rPr>
              <w:t>th</w:t>
            </w:r>
          </w:p>
          <w:p w14:paraId="167F9C52" w14:textId="77777777" w:rsidR="00265F96" w:rsidRPr="00D84CB3" w:rsidRDefault="00265F96" w:rsidP="00D85F42">
            <w:pPr>
              <w:autoSpaceDE w:val="0"/>
              <w:autoSpaceDN w:val="0"/>
              <w:adjustRightInd w:val="0"/>
              <w:jc w:val="center"/>
              <w:rPr>
                <w:rFonts w:cstheme="minorHAnsi"/>
                <w:b/>
                <w:bCs/>
                <w:color w:val="1111FB"/>
              </w:rPr>
            </w:pPr>
            <w:r w:rsidRPr="00D84CB3">
              <w:rPr>
                <w:rFonts w:cstheme="minorHAnsi"/>
                <w:b/>
                <w:bCs/>
                <w:color w:val="1111FB"/>
              </w:rPr>
              <w:t>(%)</w:t>
            </w:r>
          </w:p>
        </w:tc>
        <w:tc>
          <w:tcPr>
            <w:tcW w:w="830" w:type="dxa"/>
          </w:tcPr>
          <w:p w14:paraId="389CAB24" w14:textId="77777777" w:rsidR="00265F96" w:rsidRPr="00D84CB3" w:rsidRDefault="00265F96" w:rsidP="00D85F42">
            <w:pPr>
              <w:autoSpaceDE w:val="0"/>
              <w:autoSpaceDN w:val="0"/>
              <w:adjustRightInd w:val="0"/>
              <w:jc w:val="center"/>
              <w:rPr>
                <w:rFonts w:cstheme="minorHAnsi"/>
                <w:b/>
                <w:bCs/>
                <w:color w:val="1111FB"/>
                <w:vertAlign w:val="superscript"/>
              </w:rPr>
            </w:pPr>
            <w:r w:rsidRPr="00D84CB3">
              <w:rPr>
                <w:rFonts w:cstheme="minorHAnsi"/>
                <w:b/>
                <w:bCs/>
                <w:color w:val="1111FB"/>
              </w:rPr>
              <w:t>75</w:t>
            </w:r>
            <w:r w:rsidRPr="00D84CB3">
              <w:rPr>
                <w:rFonts w:cstheme="minorHAnsi"/>
                <w:b/>
                <w:bCs/>
                <w:color w:val="1111FB"/>
                <w:vertAlign w:val="superscript"/>
              </w:rPr>
              <w:t>th</w:t>
            </w:r>
          </w:p>
          <w:p w14:paraId="6D5E4424" w14:textId="77777777" w:rsidR="00265F96" w:rsidRPr="00D84CB3" w:rsidRDefault="00265F96" w:rsidP="00D85F42">
            <w:pPr>
              <w:autoSpaceDE w:val="0"/>
              <w:autoSpaceDN w:val="0"/>
              <w:adjustRightInd w:val="0"/>
              <w:jc w:val="center"/>
              <w:rPr>
                <w:rFonts w:cstheme="minorHAnsi"/>
                <w:b/>
                <w:bCs/>
                <w:color w:val="1111FB"/>
              </w:rPr>
            </w:pPr>
            <w:r w:rsidRPr="00D84CB3">
              <w:rPr>
                <w:rFonts w:cstheme="minorHAnsi"/>
                <w:b/>
                <w:bCs/>
                <w:color w:val="1111FB"/>
              </w:rPr>
              <w:t>(%)</w:t>
            </w:r>
          </w:p>
        </w:tc>
        <w:tc>
          <w:tcPr>
            <w:tcW w:w="717" w:type="dxa"/>
          </w:tcPr>
          <w:p w14:paraId="5468FE88" w14:textId="77777777" w:rsidR="00265F96" w:rsidRPr="00D84CB3" w:rsidRDefault="00265F96" w:rsidP="00D85F42">
            <w:pPr>
              <w:autoSpaceDE w:val="0"/>
              <w:autoSpaceDN w:val="0"/>
              <w:adjustRightInd w:val="0"/>
              <w:jc w:val="center"/>
              <w:rPr>
                <w:rFonts w:cstheme="minorHAnsi"/>
                <w:b/>
                <w:bCs/>
                <w:color w:val="1111FB"/>
                <w:vertAlign w:val="superscript"/>
              </w:rPr>
            </w:pPr>
            <w:r w:rsidRPr="00D84CB3">
              <w:rPr>
                <w:rFonts w:cstheme="minorHAnsi"/>
                <w:b/>
                <w:bCs/>
                <w:color w:val="1111FB"/>
              </w:rPr>
              <w:t>90</w:t>
            </w:r>
            <w:r w:rsidRPr="00D84CB3">
              <w:rPr>
                <w:rFonts w:cstheme="minorHAnsi"/>
                <w:b/>
                <w:bCs/>
                <w:color w:val="1111FB"/>
                <w:vertAlign w:val="superscript"/>
              </w:rPr>
              <w:t>th</w:t>
            </w:r>
          </w:p>
          <w:p w14:paraId="5AF97F25" w14:textId="77777777" w:rsidR="00265F96" w:rsidRPr="00D84CB3" w:rsidRDefault="00265F96" w:rsidP="00D85F42">
            <w:pPr>
              <w:autoSpaceDE w:val="0"/>
              <w:autoSpaceDN w:val="0"/>
              <w:adjustRightInd w:val="0"/>
              <w:jc w:val="center"/>
              <w:rPr>
                <w:rFonts w:cstheme="minorHAnsi"/>
                <w:b/>
                <w:bCs/>
                <w:color w:val="1111FB"/>
              </w:rPr>
            </w:pPr>
            <w:r w:rsidRPr="00D84CB3">
              <w:rPr>
                <w:rFonts w:cstheme="minorHAnsi"/>
                <w:b/>
                <w:bCs/>
                <w:color w:val="1111FB"/>
              </w:rPr>
              <w:t>(%)</w:t>
            </w:r>
          </w:p>
        </w:tc>
        <w:tc>
          <w:tcPr>
            <w:tcW w:w="716" w:type="dxa"/>
          </w:tcPr>
          <w:p w14:paraId="308FA32E" w14:textId="77777777" w:rsidR="00265F96" w:rsidRPr="00D84CB3" w:rsidRDefault="00265F96" w:rsidP="00D85F42">
            <w:pPr>
              <w:autoSpaceDE w:val="0"/>
              <w:autoSpaceDN w:val="0"/>
              <w:adjustRightInd w:val="0"/>
              <w:jc w:val="center"/>
              <w:rPr>
                <w:rFonts w:cstheme="minorHAnsi"/>
                <w:b/>
                <w:bCs/>
                <w:color w:val="1111FB"/>
              </w:rPr>
            </w:pPr>
            <w:r w:rsidRPr="00D84CB3">
              <w:rPr>
                <w:rFonts w:cstheme="minorHAnsi"/>
                <w:b/>
                <w:bCs/>
                <w:color w:val="1111FB"/>
              </w:rPr>
              <w:t>IQR</w:t>
            </w:r>
          </w:p>
          <w:p w14:paraId="1173F567" w14:textId="77777777" w:rsidR="00265F96" w:rsidRPr="00D84CB3" w:rsidRDefault="00265F96" w:rsidP="00D85F42">
            <w:pPr>
              <w:autoSpaceDE w:val="0"/>
              <w:autoSpaceDN w:val="0"/>
              <w:adjustRightInd w:val="0"/>
              <w:jc w:val="center"/>
              <w:rPr>
                <w:rFonts w:cstheme="minorHAnsi"/>
                <w:b/>
                <w:bCs/>
                <w:color w:val="1111FB"/>
              </w:rPr>
            </w:pPr>
            <w:r w:rsidRPr="00D84CB3">
              <w:rPr>
                <w:rFonts w:cstheme="minorHAnsi"/>
                <w:b/>
                <w:bCs/>
                <w:color w:val="1111FB"/>
              </w:rPr>
              <w:t>(%)</w:t>
            </w:r>
          </w:p>
        </w:tc>
        <w:tc>
          <w:tcPr>
            <w:tcW w:w="1156" w:type="dxa"/>
          </w:tcPr>
          <w:p w14:paraId="289A3428" w14:textId="0E42A65A" w:rsidR="00265F96" w:rsidRPr="00D84CB3" w:rsidRDefault="00265F96" w:rsidP="00D85F42">
            <w:pPr>
              <w:autoSpaceDE w:val="0"/>
              <w:autoSpaceDN w:val="0"/>
              <w:adjustRightInd w:val="0"/>
              <w:jc w:val="center"/>
              <w:rPr>
                <w:rFonts w:cstheme="minorHAnsi"/>
                <w:b/>
                <w:bCs/>
                <w:color w:val="1111FB"/>
              </w:rPr>
            </w:pPr>
            <w:r w:rsidRPr="00D84CB3">
              <w:rPr>
                <w:rFonts w:cstheme="minorHAnsi"/>
                <w:b/>
                <w:bCs/>
                <w:color w:val="1111FB"/>
              </w:rPr>
              <w:t>p</w:t>
            </w:r>
            <w:r w:rsidR="00E6603C" w:rsidRPr="00D84CB3">
              <w:rPr>
                <w:rFonts w:cstheme="minorHAnsi"/>
                <w:b/>
                <w:bCs/>
                <w:color w:val="1111FB"/>
              </w:rPr>
              <w:t>-</w:t>
            </w:r>
            <w:r w:rsidRPr="00D84CB3">
              <w:rPr>
                <w:rFonts w:cstheme="minorHAnsi"/>
                <w:b/>
                <w:bCs/>
                <w:color w:val="1111FB"/>
              </w:rPr>
              <w:t>value</w:t>
            </w:r>
          </w:p>
        </w:tc>
      </w:tr>
      <w:tr w:rsidR="00D84CB3" w:rsidRPr="00D84CB3" w14:paraId="254D8C91" w14:textId="77777777" w:rsidTr="00307519">
        <w:tc>
          <w:tcPr>
            <w:tcW w:w="1287" w:type="dxa"/>
          </w:tcPr>
          <w:p w14:paraId="3DE58EF3" w14:textId="77777777" w:rsidR="00E05A2C" w:rsidRPr="00D84CB3" w:rsidRDefault="00E05A2C" w:rsidP="00E05A2C">
            <w:pPr>
              <w:autoSpaceDE w:val="0"/>
              <w:autoSpaceDN w:val="0"/>
              <w:adjustRightInd w:val="0"/>
              <w:jc w:val="center"/>
              <w:rPr>
                <w:rFonts w:cstheme="minorHAnsi"/>
                <w:bCs/>
                <w:color w:val="1111FB"/>
              </w:rPr>
            </w:pPr>
            <w:r w:rsidRPr="00D84CB3">
              <w:rPr>
                <w:rFonts w:cstheme="minorHAnsi"/>
                <w:bCs/>
                <w:color w:val="1111FB"/>
              </w:rPr>
              <w:t>Commercial</w:t>
            </w:r>
          </w:p>
        </w:tc>
        <w:tc>
          <w:tcPr>
            <w:tcW w:w="587" w:type="dxa"/>
          </w:tcPr>
          <w:p w14:paraId="2AA9D313" w14:textId="0CAA7493" w:rsidR="00E05A2C" w:rsidRPr="00D84CB3" w:rsidRDefault="00E05A2C" w:rsidP="00E05A2C">
            <w:pPr>
              <w:autoSpaceDE w:val="0"/>
              <w:autoSpaceDN w:val="0"/>
              <w:adjustRightInd w:val="0"/>
              <w:jc w:val="center"/>
              <w:rPr>
                <w:rFonts w:cstheme="minorHAnsi"/>
                <w:bCs/>
                <w:color w:val="1111FB"/>
              </w:rPr>
            </w:pPr>
            <w:r w:rsidRPr="00D84CB3">
              <w:rPr>
                <w:rFonts w:cstheme="minorHAnsi"/>
                <w:bCs/>
                <w:color w:val="1111FB"/>
              </w:rPr>
              <w:t>378</w:t>
            </w:r>
          </w:p>
        </w:tc>
        <w:tc>
          <w:tcPr>
            <w:tcW w:w="967" w:type="dxa"/>
          </w:tcPr>
          <w:p w14:paraId="50134EBA" w14:textId="2CE0AB2F"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34.17</w:t>
            </w:r>
          </w:p>
        </w:tc>
        <w:tc>
          <w:tcPr>
            <w:tcW w:w="934" w:type="dxa"/>
          </w:tcPr>
          <w:p w14:paraId="0FC012B6" w14:textId="757C4939"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16.20</w:t>
            </w:r>
          </w:p>
        </w:tc>
        <w:tc>
          <w:tcPr>
            <w:tcW w:w="605" w:type="dxa"/>
          </w:tcPr>
          <w:p w14:paraId="569A7B20" w14:textId="3429B643"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21.17</w:t>
            </w:r>
          </w:p>
        </w:tc>
        <w:tc>
          <w:tcPr>
            <w:tcW w:w="835" w:type="dxa"/>
          </w:tcPr>
          <w:p w14:paraId="7F725E80" w14:textId="4B6111E6"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25.06</w:t>
            </w:r>
          </w:p>
        </w:tc>
        <w:tc>
          <w:tcPr>
            <w:tcW w:w="716" w:type="dxa"/>
          </w:tcPr>
          <w:p w14:paraId="61A05992" w14:textId="65F881C3"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29.93</w:t>
            </w:r>
          </w:p>
        </w:tc>
        <w:tc>
          <w:tcPr>
            <w:tcW w:w="830" w:type="dxa"/>
          </w:tcPr>
          <w:p w14:paraId="5F9926A8" w14:textId="746FB4B2"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36.48</w:t>
            </w:r>
          </w:p>
        </w:tc>
        <w:tc>
          <w:tcPr>
            <w:tcW w:w="717" w:type="dxa"/>
          </w:tcPr>
          <w:p w14:paraId="116CD519" w14:textId="50E83722"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49.31</w:t>
            </w:r>
          </w:p>
        </w:tc>
        <w:tc>
          <w:tcPr>
            <w:tcW w:w="716" w:type="dxa"/>
          </w:tcPr>
          <w:p w14:paraId="1737E04C" w14:textId="0B8645AB"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11.42</w:t>
            </w:r>
          </w:p>
        </w:tc>
        <w:tc>
          <w:tcPr>
            <w:tcW w:w="1156" w:type="dxa"/>
          </w:tcPr>
          <w:p w14:paraId="55A490A2" w14:textId="699C8B91" w:rsidR="00E05A2C" w:rsidRPr="00D84CB3" w:rsidRDefault="00B92858" w:rsidP="00E05A2C">
            <w:pPr>
              <w:autoSpaceDE w:val="0"/>
              <w:autoSpaceDN w:val="0"/>
              <w:adjustRightInd w:val="0"/>
              <w:jc w:val="center"/>
              <w:rPr>
                <w:rFonts w:cstheme="minorHAnsi"/>
                <w:bCs/>
                <w:color w:val="1111FB"/>
              </w:rPr>
            </w:pPr>
            <w:r>
              <w:rPr>
                <w:rFonts w:cstheme="minorHAnsi"/>
                <w:bCs/>
                <w:color w:val="1111FB"/>
              </w:rPr>
              <w:t>&lt;0.0</w:t>
            </w:r>
            <w:r w:rsidR="0013074D">
              <w:rPr>
                <w:rFonts w:cstheme="minorHAnsi"/>
                <w:bCs/>
                <w:color w:val="1111FB"/>
              </w:rPr>
              <w:t>001</w:t>
            </w:r>
          </w:p>
        </w:tc>
      </w:tr>
      <w:tr w:rsidR="00D84CB3" w:rsidRPr="00D84CB3" w14:paraId="6AF52754" w14:textId="77777777" w:rsidTr="00307519">
        <w:tc>
          <w:tcPr>
            <w:tcW w:w="1287" w:type="dxa"/>
          </w:tcPr>
          <w:p w14:paraId="2B1657DD" w14:textId="7636B39F" w:rsidR="00E05A2C" w:rsidRPr="00D84CB3" w:rsidRDefault="0089423A" w:rsidP="00E05A2C">
            <w:pPr>
              <w:autoSpaceDE w:val="0"/>
              <w:autoSpaceDN w:val="0"/>
              <w:adjustRightInd w:val="0"/>
              <w:jc w:val="center"/>
              <w:rPr>
                <w:rFonts w:cstheme="minorHAnsi"/>
                <w:bCs/>
                <w:color w:val="1111FB"/>
              </w:rPr>
            </w:pPr>
            <w:r w:rsidRPr="00D84CB3">
              <w:rPr>
                <w:rFonts w:cstheme="minorHAnsi"/>
                <w:bCs/>
                <w:color w:val="1111FB"/>
              </w:rPr>
              <w:t xml:space="preserve">Medicaid </w:t>
            </w:r>
          </w:p>
        </w:tc>
        <w:tc>
          <w:tcPr>
            <w:tcW w:w="587" w:type="dxa"/>
          </w:tcPr>
          <w:p w14:paraId="1335942D" w14:textId="745C9C1D" w:rsidR="00E05A2C" w:rsidRPr="00D84CB3" w:rsidRDefault="00E05A2C" w:rsidP="00E05A2C">
            <w:pPr>
              <w:autoSpaceDE w:val="0"/>
              <w:autoSpaceDN w:val="0"/>
              <w:adjustRightInd w:val="0"/>
              <w:jc w:val="center"/>
              <w:rPr>
                <w:rFonts w:cstheme="minorHAnsi"/>
                <w:bCs/>
                <w:color w:val="1111FB"/>
              </w:rPr>
            </w:pPr>
            <w:r w:rsidRPr="00D84CB3">
              <w:rPr>
                <w:rFonts w:cstheme="minorHAnsi"/>
                <w:bCs/>
                <w:color w:val="1111FB"/>
              </w:rPr>
              <w:t>241</w:t>
            </w:r>
          </w:p>
        </w:tc>
        <w:tc>
          <w:tcPr>
            <w:tcW w:w="967" w:type="dxa"/>
          </w:tcPr>
          <w:p w14:paraId="0982427D" w14:textId="229D4FC3"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41.15</w:t>
            </w:r>
          </w:p>
        </w:tc>
        <w:tc>
          <w:tcPr>
            <w:tcW w:w="934" w:type="dxa"/>
          </w:tcPr>
          <w:p w14:paraId="653D7B77" w14:textId="3C1201E6"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13.52</w:t>
            </w:r>
          </w:p>
        </w:tc>
        <w:tc>
          <w:tcPr>
            <w:tcW w:w="605" w:type="dxa"/>
          </w:tcPr>
          <w:p w14:paraId="02B67E11" w14:textId="3F41FD3C"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27.98</w:t>
            </w:r>
          </w:p>
        </w:tc>
        <w:tc>
          <w:tcPr>
            <w:tcW w:w="835" w:type="dxa"/>
          </w:tcPr>
          <w:p w14:paraId="2E0F12FD" w14:textId="3E68891E"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32.85</w:t>
            </w:r>
          </w:p>
        </w:tc>
        <w:tc>
          <w:tcPr>
            <w:tcW w:w="716" w:type="dxa"/>
          </w:tcPr>
          <w:p w14:paraId="13585253" w14:textId="0997148C"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38.44</w:t>
            </w:r>
          </w:p>
        </w:tc>
        <w:tc>
          <w:tcPr>
            <w:tcW w:w="830" w:type="dxa"/>
          </w:tcPr>
          <w:p w14:paraId="3E5AFF89" w14:textId="7C73FDC2"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46.53</w:t>
            </w:r>
          </w:p>
        </w:tc>
        <w:tc>
          <w:tcPr>
            <w:tcW w:w="717" w:type="dxa"/>
          </w:tcPr>
          <w:p w14:paraId="440A0C40" w14:textId="7797FC19"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57.91</w:t>
            </w:r>
          </w:p>
        </w:tc>
        <w:tc>
          <w:tcPr>
            <w:tcW w:w="716" w:type="dxa"/>
          </w:tcPr>
          <w:p w14:paraId="5084D927" w14:textId="392B5DC7"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13.69</w:t>
            </w:r>
          </w:p>
        </w:tc>
        <w:tc>
          <w:tcPr>
            <w:tcW w:w="1156" w:type="dxa"/>
          </w:tcPr>
          <w:p w14:paraId="138B8835" w14:textId="7C87DA73" w:rsidR="00E05A2C" w:rsidRPr="00D84CB3" w:rsidRDefault="00B92858" w:rsidP="00E05A2C">
            <w:pPr>
              <w:autoSpaceDE w:val="0"/>
              <w:autoSpaceDN w:val="0"/>
              <w:adjustRightInd w:val="0"/>
              <w:jc w:val="center"/>
              <w:rPr>
                <w:rFonts w:cstheme="minorHAnsi"/>
                <w:bCs/>
                <w:color w:val="1111FB"/>
              </w:rPr>
            </w:pPr>
            <w:r>
              <w:rPr>
                <w:rFonts w:cstheme="minorHAnsi"/>
                <w:bCs/>
                <w:color w:val="1111FB"/>
              </w:rPr>
              <w:t>&lt;0.0</w:t>
            </w:r>
            <w:r w:rsidR="0013074D">
              <w:rPr>
                <w:rFonts w:cstheme="minorHAnsi"/>
                <w:bCs/>
                <w:color w:val="1111FB"/>
              </w:rPr>
              <w:t>001</w:t>
            </w:r>
          </w:p>
        </w:tc>
      </w:tr>
      <w:tr w:rsidR="00D84CB3" w:rsidRPr="00D84CB3" w14:paraId="5893577E" w14:textId="77777777" w:rsidTr="00307519">
        <w:tc>
          <w:tcPr>
            <w:tcW w:w="1287" w:type="dxa"/>
          </w:tcPr>
          <w:p w14:paraId="59F2A5B2" w14:textId="5CDF0476" w:rsidR="00E05A2C" w:rsidRPr="00D84CB3" w:rsidRDefault="0089423A" w:rsidP="00E05A2C">
            <w:pPr>
              <w:autoSpaceDE w:val="0"/>
              <w:autoSpaceDN w:val="0"/>
              <w:adjustRightInd w:val="0"/>
              <w:jc w:val="center"/>
              <w:rPr>
                <w:rFonts w:cstheme="minorHAnsi"/>
                <w:bCs/>
                <w:color w:val="1111FB"/>
              </w:rPr>
            </w:pPr>
            <w:r w:rsidRPr="00D84CB3">
              <w:rPr>
                <w:rFonts w:cstheme="minorHAnsi"/>
                <w:bCs/>
                <w:color w:val="1111FB"/>
              </w:rPr>
              <w:t>Medicare</w:t>
            </w:r>
          </w:p>
        </w:tc>
        <w:tc>
          <w:tcPr>
            <w:tcW w:w="587" w:type="dxa"/>
          </w:tcPr>
          <w:p w14:paraId="4CCB71F5" w14:textId="638EC0D1" w:rsidR="00E05A2C" w:rsidRPr="00D84CB3" w:rsidRDefault="00E05A2C" w:rsidP="00E05A2C">
            <w:pPr>
              <w:autoSpaceDE w:val="0"/>
              <w:autoSpaceDN w:val="0"/>
              <w:adjustRightInd w:val="0"/>
              <w:jc w:val="center"/>
              <w:rPr>
                <w:rFonts w:cstheme="minorHAnsi"/>
                <w:bCs/>
                <w:color w:val="1111FB"/>
              </w:rPr>
            </w:pPr>
            <w:r w:rsidRPr="00D84CB3">
              <w:rPr>
                <w:rFonts w:cstheme="minorHAnsi"/>
                <w:bCs/>
                <w:color w:val="1111FB"/>
              </w:rPr>
              <w:t>477</w:t>
            </w:r>
          </w:p>
        </w:tc>
        <w:tc>
          <w:tcPr>
            <w:tcW w:w="967" w:type="dxa"/>
          </w:tcPr>
          <w:p w14:paraId="33DFAB1B" w14:textId="0809A7F0"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21.86</w:t>
            </w:r>
          </w:p>
        </w:tc>
        <w:tc>
          <w:tcPr>
            <w:tcW w:w="934" w:type="dxa"/>
          </w:tcPr>
          <w:p w14:paraId="26B40240" w14:textId="19DFA781"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12.24</w:t>
            </w:r>
          </w:p>
        </w:tc>
        <w:tc>
          <w:tcPr>
            <w:tcW w:w="605" w:type="dxa"/>
          </w:tcPr>
          <w:p w14:paraId="62C72A1D" w14:textId="619CB8EB"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11.39</w:t>
            </w:r>
          </w:p>
        </w:tc>
        <w:tc>
          <w:tcPr>
            <w:tcW w:w="835" w:type="dxa"/>
          </w:tcPr>
          <w:p w14:paraId="0DA784B6" w14:textId="546EEC35"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13.87</w:t>
            </w:r>
          </w:p>
        </w:tc>
        <w:tc>
          <w:tcPr>
            <w:tcW w:w="716" w:type="dxa"/>
          </w:tcPr>
          <w:p w14:paraId="6E9AFC5A" w14:textId="03FBF842"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18.25</w:t>
            </w:r>
          </w:p>
        </w:tc>
        <w:tc>
          <w:tcPr>
            <w:tcW w:w="830" w:type="dxa"/>
          </w:tcPr>
          <w:p w14:paraId="4ACFF86A" w14:textId="08DAE74D"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25.35</w:t>
            </w:r>
          </w:p>
        </w:tc>
        <w:tc>
          <w:tcPr>
            <w:tcW w:w="717" w:type="dxa"/>
          </w:tcPr>
          <w:p w14:paraId="2779CDC1" w14:textId="1CAF48BD"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36.40</w:t>
            </w:r>
          </w:p>
        </w:tc>
        <w:tc>
          <w:tcPr>
            <w:tcW w:w="716" w:type="dxa"/>
          </w:tcPr>
          <w:p w14:paraId="06D73763" w14:textId="4FB97F06" w:rsidR="00E05A2C" w:rsidRPr="00D84CB3" w:rsidRDefault="00E05A2C" w:rsidP="00E05A2C">
            <w:pPr>
              <w:autoSpaceDE w:val="0"/>
              <w:autoSpaceDN w:val="0"/>
              <w:adjustRightInd w:val="0"/>
              <w:jc w:val="center"/>
              <w:rPr>
                <w:rFonts w:cstheme="minorHAnsi"/>
                <w:bCs/>
                <w:color w:val="1111FB"/>
              </w:rPr>
            </w:pPr>
            <w:r w:rsidRPr="00D84CB3">
              <w:rPr>
                <w:rFonts w:ascii="Tahoma" w:hAnsi="Tahoma" w:cs="Tahoma"/>
                <w:color w:val="1111FB"/>
                <w:sz w:val="20"/>
                <w:szCs w:val="20"/>
              </w:rPr>
              <w:t>11.48</w:t>
            </w:r>
          </w:p>
        </w:tc>
        <w:tc>
          <w:tcPr>
            <w:tcW w:w="1156" w:type="dxa"/>
          </w:tcPr>
          <w:p w14:paraId="09749561" w14:textId="47C7BCC1" w:rsidR="00E05A2C" w:rsidRPr="00D84CB3" w:rsidRDefault="00B92858" w:rsidP="00E05A2C">
            <w:pPr>
              <w:autoSpaceDE w:val="0"/>
              <w:autoSpaceDN w:val="0"/>
              <w:adjustRightInd w:val="0"/>
              <w:jc w:val="center"/>
              <w:rPr>
                <w:rFonts w:cstheme="minorHAnsi"/>
                <w:bCs/>
                <w:color w:val="1111FB"/>
              </w:rPr>
            </w:pPr>
            <w:r>
              <w:rPr>
                <w:rFonts w:cstheme="minorHAnsi"/>
                <w:bCs/>
                <w:color w:val="1111FB"/>
              </w:rPr>
              <w:t>&lt;0.0</w:t>
            </w:r>
            <w:r w:rsidR="0013074D">
              <w:rPr>
                <w:rFonts w:cstheme="minorHAnsi"/>
                <w:bCs/>
                <w:color w:val="1111FB"/>
              </w:rPr>
              <w:t>001</w:t>
            </w:r>
          </w:p>
        </w:tc>
      </w:tr>
    </w:tbl>
    <w:p w14:paraId="279071E3" w14:textId="77777777" w:rsidR="00265F96" w:rsidRPr="00D84CB3" w:rsidRDefault="00265F96" w:rsidP="00265F96">
      <w:pPr>
        <w:autoSpaceDE w:val="0"/>
        <w:autoSpaceDN w:val="0"/>
        <w:adjustRightInd w:val="0"/>
        <w:spacing w:after="0" w:line="240" w:lineRule="auto"/>
        <w:rPr>
          <w:rFonts w:cstheme="minorHAnsi"/>
          <w:bCs/>
          <w:color w:val="1111FB"/>
        </w:rPr>
      </w:pPr>
      <w:r w:rsidRPr="00D84CB3">
        <w:rPr>
          <w:rFonts w:cstheme="minorHAnsi"/>
          <w:bCs/>
          <w:color w:val="1111FB"/>
        </w:rPr>
        <w:t>N = total number of plans reporting data</w:t>
      </w:r>
    </w:p>
    <w:p w14:paraId="6B6DE7A1" w14:textId="77777777" w:rsidR="00265F96" w:rsidRPr="00D84CB3" w:rsidRDefault="00265F96" w:rsidP="00265F96">
      <w:pPr>
        <w:autoSpaceDE w:val="0"/>
        <w:autoSpaceDN w:val="0"/>
        <w:adjustRightInd w:val="0"/>
        <w:spacing w:after="0" w:line="240" w:lineRule="auto"/>
        <w:rPr>
          <w:rFonts w:cstheme="minorHAnsi"/>
          <w:bCs/>
          <w:color w:val="1111FB"/>
        </w:rPr>
      </w:pPr>
      <w:r w:rsidRPr="00D84CB3">
        <w:rPr>
          <w:rFonts w:cstheme="minorHAnsi"/>
          <w:bCs/>
          <w:color w:val="1111FB"/>
        </w:rPr>
        <w:t>IQR: Interquartile range</w:t>
      </w:r>
    </w:p>
    <w:p w14:paraId="725C0758" w14:textId="3F27DEAF" w:rsidR="00265F96" w:rsidRDefault="00265F96" w:rsidP="00265F96">
      <w:pPr>
        <w:autoSpaceDE w:val="0"/>
        <w:autoSpaceDN w:val="0"/>
        <w:adjustRightInd w:val="0"/>
        <w:spacing w:after="0" w:line="240" w:lineRule="auto"/>
        <w:rPr>
          <w:rFonts w:cstheme="minorHAnsi"/>
          <w:bCs/>
          <w:color w:val="1111FB"/>
        </w:rPr>
      </w:pPr>
      <w:r w:rsidRPr="00D84CB3">
        <w:rPr>
          <w:rFonts w:cstheme="minorHAnsi"/>
          <w:bCs/>
          <w:color w:val="1111FB"/>
        </w:rPr>
        <w:t>p-value: p</w:t>
      </w:r>
      <w:r w:rsidR="00AE7D8A" w:rsidRPr="00D84CB3">
        <w:rPr>
          <w:rFonts w:cstheme="minorHAnsi"/>
          <w:bCs/>
          <w:color w:val="1111FB"/>
        </w:rPr>
        <w:t>-</w:t>
      </w:r>
      <w:r w:rsidRPr="00D84CB3">
        <w:rPr>
          <w:rFonts w:cstheme="minorHAnsi"/>
          <w:bCs/>
          <w:color w:val="1111FB"/>
        </w:rPr>
        <w:t xml:space="preserve">value of independent samples t-test </w:t>
      </w:r>
      <w:r w:rsidRPr="00BF2217">
        <w:rPr>
          <w:rFonts w:cstheme="minorHAnsi"/>
          <w:bCs/>
          <w:color w:val="1111FB"/>
        </w:rPr>
        <w:t>comparing</w:t>
      </w:r>
      <w:r w:rsidRPr="00D84CB3">
        <w:rPr>
          <w:rFonts w:cstheme="minorHAnsi"/>
          <w:bCs/>
          <w:color w:val="1111FB"/>
        </w:rPr>
        <w:t xml:space="preserve"> plans at the 25</w:t>
      </w:r>
      <w:r w:rsidRPr="00D84CB3">
        <w:rPr>
          <w:rFonts w:cstheme="minorHAnsi"/>
          <w:bCs/>
          <w:color w:val="1111FB"/>
          <w:vertAlign w:val="superscript"/>
        </w:rPr>
        <w:t>th</w:t>
      </w:r>
      <w:r w:rsidRPr="00D84CB3">
        <w:rPr>
          <w:rFonts w:cstheme="minorHAnsi"/>
          <w:bCs/>
          <w:color w:val="1111FB"/>
        </w:rPr>
        <w:t xml:space="preserve"> percentile to plans at the 75</w:t>
      </w:r>
      <w:r w:rsidRPr="00D84CB3">
        <w:rPr>
          <w:rFonts w:cstheme="minorHAnsi"/>
          <w:bCs/>
          <w:color w:val="1111FB"/>
          <w:vertAlign w:val="superscript"/>
        </w:rPr>
        <w:t>th</w:t>
      </w:r>
      <w:r w:rsidRPr="00D84CB3">
        <w:rPr>
          <w:rFonts w:cstheme="minorHAnsi"/>
          <w:bCs/>
          <w:color w:val="1111FB"/>
        </w:rPr>
        <w:t xml:space="preserve"> percentile</w:t>
      </w:r>
    </w:p>
    <w:p w14:paraId="087A9B05" w14:textId="77777777" w:rsidR="001A109F" w:rsidRDefault="001A109F" w:rsidP="00265F96">
      <w:pPr>
        <w:autoSpaceDE w:val="0"/>
        <w:autoSpaceDN w:val="0"/>
        <w:adjustRightInd w:val="0"/>
        <w:spacing w:after="0" w:line="240" w:lineRule="auto"/>
        <w:rPr>
          <w:rFonts w:cstheme="minorHAnsi"/>
          <w:bCs/>
          <w:color w:val="1111FB"/>
        </w:rPr>
      </w:pPr>
    </w:p>
    <w:p w14:paraId="4F929E8C" w14:textId="617D567D" w:rsidR="00265F96" w:rsidRPr="00265F96" w:rsidRDefault="001A109F" w:rsidP="00265F96">
      <w:pPr>
        <w:autoSpaceDE w:val="0"/>
        <w:autoSpaceDN w:val="0"/>
        <w:adjustRightInd w:val="0"/>
        <w:spacing w:after="0" w:line="240" w:lineRule="auto"/>
        <w:rPr>
          <w:rFonts w:cstheme="minorHAnsi"/>
          <w:bCs/>
          <w:color w:val="4F81BD" w:themeColor="accent1"/>
        </w:rPr>
      </w:pPr>
      <w:r>
        <w:rPr>
          <w:rFonts w:cstheme="minorHAnsi"/>
          <w:bCs/>
          <w:color w:val="1111FB"/>
        </w:rPr>
        <w:t>Box plots for HEDIS 2019 (Measurement year 2018) Variation in Performance Across Health Plans are included below for your reference.</w:t>
      </w:r>
    </w:p>
    <w:p w14:paraId="34D11069" w14:textId="56A872A2" w:rsidR="0014369B" w:rsidRPr="00B86088" w:rsidRDefault="00265F96" w:rsidP="00265F96">
      <w:pPr>
        <w:rPr>
          <w:rFonts w:cstheme="minorHAnsi"/>
          <w:bCs/>
          <w:color w:val="4F81BD" w:themeColor="accent1"/>
        </w:rPr>
      </w:pPr>
      <w:r w:rsidRPr="00BF2217">
        <w:rPr>
          <w:rFonts w:cstheme="minorHAnsi"/>
          <w:bCs/>
          <w:noProof/>
          <w:color w:val="1111FB"/>
        </w:rPr>
        <w:lastRenderedPageBreak/>
        <mc:AlternateContent>
          <mc:Choice Requires="wps">
            <w:drawing>
              <wp:anchor distT="0" distB="0" distL="114300" distR="114300" simplePos="0" relativeHeight="251658240" behindDoc="0" locked="0" layoutInCell="1" allowOverlap="1" wp14:anchorId="75800610" wp14:editId="4B7598CF">
                <wp:simplePos x="0" y="0"/>
                <wp:positionH relativeFrom="column">
                  <wp:posOffset>104775</wp:posOffset>
                </wp:positionH>
                <wp:positionV relativeFrom="paragraph">
                  <wp:posOffset>2228850</wp:posOffset>
                </wp:positionV>
                <wp:extent cx="76200" cy="352425"/>
                <wp:effectExtent l="0" t="0" r="0" b="9525"/>
                <wp:wrapNone/>
                <wp:docPr id="6" name="Rectangle 6"/>
                <wp:cNvGraphicFramePr/>
                <a:graphic xmlns:a="http://schemas.openxmlformats.org/drawingml/2006/main">
                  <a:graphicData uri="http://schemas.microsoft.com/office/word/2010/wordprocessingShape">
                    <wps:wsp>
                      <wps:cNvSpPr/>
                      <wps:spPr>
                        <a:xfrm>
                          <a:off x="0" y="0"/>
                          <a:ext cx="76200" cy="352425"/>
                        </a:xfrm>
                        <a:prstGeom prst="rect">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B6F9582" id="Rectangle 6" o:spid="_x0000_s1026" style="position:absolute;margin-left:8.25pt;margin-top:175.5pt;width:6pt;height:27.75pt;z-index:2516582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" fillcolor="white [3212]" stroked="f" strokeweight="2pt"/>
            </w:pict>
          </mc:Fallback>
        </mc:AlternateContent>
      </w:r>
      <w:r w:rsidRPr="00265F96">
        <w:rPr>
          <w:rFonts w:cstheme="minorHAnsi"/>
          <w:bCs/>
          <w:noProof/>
          <w:color w:val="4F81BD" w:themeColor="accent1"/>
        </w:rPr>
        <w:drawing>
          <wp:inline distT="0" distB="0" distL="0" distR="0" wp14:anchorId="797426EB" wp14:editId="041D86C2">
            <wp:extent cx="4962996" cy="3722247"/>
            <wp:effectExtent l="19050" t="19050" r="9525" b="1206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QMRG\Analysis Outputs\FYA REEVAL 2017\NQF\NQF Diabetes Cardio\HEDIS_Boxplot_CDC_Commerical_GT_9.png"/>
                    <pic:cNvPicPr>
                      <a:picLocks noChangeAspect="1" noChangeArrowheads="1"/>
                    </pic:cNvPicPr>
                  </pic:nvPicPr>
                  <pic:blipFill>
                    <a:blip r:embed="rId12"/>
                    <a:stretch>
                      <a:fillRect/>
                    </a:stretch>
                  </pic:blipFill>
                  <pic:spPr bwMode="auto">
                    <a:xfrm>
                      <a:off x="0" y="0"/>
                      <a:ext cx="4962996" cy="3722247"/>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0471FFEF" w14:textId="70C96335" w:rsidR="00265F96" w:rsidRPr="00265F96" w:rsidRDefault="00265F96" w:rsidP="00265F96">
      <w:pPr>
        <w:rPr>
          <w:rFonts w:cstheme="minorHAnsi"/>
          <w:b/>
          <w:bCs/>
          <w:color w:val="4F81BD" w:themeColor="accent1"/>
        </w:rPr>
      </w:pPr>
      <w:r w:rsidRPr="00664AF6">
        <w:rPr>
          <w:rFonts w:cstheme="minorHAnsi"/>
          <w:bCs/>
          <w:noProof/>
          <w:color w:val="1111FB"/>
        </w:rPr>
        <mc:AlternateContent>
          <mc:Choice Requires="wps">
            <w:drawing>
              <wp:anchor distT="0" distB="0" distL="114300" distR="114300" simplePos="0" relativeHeight="251658241" behindDoc="0" locked="0" layoutInCell="1" allowOverlap="1" wp14:anchorId="1BC2B6B3" wp14:editId="17E7A99A">
                <wp:simplePos x="0" y="0"/>
                <wp:positionH relativeFrom="column">
                  <wp:posOffset>104775</wp:posOffset>
                </wp:positionH>
                <wp:positionV relativeFrom="paragraph">
                  <wp:posOffset>2261235</wp:posOffset>
                </wp:positionV>
                <wp:extent cx="76200" cy="352425"/>
                <wp:effectExtent l="0" t="0" r="0" b="9525"/>
                <wp:wrapNone/>
                <wp:docPr id="7" name="Rectangle 7"/>
                <wp:cNvGraphicFramePr/>
                <a:graphic xmlns:a="http://schemas.openxmlformats.org/drawingml/2006/main">
                  <a:graphicData uri="http://schemas.microsoft.com/office/word/2010/wordprocessingShape">
                    <wps:wsp>
                      <wps:cNvSpPr/>
                      <wps:spPr>
                        <a:xfrm>
                          <a:off x="0" y="0"/>
                          <a:ext cx="76200" cy="35242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22ADA687" id="Rectangle 7" o:spid="_x0000_s1026" style="position:absolute;margin-left:8.25pt;margin-top:178.05pt;width:6pt;height:27.75pt;z-index:251658241;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" fillcolor="window" stroked="f" strokeweight="2pt"/>
            </w:pict>
          </mc:Fallback>
        </mc:AlternateContent>
      </w:r>
      <w:r w:rsidRPr="00265F96">
        <w:rPr>
          <w:rFonts w:cstheme="minorHAnsi"/>
          <w:b/>
          <w:bCs/>
          <w:noProof/>
          <w:color w:val="4F81BD" w:themeColor="accent1"/>
        </w:rPr>
        <w:drawing>
          <wp:inline distT="0" distB="0" distL="0" distR="0" wp14:anchorId="2D6231BE" wp14:editId="5CB36BF9">
            <wp:extent cx="4997112" cy="3747834"/>
            <wp:effectExtent l="19050" t="19050" r="13335" b="2413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QMRG\Analysis Outputs\FYA REEVAL 2017\NQF\NQF Diabetes Cardio\HEDIS_Boxplot_CDC_Medicare_GT_9.png"/>
                    <pic:cNvPicPr>
                      <a:picLocks noChangeAspect="1" noChangeArrowheads="1"/>
                    </pic:cNvPicPr>
                  </pic:nvPicPr>
                  <pic:blipFill>
                    <a:blip r:embed="rId13"/>
                    <a:stretch>
                      <a:fillRect/>
                    </a:stretch>
                  </pic:blipFill>
                  <pic:spPr bwMode="auto">
                    <a:xfrm>
                      <a:off x="0" y="0"/>
                      <a:ext cx="4997112" cy="3747834"/>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17176685" w14:textId="272E5CD2" w:rsidR="00265F96" w:rsidRPr="00B86088" w:rsidRDefault="00265F96" w:rsidP="00265F96">
      <w:pPr>
        <w:autoSpaceDE w:val="0"/>
        <w:autoSpaceDN w:val="0"/>
        <w:adjustRightInd w:val="0"/>
        <w:spacing w:after="0" w:line="240" w:lineRule="auto"/>
        <w:rPr>
          <w:rFonts w:cstheme="minorHAnsi"/>
          <w:bCs/>
          <w:color w:val="1111FB"/>
        </w:rPr>
      </w:pPr>
      <w:r w:rsidRPr="00265F96">
        <w:rPr>
          <w:rFonts w:cstheme="minorHAnsi"/>
          <w:b/>
          <w:noProof/>
          <w:color w:val="4F81BD" w:themeColor="accent1"/>
        </w:rPr>
        <w:lastRenderedPageBreak/>
        <mc:AlternateContent>
          <mc:Choice Requires="wps">
            <w:drawing>
              <wp:anchor distT="0" distB="0" distL="114300" distR="114300" simplePos="0" relativeHeight="251658242" behindDoc="0" locked="0" layoutInCell="1" allowOverlap="1" wp14:anchorId="48D087E8" wp14:editId="02FAB81C">
                <wp:simplePos x="0" y="0"/>
                <wp:positionH relativeFrom="column">
                  <wp:posOffset>104775</wp:posOffset>
                </wp:positionH>
                <wp:positionV relativeFrom="paragraph">
                  <wp:posOffset>2096135</wp:posOffset>
                </wp:positionV>
                <wp:extent cx="76200" cy="352425"/>
                <wp:effectExtent l="0" t="0" r="0" b="9525"/>
                <wp:wrapNone/>
                <wp:docPr id="8" name="Rectangle 8"/>
                <wp:cNvGraphicFramePr/>
                <a:graphic xmlns:a="http://schemas.openxmlformats.org/drawingml/2006/main">
                  <a:graphicData uri="http://schemas.microsoft.com/office/word/2010/wordprocessingShape">
                    <wps:wsp>
                      <wps:cNvSpPr/>
                      <wps:spPr>
                        <a:xfrm>
                          <a:off x="0" y="0"/>
                          <a:ext cx="76200" cy="352425"/>
                        </a:xfrm>
                        <a:prstGeom prst="rect">
                          <a:avLst/>
                        </a:prstGeom>
                        <a:solidFill>
                          <a:sysClr val="window" lastClr="FFFFFF"/>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67403D4" id="Rectangle 8" o:spid="_x0000_s1026" style="position:absolute;margin-left:8.25pt;margin-top:165.05pt;width:6pt;height:27.75pt;z-index:2516582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" fillcolor="window" stroked="f" strokeweight="2pt"/>
            </w:pict>
          </mc:Fallback>
        </mc:AlternateContent>
      </w:r>
      <w:r w:rsidRPr="00265F96">
        <w:rPr>
          <w:rFonts w:cstheme="minorHAnsi"/>
          <w:b/>
          <w:bCs/>
          <w:noProof/>
          <w:color w:val="4F81BD" w:themeColor="accent1"/>
        </w:rPr>
        <w:drawing>
          <wp:inline distT="0" distB="0" distL="0" distR="0" wp14:anchorId="6775C211" wp14:editId="0031DD7C">
            <wp:extent cx="5051210" cy="3788408"/>
            <wp:effectExtent l="19050" t="19050" r="16510" b="222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QMRG\Analysis Outputs\FYA REEVAL 2017\NQF\NQF Diabetes Cardio\HEDIS_Boxplot_CDC_medicaid_GT_9.png"/>
                    <pic:cNvPicPr>
                      <a:picLocks noChangeAspect="1" noChangeArrowheads="1"/>
                    </pic:cNvPicPr>
                  </pic:nvPicPr>
                  <pic:blipFill>
                    <a:blip r:embed="rId14"/>
                    <a:stretch>
                      <a:fillRect/>
                    </a:stretch>
                  </pic:blipFill>
                  <pic:spPr bwMode="auto">
                    <a:xfrm>
                      <a:off x="0" y="0"/>
                      <a:ext cx="5051210" cy="3788408"/>
                    </a:xfrm>
                    <a:prstGeom prst="rect">
                      <a:avLst/>
                    </a:prstGeom>
                    <a:noFill/>
                    <a:ln w="9525" cap="flat" cmpd="sng" algn="ctr">
                      <a:solidFill>
                        <a:sysClr val="windowText" lastClr="000000"/>
                      </a:solidFill>
                      <a:prstDash val="solid"/>
                      <a:round/>
                      <a:headEnd type="none" w="med" len="med"/>
                      <a:tailEnd type="none" w="med" len="med"/>
                    </a:ln>
                    <a:extLst>
                      <a:ext uri="{53640926-AAD7-44D8-BBD7-CCE9431645EC}">
                        <a14:shadowObscured xmlns:a14="http://schemas.microsoft.com/office/drawing/2010/main"/>
                      </a:ext>
                    </a:extLst>
                  </pic:spPr>
                </pic:pic>
              </a:graphicData>
            </a:graphic>
          </wp:inline>
        </w:drawing>
      </w:r>
    </w:p>
    <w:p w14:paraId="0CABD00B" w14:textId="77777777" w:rsidR="00D61410" w:rsidRPr="00927027" w:rsidRDefault="00D61410" w:rsidP="00DC39EC">
      <w:pPr>
        <w:autoSpaceDE w:val="0"/>
        <w:autoSpaceDN w:val="0"/>
        <w:adjustRightInd w:val="0"/>
        <w:spacing w:after="0" w:line="240" w:lineRule="auto"/>
        <w:rPr>
          <w:rFonts w:cstheme="minorHAnsi"/>
          <w:bCs/>
        </w:rPr>
      </w:pPr>
    </w:p>
    <w:p w14:paraId="0CABD00C" w14:textId="1061DE00" w:rsidR="00D61410" w:rsidRDefault="009C7513" w:rsidP="00DC39EC">
      <w:pPr>
        <w:autoSpaceDE w:val="0"/>
        <w:autoSpaceDN w:val="0"/>
        <w:adjustRightInd w:val="0"/>
        <w:spacing w:after="0" w:line="240" w:lineRule="auto"/>
        <w:rPr>
          <w:rFonts w:cstheme="minorHAnsi"/>
          <w:bCs/>
        </w:rPr>
      </w:pPr>
      <w:r>
        <w:rPr>
          <w:rFonts w:cstheme="minorHAnsi"/>
          <w:b/>
          <w:bCs/>
        </w:rPr>
        <w:t>2b4</w:t>
      </w:r>
      <w:r w:rsidR="00D61410">
        <w:rPr>
          <w:rFonts w:cstheme="minorHAnsi"/>
          <w:b/>
          <w:bCs/>
        </w:rPr>
        <w:t xml:space="preserve">.3. </w:t>
      </w:r>
      <w:r w:rsidR="00D61410" w:rsidRPr="00A25024">
        <w:rPr>
          <w:rFonts w:cstheme="minorHAnsi"/>
          <w:b/>
          <w:bCs/>
        </w:rPr>
        <w:t>What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p>
    <w:p w14:paraId="54FC90AD" w14:textId="077D49E9" w:rsidR="00B17A72" w:rsidRPr="002A6943" w:rsidRDefault="00B17A72" w:rsidP="00B17A72">
      <w:pPr>
        <w:autoSpaceDE w:val="0"/>
        <w:autoSpaceDN w:val="0"/>
        <w:adjustRightInd w:val="0"/>
        <w:spacing w:after="0" w:line="240" w:lineRule="auto"/>
        <w:rPr>
          <w:color w:val="1111FB"/>
        </w:rPr>
      </w:pPr>
      <w:r w:rsidRPr="002A6943">
        <w:rPr>
          <w:color w:val="1111FB"/>
        </w:rPr>
        <w:t>The results above indicate there is meaningful difference in performance. Across all product lines, the difference between the 25</w:t>
      </w:r>
      <w:r w:rsidRPr="002A6943">
        <w:rPr>
          <w:color w:val="1111FB"/>
          <w:vertAlign w:val="superscript"/>
        </w:rPr>
        <w:t>th</w:t>
      </w:r>
      <w:r w:rsidRPr="002A6943">
        <w:rPr>
          <w:color w:val="1111FB"/>
        </w:rPr>
        <w:t xml:space="preserve"> (better performance) and 75</w:t>
      </w:r>
      <w:r w:rsidRPr="002A6943">
        <w:rPr>
          <w:color w:val="1111FB"/>
          <w:vertAlign w:val="superscript"/>
        </w:rPr>
        <w:t>th</w:t>
      </w:r>
      <w:r w:rsidRPr="002A6943">
        <w:rPr>
          <w:color w:val="1111FB"/>
        </w:rPr>
        <w:t xml:space="preserve"> percentile is statistically significant.</w:t>
      </w:r>
    </w:p>
    <w:p w14:paraId="71840F64" w14:textId="77777777" w:rsidR="00DC39EC" w:rsidRPr="00DC39EC" w:rsidRDefault="00DC39EC" w:rsidP="00DC39EC">
      <w:pPr>
        <w:autoSpaceDE w:val="0"/>
        <w:autoSpaceDN w:val="0"/>
        <w:adjustRightInd w:val="0"/>
        <w:spacing w:after="0" w:line="240" w:lineRule="auto"/>
        <w:rPr>
          <w:rFonts w:cstheme="minorHAnsi"/>
          <w:bCs/>
          <w:color w:val="0000CC"/>
        </w:rPr>
      </w:pP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2B998CA0" w14:textId="2C22476B" w:rsidR="00E31AC5" w:rsidRPr="008124EC" w:rsidRDefault="00E31AC5" w:rsidP="00E31AC5">
      <w:pPr>
        <w:autoSpaceDE w:val="0"/>
        <w:autoSpaceDN w:val="0"/>
        <w:adjustRightInd w:val="0"/>
        <w:spacing w:after="0" w:line="240" w:lineRule="auto"/>
        <w:rPr>
          <w:b/>
        </w:rPr>
      </w:pPr>
      <w:r w:rsidRPr="008124EC">
        <w:rPr>
          <w:b/>
        </w:rPr>
        <w:t xml:space="preserve">2b5. COMPARABILITY OF PERFORMANCE SCORES WHEN MORE THAN ONE SET OF SPECIFICATIONS </w:t>
      </w:r>
    </w:p>
    <w:p w14:paraId="0CABD00F" w14:textId="77777777" w:rsidR="00567D12" w:rsidRPr="008124EC" w:rsidRDefault="00567D12" w:rsidP="00567D12">
      <w:pPr>
        <w:spacing w:after="0" w:line="240" w:lineRule="auto"/>
        <w:rPr>
          <w:rFonts w:cstheme="minorHAnsi"/>
          <w:b/>
          <w:bCs/>
        </w:rPr>
      </w:pPr>
      <w:r w:rsidRPr="008124EC">
        <w:rPr>
          <w:rFonts w:cstheme="minorHAnsi"/>
          <w:b/>
          <w:bCs/>
          <w:i/>
          <w:highlight w:val="green"/>
        </w:rPr>
        <w:t xml:space="preserve">If only one set of specifications, this section can be </w:t>
      </w:r>
      <w:r w:rsidR="00BE592D" w:rsidRPr="008124EC">
        <w:rPr>
          <w:rFonts w:cstheme="minorHAnsi"/>
          <w:b/>
          <w:bCs/>
          <w:i/>
          <w:highlight w:val="green"/>
        </w:rPr>
        <w:t>skipped</w:t>
      </w:r>
      <w:r w:rsidR="00BE592D" w:rsidRPr="008124EC">
        <w:rPr>
          <w:rFonts w:cstheme="minorHAnsi"/>
          <w:b/>
          <w:bCs/>
          <w:i/>
        </w:rPr>
        <w:t>.</w:t>
      </w:r>
    </w:p>
    <w:p w14:paraId="0CABD010" w14:textId="77777777" w:rsidR="00567D12" w:rsidRPr="008124EC" w:rsidRDefault="00567D12" w:rsidP="00DB3627">
      <w:pPr>
        <w:autoSpaceDE w:val="0"/>
        <w:autoSpaceDN w:val="0"/>
        <w:adjustRightInd w:val="0"/>
        <w:spacing w:after="0" w:line="240" w:lineRule="auto"/>
        <w:rPr>
          <w:rFonts w:cstheme="minorHAnsi"/>
          <w:b/>
          <w:bCs/>
        </w:rPr>
      </w:pPr>
    </w:p>
    <w:p w14:paraId="0CABD012" w14:textId="5BD4AF97" w:rsidR="000F06B5" w:rsidRPr="008124EC" w:rsidRDefault="002B2116" w:rsidP="00DB3627">
      <w:pPr>
        <w:autoSpaceDE w:val="0"/>
        <w:autoSpaceDN w:val="0"/>
        <w:adjustRightInd w:val="0"/>
        <w:spacing w:after="0" w:line="240" w:lineRule="auto"/>
        <w:rPr>
          <w:rFonts w:cstheme="minorHAnsi"/>
          <w:bCs/>
          <w:i/>
        </w:rPr>
      </w:pPr>
      <w:r w:rsidRPr="008124EC">
        <w:rPr>
          <w:rFonts w:cstheme="minorHAnsi"/>
          <w:b/>
          <w:bCs/>
          <w:u w:val="single"/>
        </w:rPr>
        <w:t>Note</w:t>
      </w:r>
      <w:r w:rsidRPr="008124EC">
        <w:rPr>
          <w:rFonts w:cstheme="minorHAnsi"/>
          <w:bCs/>
          <w:i/>
        </w:rPr>
        <w:t xml:space="preserve">: </w:t>
      </w:r>
      <w:r w:rsidR="00F1412B" w:rsidRPr="008124EC">
        <w:rPr>
          <w:rFonts w:eastAsiaTheme="minorHAnsi" w:cstheme="minorHAnsi"/>
          <w:i/>
          <w:iCs/>
        </w:rPr>
        <w:t xml:space="preserve">This item is directed to measures that are risk-adjusted (with or without </w:t>
      </w:r>
      <w:r w:rsidR="00AF2D68" w:rsidRPr="008124EC">
        <w:rPr>
          <w:rFonts w:eastAsiaTheme="minorHAnsi" w:cstheme="minorHAnsi"/>
          <w:i/>
          <w:iCs/>
        </w:rPr>
        <w:t>social risk</w:t>
      </w:r>
      <w:r w:rsidR="00F1412B" w:rsidRPr="008124EC">
        <w:rPr>
          <w:rFonts w:eastAsiaTheme="minorHAnsi" w:cstheme="minorHAnsi"/>
          <w:i/>
          <w:iCs/>
        </w:rPr>
        <w:t xml:space="preserve"> factors) </w:t>
      </w:r>
      <w:r w:rsidR="00F1412B" w:rsidRPr="008124EC">
        <w:rPr>
          <w:rFonts w:eastAsiaTheme="minorHAnsi" w:cstheme="minorHAnsi"/>
          <w:b/>
          <w:i/>
          <w:iCs/>
        </w:rPr>
        <w:t>OR</w:t>
      </w:r>
      <w:r w:rsidR="00F1412B" w:rsidRPr="008124EC">
        <w:rPr>
          <w:rFonts w:eastAsiaTheme="minorHAnsi" w:cstheme="minorHAnsi"/>
          <w:i/>
          <w:iCs/>
        </w:rPr>
        <w:t xml:space="preserve"> to measures with more than one set of specifications/instructions (e.g., one set of specifications for how to identify and compute the measure from medical record abstraction and a different set of specifications for claims or </w:t>
      </w:r>
      <w:proofErr w:type="spellStart"/>
      <w:r w:rsidR="00F1412B" w:rsidRPr="008124EC">
        <w:rPr>
          <w:rFonts w:eastAsiaTheme="minorHAnsi" w:cstheme="minorHAnsi"/>
          <w:i/>
          <w:iCs/>
        </w:rPr>
        <w:t>eMeasures</w:t>
      </w:r>
      <w:proofErr w:type="spellEnd"/>
      <w:r w:rsidR="00F1412B" w:rsidRPr="008124EC">
        <w:rPr>
          <w:rFonts w:eastAsiaTheme="minorHAnsi" w:cstheme="minorHAnsi"/>
          <w:i/>
          <w:iCs/>
        </w:rPr>
        <w:t xml:space="preserve">). It does not apply to measures that use more than one source of data in one set of specifications/instructions (e.g., claims data to identify the denominator and medical record abstraction for the numerator). </w:t>
      </w:r>
      <w:r w:rsidR="00F1412B" w:rsidRPr="008124EC">
        <w:rPr>
          <w:rFonts w:eastAsiaTheme="minorHAnsi" w:cstheme="minorHAnsi"/>
          <w:b/>
          <w:bCs/>
          <w:i/>
          <w:iCs/>
        </w:rPr>
        <w:t xml:space="preserve">Comparability is not required when comparing performance scores with and without </w:t>
      </w:r>
      <w:r w:rsidR="00AF2D68" w:rsidRPr="008124EC">
        <w:rPr>
          <w:rFonts w:eastAsiaTheme="minorHAnsi" w:cstheme="minorHAnsi"/>
          <w:b/>
          <w:bCs/>
          <w:i/>
          <w:iCs/>
        </w:rPr>
        <w:t>social risk</w:t>
      </w:r>
      <w:r w:rsidR="00F1412B" w:rsidRPr="008124EC">
        <w:rPr>
          <w:rFonts w:eastAsiaTheme="minorHAnsi" w:cstheme="minorHAnsi"/>
          <w:b/>
          <w:bCs/>
          <w:i/>
          <w:iCs/>
        </w:rPr>
        <w:t xml:space="preserve"> factors in the risk adjustment model.  However, if comparability is not demonstrated for measures with more than one set of specifications/instructions, the different specifications (e.g., for medical records vs. claims) should be submitted as separate measures.</w:t>
      </w:r>
    </w:p>
    <w:p w14:paraId="01D5F294" w14:textId="6F79A14A" w:rsidR="00C665FC" w:rsidRPr="008124EC" w:rsidRDefault="00240352" w:rsidP="00DB3627">
      <w:pPr>
        <w:autoSpaceDE w:val="0"/>
        <w:autoSpaceDN w:val="0"/>
        <w:adjustRightInd w:val="0"/>
        <w:spacing w:after="0" w:line="240" w:lineRule="auto"/>
        <w:rPr>
          <w:rFonts w:cstheme="minorHAnsi"/>
          <w:b/>
          <w:bCs/>
        </w:rPr>
      </w:pPr>
      <w:r w:rsidRPr="006C4EC0">
        <w:rPr>
          <w:rFonts w:cstheme="minorHAnsi"/>
          <w:bCs/>
          <w:color w:val="1111FB"/>
        </w:rPr>
        <w:t xml:space="preserve">The </w:t>
      </w:r>
      <w:r w:rsidRPr="00240352">
        <w:rPr>
          <w:rFonts w:cstheme="minorHAnsi"/>
          <w:bCs/>
          <w:color w:val="1111FB"/>
        </w:rPr>
        <w:t>Comprehensive Diabetes Care: HbA1c Poor Control (&gt;9.0%)</w:t>
      </w:r>
      <w:r w:rsidRPr="006C4EC0">
        <w:rPr>
          <w:rFonts w:cstheme="minorHAnsi"/>
          <w:bCs/>
          <w:color w:val="1111FB"/>
        </w:rPr>
        <w:t xml:space="preserve"> measure has only one set of specifications.</w:t>
      </w:r>
    </w:p>
    <w:p w14:paraId="671D29C2" w14:textId="77777777" w:rsidR="00240352" w:rsidRDefault="00240352" w:rsidP="00DB3627">
      <w:pPr>
        <w:autoSpaceDE w:val="0"/>
        <w:autoSpaceDN w:val="0"/>
        <w:adjustRightInd w:val="0"/>
        <w:spacing w:after="0" w:line="240" w:lineRule="auto"/>
        <w:rPr>
          <w:rFonts w:cstheme="minorHAnsi"/>
          <w:b/>
          <w:bCs/>
        </w:rPr>
      </w:pPr>
    </w:p>
    <w:p w14:paraId="0CABD013" w14:textId="468E95FF" w:rsidR="000F06B5" w:rsidRPr="008124EC" w:rsidRDefault="009C7513" w:rsidP="00DB3627">
      <w:pPr>
        <w:autoSpaceDE w:val="0"/>
        <w:autoSpaceDN w:val="0"/>
        <w:adjustRightInd w:val="0"/>
        <w:spacing w:after="0" w:line="240" w:lineRule="auto"/>
        <w:rPr>
          <w:rFonts w:cstheme="minorHAnsi"/>
          <w:bCs/>
          <w:sz w:val="14"/>
        </w:rPr>
      </w:pPr>
      <w:r w:rsidRPr="008124EC">
        <w:rPr>
          <w:rFonts w:cstheme="minorHAnsi"/>
          <w:b/>
          <w:bCs/>
        </w:rPr>
        <w:lastRenderedPageBreak/>
        <w:t>2b5</w:t>
      </w:r>
      <w:r w:rsidR="00E1508F" w:rsidRPr="008124EC">
        <w:rPr>
          <w:rFonts w:cstheme="minorHAnsi"/>
          <w:b/>
          <w:bCs/>
        </w:rPr>
        <w:t xml:space="preserve">.1. </w:t>
      </w:r>
      <w:r w:rsidR="008871A9" w:rsidRPr="008124EC">
        <w:rPr>
          <w:rFonts w:cstheme="minorHAnsi"/>
          <w:b/>
          <w:bCs/>
        </w:rPr>
        <w:t xml:space="preserve">Describe the method of </w:t>
      </w:r>
      <w:r w:rsidR="000F06B5" w:rsidRPr="008124EC">
        <w:rPr>
          <w:rFonts w:cstheme="minorHAnsi"/>
          <w:b/>
          <w:bCs/>
        </w:rPr>
        <w:t>testing conducted</w:t>
      </w:r>
      <w:r w:rsidR="008871A9" w:rsidRPr="008124EC">
        <w:rPr>
          <w:rFonts w:cstheme="minorHAnsi"/>
          <w:b/>
          <w:bCs/>
        </w:rPr>
        <w:t xml:space="preserve"> to </w:t>
      </w:r>
      <w:r w:rsidR="00F1412B" w:rsidRPr="008124EC">
        <w:rPr>
          <w:rFonts w:cstheme="minorHAnsi"/>
          <w:b/>
          <w:bCs/>
        </w:rPr>
        <w:t>compare</w:t>
      </w:r>
      <w:r w:rsidR="004B6CEE" w:rsidRPr="008124EC">
        <w:rPr>
          <w:rFonts w:cstheme="minorHAnsi"/>
          <w:b/>
          <w:bCs/>
        </w:rPr>
        <w:t xml:space="preserve"> performance scores </w:t>
      </w:r>
      <w:r w:rsidR="00A35F8F" w:rsidRPr="008124EC">
        <w:rPr>
          <w:rFonts w:cstheme="minorHAnsi"/>
          <w:b/>
          <w:bCs/>
        </w:rPr>
        <w:t xml:space="preserve">for the same entities </w:t>
      </w:r>
      <w:r w:rsidR="00287649" w:rsidRPr="008124EC">
        <w:rPr>
          <w:rFonts w:cstheme="minorHAnsi"/>
          <w:b/>
          <w:bCs/>
        </w:rPr>
        <w:t xml:space="preserve">across the different </w:t>
      </w:r>
      <w:r w:rsidR="00864CA8" w:rsidRPr="008124EC">
        <w:rPr>
          <w:rFonts w:cstheme="minorHAnsi"/>
          <w:b/>
          <w:bCs/>
        </w:rPr>
        <w:t>data</w:t>
      </w:r>
      <w:r w:rsidR="0028114D" w:rsidRPr="008124EC">
        <w:rPr>
          <w:rFonts w:cstheme="minorHAnsi"/>
          <w:b/>
          <w:bCs/>
        </w:rPr>
        <w:t xml:space="preserve"> </w:t>
      </w:r>
      <w:r w:rsidR="00864CA8" w:rsidRPr="008124EC">
        <w:rPr>
          <w:rFonts w:cstheme="minorHAnsi"/>
          <w:b/>
          <w:bCs/>
        </w:rPr>
        <w:t>sources/</w:t>
      </w:r>
      <w:r w:rsidR="00287649" w:rsidRPr="008124EC">
        <w:rPr>
          <w:rFonts w:cstheme="minorHAnsi"/>
          <w:b/>
          <w:bCs/>
        </w:rPr>
        <w:t>specifications</w:t>
      </w:r>
      <w:r w:rsidR="000F06B5" w:rsidRPr="008124EC">
        <w:rPr>
          <w:rFonts w:cstheme="minorHAnsi"/>
          <w:bCs/>
        </w:rPr>
        <w:t xml:space="preserve"> (</w:t>
      </w:r>
      <w:r w:rsidR="008871A9" w:rsidRPr="008124EC">
        <w:rPr>
          <w:rFonts w:cstheme="minorHAnsi"/>
          <w:bCs/>
          <w:i/>
        </w:rPr>
        <w:t>describe the steps―do not just name a method</w:t>
      </w:r>
      <w:r w:rsidR="006C3A4F" w:rsidRPr="008124EC">
        <w:rPr>
          <w:rFonts w:cstheme="minorHAnsi"/>
          <w:bCs/>
          <w:i/>
        </w:rPr>
        <w:t>; what statistical analysis was used</w:t>
      </w:r>
      <w:r w:rsidR="000F06B5" w:rsidRPr="008124EC">
        <w:rPr>
          <w:rFonts w:cstheme="minorHAnsi"/>
          <w:bCs/>
        </w:rPr>
        <w:t>)</w:t>
      </w:r>
    </w:p>
    <w:p w14:paraId="4EF593D9" w14:textId="77777777" w:rsidR="00FD149F" w:rsidRPr="00D92BC7" w:rsidRDefault="00FD149F" w:rsidP="00FD149F">
      <w:pPr>
        <w:pStyle w:val="ListParagraph"/>
        <w:autoSpaceDE w:val="0"/>
        <w:autoSpaceDN w:val="0"/>
        <w:adjustRightInd w:val="0"/>
        <w:spacing w:after="0" w:line="240" w:lineRule="auto"/>
        <w:ind w:left="0"/>
        <w:rPr>
          <w:rFonts w:cstheme="minorHAnsi"/>
          <w:color w:val="1111FB"/>
        </w:rPr>
      </w:pPr>
      <w:r w:rsidRPr="00D92BC7">
        <w:rPr>
          <w:rFonts w:cstheme="minorHAnsi"/>
          <w:color w:val="1111FB"/>
        </w:rPr>
        <w:t>N/A</w:t>
      </w:r>
    </w:p>
    <w:p w14:paraId="0CABD014" w14:textId="77777777" w:rsidR="000F06B5" w:rsidRPr="008124EC" w:rsidRDefault="000F06B5" w:rsidP="00DB3627">
      <w:pPr>
        <w:pStyle w:val="ListParagraph"/>
        <w:autoSpaceDE w:val="0"/>
        <w:autoSpaceDN w:val="0"/>
        <w:adjustRightInd w:val="0"/>
        <w:spacing w:after="0" w:line="240" w:lineRule="auto"/>
        <w:ind w:left="0"/>
        <w:rPr>
          <w:rFonts w:cstheme="minorHAnsi"/>
          <w:bCs/>
        </w:rPr>
      </w:pPr>
    </w:p>
    <w:p w14:paraId="6F262919" w14:textId="77777777" w:rsidR="00FD149F" w:rsidRPr="00D92BC7" w:rsidRDefault="009C7513" w:rsidP="00FD149F">
      <w:pPr>
        <w:pStyle w:val="ListParagraph"/>
        <w:autoSpaceDE w:val="0"/>
        <w:autoSpaceDN w:val="0"/>
        <w:adjustRightInd w:val="0"/>
        <w:spacing w:after="0" w:line="240" w:lineRule="auto"/>
        <w:ind w:left="0"/>
        <w:rPr>
          <w:rFonts w:cstheme="minorHAnsi"/>
          <w:color w:val="1111FB"/>
        </w:rPr>
      </w:pPr>
      <w:r w:rsidRPr="008124EC">
        <w:rPr>
          <w:rFonts w:cstheme="minorHAnsi"/>
          <w:b/>
          <w:bCs/>
        </w:rPr>
        <w:t>2b5</w:t>
      </w:r>
      <w:r w:rsidR="00E1508F" w:rsidRPr="008124EC">
        <w:rPr>
          <w:rFonts w:cstheme="minorHAnsi"/>
          <w:b/>
          <w:bCs/>
        </w:rPr>
        <w:t xml:space="preserve">.2. </w:t>
      </w:r>
      <w:r w:rsidR="000F06B5" w:rsidRPr="008124EC">
        <w:rPr>
          <w:rFonts w:cstheme="minorHAnsi"/>
          <w:b/>
          <w:bCs/>
        </w:rPr>
        <w:t xml:space="preserve">What were the statistical results </w:t>
      </w:r>
      <w:r w:rsidR="00A35F8F" w:rsidRPr="008124EC">
        <w:rPr>
          <w:rFonts w:cstheme="minorHAnsi"/>
          <w:b/>
          <w:bCs/>
        </w:rPr>
        <w:t>from testing</w:t>
      </w:r>
      <w:r w:rsidR="000F06B5" w:rsidRPr="008124EC">
        <w:rPr>
          <w:rFonts w:cstheme="minorHAnsi"/>
          <w:b/>
          <w:bCs/>
        </w:rPr>
        <w:t xml:space="preserve"> comparability of performance scores for the same entities when using different </w:t>
      </w:r>
      <w:r w:rsidR="00864CA8" w:rsidRPr="008124EC">
        <w:rPr>
          <w:rFonts w:cstheme="minorHAnsi"/>
          <w:b/>
          <w:bCs/>
        </w:rPr>
        <w:t>data sources/</w:t>
      </w:r>
      <w:r w:rsidR="000F06B5" w:rsidRPr="008124EC">
        <w:rPr>
          <w:rFonts w:cstheme="minorHAnsi"/>
          <w:b/>
          <w:bCs/>
        </w:rPr>
        <w:t>specifications?</w:t>
      </w:r>
      <w:r w:rsidR="000F06B5" w:rsidRPr="008124EC">
        <w:rPr>
          <w:rFonts w:cstheme="minorHAnsi"/>
          <w:bCs/>
        </w:rPr>
        <w:t xml:space="preserve"> </w:t>
      </w:r>
      <w:r w:rsidR="00287649" w:rsidRPr="008124EC">
        <w:rPr>
          <w:rFonts w:cstheme="minorHAnsi"/>
          <w:bCs/>
        </w:rPr>
        <w:t>(</w:t>
      </w:r>
      <w:r w:rsidR="00287649" w:rsidRPr="008124EC">
        <w:rPr>
          <w:rFonts w:cstheme="minorHAnsi"/>
          <w:bCs/>
          <w:i/>
        </w:rPr>
        <w:t>e.g., correlation</w:t>
      </w:r>
      <w:r w:rsidR="006C3A4F" w:rsidRPr="008124EC">
        <w:rPr>
          <w:rFonts w:cstheme="minorHAnsi"/>
          <w:bCs/>
          <w:i/>
        </w:rPr>
        <w:t>, rank order</w:t>
      </w:r>
      <w:r w:rsidR="00287649" w:rsidRPr="008124EC">
        <w:rPr>
          <w:rFonts w:cstheme="minorHAnsi"/>
          <w:bCs/>
        </w:rPr>
        <w:t>)</w:t>
      </w:r>
      <w:r w:rsidR="000F06B5" w:rsidRPr="008124EC">
        <w:rPr>
          <w:rFonts w:cstheme="minorHAnsi"/>
          <w:bCs/>
        </w:rPr>
        <w:br/>
      </w:r>
      <w:r w:rsidR="00FD149F" w:rsidRPr="00D92BC7">
        <w:rPr>
          <w:rFonts w:cstheme="minorHAnsi"/>
          <w:color w:val="1111FB"/>
        </w:rPr>
        <w:t>N/A</w:t>
      </w:r>
    </w:p>
    <w:p w14:paraId="0CABD016" w14:textId="4D7B4A1B" w:rsidR="00E1508F" w:rsidRPr="008124EC" w:rsidRDefault="00E1508F" w:rsidP="00E1508F">
      <w:pPr>
        <w:autoSpaceDE w:val="0"/>
        <w:autoSpaceDN w:val="0"/>
        <w:adjustRightInd w:val="0"/>
        <w:spacing w:after="0" w:line="240" w:lineRule="auto"/>
        <w:rPr>
          <w:rFonts w:cstheme="minorHAnsi"/>
          <w:bCs/>
        </w:rPr>
      </w:pPr>
    </w:p>
    <w:p w14:paraId="1255BEDD" w14:textId="77777777" w:rsidR="00FD149F" w:rsidRPr="00D92BC7" w:rsidRDefault="009C7513" w:rsidP="00FD149F">
      <w:pPr>
        <w:pStyle w:val="ListParagraph"/>
        <w:autoSpaceDE w:val="0"/>
        <w:autoSpaceDN w:val="0"/>
        <w:adjustRightInd w:val="0"/>
        <w:spacing w:after="0" w:line="240" w:lineRule="auto"/>
        <w:ind w:left="0"/>
        <w:rPr>
          <w:rFonts w:cstheme="minorHAnsi"/>
          <w:color w:val="1111FB"/>
        </w:rPr>
      </w:pPr>
      <w:r w:rsidRPr="008124EC">
        <w:rPr>
          <w:rFonts w:cstheme="minorHAnsi"/>
          <w:b/>
          <w:bCs/>
        </w:rPr>
        <w:t>2b5</w:t>
      </w:r>
      <w:r w:rsidR="00E1508F" w:rsidRPr="008124EC">
        <w:rPr>
          <w:rFonts w:cstheme="minorHAnsi"/>
          <w:b/>
          <w:bCs/>
        </w:rPr>
        <w:t xml:space="preserve">.3. </w:t>
      </w:r>
      <w:r w:rsidR="002B0C3A" w:rsidRPr="008124EC">
        <w:rPr>
          <w:rFonts w:cstheme="minorHAnsi"/>
          <w:b/>
          <w:bCs/>
        </w:rPr>
        <w:t xml:space="preserve">What is your interpretation of the results </w:t>
      </w:r>
      <w:r w:rsidR="00A35F8F" w:rsidRPr="008124EC">
        <w:rPr>
          <w:rFonts w:cstheme="minorHAnsi"/>
          <w:b/>
          <w:bCs/>
        </w:rPr>
        <w:t xml:space="preserve">in terms of </w:t>
      </w:r>
      <w:r w:rsidR="00F1412B" w:rsidRPr="008124EC">
        <w:rPr>
          <w:rFonts w:cstheme="minorHAnsi"/>
          <w:b/>
          <w:bCs/>
        </w:rPr>
        <w:t>the differences in</w:t>
      </w:r>
      <w:r w:rsidR="002B0C3A" w:rsidRPr="008124EC">
        <w:rPr>
          <w:rFonts w:cstheme="minorHAnsi"/>
          <w:b/>
          <w:bCs/>
        </w:rPr>
        <w:t xml:space="preserve"> performance measure scores </w:t>
      </w:r>
      <w:r w:rsidR="00287649" w:rsidRPr="008124EC">
        <w:rPr>
          <w:rFonts w:cstheme="minorHAnsi"/>
          <w:b/>
          <w:bCs/>
        </w:rPr>
        <w:t xml:space="preserve">for the same entities across the different </w:t>
      </w:r>
      <w:r w:rsidR="00864CA8" w:rsidRPr="008124EC">
        <w:rPr>
          <w:rFonts w:cstheme="minorHAnsi"/>
          <w:b/>
          <w:bCs/>
        </w:rPr>
        <w:t>data sources/</w:t>
      </w:r>
      <w:r w:rsidR="00287649" w:rsidRPr="008124EC">
        <w:rPr>
          <w:rFonts w:cstheme="minorHAnsi"/>
          <w:b/>
          <w:bCs/>
        </w:rPr>
        <w:t>specifications</w:t>
      </w:r>
      <w:r w:rsidR="002B0C3A" w:rsidRPr="008124EC">
        <w:rPr>
          <w:rFonts w:cstheme="minorHAnsi"/>
          <w:b/>
          <w:bCs/>
        </w:rPr>
        <w:t>?</w:t>
      </w:r>
      <w:r w:rsidR="00A35F8F" w:rsidRPr="008124EC">
        <w:rPr>
          <w:rFonts w:cstheme="minorHAnsi"/>
          <w:bCs/>
        </w:rPr>
        <w:t xml:space="preserve"> </w:t>
      </w:r>
      <w:r w:rsidR="002B0C3A" w:rsidRPr="008124EC">
        <w:rPr>
          <w:rFonts w:cstheme="minorHAnsi"/>
          <w:bCs/>
        </w:rPr>
        <w:t>(i</w:t>
      </w:r>
      <w:r w:rsidR="002B0C3A" w:rsidRPr="008124EC">
        <w:rPr>
          <w:rFonts w:cstheme="minorHAnsi"/>
          <w:bCs/>
          <w:i/>
        </w:rPr>
        <w:t>.e., what do the results mean and what are the norms for the test conducted</w:t>
      </w:r>
      <w:r w:rsidR="002B0C3A" w:rsidRPr="008124EC">
        <w:rPr>
          <w:rFonts w:cstheme="minorHAnsi"/>
          <w:bCs/>
        </w:rPr>
        <w:t>)</w:t>
      </w:r>
      <w:r w:rsidR="00A35F8F" w:rsidRPr="008124EC">
        <w:rPr>
          <w:rFonts w:cstheme="minorHAnsi"/>
          <w:bCs/>
        </w:rPr>
        <w:br/>
      </w:r>
      <w:r w:rsidR="00FD149F" w:rsidRPr="00D92BC7">
        <w:rPr>
          <w:rFonts w:cstheme="minorHAnsi"/>
          <w:color w:val="1111FB"/>
        </w:rPr>
        <w:t>N/A</w:t>
      </w:r>
    </w:p>
    <w:p w14:paraId="0CABD017" w14:textId="0C9FD55C" w:rsidR="0079180E" w:rsidRPr="008124EC" w:rsidRDefault="0079180E" w:rsidP="00DB3627">
      <w:pPr>
        <w:autoSpaceDE w:val="0"/>
        <w:autoSpaceDN w:val="0"/>
        <w:adjustRightInd w:val="0"/>
        <w:spacing w:after="0" w:line="240" w:lineRule="auto"/>
        <w:rPr>
          <w:rFonts w:cstheme="minorHAnsi"/>
          <w:bCs/>
        </w:rPr>
      </w:pP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45E35EBC" w14:textId="3A1AA146" w:rsidR="002D2CD4" w:rsidRPr="00A77620" w:rsidRDefault="002D2CD4" w:rsidP="002D2CD4">
      <w:pPr>
        <w:autoSpaceDE w:val="0"/>
        <w:autoSpaceDN w:val="0"/>
        <w:adjustRightInd w:val="0"/>
        <w:spacing w:after="0" w:line="240" w:lineRule="auto"/>
        <w:rPr>
          <w:b/>
        </w:rPr>
      </w:pPr>
      <w:r w:rsidRPr="3C795A04">
        <w:rPr>
          <w:b/>
        </w:rPr>
        <w:t xml:space="preserve">2b6. MISSING DATA ANALYSIS AND MINIMIZING BIAS </w:t>
      </w:r>
    </w:p>
    <w:p w14:paraId="0CABD01A" w14:textId="77777777" w:rsidR="008F7E67" w:rsidRDefault="008F7E67" w:rsidP="00775D33">
      <w:pPr>
        <w:autoSpaceDE w:val="0"/>
        <w:autoSpaceDN w:val="0"/>
        <w:adjustRightInd w:val="0"/>
        <w:spacing w:after="0" w:line="240" w:lineRule="auto"/>
        <w:rPr>
          <w:rFonts w:cstheme="minorHAnsi"/>
          <w:bCs/>
        </w:rPr>
      </w:pPr>
    </w:p>
    <w:p w14:paraId="0CABD01B" w14:textId="07B3AB59" w:rsidR="008F7E67" w:rsidRDefault="009C7513" w:rsidP="00775D3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p>
    <w:p w14:paraId="3C7A09F6" w14:textId="6507B846" w:rsidR="00823642" w:rsidRPr="002A6943" w:rsidRDefault="00823642" w:rsidP="00823642">
      <w:pPr>
        <w:autoSpaceDE w:val="0"/>
        <w:autoSpaceDN w:val="0"/>
        <w:adjustRightInd w:val="0"/>
        <w:spacing w:after="0" w:line="240" w:lineRule="auto"/>
        <w:rPr>
          <w:color w:val="1111FB"/>
        </w:rPr>
      </w:pPr>
      <w:r w:rsidRPr="002A6943">
        <w:rPr>
          <w:rFonts w:cstheme="minorHAnsi"/>
          <w:bCs/>
          <w:color w:val="1111FB"/>
        </w:rPr>
        <w:t>HEDIS measures apply</w:t>
      </w:r>
      <w:r w:rsidRPr="002A6943">
        <w:rPr>
          <w:color w:val="1111FB"/>
        </w:rPr>
        <w:t xml:space="preserve"> to enrolled members in a health plan, and NCQA has a rigorous audit process to ensure the eligible population and numerator events for each measure are correctly identified and reported. The audit process is designed to verify primary data sources used to populate measures and ensure specifications are correctly implemented. </w:t>
      </w:r>
    </w:p>
    <w:p w14:paraId="30DCEA4D" w14:textId="77777777" w:rsidR="00823642" w:rsidRPr="002A6943" w:rsidRDefault="00823642" w:rsidP="00823642">
      <w:pPr>
        <w:autoSpaceDE w:val="0"/>
        <w:autoSpaceDN w:val="0"/>
        <w:adjustRightInd w:val="0"/>
        <w:spacing w:after="0" w:line="240" w:lineRule="auto"/>
        <w:rPr>
          <w:rFonts w:cstheme="minorHAnsi"/>
          <w:bCs/>
          <w:color w:val="1111FB"/>
        </w:rPr>
      </w:pPr>
    </w:p>
    <w:p w14:paraId="26154DD6" w14:textId="77777777" w:rsidR="00823642" w:rsidRPr="002A6943" w:rsidRDefault="00823642" w:rsidP="00823642">
      <w:pPr>
        <w:autoSpaceDE w:val="0"/>
        <w:autoSpaceDN w:val="0"/>
        <w:adjustRightInd w:val="0"/>
        <w:spacing w:after="0" w:line="240" w:lineRule="auto"/>
        <w:rPr>
          <w:color w:val="1111FB"/>
        </w:rPr>
      </w:pPr>
      <w:r w:rsidRPr="002A6943">
        <w:rPr>
          <w:color w:val="1111FB"/>
        </w:rPr>
        <w:t xml:space="preserve">The HEDIS Compliance Audit addresses the following functions:  </w:t>
      </w:r>
    </w:p>
    <w:p w14:paraId="1A57D79F" w14:textId="77777777" w:rsidR="00823642" w:rsidRPr="002A6943" w:rsidRDefault="00823642" w:rsidP="00823642">
      <w:pPr>
        <w:autoSpaceDE w:val="0"/>
        <w:autoSpaceDN w:val="0"/>
        <w:adjustRightInd w:val="0"/>
        <w:spacing w:after="0" w:line="240" w:lineRule="auto"/>
        <w:rPr>
          <w:color w:val="1111FB"/>
        </w:rPr>
      </w:pPr>
      <w:r w:rsidRPr="002A6943">
        <w:rPr>
          <w:color w:val="1111FB"/>
        </w:rPr>
        <w:t xml:space="preserve">- Information practices and control procedures </w:t>
      </w:r>
    </w:p>
    <w:p w14:paraId="36F7B02D" w14:textId="77777777" w:rsidR="00823642" w:rsidRPr="002A6943" w:rsidRDefault="00823642" w:rsidP="00823642">
      <w:pPr>
        <w:autoSpaceDE w:val="0"/>
        <w:autoSpaceDN w:val="0"/>
        <w:adjustRightInd w:val="0"/>
        <w:spacing w:after="0" w:line="240" w:lineRule="auto"/>
        <w:rPr>
          <w:color w:val="1111FB"/>
        </w:rPr>
      </w:pPr>
      <w:r w:rsidRPr="002A6943">
        <w:rPr>
          <w:color w:val="1111FB"/>
        </w:rPr>
        <w:t xml:space="preserve">- Sampling methods and procedures </w:t>
      </w:r>
    </w:p>
    <w:p w14:paraId="572E77C7" w14:textId="77777777" w:rsidR="00823642" w:rsidRPr="002A6943" w:rsidRDefault="00823642" w:rsidP="00823642">
      <w:pPr>
        <w:autoSpaceDE w:val="0"/>
        <w:autoSpaceDN w:val="0"/>
        <w:adjustRightInd w:val="0"/>
        <w:spacing w:after="0" w:line="240" w:lineRule="auto"/>
        <w:rPr>
          <w:color w:val="1111FB"/>
        </w:rPr>
      </w:pPr>
      <w:r w:rsidRPr="002A6943">
        <w:rPr>
          <w:color w:val="1111FB"/>
        </w:rPr>
        <w:t xml:space="preserve">- Data integrity </w:t>
      </w:r>
    </w:p>
    <w:p w14:paraId="2CB5E76F" w14:textId="77777777" w:rsidR="00823642" w:rsidRPr="002A6943" w:rsidRDefault="00823642" w:rsidP="00823642">
      <w:pPr>
        <w:autoSpaceDE w:val="0"/>
        <w:autoSpaceDN w:val="0"/>
        <w:adjustRightInd w:val="0"/>
        <w:spacing w:after="0" w:line="240" w:lineRule="auto"/>
        <w:rPr>
          <w:color w:val="1111FB"/>
        </w:rPr>
      </w:pPr>
      <w:r w:rsidRPr="002A6943">
        <w:rPr>
          <w:color w:val="1111FB"/>
        </w:rPr>
        <w:t xml:space="preserve">- Compliance with HEDIS specifications </w:t>
      </w:r>
    </w:p>
    <w:p w14:paraId="597C5481" w14:textId="77777777" w:rsidR="00823642" w:rsidRPr="002A6943" w:rsidRDefault="00823642" w:rsidP="00823642">
      <w:pPr>
        <w:autoSpaceDE w:val="0"/>
        <w:autoSpaceDN w:val="0"/>
        <w:adjustRightInd w:val="0"/>
        <w:spacing w:after="0" w:line="240" w:lineRule="auto"/>
        <w:rPr>
          <w:color w:val="1111FB"/>
        </w:rPr>
      </w:pPr>
      <w:r w:rsidRPr="002A6943">
        <w:rPr>
          <w:color w:val="1111FB"/>
        </w:rPr>
        <w:t xml:space="preserve">- Analytic file production  </w:t>
      </w:r>
    </w:p>
    <w:p w14:paraId="11C2C823" w14:textId="77777777" w:rsidR="00823642" w:rsidRPr="002A6943" w:rsidRDefault="00823642" w:rsidP="00823642">
      <w:pPr>
        <w:autoSpaceDE w:val="0"/>
        <w:autoSpaceDN w:val="0"/>
        <w:adjustRightInd w:val="0"/>
        <w:spacing w:after="0" w:line="240" w:lineRule="auto"/>
        <w:rPr>
          <w:rFonts w:cstheme="minorHAnsi"/>
          <w:bCs/>
          <w:color w:val="1111FB"/>
        </w:rPr>
      </w:pPr>
      <w:r w:rsidRPr="002A6943">
        <w:rPr>
          <w:color w:val="1111FB"/>
        </w:rPr>
        <w:t>- Reporting and documentation</w:t>
      </w:r>
    </w:p>
    <w:p w14:paraId="7282005B" w14:textId="7435496A" w:rsidR="00775D33" w:rsidRPr="00775D33" w:rsidRDefault="00775D33" w:rsidP="00775D33">
      <w:pPr>
        <w:autoSpaceDE w:val="0"/>
        <w:autoSpaceDN w:val="0"/>
        <w:adjustRightInd w:val="0"/>
        <w:spacing w:after="0" w:line="240" w:lineRule="auto"/>
        <w:rPr>
          <w:rFonts w:cstheme="minorHAnsi"/>
          <w:bCs/>
          <w:color w:val="4F81BD" w:themeColor="accent1"/>
        </w:rPr>
      </w:pPr>
    </w:p>
    <w:p w14:paraId="0CABD01D" w14:textId="65734E84" w:rsidR="008F7E67" w:rsidRPr="00F44B64" w:rsidRDefault="009C7513" w:rsidP="00775D33">
      <w:pPr>
        <w:autoSpaceDE w:val="0"/>
        <w:autoSpaceDN w:val="0"/>
        <w:adjustRightInd w:val="0"/>
        <w:spacing w:after="0" w:line="240" w:lineRule="auto"/>
        <w:rPr>
          <w:rFonts w:cstheme="minorHAnsi"/>
          <w:bCs/>
          <w:color w:val="1111FB"/>
        </w:rPr>
      </w:pPr>
      <w:r>
        <w:rPr>
          <w:rFonts w:cstheme="minorHAnsi"/>
          <w:b/>
          <w:bCs/>
        </w:rPr>
        <w:t>2b6</w:t>
      </w:r>
      <w:r w:rsidR="008F7E67">
        <w:rPr>
          <w:rFonts w:cstheme="minorHAnsi"/>
          <w:b/>
          <w:bCs/>
        </w:rPr>
        <w:t xml:space="preserve">.2. </w:t>
      </w:r>
      <w:r w:rsidR="00145D4F" w:rsidRPr="00FC5DE1">
        <w:rPr>
          <w:rFonts w:cstheme="minorHAnsi"/>
          <w:b/>
          <w:bCs/>
        </w:rPr>
        <w:t>What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2B5F74">
        <w:rPr>
          <w:rFonts w:cstheme="minorHAnsi"/>
          <w:bCs/>
        </w:rPr>
        <w:t>)</w:t>
      </w:r>
    </w:p>
    <w:p w14:paraId="1F7ADE9D" w14:textId="2AA9C642" w:rsidR="00696B0B" w:rsidRPr="00F44B64" w:rsidRDefault="00696B0B" w:rsidP="00696B0B">
      <w:pPr>
        <w:autoSpaceDE w:val="0"/>
        <w:autoSpaceDN w:val="0"/>
        <w:adjustRightInd w:val="0"/>
        <w:spacing w:after="0" w:line="240" w:lineRule="auto"/>
        <w:rPr>
          <w:rFonts w:cstheme="minorHAnsi"/>
          <w:bCs/>
          <w:color w:val="1111FB"/>
        </w:rPr>
      </w:pPr>
      <w:r w:rsidRPr="00F44B64">
        <w:rPr>
          <w:rFonts w:cstheme="minorHAnsi"/>
          <w:bCs/>
          <w:color w:val="1111FB"/>
        </w:rPr>
        <w:t>HEDIS addresses missing</w:t>
      </w:r>
      <w:r w:rsidRPr="00F44B64">
        <w:rPr>
          <w:color w:val="1111FB"/>
        </w:rPr>
        <w:t xml:space="preserve"> data in a structured way through its audit process. HEDIS measures apply to enrolled members in a health plan, and NCQA-certified auditors use standard audit methodologies to assess whether data sources are missing data. If a data source is found to be missing data, and the issues cannot be rectified, the auditor will assign a “materially biased” designation to the measure for that reporting plan, and the rate will not be used. Once measures are added to HEDIS, NCQA conducts a first-year analysis to assess the measure’s feasibility once widely implemented in the field. This analysis includes an assessment of how many plans report valid rates vs. rates that are materially biased (or have other issues, such as small denominators). These considerations are weighed in the deliberation process before measures are approved for public reporting.</w:t>
      </w:r>
    </w:p>
    <w:p w14:paraId="0CABD01E" w14:textId="77777777" w:rsidR="008F7E67" w:rsidRPr="00E1508F" w:rsidRDefault="008F7E67" w:rsidP="00775D33">
      <w:pPr>
        <w:autoSpaceDE w:val="0"/>
        <w:autoSpaceDN w:val="0"/>
        <w:adjustRightInd w:val="0"/>
        <w:spacing w:after="0" w:line="240" w:lineRule="auto"/>
        <w:rPr>
          <w:rFonts w:cstheme="minorHAnsi"/>
          <w:bCs/>
        </w:rPr>
      </w:pPr>
    </w:p>
    <w:p w14:paraId="0CABD020" w14:textId="5658A9DB" w:rsidR="00BA053B" w:rsidRPr="002B5F74" w:rsidRDefault="009C7513" w:rsidP="00775D3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r w:rsidR="008F7E67"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09A4D1E7" w14:textId="62CF9D61" w:rsidR="00775D33" w:rsidRPr="00DD0081" w:rsidRDefault="001E6EC2" w:rsidP="00DD0081">
      <w:pPr>
        <w:autoSpaceDE w:val="0"/>
        <w:autoSpaceDN w:val="0"/>
        <w:adjustRightInd w:val="0"/>
        <w:spacing w:after="0" w:line="240" w:lineRule="auto"/>
        <w:rPr>
          <w:rFonts w:cstheme="minorHAnsi"/>
          <w:color w:val="1111FB"/>
        </w:rPr>
      </w:pPr>
      <w:r>
        <w:rPr>
          <w:rFonts w:cstheme="minorHAnsi"/>
          <w:bCs/>
          <w:color w:val="1111FB"/>
        </w:rPr>
        <w:t xml:space="preserve">The denominator of this measure is identified using claims data and not subject to </w:t>
      </w:r>
      <w:r w:rsidR="00DE3680">
        <w:rPr>
          <w:rFonts w:cstheme="minorHAnsi"/>
          <w:bCs/>
          <w:color w:val="1111FB"/>
        </w:rPr>
        <w:t xml:space="preserve">difference between response or nonresponse. </w:t>
      </w:r>
      <w:r w:rsidR="00DD0081" w:rsidRPr="00EA2C7C">
        <w:rPr>
          <w:rFonts w:cstheme="minorHAnsi"/>
          <w:bCs/>
          <w:color w:val="1111FB"/>
        </w:rPr>
        <w:t>This measure goes through the NCQA audit process each year to identify potential errors or bias in results. Only performances rates that have been reviewed and determined not to be “materially biased” are reported and used.</w:t>
      </w:r>
    </w:p>
    <w:sectPr w:rsidR="00775D33" w:rsidRPr="00DD0081"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B825BB" w14:textId="77777777" w:rsidR="001D5474" w:rsidRDefault="001D5474" w:rsidP="005C73CA">
      <w:pPr>
        <w:spacing w:after="0" w:line="240" w:lineRule="auto"/>
      </w:pPr>
      <w:r>
        <w:separator/>
      </w:r>
    </w:p>
  </w:endnote>
  <w:endnote w:type="continuationSeparator" w:id="0">
    <w:p w14:paraId="53283DE1" w14:textId="77777777" w:rsidR="001D5474" w:rsidRDefault="001D5474" w:rsidP="005C73CA">
      <w:pPr>
        <w:spacing w:after="0" w:line="240" w:lineRule="auto"/>
      </w:pPr>
      <w:r>
        <w:continuationSeparator/>
      </w:r>
    </w:p>
  </w:endnote>
  <w:endnote w:type="continuationNotice" w:id="1">
    <w:p w14:paraId="69371A49" w14:textId="77777777" w:rsidR="001D5474" w:rsidRDefault="001D54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6" w14:textId="68566C98" w:rsidR="00A64EBF" w:rsidRDefault="000C0FF8">
    <w:pPr>
      <w:pStyle w:val="Footer"/>
    </w:pPr>
    <w:r>
      <w:t xml:space="preserve">Version </w:t>
    </w:r>
    <w:r w:rsidR="00450C58">
      <w:t>7</w:t>
    </w:r>
    <w:r>
      <w:t>.</w:t>
    </w:r>
    <w:r w:rsidR="00D963AC">
      <w:t>1</w:t>
    </w:r>
    <w:r w:rsidR="00193F21">
      <w:ptab w:relativeTo="margin" w:alignment="right" w:leader="none"/>
    </w:r>
    <w:r w:rsidR="00193F21">
      <w:fldChar w:fldCharType="begin"/>
    </w:r>
    <w:r w:rsidR="00193F21">
      <w:instrText xml:space="preserve"> PAGE   \* MERGEFORMAT </w:instrText>
    </w:r>
    <w:r w:rsidR="00193F21">
      <w:fldChar w:fldCharType="separate"/>
    </w:r>
    <w:r w:rsidR="005D2579">
      <w:rPr>
        <w:noProof/>
      </w:rPr>
      <w:t>1</w:t>
    </w:r>
    <w:r w:rsidR="00193F21">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3BF14F" w14:textId="77777777" w:rsidR="001D5474" w:rsidRDefault="001D5474" w:rsidP="005C73CA">
      <w:pPr>
        <w:spacing w:after="0" w:line="240" w:lineRule="auto"/>
      </w:pPr>
      <w:r>
        <w:separator/>
      </w:r>
    </w:p>
  </w:footnote>
  <w:footnote w:type="continuationSeparator" w:id="0">
    <w:p w14:paraId="7B564761" w14:textId="77777777" w:rsidR="001D5474" w:rsidRDefault="001D5474" w:rsidP="005C73CA">
      <w:pPr>
        <w:spacing w:after="0" w:line="240" w:lineRule="auto"/>
      </w:pPr>
      <w:r>
        <w:continuationSeparator/>
      </w:r>
    </w:p>
  </w:footnote>
  <w:footnote w:type="continuationNotice" w:id="1">
    <w:p w14:paraId="0B80B188" w14:textId="77777777" w:rsidR="001D5474" w:rsidRDefault="001D5474">
      <w:pPr>
        <w:spacing w:after="0" w:line="240" w:lineRule="auto"/>
      </w:pPr>
    </w:p>
  </w:footnote>
  <w:footnote w:id="2">
    <w:p w14:paraId="5FB995AE" w14:textId="77777777" w:rsidR="00C851C2" w:rsidRPr="00750855" w:rsidRDefault="00C851C2" w:rsidP="00C851C2">
      <w:pPr>
        <w:pStyle w:val="FootnoteText"/>
        <w:rPr>
          <w:rFonts w:asciiTheme="minorHAnsi" w:hAnsiTheme="minorHAnsi" w:cstheme="minorHAnsi"/>
          <w:color w:val="1111FB"/>
        </w:rPr>
      </w:pPr>
      <w:r w:rsidRPr="00750855">
        <w:rPr>
          <w:rStyle w:val="FootnoteReference"/>
          <w:rFonts w:asciiTheme="minorHAnsi" w:hAnsiTheme="minorHAnsi" w:cstheme="minorHAnsi"/>
          <w:color w:val="1111FB"/>
        </w:rPr>
        <w:footnoteRef/>
      </w:r>
      <w:r w:rsidRPr="00750855">
        <w:rPr>
          <w:rFonts w:asciiTheme="minorHAnsi" w:hAnsiTheme="minorHAnsi" w:cstheme="minorHAnsi"/>
          <w:color w:val="1111FB"/>
        </w:rPr>
        <w:t xml:space="preserve"> Faurot, K.R., Funk, M.J., Pate, V., Brookhart, M.A., Patrick, A., Hanson, L.C., Castillo, W.C., Stürmer, T. 2015. Using Claims Data to Predict Dependency in Activities of Daily Living as a Proxy for Frailty. Pharmacoepidemiology and Drug Safety. 24(1): 59-66.</w:t>
      </w:r>
    </w:p>
  </w:footnote>
  <w:footnote w:id="3">
    <w:p w14:paraId="6DB00E33" w14:textId="77777777" w:rsidR="00C851C2" w:rsidRPr="00750855" w:rsidRDefault="00C851C2" w:rsidP="00C851C2">
      <w:pPr>
        <w:pStyle w:val="FootnoteText"/>
        <w:rPr>
          <w:rFonts w:asciiTheme="minorHAnsi" w:hAnsiTheme="minorHAnsi" w:cstheme="minorHAnsi"/>
          <w:color w:val="1111FB"/>
        </w:rPr>
      </w:pPr>
      <w:r w:rsidRPr="00750855">
        <w:rPr>
          <w:rStyle w:val="FootnoteReference"/>
          <w:rFonts w:asciiTheme="minorHAnsi" w:hAnsiTheme="minorHAnsi" w:cstheme="minorHAnsi"/>
          <w:color w:val="1111FB"/>
        </w:rPr>
        <w:footnoteRef/>
      </w:r>
      <w:r w:rsidRPr="00750855">
        <w:rPr>
          <w:rFonts w:asciiTheme="minorHAnsi" w:hAnsiTheme="minorHAnsi" w:cstheme="minorHAnsi"/>
          <w:color w:val="1111FB"/>
        </w:rPr>
        <w:t xml:space="preserve"> Segal, J.B., Chang, H.Y., Du, Y., Walston, J.D., Carlson, M.C., </w:t>
      </w:r>
      <w:r w:rsidRPr="00750855">
        <w:rPr>
          <w:rFonts w:asciiTheme="minorHAnsi" w:hAnsiTheme="minorHAnsi" w:cstheme="minorHAnsi"/>
          <w:color w:val="1111FB"/>
        </w:rPr>
        <w:t>Varadhan, R. 2017. Development of a</w:t>
      </w:r>
    </w:p>
    <w:p w14:paraId="161D9A24" w14:textId="77777777" w:rsidR="00C851C2" w:rsidRPr="00750855" w:rsidRDefault="00C851C2" w:rsidP="00C851C2">
      <w:pPr>
        <w:pStyle w:val="FootnoteText"/>
        <w:rPr>
          <w:rFonts w:asciiTheme="minorHAnsi" w:hAnsiTheme="minorHAnsi" w:cstheme="minorHAnsi"/>
          <w:color w:val="1111FB"/>
        </w:rPr>
      </w:pPr>
      <w:r w:rsidRPr="00750855">
        <w:rPr>
          <w:rFonts w:asciiTheme="minorHAnsi" w:hAnsiTheme="minorHAnsi" w:cstheme="minorHAnsi"/>
          <w:color w:val="1111FB"/>
        </w:rPr>
        <w:t>Claims-Based Frailty Indicator Anchored to a Well-Established Frailty Phenotype. Medical Care. 55(7): 716-722.</w:t>
      </w:r>
    </w:p>
  </w:footnote>
  <w:footnote w:id="4">
    <w:p w14:paraId="08AF01DE" w14:textId="77777777" w:rsidR="00C851C2" w:rsidRDefault="00C851C2" w:rsidP="00C851C2">
      <w:pPr>
        <w:pStyle w:val="FootnoteText"/>
      </w:pPr>
      <w:r w:rsidRPr="00750855">
        <w:rPr>
          <w:rStyle w:val="FootnoteReference"/>
          <w:rFonts w:asciiTheme="minorHAnsi" w:hAnsiTheme="minorHAnsi" w:cstheme="minorHAnsi"/>
          <w:color w:val="1111FB"/>
        </w:rPr>
        <w:footnoteRef/>
      </w:r>
      <w:r w:rsidRPr="00750855">
        <w:rPr>
          <w:rFonts w:asciiTheme="minorHAnsi" w:hAnsiTheme="minorHAnsi" w:cstheme="minorHAnsi"/>
          <w:color w:val="1111FB"/>
        </w:rPr>
        <w:t xml:space="preserve"> Davidoff A.J., A. </w:t>
      </w:r>
      <w:r w:rsidRPr="00750855">
        <w:rPr>
          <w:rFonts w:asciiTheme="minorHAnsi" w:hAnsiTheme="minorHAnsi" w:cstheme="minorHAnsi"/>
          <w:color w:val="1111FB"/>
        </w:rPr>
        <w:t>Hurrida, I.H. Zuckerman, S.M. Lichtman, N. Pandya, A. Hussain, F. Hendrick, J.P. Weiner, X. Ke, M.J. Edelman. 2013. A Novel Approach to Improve Health Status Measurement in Observational Claims-Based Studies of Cancer Treatment and Outcomes. J Geriatr Oncol. 4(2):157–165.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461F90"/>
    <w:multiLevelType w:val="hybridMultilevel"/>
    <w:tmpl w:val="26282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A6D0AD8"/>
    <w:multiLevelType w:val="multilevel"/>
    <w:tmpl w:val="4B44FF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34EF727B"/>
    <w:multiLevelType w:val="hybridMultilevel"/>
    <w:tmpl w:val="854E79E8"/>
    <w:lvl w:ilvl="0" w:tplc="AD3A113C">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3FD91F93"/>
    <w:multiLevelType w:val="hybridMultilevel"/>
    <w:tmpl w:val="66902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87C7A2E"/>
    <w:multiLevelType w:val="hybridMultilevel"/>
    <w:tmpl w:val="1F00B4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86B2E15"/>
    <w:multiLevelType w:val="hybridMultilevel"/>
    <w:tmpl w:val="3B686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3"/>
  </w:num>
  <w:num w:numId="3">
    <w:abstractNumId w:val="3"/>
  </w:num>
  <w:num w:numId="4">
    <w:abstractNumId w:val="7"/>
  </w:num>
  <w:num w:numId="5">
    <w:abstractNumId w:val="2"/>
  </w:num>
  <w:num w:numId="6">
    <w:abstractNumId w:val="1"/>
  </w:num>
  <w:num w:numId="7">
    <w:abstractNumId w:val="5"/>
  </w:num>
  <w:num w:numId="8">
    <w:abstractNumId w:val="25"/>
  </w:num>
  <w:num w:numId="9">
    <w:abstractNumId w:val="12"/>
  </w:num>
  <w:num w:numId="10">
    <w:abstractNumId w:val="31"/>
  </w:num>
  <w:num w:numId="11">
    <w:abstractNumId w:val="14"/>
  </w:num>
  <w:num w:numId="12">
    <w:abstractNumId w:val="29"/>
  </w:num>
  <w:num w:numId="13">
    <w:abstractNumId w:val="23"/>
  </w:num>
  <w:num w:numId="14">
    <w:abstractNumId w:val="23"/>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1"/>
  </w:num>
  <w:num w:numId="16">
    <w:abstractNumId w:val="10"/>
  </w:num>
  <w:num w:numId="17">
    <w:abstractNumId w:val="30"/>
  </w:num>
  <w:num w:numId="18">
    <w:abstractNumId w:val="28"/>
  </w:num>
  <w:num w:numId="19">
    <w:abstractNumId w:val="26"/>
  </w:num>
  <w:num w:numId="20">
    <w:abstractNumId w:val="19"/>
  </w:num>
  <w:num w:numId="21">
    <w:abstractNumId w:val="24"/>
  </w:num>
  <w:num w:numId="22">
    <w:abstractNumId w:val="18"/>
  </w:num>
  <w:num w:numId="23">
    <w:abstractNumId w:val="8"/>
  </w:num>
  <w:num w:numId="24">
    <w:abstractNumId w:val="16"/>
  </w:num>
  <w:num w:numId="25">
    <w:abstractNumId w:val="15"/>
  </w:num>
  <w:num w:numId="26">
    <w:abstractNumId w:val="33"/>
  </w:num>
  <w:num w:numId="27">
    <w:abstractNumId w:val="0"/>
  </w:num>
  <w:num w:numId="28">
    <w:abstractNumId w:val="11"/>
  </w:num>
  <w:num w:numId="29">
    <w:abstractNumId w:val="20"/>
  </w:num>
  <w:num w:numId="30">
    <w:abstractNumId w:val="22"/>
  </w:num>
  <w:num w:numId="31">
    <w:abstractNumId w:val="27"/>
  </w:num>
  <w:num w:numId="32">
    <w:abstractNumId w:val="17"/>
  </w:num>
  <w:num w:numId="33">
    <w:abstractNumId w:val="9"/>
  </w:num>
  <w:num w:numId="34">
    <w:abstractNumId w:val="4"/>
  </w:num>
  <w:num w:numId="35">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3A"/>
    <w:rsid w:val="00001D73"/>
    <w:rsid w:val="00002CBC"/>
    <w:rsid w:val="00003469"/>
    <w:rsid w:val="00003493"/>
    <w:rsid w:val="0001094F"/>
    <w:rsid w:val="00021170"/>
    <w:rsid w:val="0002128B"/>
    <w:rsid w:val="00024DFD"/>
    <w:rsid w:val="00026773"/>
    <w:rsid w:val="00027AB8"/>
    <w:rsid w:val="000309DD"/>
    <w:rsid w:val="00031414"/>
    <w:rsid w:val="00032FB9"/>
    <w:rsid w:val="00033038"/>
    <w:rsid w:val="00033398"/>
    <w:rsid w:val="00033D63"/>
    <w:rsid w:val="0003436F"/>
    <w:rsid w:val="000414E8"/>
    <w:rsid w:val="0004297D"/>
    <w:rsid w:val="00045150"/>
    <w:rsid w:val="0004593A"/>
    <w:rsid w:val="00045941"/>
    <w:rsid w:val="00050A3E"/>
    <w:rsid w:val="000515A7"/>
    <w:rsid w:val="00052A6F"/>
    <w:rsid w:val="00053F02"/>
    <w:rsid w:val="0005612B"/>
    <w:rsid w:val="000574AB"/>
    <w:rsid w:val="0006147A"/>
    <w:rsid w:val="0006234F"/>
    <w:rsid w:val="000636B4"/>
    <w:rsid w:val="000679C6"/>
    <w:rsid w:val="00074ECE"/>
    <w:rsid w:val="000775F8"/>
    <w:rsid w:val="000807F7"/>
    <w:rsid w:val="00080CF7"/>
    <w:rsid w:val="000825CC"/>
    <w:rsid w:val="00084281"/>
    <w:rsid w:val="000851B2"/>
    <w:rsid w:val="0008697C"/>
    <w:rsid w:val="00092566"/>
    <w:rsid w:val="000967F9"/>
    <w:rsid w:val="000968F8"/>
    <w:rsid w:val="00097012"/>
    <w:rsid w:val="000B032A"/>
    <w:rsid w:val="000B0B29"/>
    <w:rsid w:val="000B2DF7"/>
    <w:rsid w:val="000B3339"/>
    <w:rsid w:val="000B3880"/>
    <w:rsid w:val="000B3F86"/>
    <w:rsid w:val="000B6655"/>
    <w:rsid w:val="000B7D57"/>
    <w:rsid w:val="000C036D"/>
    <w:rsid w:val="000C0FF8"/>
    <w:rsid w:val="000D0B39"/>
    <w:rsid w:val="000D2722"/>
    <w:rsid w:val="000D47F0"/>
    <w:rsid w:val="000D7948"/>
    <w:rsid w:val="000D7C84"/>
    <w:rsid w:val="000E15D4"/>
    <w:rsid w:val="000E4E13"/>
    <w:rsid w:val="000E78F6"/>
    <w:rsid w:val="000F034A"/>
    <w:rsid w:val="000F06B5"/>
    <w:rsid w:val="000F1B7A"/>
    <w:rsid w:val="000F25B8"/>
    <w:rsid w:val="000F39E9"/>
    <w:rsid w:val="000F5B01"/>
    <w:rsid w:val="00101451"/>
    <w:rsid w:val="0010261C"/>
    <w:rsid w:val="00104B45"/>
    <w:rsid w:val="00105D8B"/>
    <w:rsid w:val="00107DDC"/>
    <w:rsid w:val="0011342F"/>
    <w:rsid w:val="00113B79"/>
    <w:rsid w:val="00116FCD"/>
    <w:rsid w:val="001202E9"/>
    <w:rsid w:val="0012454F"/>
    <w:rsid w:val="00125273"/>
    <w:rsid w:val="0012575E"/>
    <w:rsid w:val="00127C06"/>
    <w:rsid w:val="0013074D"/>
    <w:rsid w:val="00132823"/>
    <w:rsid w:val="0013339E"/>
    <w:rsid w:val="00136769"/>
    <w:rsid w:val="001432D1"/>
    <w:rsid w:val="0014369B"/>
    <w:rsid w:val="00144B19"/>
    <w:rsid w:val="00145149"/>
    <w:rsid w:val="00145D4F"/>
    <w:rsid w:val="0014773C"/>
    <w:rsid w:val="001675B9"/>
    <w:rsid w:val="00170830"/>
    <w:rsid w:val="001727D7"/>
    <w:rsid w:val="0017648F"/>
    <w:rsid w:val="0017696D"/>
    <w:rsid w:val="001776F6"/>
    <w:rsid w:val="001848FC"/>
    <w:rsid w:val="00193F21"/>
    <w:rsid w:val="001969C5"/>
    <w:rsid w:val="001A109F"/>
    <w:rsid w:val="001A2984"/>
    <w:rsid w:val="001A4091"/>
    <w:rsid w:val="001A4AD2"/>
    <w:rsid w:val="001A4E35"/>
    <w:rsid w:val="001A6899"/>
    <w:rsid w:val="001A6CDD"/>
    <w:rsid w:val="001B061F"/>
    <w:rsid w:val="001B4D23"/>
    <w:rsid w:val="001C12EE"/>
    <w:rsid w:val="001C62B1"/>
    <w:rsid w:val="001C772B"/>
    <w:rsid w:val="001C7B02"/>
    <w:rsid w:val="001D5474"/>
    <w:rsid w:val="001D548A"/>
    <w:rsid w:val="001E4DD4"/>
    <w:rsid w:val="001E4E41"/>
    <w:rsid w:val="001E69DC"/>
    <w:rsid w:val="001E6EC2"/>
    <w:rsid w:val="001F169D"/>
    <w:rsid w:val="001F1DA1"/>
    <w:rsid w:val="001F6F93"/>
    <w:rsid w:val="001F7A20"/>
    <w:rsid w:val="0021054A"/>
    <w:rsid w:val="00210E65"/>
    <w:rsid w:val="00211711"/>
    <w:rsid w:val="0021195A"/>
    <w:rsid w:val="00213383"/>
    <w:rsid w:val="00213910"/>
    <w:rsid w:val="002157CF"/>
    <w:rsid w:val="00220250"/>
    <w:rsid w:val="00222444"/>
    <w:rsid w:val="0022691B"/>
    <w:rsid w:val="00231672"/>
    <w:rsid w:val="00232163"/>
    <w:rsid w:val="002376F8"/>
    <w:rsid w:val="00240352"/>
    <w:rsid w:val="002408E4"/>
    <w:rsid w:val="00241591"/>
    <w:rsid w:val="00242648"/>
    <w:rsid w:val="00250B4F"/>
    <w:rsid w:val="0025762F"/>
    <w:rsid w:val="00262A52"/>
    <w:rsid w:val="00265F96"/>
    <w:rsid w:val="00270D12"/>
    <w:rsid w:val="00275563"/>
    <w:rsid w:val="00275DC0"/>
    <w:rsid w:val="0028114D"/>
    <w:rsid w:val="002820B2"/>
    <w:rsid w:val="00282C4C"/>
    <w:rsid w:val="0028364A"/>
    <w:rsid w:val="00286871"/>
    <w:rsid w:val="00287649"/>
    <w:rsid w:val="00287E84"/>
    <w:rsid w:val="00290234"/>
    <w:rsid w:val="0029286C"/>
    <w:rsid w:val="0029300E"/>
    <w:rsid w:val="00293573"/>
    <w:rsid w:val="002A1ADB"/>
    <w:rsid w:val="002A6943"/>
    <w:rsid w:val="002B0734"/>
    <w:rsid w:val="002B0C3A"/>
    <w:rsid w:val="002B2116"/>
    <w:rsid w:val="002B2D9B"/>
    <w:rsid w:val="002B5016"/>
    <w:rsid w:val="002B5F74"/>
    <w:rsid w:val="002B7045"/>
    <w:rsid w:val="002B742C"/>
    <w:rsid w:val="002B7F4D"/>
    <w:rsid w:val="002C0284"/>
    <w:rsid w:val="002C02C8"/>
    <w:rsid w:val="002C285C"/>
    <w:rsid w:val="002C7BE4"/>
    <w:rsid w:val="002D2CD4"/>
    <w:rsid w:val="002D417D"/>
    <w:rsid w:val="002D5E5D"/>
    <w:rsid w:val="002E45ED"/>
    <w:rsid w:val="002E78A0"/>
    <w:rsid w:val="002F0389"/>
    <w:rsid w:val="002F03CA"/>
    <w:rsid w:val="002F2687"/>
    <w:rsid w:val="002F37F2"/>
    <w:rsid w:val="002F48E1"/>
    <w:rsid w:val="002F4F3B"/>
    <w:rsid w:val="0030007A"/>
    <w:rsid w:val="00303A50"/>
    <w:rsid w:val="00304C86"/>
    <w:rsid w:val="003059EB"/>
    <w:rsid w:val="00307519"/>
    <w:rsid w:val="003116AC"/>
    <w:rsid w:val="00315567"/>
    <w:rsid w:val="00321BAC"/>
    <w:rsid w:val="00326A52"/>
    <w:rsid w:val="00327206"/>
    <w:rsid w:val="00327594"/>
    <w:rsid w:val="00330144"/>
    <w:rsid w:val="00334329"/>
    <w:rsid w:val="00337FC2"/>
    <w:rsid w:val="00342FE0"/>
    <w:rsid w:val="00345CBA"/>
    <w:rsid w:val="00346245"/>
    <w:rsid w:val="00356267"/>
    <w:rsid w:val="00356B30"/>
    <w:rsid w:val="00356BAD"/>
    <w:rsid w:val="003605B4"/>
    <w:rsid w:val="003615C3"/>
    <w:rsid w:val="003627AC"/>
    <w:rsid w:val="00366914"/>
    <w:rsid w:val="00366F4E"/>
    <w:rsid w:val="00372FE3"/>
    <w:rsid w:val="003755CB"/>
    <w:rsid w:val="00375628"/>
    <w:rsid w:val="00383F85"/>
    <w:rsid w:val="00387BA1"/>
    <w:rsid w:val="00393261"/>
    <w:rsid w:val="003A306C"/>
    <w:rsid w:val="003A4144"/>
    <w:rsid w:val="003A7DE7"/>
    <w:rsid w:val="003B1006"/>
    <w:rsid w:val="003C0745"/>
    <w:rsid w:val="003C5F11"/>
    <w:rsid w:val="003D294B"/>
    <w:rsid w:val="003D4F38"/>
    <w:rsid w:val="003D5B27"/>
    <w:rsid w:val="003D6401"/>
    <w:rsid w:val="003E1863"/>
    <w:rsid w:val="003F118C"/>
    <w:rsid w:val="003F1EBD"/>
    <w:rsid w:val="003F693F"/>
    <w:rsid w:val="0041606D"/>
    <w:rsid w:val="00416962"/>
    <w:rsid w:val="004206A8"/>
    <w:rsid w:val="004231FA"/>
    <w:rsid w:val="004249C1"/>
    <w:rsid w:val="00427A03"/>
    <w:rsid w:val="00431FE1"/>
    <w:rsid w:val="00433585"/>
    <w:rsid w:val="004348CC"/>
    <w:rsid w:val="00441970"/>
    <w:rsid w:val="00445A68"/>
    <w:rsid w:val="00450C58"/>
    <w:rsid w:val="004558A3"/>
    <w:rsid w:val="004658FF"/>
    <w:rsid w:val="00474420"/>
    <w:rsid w:val="00474ED7"/>
    <w:rsid w:val="004756E1"/>
    <w:rsid w:val="0048008A"/>
    <w:rsid w:val="00483E94"/>
    <w:rsid w:val="00484120"/>
    <w:rsid w:val="004853A0"/>
    <w:rsid w:val="00495796"/>
    <w:rsid w:val="00496B5F"/>
    <w:rsid w:val="004A2E10"/>
    <w:rsid w:val="004A33A4"/>
    <w:rsid w:val="004B17FF"/>
    <w:rsid w:val="004B1BA0"/>
    <w:rsid w:val="004B4A5D"/>
    <w:rsid w:val="004B6CEE"/>
    <w:rsid w:val="004B7485"/>
    <w:rsid w:val="004B783B"/>
    <w:rsid w:val="004C16CE"/>
    <w:rsid w:val="004C2443"/>
    <w:rsid w:val="004C498F"/>
    <w:rsid w:val="004C5D29"/>
    <w:rsid w:val="004C681A"/>
    <w:rsid w:val="004D4B79"/>
    <w:rsid w:val="004D4D8A"/>
    <w:rsid w:val="004E3976"/>
    <w:rsid w:val="004F68EE"/>
    <w:rsid w:val="00500591"/>
    <w:rsid w:val="00502DBC"/>
    <w:rsid w:val="005038D5"/>
    <w:rsid w:val="005064D9"/>
    <w:rsid w:val="00511BA4"/>
    <w:rsid w:val="00513694"/>
    <w:rsid w:val="005149E7"/>
    <w:rsid w:val="005232D6"/>
    <w:rsid w:val="0052689D"/>
    <w:rsid w:val="005303A5"/>
    <w:rsid w:val="005333CC"/>
    <w:rsid w:val="005363F1"/>
    <w:rsid w:val="00537C1B"/>
    <w:rsid w:val="00537FB1"/>
    <w:rsid w:val="0054798A"/>
    <w:rsid w:val="0055007C"/>
    <w:rsid w:val="00554922"/>
    <w:rsid w:val="00555282"/>
    <w:rsid w:val="005560B1"/>
    <w:rsid w:val="005560E7"/>
    <w:rsid w:val="005612CC"/>
    <w:rsid w:val="00563029"/>
    <w:rsid w:val="00565946"/>
    <w:rsid w:val="00567D12"/>
    <w:rsid w:val="00574381"/>
    <w:rsid w:val="00576062"/>
    <w:rsid w:val="005808CF"/>
    <w:rsid w:val="0058570D"/>
    <w:rsid w:val="00586521"/>
    <w:rsid w:val="0059559F"/>
    <w:rsid w:val="005A13E7"/>
    <w:rsid w:val="005A4972"/>
    <w:rsid w:val="005A49FF"/>
    <w:rsid w:val="005A6A38"/>
    <w:rsid w:val="005A7634"/>
    <w:rsid w:val="005B05C3"/>
    <w:rsid w:val="005B6F04"/>
    <w:rsid w:val="005C0447"/>
    <w:rsid w:val="005C1B1E"/>
    <w:rsid w:val="005C739F"/>
    <w:rsid w:val="005C73CA"/>
    <w:rsid w:val="005D23E8"/>
    <w:rsid w:val="005D2579"/>
    <w:rsid w:val="005D4768"/>
    <w:rsid w:val="005D5383"/>
    <w:rsid w:val="005D60C4"/>
    <w:rsid w:val="005E2CAB"/>
    <w:rsid w:val="005E429E"/>
    <w:rsid w:val="005E628B"/>
    <w:rsid w:val="005F0B4A"/>
    <w:rsid w:val="005F4576"/>
    <w:rsid w:val="005F4E87"/>
    <w:rsid w:val="005F5840"/>
    <w:rsid w:val="00601ED4"/>
    <w:rsid w:val="006030BC"/>
    <w:rsid w:val="006056E1"/>
    <w:rsid w:val="0060754D"/>
    <w:rsid w:val="00612866"/>
    <w:rsid w:val="00612CDB"/>
    <w:rsid w:val="00616EB5"/>
    <w:rsid w:val="0062261D"/>
    <w:rsid w:val="006269D4"/>
    <w:rsid w:val="006327D8"/>
    <w:rsid w:val="0064070A"/>
    <w:rsid w:val="00643A01"/>
    <w:rsid w:val="00647E8F"/>
    <w:rsid w:val="00651D44"/>
    <w:rsid w:val="00655FBE"/>
    <w:rsid w:val="006574D2"/>
    <w:rsid w:val="00663563"/>
    <w:rsid w:val="00664AF6"/>
    <w:rsid w:val="006676D4"/>
    <w:rsid w:val="006750A6"/>
    <w:rsid w:val="00675535"/>
    <w:rsid w:val="006772A4"/>
    <w:rsid w:val="00681359"/>
    <w:rsid w:val="00686843"/>
    <w:rsid w:val="0069157C"/>
    <w:rsid w:val="00696262"/>
    <w:rsid w:val="00696B0B"/>
    <w:rsid w:val="006A2E5A"/>
    <w:rsid w:val="006C3A4F"/>
    <w:rsid w:val="006C4845"/>
    <w:rsid w:val="006D6BC1"/>
    <w:rsid w:val="006E2BFC"/>
    <w:rsid w:val="006E4D6A"/>
    <w:rsid w:val="006E4F05"/>
    <w:rsid w:val="006E5C57"/>
    <w:rsid w:val="006F22A5"/>
    <w:rsid w:val="00700191"/>
    <w:rsid w:val="00702C73"/>
    <w:rsid w:val="00713394"/>
    <w:rsid w:val="00724677"/>
    <w:rsid w:val="00725AC2"/>
    <w:rsid w:val="007268A1"/>
    <w:rsid w:val="007271D2"/>
    <w:rsid w:val="00727A82"/>
    <w:rsid w:val="00732065"/>
    <w:rsid w:val="00732475"/>
    <w:rsid w:val="00732880"/>
    <w:rsid w:val="007416B9"/>
    <w:rsid w:val="00741754"/>
    <w:rsid w:val="007422FD"/>
    <w:rsid w:val="00743E46"/>
    <w:rsid w:val="00747C45"/>
    <w:rsid w:val="00750855"/>
    <w:rsid w:val="00756FDB"/>
    <w:rsid w:val="007629B6"/>
    <w:rsid w:val="007665BF"/>
    <w:rsid w:val="00771B2A"/>
    <w:rsid w:val="007757CE"/>
    <w:rsid w:val="00775800"/>
    <w:rsid w:val="00775D33"/>
    <w:rsid w:val="0078399E"/>
    <w:rsid w:val="007856F7"/>
    <w:rsid w:val="007869AE"/>
    <w:rsid w:val="0079180E"/>
    <w:rsid w:val="00792EE2"/>
    <w:rsid w:val="007950CC"/>
    <w:rsid w:val="0079538B"/>
    <w:rsid w:val="007961B8"/>
    <w:rsid w:val="00797386"/>
    <w:rsid w:val="00797624"/>
    <w:rsid w:val="007A24DF"/>
    <w:rsid w:val="007A4828"/>
    <w:rsid w:val="007A59A9"/>
    <w:rsid w:val="007A60EF"/>
    <w:rsid w:val="007B093D"/>
    <w:rsid w:val="007B2069"/>
    <w:rsid w:val="007B2E0D"/>
    <w:rsid w:val="007C04A1"/>
    <w:rsid w:val="007C21FA"/>
    <w:rsid w:val="007C40B8"/>
    <w:rsid w:val="007D13B1"/>
    <w:rsid w:val="007D41DC"/>
    <w:rsid w:val="007D4351"/>
    <w:rsid w:val="007D7019"/>
    <w:rsid w:val="007E18DB"/>
    <w:rsid w:val="007E42E8"/>
    <w:rsid w:val="007E6F1C"/>
    <w:rsid w:val="007F4985"/>
    <w:rsid w:val="008008AC"/>
    <w:rsid w:val="00804C69"/>
    <w:rsid w:val="0080711D"/>
    <w:rsid w:val="008124EC"/>
    <w:rsid w:val="008155CD"/>
    <w:rsid w:val="008215C2"/>
    <w:rsid w:val="00823642"/>
    <w:rsid w:val="0082580F"/>
    <w:rsid w:val="00826C58"/>
    <w:rsid w:val="00833325"/>
    <w:rsid w:val="008341B4"/>
    <w:rsid w:val="0083512B"/>
    <w:rsid w:val="00836F6B"/>
    <w:rsid w:val="008407EA"/>
    <w:rsid w:val="00840A41"/>
    <w:rsid w:val="00842F3C"/>
    <w:rsid w:val="00847162"/>
    <w:rsid w:val="008505D1"/>
    <w:rsid w:val="00855158"/>
    <w:rsid w:val="00857EE8"/>
    <w:rsid w:val="0086464B"/>
    <w:rsid w:val="008647FC"/>
    <w:rsid w:val="00864CA8"/>
    <w:rsid w:val="00865E2D"/>
    <w:rsid w:val="00865EF9"/>
    <w:rsid w:val="00870E6C"/>
    <w:rsid w:val="00872B8B"/>
    <w:rsid w:val="00875846"/>
    <w:rsid w:val="008760A0"/>
    <w:rsid w:val="00877152"/>
    <w:rsid w:val="00884486"/>
    <w:rsid w:val="008871A9"/>
    <w:rsid w:val="008904A8"/>
    <w:rsid w:val="008906B7"/>
    <w:rsid w:val="008916BA"/>
    <w:rsid w:val="00892176"/>
    <w:rsid w:val="0089423A"/>
    <w:rsid w:val="008A1DB7"/>
    <w:rsid w:val="008A403A"/>
    <w:rsid w:val="008A4C13"/>
    <w:rsid w:val="008B1C65"/>
    <w:rsid w:val="008B23EF"/>
    <w:rsid w:val="008B281F"/>
    <w:rsid w:val="008B3B1A"/>
    <w:rsid w:val="008B4308"/>
    <w:rsid w:val="008B604D"/>
    <w:rsid w:val="008C03F7"/>
    <w:rsid w:val="008C54A9"/>
    <w:rsid w:val="008D0657"/>
    <w:rsid w:val="008E67C3"/>
    <w:rsid w:val="008F06F0"/>
    <w:rsid w:val="008F2D64"/>
    <w:rsid w:val="008F507E"/>
    <w:rsid w:val="008F589F"/>
    <w:rsid w:val="008F76A9"/>
    <w:rsid w:val="008F7E67"/>
    <w:rsid w:val="009006F4"/>
    <w:rsid w:val="00900DBF"/>
    <w:rsid w:val="009048B9"/>
    <w:rsid w:val="00904E91"/>
    <w:rsid w:val="00914DCE"/>
    <w:rsid w:val="00915886"/>
    <w:rsid w:val="00920DD1"/>
    <w:rsid w:val="009214DC"/>
    <w:rsid w:val="00927027"/>
    <w:rsid w:val="00931C6B"/>
    <w:rsid w:val="009344BA"/>
    <w:rsid w:val="009464BA"/>
    <w:rsid w:val="00946E61"/>
    <w:rsid w:val="00947F78"/>
    <w:rsid w:val="009500F5"/>
    <w:rsid w:val="00953234"/>
    <w:rsid w:val="00961EAF"/>
    <w:rsid w:val="0096278F"/>
    <w:rsid w:val="00964945"/>
    <w:rsid w:val="009726E1"/>
    <w:rsid w:val="00972A04"/>
    <w:rsid w:val="009752CF"/>
    <w:rsid w:val="00977591"/>
    <w:rsid w:val="00980E75"/>
    <w:rsid w:val="009822D7"/>
    <w:rsid w:val="00991284"/>
    <w:rsid w:val="00994BE0"/>
    <w:rsid w:val="009A02A8"/>
    <w:rsid w:val="009A25B1"/>
    <w:rsid w:val="009A4608"/>
    <w:rsid w:val="009A4E05"/>
    <w:rsid w:val="009A6A57"/>
    <w:rsid w:val="009A70A7"/>
    <w:rsid w:val="009A70BF"/>
    <w:rsid w:val="009A79A2"/>
    <w:rsid w:val="009B1A15"/>
    <w:rsid w:val="009B5123"/>
    <w:rsid w:val="009C0852"/>
    <w:rsid w:val="009C0E2A"/>
    <w:rsid w:val="009C13CA"/>
    <w:rsid w:val="009C32C6"/>
    <w:rsid w:val="009C665F"/>
    <w:rsid w:val="009C6A0D"/>
    <w:rsid w:val="009C7513"/>
    <w:rsid w:val="009D2B7B"/>
    <w:rsid w:val="009D2E8B"/>
    <w:rsid w:val="009D2E9A"/>
    <w:rsid w:val="009D3882"/>
    <w:rsid w:val="009D7E38"/>
    <w:rsid w:val="009E0653"/>
    <w:rsid w:val="009E095B"/>
    <w:rsid w:val="009E1846"/>
    <w:rsid w:val="009E78FF"/>
    <w:rsid w:val="009F3D51"/>
    <w:rsid w:val="009F6308"/>
    <w:rsid w:val="00A01494"/>
    <w:rsid w:val="00A156F6"/>
    <w:rsid w:val="00A2050D"/>
    <w:rsid w:val="00A22FA9"/>
    <w:rsid w:val="00A24968"/>
    <w:rsid w:val="00A25024"/>
    <w:rsid w:val="00A35F8F"/>
    <w:rsid w:val="00A360D8"/>
    <w:rsid w:val="00A36945"/>
    <w:rsid w:val="00A3763E"/>
    <w:rsid w:val="00A41377"/>
    <w:rsid w:val="00A4263D"/>
    <w:rsid w:val="00A509B8"/>
    <w:rsid w:val="00A52AB9"/>
    <w:rsid w:val="00A55964"/>
    <w:rsid w:val="00A57908"/>
    <w:rsid w:val="00A6210B"/>
    <w:rsid w:val="00A64EBF"/>
    <w:rsid w:val="00A71200"/>
    <w:rsid w:val="00A72AC9"/>
    <w:rsid w:val="00A7323A"/>
    <w:rsid w:val="00A831B4"/>
    <w:rsid w:val="00A95F17"/>
    <w:rsid w:val="00A97798"/>
    <w:rsid w:val="00AA2E91"/>
    <w:rsid w:val="00AA5213"/>
    <w:rsid w:val="00AA54D0"/>
    <w:rsid w:val="00AA6267"/>
    <w:rsid w:val="00AA65A6"/>
    <w:rsid w:val="00AB0CF5"/>
    <w:rsid w:val="00AB4ECB"/>
    <w:rsid w:val="00AC1D8E"/>
    <w:rsid w:val="00AC48FA"/>
    <w:rsid w:val="00AC6FA2"/>
    <w:rsid w:val="00AD0240"/>
    <w:rsid w:val="00AD1CA0"/>
    <w:rsid w:val="00AD4137"/>
    <w:rsid w:val="00AD6FA8"/>
    <w:rsid w:val="00AE7D8A"/>
    <w:rsid w:val="00AF2D68"/>
    <w:rsid w:val="00B01FE2"/>
    <w:rsid w:val="00B037BA"/>
    <w:rsid w:val="00B06404"/>
    <w:rsid w:val="00B1305C"/>
    <w:rsid w:val="00B17A72"/>
    <w:rsid w:val="00B20139"/>
    <w:rsid w:val="00B218DA"/>
    <w:rsid w:val="00B3301A"/>
    <w:rsid w:val="00B342FA"/>
    <w:rsid w:val="00B3768E"/>
    <w:rsid w:val="00B37C09"/>
    <w:rsid w:val="00B513D4"/>
    <w:rsid w:val="00B5207B"/>
    <w:rsid w:val="00B53C24"/>
    <w:rsid w:val="00B53E8B"/>
    <w:rsid w:val="00B621E4"/>
    <w:rsid w:val="00B66377"/>
    <w:rsid w:val="00B67D4B"/>
    <w:rsid w:val="00B67EC0"/>
    <w:rsid w:val="00B749EE"/>
    <w:rsid w:val="00B774D2"/>
    <w:rsid w:val="00B8015A"/>
    <w:rsid w:val="00B811E7"/>
    <w:rsid w:val="00B82A57"/>
    <w:rsid w:val="00B86088"/>
    <w:rsid w:val="00B92858"/>
    <w:rsid w:val="00B941B4"/>
    <w:rsid w:val="00BA053B"/>
    <w:rsid w:val="00BA2284"/>
    <w:rsid w:val="00BA5AB2"/>
    <w:rsid w:val="00BA5F4F"/>
    <w:rsid w:val="00BB103B"/>
    <w:rsid w:val="00BB35AE"/>
    <w:rsid w:val="00BC03A1"/>
    <w:rsid w:val="00BC0D25"/>
    <w:rsid w:val="00BD2505"/>
    <w:rsid w:val="00BD2E5C"/>
    <w:rsid w:val="00BD3985"/>
    <w:rsid w:val="00BD6782"/>
    <w:rsid w:val="00BD6EBB"/>
    <w:rsid w:val="00BE4191"/>
    <w:rsid w:val="00BE592D"/>
    <w:rsid w:val="00BE78CA"/>
    <w:rsid w:val="00BF1FC1"/>
    <w:rsid w:val="00BF2217"/>
    <w:rsid w:val="00BF52B0"/>
    <w:rsid w:val="00BF5697"/>
    <w:rsid w:val="00BF7A8F"/>
    <w:rsid w:val="00C026DA"/>
    <w:rsid w:val="00C03334"/>
    <w:rsid w:val="00C04999"/>
    <w:rsid w:val="00C143F6"/>
    <w:rsid w:val="00C14CCC"/>
    <w:rsid w:val="00C1695E"/>
    <w:rsid w:val="00C177C0"/>
    <w:rsid w:val="00C22C1C"/>
    <w:rsid w:val="00C2340D"/>
    <w:rsid w:val="00C26151"/>
    <w:rsid w:val="00C27865"/>
    <w:rsid w:val="00C32B7C"/>
    <w:rsid w:val="00C33F2E"/>
    <w:rsid w:val="00C34936"/>
    <w:rsid w:val="00C34C14"/>
    <w:rsid w:val="00C355B9"/>
    <w:rsid w:val="00C37EF1"/>
    <w:rsid w:val="00C401C4"/>
    <w:rsid w:val="00C41680"/>
    <w:rsid w:val="00C43B9F"/>
    <w:rsid w:val="00C45A5F"/>
    <w:rsid w:val="00C530E5"/>
    <w:rsid w:val="00C60A25"/>
    <w:rsid w:val="00C627C6"/>
    <w:rsid w:val="00C665FC"/>
    <w:rsid w:val="00C67A95"/>
    <w:rsid w:val="00C765C5"/>
    <w:rsid w:val="00C775CE"/>
    <w:rsid w:val="00C82479"/>
    <w:rsid w:val="00C851C2"/>
    <w:rsid w:val="00C867F0"/>
    <w:rsid w:val="00C90671"/>
    <w:rsid w:val="00C95470"/>
    <w:rsid w:val="00CA06D8"/>
    <w:rsid w:val="00CA345A"/>
    <w:rsid w:val="00CA6DEB"/>
    <w:rsid w:val="00CB1069"/>
    <w:rsid w:val="00CB3C88"/>
    <w:rsid w:val="00CB49FF"/>
    <w:rsid w:val="00CC02CF"/>
    <w:rsid w:val="00CC086A"/>
    <w:rsid w:val="00CC5182"/>
    <w:rsid w:val="00CD0E24"/>
    <w:rsid w:val="00CD0F66"/>
    <w:rsid w:val="00CD364B"/>
    <w:rsid w:val="00CD4852"/>
    <w:rsid w:val="00CE2031"/>
    <w:rsid w:val="00CE23B8"/>
    <w:rsid w:val="00CE2629"/>
    <w:rsid w:val="00CE284E"/>
    <w:rsid w:val="00CE3325"/>
    <w:rsid w:val="00CE50D7"/>
    <w:rsid w:val="00CE5527"/>
    <w:rsid w:val="00CF4CBE"/>
    <w:rsid w:val="00CF5275"/>
    <w:rsid w:val="00CF6641"/>
    <w:rsid w:val="00D00344"/>
    <w:rsid w:val="00D05E94"/>
    <w:rsid w:val="00D07C03"/>
    <w:rsid w:val="00D1754D"/>
    <w:rsid w:val="00D2223F"/>
    <w:rsid w:val="00D23095"/>
    <w:rsid w:val="00D26EFF"/>
    <w:rsid w:val="00D274A4"/>
    <w:rsid w:val="00D277AF"/>
    <w:rsid w:val="00D31163"/>
    <w:rsid w:val="00D320B1"/>
    <w:rsid w:val="00D33AFD"/>
    <w:rsid w:val="00D35032"/>
    <w:rsid w:val="00D361F0"/>
    <w:rsid w:val="00D36489"/>
    <w:rsid w:val="00D369E9"/>
    <w:rsid w:val="00D36E7A"/>
    <w:rsid w:val="00D42195"/>
    <w:rsid w:val="00D50704"/>
    <w:rsid w:val="00D531E8"/>
    <w:rsid w:val="00D549C4"/>
    <w:rsid w:val="00D564E4"/>
    <w:rsid w:val="00D5760A"/>
    <w:rsid w:val="00D61410"/>
    <w:rsid w:val="00D724DC"/>
    <w:rsid w:val="00D8181D"/>
    <w:rsid w:val="00D84CB3"/>
    <w:rsid w:val="00D85F42"/>
    <w:rsid w:val="00D963AC"/>
    <w:rsid w:val="00D968D8"/>
    <w:rsid w:val="00DA563D"/>
    <w:rsid w:val="00DA5838"/>
    <w:rsid w:val="00DA5BA0"/>
    <w:rsid w:val="00DA7277"/>
    <w:rsid w:val="00DB3627"/>
    <w:rsid w:val="00DB4724"/>
    <w:rsid w:val="00DB6944"/>
    <w:rsid w:val="00DC1A44"/>
    <w:rsid w:val="00DC39EC"/>
    <w:rsid w:val="00DC4746"/>
    <w:rsid w:val="00DD0081"/>
    <w:rsid w:val="00DD00BA"/>
    <w:rsid w:val="00DD1D66"/>
    <w:rsid w:val="00DE1320"/>
    <w:rsid w:val="00DE1C55"/>
    <w:rsid w:val="00DE3593"/>
    <w:rsid w:val="00DE3680"/>
    <w:rsid w:val="00DE7045"/>
    <w:rsid w:val="00DE7149"/>
    <w:rsid w:val="00DF06EF"/>
    <w:rsid w:val="00DF0957"/>
    <w:rsid w:val="00DF64E3"/>
    <w:rsid w:val="00E0314C"/>
    <w:rsid w:val="00E05A2C"/>
    <w:rsid w:val="00E060C0"/>
    <w:rsid w:val="00E06587"/>
    <w:rsid w:val="00E102E0"/>
    <w:rsid w:val="00E1508F"/>
    <w:rsid w:val="00E1593E"/>
    <w:rsid w:val="00E261DF"/>
    <w:rsid w:val="00E27240"/>
    <w:rsid w:val="00E27EDD"/>
    <w:rsid w:val="00E30584"/>
    <w:rsid w:val="00E310B9"/>
    <w:rsid w:val="00E318B7"/>
    <w:rsid w:val="00E31AC5"/>
    <w:rsid w:val="00E36C0A"/>
    <w:rsid w:val="00E37E1B"/>
    <w:rsid w:val="00E4237D"/>
    <w:rsid w:val="00E562C0"/>
    <w:rsid w:val="00E57FAF"/>
    <w:rsid w:val="00E641AA"/>
    <w:rsid w:val="00E6428B"/>
    <w:rsid w:val="00E6603C"/>
    <w:rsid w:val="00E672D6"/>
    <w:rsid w:val="00E71C6B"/>
    <w:rsid w:val="00E76024"/>
    <w:rsid w:val="00E856A2"/>
    <w:rsid w:val="00E9174A"/>
    <w:rsid w:val="00E967AD"/>
    <w:rsid w:val="00E96884"/>
    <w:rsid w:val="00EA0FF4"/>
    <w:rsid w:val="00EA17A4"/>
    <w:rsid w:val="00EA5435"/>
    <w:rsid w:val="00EA5F47"/>
    <w:rsid w:val="00EB4379"/>
    <w:rsid w:val="00EB455E"/>
    <w:rsid w:val="00EB5BCC"/>
    <w:rsid w:val="00EB6A0A"/>
    <w:rsid w:val="00EC455C"/>
    <w:rsid w:val="00EC65A1"/>
    <w:rsid w:val="00EC79DE"/>
    <w:rsid w:val="00ED4ACE"/>
    <w:rsid w:val="00ED7CC1"/>
    <w:rsid w:val="00EE4D35"/>
    <w:rsid w:val="00EE5481"/>
    <w:rsid w:val="00EE6663"/>
    <w:rsid w:val="00EF2DA7"/>
    <w:rsid w:val="00F02350"/>
    <w:rsid w:val="00F03F8A"/>
    <w:rsid w:val="00F1412B"/>
    <w:rsid w:val="00F143B6"/>
    <w:rsid w:val="00F1441F"/>
    <w:rsid w:val="00F15BFA"/>
    <w:rsid w:val="00F20B04"/>
    <w:rsid w:val="00F341AB"/>
    <w:rsid w:val="00F34FAB"/>
    <w:rsid w:val="00F40DE3"/>
    <w:rsid w:val="00F429C8"/>
    <w:rsid w:val="00F435AA"/>
    <w:rsid w:val="00F44A04"/>
    <w:rsid w:val="00F44B64"/>
    <w:rsid w:val="00F5105C"/>
    <w:rsid w:val="00F55B34"/>
    <w:rsid w:val="00F5738A"/>
    <w:rsid w:val="00F612D4"/>
    <w:rsid w:val="00F65C0A"/>
    <w:rsid w:val="00F67B19"/>
    <w:rsid w:val="00F72343"/>
    <w:rsid w:val="00F7389E"/>
    <w:rsid w:val="00F77F1D"/>
    <w:rsid w:val="00F87CCB"/>
    <w:rsid w:val="00F91779"/>
    <w:rsid w:val="00F9469C"/>
    <w:rsid w:val="00FA1A18"/>
    <w:rsid w:val="00FA48C7"/>
    <w:rsid w:val="00FB0E2A"/>
    <w:rsid w:val="00FB4747"/>
    <w:rsid w:val="00FB51FB"/>
    <w:rsid w:val="00FB5B45"/>
    <w:rsid w:val="00FB73C1"/>
    <w:rsid w:val="00FC3985"/>
    <w:rsid w:val="00FC411B"/>
    <w:rsid w:val="00FD149F"/>
    <w:rsid w:val="00FD1E64"/>
    <w:rsid w:val="00FD672E"/>
    <w:rsid w:val="00FD6D0C"/>
    <w:rsid w:val="00FF24D0"/>
    <w:rsid w:val="00FF4F6D"/>
    <w:rsid w:val="00FF6959"/>
    <w:rsid w:val="00FF6ED6"/>
    <w:rsid w:val="01E4CD2C"/>
    <w:rsid w:val="33F54ACC"/>
    <w:rsid w:val="7C31846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CABCF53"/>
  <w15:docId w15:val="{A3AF5D02-17D0-4B1F-805A-072D41F5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 w:type="paragraph" w:customStyle="1" w:styleId="paragraph">
    <w:name w:val="paragraph"/>
    <w:basedOn w:val="Normal"/>
    <w:rsid w:val="00E641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E641AA"/>
  </w:style>
  <w:style w:type="character" w:customStyle="1" w:styleId="eop">
    <w:name w:val="eop"/>
    <w:basedOn w:val="DefaultParagraphFont"/>
    <w:rsid w:val="00E64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qualityforum.org/Measuring_Performance/Submitting_Standards.aspx"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90121"/>
    <w:rsid w:val="00021F89"/>
    <w:rsid w:val="00127222"/>
    <w:rsid w:val="001736D7"/>
    <w:rsid w:val="00190AF4"/>
    <w:rsid w:val="001A2B7C"/>
    <w:rsid w:val="00223FA3"/>
    <w:rsid w:val="002A288F"/>
    <w:rsid w:val="002C65A7"/>
    <w:rsid w:val="002F052A"/>
    <w:rsid w:val="00350176"/>
    <w:rsid w:val="003840F0"/>
    <w:rsid w:val="00437537"/>
    <w:rsid w:val="004D785E"/>
    <w:rsid w:val="00513FC9"/>
    <w:rsid w:val="0053654E"/>
    <w:rsid w:val="00610196"/>
    <w:rsid w:val="00632A7E"/>
    <w:rsid w:val="00632AB6"/>
    <w:rsid w:val="006A20D7"/>
    <w:rsid w:val="00730B33"/>
    <w:rsid w:val="00772B2A"/>
    <w:rsid w:val="007B0BD0"/>
    <w:rsid w:val="007C672A"/>
    <w:rsid w:val="007D4368"/>
    <w:rsid w:val="00822666"/>
    <w:rsid w:val="00823ECC"/>
    <w:rsid w:val="00826796"/>
    <w:rsid w:val="00866C97"/>
    <w:rsid w:val="00882D07"/>
    <w:rsid w:val="008F30BE"/>
    <w:rsid w:val="008F73EA"/>
    <w:rsid w:val="009017AE"/>
    <w:rsid w:val="009C542D"/>
    <w:rsid w:val="00A01A18"/>
    <w:rsid w:val="00A95183"/>
    <w:rsid w:val="00AB4AF7"/>
    <w:rsid w:val="00AC0E6E"/>
    <w:rsid w:val="00AD7C4F"/>
    <w:rsid w:val="00B445F5"/>
    <w:rsid w:val="00BD40CB"/>
    <w:rsid w:val="00C362A2"/>
    <w:rsid w:val="00C90121"/>
    <w:rsid w:val="00C96E73"/>
    <w:rsid w:val="00CA1FE8"/>
    <w:rsid w:val="00CA344F"/>
    <w:rsid w:val="00CA660C"/>
    <w:rsid w:val="00CD2165"/>
    <w:rsid w:val="00D1676E"/>
    <w:rsid w:val="00DC0246"/>
    <w:rsid w:val="00E618A3"/>
    <w:rsid w:val="00E6518A"/>
    <w:rsid w:val="00F12197"/>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2B7C"/>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646F78563D274C3498F617A903A51C14">
    <w:name w:val="646F78563D274C3498F617A903A51C14"/>
    <w:rsid w:val="001A2B7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9F7F90E6C239F42B2564F20A8AAD4CE" ma:contentTypeVersion="8" ma:contentTypeDescription="Create a new document." ma:contentTypeScope="" ma:versionID="40f0f5d9b073a67672677cdbf390ce3b">
  <xsd:schema xmlns:xsd="http://www.w3.org/2001/XMLSchema" xmlns:xs="http://www.w3.org/2001/XMLSchema" xmlns:p="http://schemas.microsoft.com/office/2006/metadata/properties" xmlns:ns2="76bce2c7-2e52-4525-a6e0-24f8a73e605d" xmlns:ns3="64615f93-1352-4a7e-b7a8-3b07e39b2009" targetNamespace="http://schemas.microsoft.com/office/2006/metadata/properties" ma:root="true" ma:fieldsID="5bcb151596019b85dc59b2e0546d91e0" ns2:_="" ns3:_="">
    <xsd:import namespace="76bce2c7-2e52-4525-a6e0-24f8a73e605d"/>
    <xsd:import namespace="64615f93-1352-4a7e-b7a8-3b07e39b200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ce2c7-2e52-4525-a6e0-24f8a73e605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4615f93-1352-4a7e-b7a8-3b07e39b200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2.xml><?xml version="1.0" encoding="utf-8"?>
<ds:datastoreItem xmlns:ds="http://schemas.openxmlformats.org/officeDocument/2006/customXml" ds:itemID="{A64CDA18-6079-4D51-BA39-D0DA52839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ce2c7-2e52-4525-a6e0-24f8a73e605d"/>
    <ds:schemaRef ds:uri="64615f93-1352-4a7e-b7a8-3b07e39b200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00C901-3C40-4C03-AF30-8401D54B3554}">
  <ds:schemaRefs>
    <ds:schemaRef ds:uri="64615f93-1352-4a7e-b7a8-3b07e39b2009"/>
    <ds:schemaRef ds:uri="http://purl.org/dc/elements/1.1/"/>
    <ds:schemaRef ds:uri="76bce2c7-2e52-4525-a6e0-24f8a73e605d"/>
    <ds:schemaRef ds:uri="http://schemas.microsoft.com/office/2006/documentManagement/types"/>
    <ds:schemaRef ds:uri="http://purl.org/dc/terms/"/>
    <ds:schemaRef ds:uri="http://purl.org/dc/dcmitype/"/>
    <ds:schemaRef ds:uri="http://schemas.microsoft.com/office/2006/metadata/properties"/>
    <ds:schemaRef ds:uri="http://www.w3.org/XML/1998/namespace"/>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7EE66A4E-097F-45E3-A517-4EC098844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6668</Words>
  <Characters>38008</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44587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subject/>
  <dc:creator>Reva Winkler</dc:creator>
  <cp:keywords/>
  <cp:lastModifiedBy>Brittany Wade</cp:lastModifiedBy>
  <cp:revision>2</cp:revision>
  <dcterms:created xsi:type="dcterms:W3CDTF">2019-11-08T19:23:00Z</dcterms:created>
  <dcterms:modified xsi:type="dcterms:W3CDTF">2019-11-08T19:23:00Z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0x010100E9F7F90E6C239F42B2564F20A8AAD4CE</vt:lpwstr>
  </property>
</Properties>
</file>