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FC3" w:rsidRPr="00914BA1" w:rsidRDefault="00460FC3" w:rsidP="00BC225A">
      <w:pPr>
        <w:pStyle w:val="Body125"/>
        <w:spacing w:before="0" w:after="0"/>
        <w:ind w:firstLine="0"/>
        <w:rPr>
          <w:b/>
        </w:rPr>
      </w:pPr>
      <w:r w:rsidRPr="00914BA1">
        <w:rPr>
          <w:b/>
        </w:rPr>
        <w:t>Summary of change</w:t>
      </w:r>
      <w:r w:rsidR="004B1ACC" w:rsidRPr="00914BA1">
        <w:rPr>
          <w:b/>
        </w:rPr>
        <w:t>s</w:t>
      </w:r>
      <w:r w:rsidRPr="00914BA1">
        <w:rPr>
          <w:b/>
        </w:rPr>
        <w:t>:</w:t>
      </w:r>
    </w:p>
    <w:p w:rsidR="00C010DB" w:rsidRDefault="00460FC3" w:rsidP="00BC225A">
      <w:pPr>
        <w:pStyle w:val="Body125"/>
        <w:spacing w:before="0" w:after="0"/>
        <w:ind w:firstLine="0"/>
      </w:pPr>
      <w:r>
        <w:t xml:space="preserve">Currently </w:t>
      </w:r>
      <w:proofErr w:type="gramStart"/>
      <w:r>
        <w:t>the</w:t>
      </w:r>
      <w:r w:rsidR="00BC225A">
        <w:t xml:space="preserve"> </w:t>
      </w:r>
      <w:r w:rsidR="00914BA1">
        <w:t>”</w:t>
      </w:r>
      <w:proofErr w:type="gramEnd"/>
      <w:r w:rsidR="00914BA1">
        <w:t>Heart Failure</w:t>
      </w:r>
      <w:r w:rsidR="00BC225A">
        <w:t xml:space="preserve"> Symptoms Addressed”</w:t>
      </w:r>
      <w:r>
        <w:t xml:space="preserve"> measure assesses whether the clinician addressed a patient’s symptoms of heart failure when the clinician</w:t>
      </w:r>
      <w:r w:rsidR="004B1ACC">
        <w:t xml:space="preserve"> assessed</w:t>
      </w:r>
      <w:r>
        <w:t xml:space="preserve"> the patient </w:t>
      </w:r>
      <w:r w:rsidR="004B1ACC">
        <w:t>to have</w:t>
      </w:r>
      <w:r>
        <w:t xml:space="preserve"> symptoms </w:t>
      </w:r>
      <w:r w:rsidR="004B1ACC">
        <w:t>of</w:t>
      </w:r>
      <w:r>
        <w:t xml:space="preserve"> heart failure. </w:t>
      </w:r>
      <w:r w:rsidR="004B1ACC">
        <w:t xml:space="preserve">We </w:t>
      </w:r>
      <w:r w:rsidR="00C010DB">
        <w:t>have proposed</w:t>
      </w:r>
      <w:r w:rsidR="004B1ACC">
        <w:t xml:space="preserve"> revisions to the</w:t>
      </w:r>
      <w:r>
        <w:t xml:space="preserve"> m</w:t>
      </w:r>
      <w:r w:rsidR="00B21B41" w:rsidRPr="00B21B41">
        <w:t>easure specifications</w:t>
      </w:r>
      <w:r w:rsidR="00B21B41">
        <w:t xml:space="preserve"> s</w:t>
      </w:r>
      <w:r w:rsidR="00B21B41" w:rsidRPr="00B21B41">
        <w:t xml:space="preserve">o that agencies </w:t>
      </w:r>
      <w:r w:rsidR="00B21B41">
        <w:t xml:space="preserve">will </w:t>
      </w:r>
      <w:r w:rsidR="00B21B41" w:rsidRPr="00B21B41">
        <w:t xml:space="preserve">be held accountable for assessing heart failure symptoms in all patients with a diagnosis of heart failure, </w:t>
      </w:r>
      <w:r w:rsidR="00914BA1">
        <w:t>as well as</w:t>
      </w:r>
      <w:r w:rsidR="00B21B41" w:rsidRPr="00B21B41">
        <w:t xml:space="preserve"> addressing those symptoms</w:t>
      </w:r>
      <w:r>
        <w:t xml:space="preserve"> when they are present</w:t>
      </w:r>
      <w:r w:rsidR="00B21B41" w:rsidRPr="00B21B41">
        <w:t xml:space="preserve">.  </w:t>
      </w:r>
      <w:r w:rsidR="00C010DB">
        <w:t xml:space="preserve">In addition, the measure now applies to both short-term and long-term home health care episodes - </w:t>
      </w:r>
      <w:r w:rsidR="00C010DB" w:rsidRPr="00C010DB">
        <w:t>long-term home health care episodes</w:t>
      </w:r>
      <w:r w:rsidR="00C010DB">
        <w:t xml:space="preserve"> are no longer excluded. </w:t>
      </w:r>
    </w:p>
    <w:p w:rsidR="00914BA1" w:rsidRPr="00ED3357" w:rsidRDefault="00914BA1" w:rsidP="00914BA1">
      <w:pPr>
        <w:pStyle w:val="Caption"/>
      </w:pPr>
      <w:r w:rsidRPr="00ED3357">
        <w:t xml:space="preserve">Table </w:t>
      </w:r>
      <w:fldSimple w:instr=" SEQ Table \* ARABIC ">
        <w:r>
          <w:rPr>
            <w:noProof/>
          </w:rPr>
          <w:t>1</w:t>
        </w:r>
      </w:fldSimple>
      <w:r>
        <w:t>: Comparison of Revised</w:t>
      </w:r>
      <w:r w:rsidRPr="00ED3357">
        <w:t xml:space="preserve"> and Current Specifications </w:t>
      </w:r>
      <w:r>
        <w:t>for Measure 0521</w:t>
      </w:r>
    </w:p>
    <w:tbl>
      <w:tblPr>
        <w:tblStyle w:val="TableGrid"/>
        <w:tblW w:w="9555" w:type="dxa"/>
        <w:tblCellMar>
          <w:left w:w="58" w:type="dxa"/>
          <w:right w:w="58" w:type="dxa"/>
        </w:tblCellMar>
        <w:tblLook w:val="04A0" w:firstRow="1" w:lastRow="0" w:firstColumn="1" w:lastColumn="0" w:noHBand="0" w:noVBand="1"/>
      </w:tblPr>
      <w:tblGrid>
        <w:gridCol w:w="1452"/>
        <w:gridCol w:w="4053"/>
        <w:gridCol w:w="4050"/>
      </w:tblGrid>
      <w:tr w:rsidR="00914BA1" w:rsidRPr="00ED3357" w:rsidTr="006226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2" w:type="dxa"/>
          </w:tcPr>
          <w:p w:rsidR="00914BA1" w:rsidRPr="00ED3357" w:rsidRDefault="00914BA1" w:rsidP="00820387">
            <w:pPr>
              <w:pStyle w:val="Body"/>
              <w:spacing w:line="240" w:lineRule="auto"/>
              <w:ind w:firstLine="0"/>
              <w:rPr>
                <w:b w:val="0"/>
                <w:sz w:val="22"/>
                <w:szCs w:val="22"/>
              </w:rPr>
            </w:pPr>
            <w:r w:rsidRPr="00ED3357">
              <w:rPr>
                <w:sz w:val="22"/>
                <w:szCs w:val="22"/>
              </w:rPr>
              <w:t>Measure Components</w:t>
            </w:r>
          </w:p>
        </w:tc>
        <w:tc>
          <w:tcPr>
            <w:tcW w:w="4053" w:type="dxa"/>
          </w:tcPr>
          <w:p w:rsidR="00914BA1" w:rsidRPr="00ED3357" w:rsidRDefault="00914BA1" w:rsidP="00820387">
            <w:pPr>
              <w:pStyle w:val="Body"/>
              <w:spacing w:line="240" w:lineRule="auto"/>
              <w:ind w:firstLine="0"/>
              <w:cnfStyle w:val="100000000000" w:firstRow="1" w:lastRow="0" w:firstColumn="0" w:lastColumn="0" w:oddVBand="0" w:evenVBand="0" w:oddHBand="0" w:evenHBand="0" w:firstRowFirstColumn="0" w:firstRowLastColumn="0" w:lastRowFirstColumn="0" w:lastRowLastColumn="0"/>
              <w:rPr>
                <w:b w:val="0"/>
                <w:sz w:val="22"/>
                <w:szCs w:val="22"/>
              </w:rPr>
            </w:pPr>
            <w:r w:rsidRPr="00ED3357">
              <w:rPr>
                <w:sz w:val="22"/>
                <w:szCs w:val="22"/>
              </w:rPr>
              <w:t>Proposed Specifications</w:t>
            </w:r>
          </w:p>
        </w:tc>
        <w:tc>
          <w:tcPr>
            <w:tcW w:w="4050" w:type="dxa"/>
          </w:tcPr>
          <w:p w:rsidR="00914BA1" w:rsidRPr="00ED3357" w:rsidRDefault="00914BA1" w:rsidP="00914BA1">
            <w:pPr>
              <w:pStyle w:val="Body"/>
              <w:spacing w:line="240" w:lineRule="auto"/>
              <w:ind w:firstLine="0"/>
              <w:cnfStyle w:val="100000000000" w:firstRow="1" w:lastRow="0" w:firstColumn="0" w:lastColumn="0" w:oddVBand="0" w:evenVBand="0" w:oddHBand="0" w:evenHBand="0" w:firstRowFirstColumn="0" w:firstRowLastColumn="0" w:lastRowFirstColumn="0" w:lastRowLastColumn="0"/>
              <w:rPr>
                <w:b w:val="0"/>
                <w:sz w:val="22"/>
                <w:szCs w:val="22"/>
              </w:rPr>
            </w:pPr>
            <w:r w:rsidRPr="00ED3357">
              <w:rPr>
                <w:sz w:val="22"/>
                <w:szCs w:val="22"/>
              </w:rPr>
              <w:t>Current Specifications</w:t>
            </w:r>
          </w:p>
        </w:tc>
      </w:tr>
      <w:tr w:rsidR="00914BA1" w:rsidRPr="00ED3357" w:rsidTr="00622693">
        <w:tc>
          <w:tcPr>
            <w:cnfStyle w:val="001000000000" w:firstRow="0" w:lastRow="0" w:firstColumn="1" w:lastColumn="0" w:oddVBand="0" w:evenVBand="0" w:oddHBand="0" w:evenHBand="0" w:firstRowFirstColumn="0" w:firstRowLastColumn="0" w:lastRowFirstColumn="0" w:lastRowLastColumn="0"/>
            <w:tcW w:w="1452" w:type="dxa"/>
          </w:tcPr>
          <w:p w:rsidR="00914BA1" w:rsidRPr="00ED3357" w:rsidRDefault="00914BA1" w:rsidP="00820387">
            <w:pPr>
              <w:pStyle w:val="Body"/>
              <w:spacing w:line="240" w:lineRule="auto"/>
              <w:ind w:firstLine="0"/>
              <w:rPr>
                <w:sz w:val="22"/>
                <w:szCs w:val="22"/>
              </w:rPr>
            </w:pPr>
            <w:r w:rsidRPr="00ED3357">
              <w:rPr>
                <w:sz w:val="22"/>
                <w:szCs w:val="22"/>
              </w:rPr>
              <w:t>Description</w:t>
            </w:r>
          </w:p>
        </w:tc>
        <w:tc>
          <w:tcPr>
            <w:tcW w:w="4053" w:type="dxa"/>
          </w:tcPr>
          <w:p w:rsidR="00914BA1" w:rsidRPr="00914BA1" w:rsidRDefault="00914BA1" w:rsidP="00914BA1">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914BA1">
              <w:rPr>
                <w:sz w:val="22"/>
                <w:szCs w:val="22"/>
              </w:rPr>
              <w:t xml:space="preserve">Percentage of home health episodes of care during which patients with heart failure were assessed for symptoms of heart failure, and appropriate actions were taken when the patient exhibited symptoms of heart </w:t>
            </w:r>
            <w:proofErr w:type="gramStart"/>
            <w:r w:rsidRPr="00914BA1">
              <w:rPr>
                <w:sz w:val="22"/>
                <w:szCs w:val="22"/>
              </w:rPr>
              <w:t>failure .</w:t>
            </w:r>
            <w:proofErr w:type="gramEnd"/>
          </w:p>
        </w:tc>
        <w:tc>
          <w:tcPr>
            <w:tcW w:w="4050" w:type="dxa"/>
            <w:vAlign w:val="top"/>
          </w:tcPr>
          <w:p w:rsidR="00914BA1" w:rsidRPr="00ED3357" w:rsidRDefault="00914BA1" w:rsidP="00914BA1">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Percentage of home health episodes of care during which patients exhibited symptoms of heart failure and appropriate actions were taken</w:t>
            </w:r>
            <w:r>
              <w:rPr>
                <w:sz w:val="22"/>
                <w:szCs w:val="22"/>
              </w:rPr>
              <w:t xml:space="preserve"> (since the previous OASIS assessment)</w:t>
            </w:r>
            <w:r w:rsidRPr="00ED3357">
              <w:rPr>
                <w:sz w:val="22"/>
                <w:szCs w:val="22"/>
              </w:rPr>
              <w:t>.</w:t>
            </w:r>
          </w:p>
        </w:tc>
      </w:tr>
      <w:tr w:rsidR="00914BA1" w:rsidRPr="00ED3357" w:rsidTr="00622693">
        <w:tc>
          <w:tcPr>
            <w:cnfStyle w:val="001000000000" w:firstRow="0" w:lastRow="0" w:firstColumn="1" w:lastColumn="0" w:oddVBand="0" w:evenVBand="0" w:oddHBand="0" w:evenHBand="0" w:firstRowFirstColumn="0" w:firstRowLastColumn="0" w:lastRowFirstColumn="0" w:lastRowLastColumn="0"/>
            <w:tcW w:w="1452" w:type="dxa"/>
          </w:tcPr>
          <w:p w:rsidR="00914BA1" w:rsidRPr="00ED3357" w:rsidRDefault="00914BA1" w:rsidP="00820387">
            <w:pPr>
              <w:pStyle w:val="Body"/>
              <w:spacing w:line="240" w:lineRule="auto"/>
              <w:ind w:firstLine="0"/>
              <w:rPr>
                <w:sz w:val="22"/>
                <w:szCs w:val="22"/>
              </w:rPr>
            </w:pPr>
            <w:r w:rsidRPr="00ED3357">
              <w:rPr>
                <w:sz w:val="22"/>
                <w:szCs w:val="22"/>
              </w:rPr>
              <w:t>Numerator</w:t>
            </w:r>
          </w:p>
        </w:tc>
        <w:tc>
          <w:tcPr>
            <w:tcW w:w="4053" w:type="dxa"/>
          </w:tcPr>
          <w:p w:rsidR="00914BA1" w:rsidRPr="00914BA1" w:rsidRDefault="00914BA1" w:rsidP="00914BA1">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914BA1">
              <w:rPr>
                <w:sz w:val="22"/>
                <w:szCs w:val="22"/>
              </w:rPr>
              <w:t>Number of home health episodes of care during which patients with heart failure were assessed for symptoms of heart failure and appropriate actions were taken when the patient exhibited symptoms of heart failure.</w:t>
            </w:r>
          </w:p>
        </w:tc>
        <w:tc>
          <w:tcPr>
            <w:tcW w:w="4050" w:type="dxa"/>
            <w:vAlign w:val="top"/>
          </w:tcPr>
          <w:p w:rsidR="00914BA1" w:rsidRPr="00ED3357" w:rsidRDefault="00914BA1" w:rsidP="00914BA1">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Number of home health episodes of care during which patients exhibited symptoms of heart failure and appropriate actions were taken</w:t>
            </w:r>
            <w:r>
              <w:rPr>
                <w:sz w:val="22"/>
                <w:szCs w:val="22"/>
              </w:rPr>
              <w:t xml:space="preserve"> (since the previous OASIS assessment)</w:t>
            </w:r>
            <w:r w:rsidRPr="00ED3357">
              <w:rPr>
                <w:sz w:val="22"/>
                <w:szCs w:val="22"/>
              </w:rPr>
              <w:t>.</w:t>
            </w:r>
          </w:p>
        </w:tc>
      </w:tr>
      <w:tr w:rsidR="00914BA1" w:rsidRPr="00ED3357" w:rsidTr="00622693">
        <w:tc>
          <w:tcPr>
            <w:cnfStyle w:val="001000000000" w:firstRow="0" w:lastRow="0" w:firstColumn="1" w:lastColumn="0" w:oddVBand="0" w:evenVBand="0" w:oddHBand="0" w:evenHBand="0" w:firstRowFirstColumn="0" w:firstRowLastColumn="0" w:lastRowFirstColumn="0" w:lastRowLastColumn="0"/>
            <w:tcW w:w="1452" w:type="dxa"/>
          </w:tcPr>
          <w:p w:rsidR="00914BA1" w:rsidRPr="00ED3357" w:rsidRDefault="00914BA1" w:rsidP="00820387">
            <w:pPr>
              <w:pStyle w:val="Body"/>
              <w:spacing w:line="240" w:lineRule="auto"/>
              <w:ind w:firstLine="0"/>
              <w:rPr>
                <w:sz w:val="22"/>
                <w:szCs w:val="22"/>
              </w:rPr>
            </w:pPr>
            <w:r w:rsidRPr="00ED3357">
              <w:rPr>
                <w:sz w:val="22"/>
                <w:szCs w:val="22"/>
              </w:rPr>
              <w:t>Denominator</w:t>
            </w:r>
          </w:p>
        </w:tc>
        <w:tc>
          <w:tcPr>
            <w:tcW w:w="4053" w:type="dxa"/>
          </w:tcPr>
          <w:p w:rsidR="00914BA1" w:rsidRPr="00914BA1" w:rsidRDefault="00914BA1" w:rsidP="00820387">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914BA1">
              <w:rPr>
                <w:sz w:val="22"/>
                <w:szCs w:val="22"/>
              </w:rPr>
              <w:t>Number of home health episodes of care ending with a discharge or transfer to inpatient facility during the reporting period for patients with a diagnosis of heart failure, other than those covered by generic or measure-specific exclusions.</w:t>
            </w:r>
          </w:p>
        </w:tc>
        <w:tc>
          <w:tcPr>
            <w:tcW w:w="4050" w:type="dxa"/>
            <w:vAlign w:val="top"/>
          </w:tcPr>
          <w:p w:rsidR="00914BA1" w:rsidRPr="00ED3357" w:rsidRDefault="00914BA1" w:rsidP="00914BA1">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Number of home health episodes of care ending with a discharge or transfer to inpatient facility during the reporting period, other than those covered by generic or measure-specific exclusions.</w:t>
            </w:r>
          </w:p>
        </w:tc>
      </w:tr>
      <w:tr w:rsidR="00914BA1" w:rsidRPr="00ED3357" w:rsidTr="00622693">
        <w:tc>
          <w:tcPr>
            <w:cnfStyle w:val="001000000000" w:firstRow="0" w:lastRow="0" w:firstColumn="1" w:lastColumn="0" w:oddVBand="0" w:evenVBand="0" w:oddHBand="0" w:evenHBand="0" w:firstRowFirstColumn="0" w:firstRowLastColumn="0" w:lastRowFirstColumn="0" w:lastRowLastColumn="0"/>
            <w:tcW w:w="1452" w:type="dxa"/>
          </w:tcPr>
          <w:p w:rsidR="00914BA1" w:rsidRPr="00ED3357" w:rsidRDefault="00914BA1" w:rsidP="00820387">
            <w:pPr>
              <w:pStyle w:val="Body"/>
              <w:spacing w:line="240" w:lineRule="auto"/>
              <w:ind w:firstLine="0"/>
              <w:rPr>
                <w:sz w:val="22"/>
                <w:szCs w:val="22"/>
              </w:rPr>
            </w:pPr>
            <w:r w:rsidRPr="00ED3357">
              <w:rPr>
                <w:sz w:val="22"/>
                <w:szCs w:val="22"/>
              </w:rPr>
              <w:t>Measure-specific Exclusions</w:t>
            </w:r>
          </w:p>
        </w:tc>
        <w:tc>
          <w:tcPr>
            <w:tcW w:w="4053" w:type="dxa"/>
          </w:tcPr>
          <w:p w:rsidR="00914BA1" w:rsidRPr="00914BA1" w:rsidRDefault="00914BA1" w:rsidP="00820387">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914BA1">
              <w:rPr>
                <w:sz w:val="22"/>
                <w:szCs w:val="22"/>
              </w:rPr>
              <w:t>Home health episodes for which patient does not have heart failure diagnosis OR patient died.</w:t>
            </w:r>
          </w:p>
        </w:tc>
        <w:tc>
          <w:tcPr>
            <w:tcW w:w="4050" w:type="dxa"/>
            <w:vAlign w:val="top"/>
          </w:tcPr>
          <w:p w:rsidR="00914BA1" w:rsidRPr="00ED3357" w:rsidRDefault="00914BA1" w:rsidP="00914BA1">
            <w:pPr>
              <w:pStyle w:val="Body"/>
              <w:spacing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 xml:space="preserve">Home health </w:t>
            </w:r>
            <w:proofErr w:type="gramStart"/>
            <w:r w:rsidRPr="00ED3357">
              <w:rPr>
                <w:sz w:val="22"/>
                <w:szCs w:val="22"/>
              </w:rPr>
              <w:t>episodes for which patient does</w:t>
            </w:r>
            <w:proofErr w:type="gramEnd"/>
            <w:r w:rsidRPr="00ED3357">
              <w:rPr>
                <w:sz w:val="22"/>
                <w:szCs w:val="22"/>
              </w:rPr>
              <w:t xml:space="preserve"> not have heart failure diagnosis, OR heart failure symptoms were not assessed, OR no heart failure symptoms exhibited since the previous assessment, OR patient died.</w:t>
            </w:r>
          </w:p>
        </w:tc>
      </w:tr>
      <w:tr w:rsidR="00914BA1" w:rsidRPr="00ED3357" w:rsidTr="00622693">
        <w:tc>
          <w:tcPr>
            <w:cnfStyle w:val="001000000000" w:firstRow="0" w:lastRow="0" w:firstColumn="1" w:lastColumn="0" w:oddVBand="0" w:evenVBand="0" w:oddHBand="0" w:evenHBand="0" w:firstRowFirstColumn="0" w:firstRowLastColumn="0" w:lastRowFirstColumn="0" w:lastRowLastColumn="0"/>
            <w:tcW w:w="1452" w:type="dxa"/>
          </w:tcPr>
          <w:p w:rsidR="00914BA1" w:rsidRPr="00ED3357" w:rsidRDefault="00914BA1" w:rsidP="00820387">
            <w:pPr>
              <w:pStyle w:val="Body"/>
              <w:spacing w:line="240" w:lineRule="auto"/>
              <w:ind w:firstLine="0"/>
              <w:rPr>
                <w:sz w:val="22"/>
                <w:szCs w:val="22"/>
              </w:rPr>
            </w:pPr>
            <w:r w:rsidRPr="00ED3357">
              <w:rPr>
                <w:sz w:val="22"/>
                <w:szCs w:val="22"/>
              </w:rPr>
              <w:t>OASIS C Item(s) Used</w:t>
            </w:r>
          </w:p>
        </w:tc>
        <w:tc>
          <w:tcPr>
            <w:tcW w:w="4053" w:type="dxa"/>
          </w:tcPr>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(M0100) Reason for Assessment</w:t>
            </w:r>
          </w:p>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w:t>
            </w:r>
            <w:r>
              <w:rPr>
                <w:sz w:val="22"/>
                <w:szCs w:val="22"/>
              </w:rPr>
              <w:t>1020</w:t>
            </w:r>
            <w:r w:rsidRPr="00ED3357">
              <w:rPr>
                <w:sz w:val="22"/>
                <w:szCs w:val="22"/>
              </w:rPr>
              <w:t>) Primary Diagnosis and ICD Code</w:t>
            </w:r>
            <w:r w:rsidR="00622693">
              <w:rPr>
                <w:sz w:val="22"/>
                <w:szCs w:val="22"/>
              </w:rPr>
              <w:t>*</w:t>
            </w:r>
          </w:p>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w:t>
            </w:r>
            <w:r>
              <w:rPr>
                <w:sz w:val="22"/>
                <w:szCs w:val="22"/>
              </w:rPr>
              <w:t>M1022</w:t>
            </w:r>
            <w:r w:rsidRPr="00ED3357">
              <w:rPr>
                <w:sz w:val="22"/>
                <w:szCs w:val="22"/>
              </w:rPr>
              <w:t>) Other Diagnoses and ICD Codes</w:t>
            </w:r>
            <w:r w:rsidR="00622693">
              <w:rPr>
                <w:sz w:val="22"/>
                <w:szCs w:val="22"/>
              </w:rPr>
              <w:t>*</w:t>
            </w:r>
          </w:p>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(M1500) Symptoms in Heart Failure Patients</w:t>
            </w:r>
          </w:p>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(M1510) Heart Failure Follow-up</w:t>
            </w:r>
          </w:p>
        </w:tc>
        <w:tc>
          <w:tcPr>
            <w:tcW w:w="4050" w:type="dxa"/>
            <w:vAlign w:val="top"/>
          </w:tcPr>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(M0100) Reason for Assessment</w:t>
            </w:r>
          </w:p>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(M1500) Symptoms in Heart Failure Patients</w:t>
            </w:r>
          </w:p>
          <w:p w:rsidR="00914BA1" w:rsidRPr="00ED3357" w:rsidRDefault="00914BA1" w:rsidP="00914BA1">
            <w:pPr>
              <w:pStyle w:val="Body"/>
              <w:spacing w:after="0" w:line="240" w:lineRule="auto"/>
              <w:ind w:firstLine="0"/>
              <w:jc w:val="left"/>
              <w:cnfStyle w:val="000000000000" w:firstRow="0" w:lastRow="0" w:firstColumn="0" w:lastColumn="0" w:oddVBand="0" w:evenVBand="0" w:oddHBand="0" w:evenHBand="0" w:firstRowFirstColumn="0" w:firstRowLastColumn="0" w:lastRowFirstColumn="0" w:lastRowLastColumn="0"/>
              <w:rPr>
                <w:sz w:val="22"/>
                <w:szCs w:val="22"/>
              </w:rPr>
            </w:pPr>
            <w:r w:rsidRPr="00ED3357">
              <w:rPr>
                <w:sz w:val="22"/>
                <w:szCs w:val="22"/>
              </w:rPr>
              <w:t>(M1510) Heart Failure Follow-up</w:t>
            </w:r>
          </w:p>
        </w:tc>
      </w:tr>
    </w:tbl>
    <w:p w:rsidR="00622693" w:rsidRDefault="00622693" w:rsidP="00914BA1">
      <w:pPr>
        <w:pStyle w:val="Body125"/>
        <w:ind w:firstLine="0"/>
      </w:pPr>
      <w:r>
        <w:t xml:space="preserve">* </w:t>
      </w:r>
      <w:r w:rsidRPr="00622693">
        <w:t xml:space="preserve">See Table 8 for a list of the relevant ICD-9 and ICD-10 codes </w:t>
      </w:r>
    </w:p>
    <w:p w:rsidR="00914BA1" w:rsidRPr="00914BA1" w:rsidRDefault="00914BA1" w:rsidP="00914BA1">
      <w:pPr>
        <w:pStyle w:val="Body125"/>
        <w:ind w:firstLine="0"/>
      </w:pPr>
      <w:r w:rsidRPr="00914BA1">
        <w:lastRenderedPageBreak/>
        <w:t xml:space="preserve">Using existing specifications, patients with heart failure are identified as those having a response (other than “N/A”) on OASIS item M1500. Although M1500 (Symptoms in Heart Failure Patients) is applicable for all heart failure patients, recent analyses conducted by Acumen suggest that a substantial number of patients marked “N/A – Patient does not have a diagnosis of heart failure” on item M1500 actually have a diagnosis of heart failure indicated on M1020 or M1022.  The revised specifications </w:t>
      </w:r>
    </w:p>
    <w:p w:rsidR="00914BA1" w:rsidRPr="00914BA1" w:rsidRDefault="00914BA1" w:rsidP="00914BA1">
      <w:pPr>
        <w:pStyle w:val="Body125"/>
        <w:ind w:firstLine="0"/>
      </w:pPr>
      <w:r w:rsidRPr="00914BA1">
        <w:t xml:space="preserve">With the proposed changes, the measure denominator will be defined as all home health episodes for patients with heart failure.  Patients with heart failure are identified based on having a response (other than “N/A”) on M1500 and/or having ICD-9 codes corresponding to heart failure (see Attachment B ) included on M1020 (i.e., primary home health diagnosis) or M1022 (i.e., additional home health diagnoses). Combining information from all three items is necessary to correctly identify patients with heart failure. </w:t>
      </w:r>
    </w:p>
    <w:p w:rsidR="00914BA1" w:rsidRPr="00914BA1" w:rsidRDefault="00914BA1" w:rsidP="00914BA1">
      <w:pPr>
        <w:pStyle w:val="Body125"/>
        <w:ind w:firstLine="0"/>
      </w:pPr>
      <w:r w:rsidRPr="00914BA1">
        <w:t xml:space="preserve">For all home health episodes in the measure denominator, the proposed measure logic then considers whether symptoms were found to be present at any point since the previous OASIS assessment (M1500).  If M1500 indicates no symptoms, the value of Heart Failure Symptoms Addressed is set to 1. If M1500 indicates symptoms, the logic then considers whether any action was taken during follow-up (M1510). M1510 values affirming follow-up action will set the measure value to 1, while no indication of action taken will set the measure to 0. Finally, if M1500 takes a value of 2 (Not Assessed) or NA (Patient does not have a diagnosis of heart failure), the measure is set to 0. </w:t>
      </w:r>
    </w:p>
    <w:p w:rsidR="00C6775F" w:rsidRPr="00914BA1" w:rsidRDefault="00C6775F" w:rsidP="00C6775F">
      <w:pPr>
        <w:pStyle w:val="Body125"/>
        <w:ind w:firstLine="0"/>
        <w:rPr>
          <w:b/>
        </w:rPr>
      </w:pPr>
      <w:r w:rsidRPr="00914BA1">
        <w:rPr>
          <w:b/>
        </w:rPr>
        <w:t>Opportunity for Improvement</w:t>
      </w:r>
    </w:p>
    <w:p w:rsidR="00C6775F" w:rsidRDefault="00C6775F" w:rsidP="00C6775F">
      <w:pPr>
        <w:pStyle w:val="Body125"/>
        <w:ind w:firstLine="0"/>
      </w:pPr>
      <w:r>
        <w:t>The measure, as currently specified, holds agencies accountable</w:t>
      </w:r>
      <w:r w:rsidRPr="00C614E7">
        <w:t xml:space="preserve"> only </w:t>
      </w:r>
      <w:r>
        <w:t xml:space="preserve">for addressing symptoms in </w:t>
      </w:r>
      <w:r w:rsidRPr="00C614E7">
        <w:t>patients who exh</w:t>
      </w:r>
      <w:r>
        <w:t xml:space="preserve">ibit symptoms of heart failure. </w:t>
      </w:r>
      <w:r w:rsidR="00C977C7" w:rsidRPr="00C614E7">
        <w:t xml:space="preserve">Using OASIS assessments from July 1, 2012 through June 30, 2013, </w:t>
      </w:r>
      <w:r w:rsidR="00B21B41">
        <w:t>we</w:t>
      </w:r>
      <w:r w:rsidR="00C977C7" w:rsidRPr="00C614E7">
        <w:t xml:space="preserve"> </w:t>
      </w:r>
      <w:r w:rsidR="00C62410">
        <w:t xml:space="preserve">calculated home health agencies’ performance rates for the </w:t>
      </w:r>
      <w:r w:rsidR="00C62410" w:rsidRPr="00C614E7">
        <w:t xml:space="preserve">measure </w:t>
      </w:r>
      <w:r>
        <w:t xml:space="preserve">using the existing specifications </w:t>
      </w:r>
      <w:r w:rsidR="00C62410">
        <w:t xml:space="preserve">and </w:t>
      </w:r>
      <w:r w:rsidR="00C977C7" w:rsidRPr="00C614E7">
        <w:t>found high levels of performance with little variation in the measure scores across agencies and therefo</w:t>
      </w:r>
      <w:r w:rsidR="008A776D">
        <w:t>re, little room for improvement. A</w:t>
      </w:r>
      <w:r w:rsidR="00C977C7" w:rsidRPr="00C614E7">
        <w:t>s shown in</w:t>
      </w:r>
      <w:r w:rsidR="004C3FD5">
        <w:t xml:space="preserve"> Table </w:t>
      </w:r>
      <w:r w:rsidR="00C62410">
        <w:t>3</w:t>
      </w:r>
      <w:r w:rsidR="00B21B41">
        <w:t xml:space="preserve"> of this attachment</w:t>
      </w:r>
      <w:r w:rsidR="00C977C7" w:rsidRPr="00C614E7">
        <w:t xml:space="preserve">, the average agency rate </w:t>
      </w:r>
      <w:r w:rsidR="00B21B41">
        <w:t xml:space="preserve">with the current specifications </w:t>
      </w:r>
      <w:r w:rsidR="00C977C7" w:rsidRPr="00C614E7">
        <w:t xml:space="preserve">is </w:t>
      </w:r>
      <w:r w:rsidR="00C977C7" w:rsidRPr="00F93482">
        <w:rPr>
          <w:b/>
        </w:rPr>
        <w:t>98.0</w:t>
      </w:r>
      <w:r w:rsidR="00C977C7" w:rsidRPr="00C614E7">
        <w:t xml:space="preserve"> percent across agencies with at least 20 valid </w:t>
      </w:r>
      <w:r w:rsidR="008A776D">
        <w:t>episodes of care</w:t>
      </w:r>
      <w:r w:rsidR="00C977C7" w:rsidRPr="00C614E7">
        <w:t xml:space="preserve">.  </w:t>
      </w:r>
    </w:p>
    <w:p w:rsidR="00C6775F" w:rsidRPr="00C6775F" w:rsidRDefault="00C6775F" w:rsidP="00C6775F">
      <w:pPr>
        <w:pStyle w:val="Body125"/>
        <w:ind w:firstLine="0"/>
      </w:pPr>
      <w:r>
        <w:t>W</w:t>
      </w:r>
      <w:r w:rsidRPr="00C6775F">
        <w:t xml:space="preserve">e are proposing changes to </w:t>
      </w:r>
      <w:r>
        <w:t xml:space="preserve">the </w:t>
      </w:r>
      <w:r w:rsidRPr="00C6775F">
        <w:t xml:space="preserve">measure so that agencies will be held accountable both for assessing heart failure symptoms in all patients with a diagnosis of heart failure, in addition to addressing those symptoms. </w:t>
      </w:r>
      <w:r>
        <w:t>These proposed changes raise</w:t>
      </w:r>
      <w:r w:rsidRPr="00C614E7">
        <w:t xml:space="preserve"> the quality standards required to meet the measure criteria </w:t>
      </w:r>
      <w:r>
        <w:t>and this is reflected in a greater</w:t>
      </w:r>
      <w:r w:rsidR="00C977C7" w:rsidRPr="00C614E7">
        <w:t xml:space="preserve"> opportunity for improvement </w:t>
      </w:r>
      <w:r w:rsidR="00B21B41">
        <w:t>for this measure</w:t>
      </w:r>
      <w:r>
        <w:t>.</w:t>
      </w:r>
      <w:r w:rsidRPr="00C6775F">
        <w:t xml:space="preserve"> </w:t>
      </w:r>
    </w:p>
    <w:p w:rsidR="002A1B92" w:rsidRDefault="002A1B92" w:rsidP="00914BA1">
      <w:pPr>
        <w:pStyle w:val="Body"/>
        <w:ind w:firstLine="0"/>
      </w:pPr>
      <w:r w:rsidRPr="00ED3357">
        <w:t xml:space="preserve">Using OASIS assessments from July 1, 2012 through June 30, 2013, Acumen calculated the measure rates using the </w:t>
      </w:r>
      <w:r>
        <w:t>revised</w:t>
      </w:r>
      <w:r w:rsidRPr="00ED3357">
        <w:t xml:space="preserve"> specifications, and found evidence that the revision to the measure specifications would increase the opportunity for agencies to improve their care delivery for patients at risk of heart failure.  </w:t>
      </w:r>
    </w:p>
    <w:p w:rsidR="002A1B92" w:rsidRDefault="002A1B92" w:rsidP="00914BA1">
      <w:pPr>
        <w:pStyle w:val="Body"/>
        <w:ind w:firstLine="0"/>
      </w:pPr>
      <w:r>
        <w:lastRenderedPageBreak/>
        <w:t>Table 2 s</w:t>
      </w:r>
      <w:r w:rsidRPr="00ED3357">
        <w:t xml:space="preserve">hows the distribution of observed rates and numerator and denominator counts of the </w:t>
      </w:r>
      <w:r w:rsidRPr="00ED3357">
        <w:rPr>
          <w:i/>
        </w:rPr>
        <w:t>Heart Failure Symptoms Addressed</w:t>
      </w:r>
      <w:r w:rsidRPr="00ED3357">
        <w:t xml:space="preserve"> measure</w:t>
      </w:r>
      <w:r>
        <w:t xml:space="preserve"> under the revised</w:t>
      </w:r>
      <w:r w:rsidRPr="00ED3357">
        <w:t xml:space="preserve"> and current measure specifications</w:t>
      </w:r>
      <w:r>
        <w:t>,</w:t>
      </w:r>
      <w:r w:rsidRPr="00BC2DB3">
        <w:t xml:space="preserve"> </w:t>
      </w:r>
      <w:r w:rsidRPr="00ED3357">
        <w:t>by po</w:t>
      </w:r>
      <w:r>
        <w:t>pulation group</w:t>
      </w:r>
      <w:r w:rsidRPr="00ED3357">
        <w:t xml:space="preserve">. </w:t>
      </w:r>
      <w:r>
        <w:t xml:space="preserve"> Overall, </w:t>
      </w:r>
      <w:r w:rsidRPr="00ED3357">
        <w:t xml:space="preserve">implementing the </w:t>
      </w:r>
      <w:r>
        <w:t>revised</w:t>
      </w:r>
      <w:r w:rsidRPr="00ED3357">
        <w:t xml:space="preserve"> specification</w:t>
      </w:r>
      <w:r>
        <w:t xml:space="preserve"> causes the average performance rate to decrease from 98.0 percent to 92.6 percent among all patients, and by several percentage points across all population groups</w:t>
      </w:r>
      <w:r w:rsidRPr="00ED3357">
        <w:t xml:space="preserve">. </w:t>
      </w:r>
      <w:r>
        <w:t xml:space="preserve"> The </w:t>
      </w:r>
      <w:r w:rsidRPr="00ED3357">
        <w:t>denom</w:t>
      </w:r>
      <w:r>
        <w:t>inator under the revised specifications</w:t>
      </w:r>
      <w:r w:rsidRPr="00ED3357">
        <w:t xml:space="preserve"> </w:t>
      </w:r>
      <w:r>
        <w:t>is larger across all population groups because</w:t>
      </w:r>
      <w:r w:rsidRPr="00ED3357">
        <w:t xml:space="preserve"> </w:t>
      </w:r>
      <w:r>
        <w:t>it includes</w:t>
      </w:r>
      <w:r w:rsidRPr="00ED3357">
        <w:t xml:space="preserve"> all patients with a diagnosis of heart failure and with symptoms assessed, compared to the current inclusion criteria of all patients who exhibited symptoms </w:t>
      </w:r>
      <w:r>
        <w:t>since</w:t>
      </w:r>
      <w:r w:rsidRPr="00ED3357">
        <w:t xml:space="preserve"> the previous assessment. </w:t>
      </w:r>
      <w:r>
        <w:t xml:space="preserve"> </w:t>
      </w:r>
      <w:r w:rsidRPr="00ED3357">
        <w:t>There were no apparent differences in the effect of revising the specification logic between</w:t>
      </w:r>
      <w:r>
        <w:t xml:space="preserve"> groups within the population categories of</w:t>
      </w:r>
      <w:r w:rsidRPr="00ED3357">
        <w:t xml:space="preserve"> race, age, and region groups. However, for the agency size category</w:t>
      </w:r>
      <w:r>
        <w:t>,</w:t>
      </w:r>
      <w:r w:rsidRPr="00ED3357">
        <w:t xml:space="preserve"> we observed a relatively larger decrease in measure performance for patients in large agencies compared to patients in smaller agencies</w:t>
      </w:r>
      <w:r>
        <w:t xml:space="preserve"> as a result of the proposed</w:t>
      </w:r>
      <w:r w:rsidRPr="00ED3357">
        <w:t xml:space="preserve">. Further investigation into the factors associated with this difference may be warranted. </w:t>
      </w:r>
    </w:p>
    <w:p w:rsidR="002A1B92" w:rsidRPr="00ED3357" w:rsidRDefault="002A1B92" w:rsidP="002A1B92">
      <w:pPr>
        <w:pStyle w:val="Caption"/>
      </w:pPr>
      <w:bookmarkStart w:id="0" w:name="_Ref246480228"/>
      <w:r w:rsidRPr="00ED3357">
        <w:t xml:space="preserve">Table </w:t>
      </w:r>
      <w:fldSimple w:instr=" SEQ Table \* ARABIC ">
        <w:r>
          <w:rPr>
            <w:noProof/>
          </w:rPr>
          <w:t>2</w:t>
        </w:r>
      </w:fldSimple>
      <w:bookmarkEnd w:id="0"/>
      <w:r w:rsidRPr="00ED3357">
        <w:t xml:space="preserve">: Observed Rates of </w:t>
      </w:r>
      <w:r w:rsidRPr="00ED3357">
        <w:rPr>
          <w:i/>
        </w:rPr>
        <w:t xml:space="preserve">Heart Failure Symptoms Addressed </w:t>
      </w:r>
      <w:r w:rsidRPr="00ED3357">
        <w:t>by Population Group</w:t>
      </w:r>
    </w:p>
    <w:tbl>
      <w:tblPr>
        <w:tblStyle w:val="TableGrid"/>
        <w:tblW w:w="10405" w:type="dxa"/>
        <w:jc w:val="center"/>
        <w:tblInd w:w="436" w:type="dxa"/>
        <w:tblLook w:val="04A0" w:firstRow="1" w:lastRow="0" w:firstColumn="1" w:lastColumn="0" w:noHBand="0" w:noVBand="1"/>
      </w:tblPr>
      <w:tblGrid>
        <w:gridCol w:w="1168"/>
        <w:gridCol w:w="1425"/>
        <w:gridCol w:w="1528"/>
        <w:gridCol w:w="1333"/>
        <w:gridCol w:w="1160"/>
        <w:gridCol w:w="1080"/>
        <w:gridCol w:w="1477"/>
        <w:gridCol w:w="1234"/>
      </w:tblGrid>
      <w:tr w:rsidR="002A1B92" w:rsidRPr="00ED3357" w:rsidTr="00820387">
        <w:trPr>
          <w:cnfStyle w:val="100000000000" w:firstRow="1" w:lastRow="0" w:firstColumn="0" w:lastColumn="0" w:oddVBand="0" w:evenVBand="0" w:oddHBand="0"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2593" w:type="dxa"/>
            <w:gridSpan w:val="2"/>
            <w:vMerge w:val="restart"/>
            <w:noWrap/>
            <w:hideMark/>
          </w:tcPr>
          <w:p w:rsidR="002A1B92" w:rsidRPr="00F93482" w:rsidRDefault="002A1B92" w:rsidP="00820387">
            <w:pPr>
              <w:spacing w:line="276" w:lineRule="auto"/>
              <w:ind w:left="0"/>
              <w:rPr>
                <w:b w:val="0"/>
                <w:bCs/>
              </w:rPr>
            </w:pPr>
            <w:r w:rsidRPr="00F93482">
              <w:rPr>
                <w:bCs/>
              </w:rPr>
              <w:t>Population Group</w:t>
            </w:r>
          </w:p>
        </w:tc>
        <w:tc>
          <w:tcPr>
            <w:tcW w:w="2861" w:type="dxa"/>
            <w:gridSpan w:val="2"/>
            <w:tcBorders>
              <w:bottom w:val="single" w:sz="4" w:space="0" w:color="auto"/>
            </w:tcBorders>
            <w:noWrap/>
            <w:hideMark/>
          </w:tcPr>
          <w:p w:rsidR="002A1B92" w:rsidRPr="00F93482" w:rsidRDefault="002A1B92" w:rsidP="00820387">
            <w:pPr>
              <w:spacing w:line="276" w:lineRule="auto"/>
              <w:cnfStyle w:val="100000000000" w:firstRow="1" w:lastRow="0" w:firstColumn="0" w:lastColumn="0" w:oddVBand="0" w:evenVBand="0" w:oddHBand="0" w:evenHBand="0" w:firstRowFirstColumn="0" w:firstRowLastColumn="0" w:lastRowFirstColumn="0" w:lastRowLastColumn="0"/>
              <w:rPr>
                <w:b w:val="0"/>
                <w:bCs/>
              </w:rPr>
            </w:pPr>
            <w:r w:rsidRPr="00F93482">
              <w:rPr>
                <w:bCs/>
              </w:rPr>
              <w:t>Observed Rate</w:t>
            </w:r>
          </w:p>
        </w:tc>
        <w:tc>
          <w:tcPr>
            <w:tcW w:w="2240" w:type="dxa"/>
            <w:gridSpan w:val="2"/>
            <w:tcBorders>
              <w:bottom w:val="single" w:sz="4" w:space="0" w:color="auto"/>
            </w:tcBorders>
            <w:noWrap/>
            <w:hideMark/>
          </w:tcPr>
          <w:p w:rsidR="002A1B92" w:rsidRPr="00F93482" w:rsidRDefault="002A1B92" w:rsidP="00820387">
            <w:pPr>
              <w:spacing w:line="276" w:lineRule="auto"/>
              <w:cnfStyle w:val="100000000000" w:firstRow="1" w:lastRow="0" w:firstColumn="0" w:lastColumn="0" w:oddVBand="0" w:evenVBand="0" w:oddHBand="0" w:evenHBand="0" w:firstRowFirstColumn="0" w:firstRowLastColumn="0" w:lastRowFirstColumn="0" w:lastRowLastColumn="0"/>
              <w:rPr>
                <w:b w:val="0"/>
                <w:bCs/>
              </w:rPr>
            </w:pPr>
            <w:r w:rsidRPr="00F93482">
              <w:rPr>
                <w:bCs/>
              </w:rPr>
              <w:t>Numerator</w:t>
            </w:r>
          </w:p>
        </w:tc>
        <w:tc>
          <w:tcPr>
            <w:tcW w:w="2711" w:type="dxa"/>
            <w:gridSpan w:val="2"/>
            <w:tcBorders>
              <w:bottom w:val="single" w:sz="4" w:space="0" w:color="auto"/>
            </w:tcBorders>
            <w:noWrap/>
            <w:hideMark/>
          </w:tcPr>
          <w:p w:rsidR="002A1B92" w:rsidRPr="00F93482" w:rsidRDefault="002A1B92" w:rsidP="00820387">
            <w:pPr>
              <w:spacing w:line="276" w:lineRule="auto"/>
              <w:cnfStyle w:val="100000000000" w:firstRow="1" w:lastRow="0" w:firstColumn="0" w:lastColumn="0" w:oddVBand="0" w:evenVBand="0" w:oddHBand="0" w:evenHBand="0" w:firstRowFirstColumn="0" w:firstRowLastColumn="0" w:lastRowFirstColumn="0" w:lastRowLastColumn="0"/>
              <w:rPr>
                <w:b w:val="0"/>
                <w:bCs/>
              </w:rPr>
            </w:pPr>
            <w:r w:rsidRPr="00F93482">
              <w:rPr>
                <w:bCs/>
              </w:rPr>
              <w:t>Denominator</w:t>
            </w:r>
          </w:p>
        </w:tc>
      </w:tr>
      <w:tr w:rsidR="002A1B92" w:rsidRPr="00ED3357" w:rsidTr="00820387">
        <w:trPr>
          <w:trHeight w:val="480"/>
          <w:jc w:val="center"/>
        </w:trPr>
        <w:tc>
          <w:tcPr>
            <w:cnfStyle w:val="001000000000" w:firstRow="0" w:lastRow="0" w:firstColumn="1" w:lastColumn="0" w:oddVBand="0" w:evenVBand="0" w:oddHBand="0" w:evenHBand="0" w:firstRowFirstColumn="0" w:firstRowLastColumn="0" w:lastRowFirstColumn="0" w:lastRowLastColumn="0"/>
            <w:tcW w:w="2593" w:type="dxa"/>
            <w:gridSpan w:val="2"/>
            <w:vMerge/>
            <w:hideMark/>
          </w:tcPr>
          <w:p w:rsidR="002A1B92" w:rsidRPr="00F93482" w:rsidRDefault="002A1B92" w:rsidP="00820387">
            <w:pPr>
              <w:spacing w:line="276" w:lineRule="auto"/>
              <w:ind w:left="0"/>
              <w:jc w:val="center"/>
              <w:rPr>
                <w:b/>
                <w:bCs/>
              </w:rPr>
            </w:pPr>
          </w:p>
        </w:tc>
        <w:tc>
          <w:tcPr>
            <w:tcW w:w="1528" w:type="dxa"/>
            <w:tcBorders>
              <w:top w:val="single" w:sz="4" w:space="0" w:color="auto"/>
              <w:bottom w:val="single" w:sz="4" w:space="0" w:color="auto"/>
            </w:tcBorders>
            <w:shd w:val="clear" w:color="auto" w:fill="CDECFF"/>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Revised</w:t>
            </w:r>
          </w:p>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Logic</w:t>
            </w:r>
          </w:p>
        </w:tc>
        <w:tc>
          <w:tcPr>
            <w:tcW w:w="1333" w:type="dxa"/>
            <w:tcBorders>
              <w:top w:val="single" w:sz="4" w:space="0" w:color="auto"/>
              <w:bottom w:val="single" w:sz="4" w:space="0" w:color="auto"/>
            </w:tcBorders>
            <w:shd w:val="clear" w:color="auto" w:fill="CDECFF"/>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Current Logic</w:t>
            </w:r>
          </w:p>
        </w:tc>
        <w:tc>
          <w:tcPr>
            <w:tcW w:w="1160" w:type="dxa"/>
            <w:tcBorders>
              <w:top w:val="single" w:sz="4" w:space="0" w:color="auto"/>
              <w:bottom w:val="single" w:sz="4" w:space="0" w:color="auto"/>
            </w:tcBorders>
            <w:shd w:val="clear" w:color="auto" w:fill="CDECFF"/>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Revised Logic</w:t>
            </w:r>
          </w:p>
        </w:tc>
        <w:tc>
          <w:tcPr>
            <w:tcW w:w="1080" w:type="dxa"/>
            <w:tcBorders>
              <w:top w:val="single" w:sz="4" w:space="0" w:color="auto"/>
              <w:bottom w:val="single" w:sz="4" w:space="0" w:color="auto"/>
            </w:tcBorders>
            <w:shd w:val="clear" w:color="auto" w:fill="CDECFF"/>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Current Logic</w:t>
            </w:r>
          </w:p>
        </w:tc>
        <w:tc>
          <w:tcPr>
            <w:tcW w:w="1477" w:type="dxa"/>
            <w:tcBorders>
              <w:top w:val="single" w:sz="4" w:space="0" w:color="auto"/>
              <w:bottom w:val="single" w:sz="4" w:space="0" w:color="auto"/>
            </w:tcBorders>
            <w:shd w:val="clear" w:color="auto" w:fill="CDECFF"/>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Revised</w:t>
            </w:r>
          </w:p>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Logic</w:t>
            </w:r>
          </w:p>
        </w:tc>
        <w:tc>
          <w:tcPr>
            <w:tcW w:w="1234" w:type="dxa"/>
            <w:tcBorders>
              <w:top w:val="single" w:sz="4" w:space="0" w:color="auto"/>
              <w:bottom w:val="single" w:sz="4" w:space="0" w:color="auto"/>
            </w:tcBorders>
            <w:shd w:val="clear" w:color="auto" w:fill="CDECFF"/>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b/>
                <w:bCs/>
              </w:rPr>
            </w:pPr>
            <w:r w:rsidRPr="00F93482">
              <w:rPr>
                <w:b/>
                <w:bCs/>
              </w:rPr>
              <w:t>Current Logic</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2593" w:type="dxa"/>
            <w:gridSpan w:val="2"/>
            <w:noWrap/>
            <w:hideMark/>
          </w:tcPr>
          <w:p w:rsidR="002A1B92" w:rsidRPr="00F93482" w:rsidRDefault="002A1B92" w:rsidP="00820387">
            <w:pPr>
              <w:spacing w:line="276" w:lineRule="auto"/>
              <w:ind w:left="0"/>
              <w:jc w:val="center"/>
              <w:rPr>
                <w:b/>
                <w:bCs/>
              </w:rPr>
            </w:pPr>
            <w:r w:rsidRPr="00F93482">
              <w:rPr>
                <w:b/>
                <w:bCs/>
              </w:rPr>
              <w:t>All Patients</w:t>
            </w:r>
          </w:p>
        </w:tc>
        <w:tc>
          <w:tcPr>
            <w:tcW w:w="1528" w:type="dxa"/>
            <w:tcBorders>
              <w:top w:val="single" w:sz="4" w:space="0" w:color="auto"/>
            </w:tcBorders>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92.6%</w:t>
            </w:r>
          </w:p>
        </w:tc>
        <w:tc>
          <w:tcPr>
            <w:tcW w:w="1333" w:type="dxa"/>
            <w:tcBorders>
              <w:top w:val="single" w:sz="4" w:space="0" w:color="auto"/>
            </w:tcBorders>
            <w:noWrap/>
            <w:hideMark/>
          </w:tcPr>
          <w:p w:rsidR="002A1B92" w:rsidRPr="00F93482" w:rsidRDefault="002A1B92" w:rsidP="00820387">
            <w:pPr>
              <w:pStyle w:val="Style4"/>
              <w:cnfStyle w:val="000000000000" w:firstRow="0" w:lastRow="0" w:firstColumn="0" w:lastColumn="0" w:oddVBand="0" w:evenVBand="0" w:oddHBand="0" w:evenHBand="0" w:firstRowFirstColumn="0" w:firstRowLastColumn="0" w:lastRowFirstColumn="0" w:lastRowLastColumn="0"/>
            </w:pPr>
            <w:r w:rsidRPr="00F93482">
              <w:t>98.0%</w:t>
            </w:r>
          </w:p>
        </w:tc>
        <w:tc>
          <w:tcPr>
            <w:tcW w:w="1160" w:type="dxa"/>
            <w:tcBorders>
              <w:top w:val="single" w:sz="4" w:space="0" w:color="auto"/>
            </w:tcBorders>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1,789,575</w:t>
            </w:r>
          </w:p>
        </w:tc>
        <w:tc>
          <w:tcPr>
            <w:tcW w:w="1080" w:type="dxa"/>
            <w:tcBorders>
              <w:top w:val="single" w:sz="4" w:space="0" w:color="auto"/>
            </w:tcBorders>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336,867</w:t>
            </w:r>
          </w:p>
        </w:tc>
        <w:tc>
          <w:tcPr>
            <w:tcW w:w="1477" w:type="dxa"/>
            <w:tcBorders>
              <w:top w:val="single" w:sz="4" w:space="0" w:color="auto"/>
            </w:tcBorders>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1,932,296</w:t>
            </w:r>
          </w:p>
        </w:tc>
        <w:tc>
          <w:tcPr>
            <w:tcW w:w="1234" w:type="dxa"/>
            <w:tcBorders>
              <w:top w:val="single" w:sz="4" w:space="0" w:color="auto"/>
            </w:tcBorders>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343,572</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val="restart"/>
            <w:noWrap/>
            <w:hideMark/>
          </w:tcPr>
          <w:p w:rsidR="002A1B92" w:rsidRPr="00F93482" w:rsidRDefault="002A1B92" w:rsidP="00820387">
            <w:pPr>
              <w:spacing w:line="276" w:lineRule="auto"/>
              <w:ind w:left="0"/>
              <w:jc w:val="center"/>
              <w:rPr>
                <w:b/>
                <w:bCs/>
              </w:rPr>
            </w:pPr>
            <w:r w:rsidRPr="00F93482">
              <w:rPr>
                <w:b/>
                <w:bCs/>
              </w:rPr>
              <w:t>By Race</w:t>
            </w: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White</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92.4%</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98.1%</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1,319,889</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263,729</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1,427,739</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268,962</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Black</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92.6%</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98.0%</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271,451</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50,469</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293,187</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51,513</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Hispanic</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93.7%</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98.1%</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154,443</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16,114</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164,816</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16,420</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Other</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94.1%</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98.2%</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43,792</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6,555</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46,554</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6,677</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val="restart"/>
            <w:noWrap/>
            <w:hideMark/>
          </w:tcPr>
          <w:p w:rsidR="002A1B92" w:rsidRPr="00F93482" w:rsidRDefault="002A1B92" w:rsidP="00820387">
            <w:pPr>
              <w:spacing w:line="276" w:lineRule="auto"/>
              <w:ind w:left="0"/>
              <w:jc w:val="center"/>
              <w:rPr>
                <w:b/>
                <w:bCs/>
              </w:rPr>
            </w:pPr>
            <w:r w:rsidRPr="00F93482">
              <w:rPr>
                <w:b/>
                <w:bCs/>
              </w:rPr>
              <w:t>By Age</w:t>
            </w: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&lt;65</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93.4%</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97.8%</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288,478</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44,789</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308,991</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45,777</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65-75</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93.0%</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98.0%</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429,233</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75,490</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461,323</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77,020</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75-85</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92.6%</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98.1%</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572,046</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111,362</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617,938</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113,510</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85+</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91.9%</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98.1%</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499,818</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105,226</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544,044</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107,265</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val="restart"/>
            <w:noWrap/>
            <w:hideMark/>
          </w:tcPr>
          <w:p w:rsidR="002A1B92" w:rsidRPr="00F93482" w:rsidRDefault="002A1B92" w:rsidP="00820387">
            <w:pPr>
              <w:spacing w:line="276" w:lineRule="auto"/>
              <w:ind w:left="0"/>
              <w:jc w:val="center"/>
              <w:rPr>
                <w:b/>
                <w:bCs/>
              </w:rPr>
            </w:pPr>
            <w:r w:rsidRPr="00F93482">
              <w:rPr>
                <w:b/>
                <w:bCs/>
              </w:rPr>
              <w:t>By Gender</w:t>
            </w: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Male</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92.6%</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98.1%</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701,223</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140,870</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757,118</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143,591</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Female</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92.6%</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98.0%</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1,088,352</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195,997</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1,175,178</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199,981</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val="restart"/>
            <w:noWrap/>
            <w:hideMark/>
          </w:tcPr>
          <w:p w:rsidR="002A1B92" w:rsidRPr="00F93482" w:rsidRDefault="002A1B92" w:rsidP="00820387">
            <w:pPr>
              <w:spacing w:line="276" w:lineRule="auto"/>
              <w:ind w:left="0"/>
              <w:jc w:val="center"/>
              <w:rPr>
                <w:b/>
                <w:bCs/>
              </w:rPr>
            </w:pPr>
            <w:r w:rsidRPr="00F93482">
              <w:rPr>
                <w:b/>
                <w:bCs/>
              </w:rPr>
              <w:t>By Agency Size*</w:t>
            </w: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Very Small</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96.2%</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98.2%</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8,947</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1,334</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9,296</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1,358</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Small-Medium</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94.9%</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97.7%</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134,838</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19,506</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142,051</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rPr>
                <w:color w:val="000000"/>
              </w:rPr>
            </w:pPr>
            <w:r w:rsidRPr="00F93482">
              <w:rPr>
                <w:color w:val="000000"/>
              </w:rPr>
              <w:t>19,956</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Large</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92.4%</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98.1%</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1,645,790</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316,027</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1,780,949</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322,258</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val="restart"/>
            <w:noWrap/>
            <w:hideMark/>
          </w:tcPr>
          <w:p w:rsidR="002A1B92" w:rsidRPr="00F93482" w:rsidRDefault="002A1B92" w:rsidP="00820387">
            <w:pPr>
              <w:spacing w:line="276" w:lineRule="auto"/>
              <w:ind w:left="0"/>
              <w:jc w:val="center"/>
              <w:rPr>
                <w:b/>
                <w:bCs/>
              </w:rPr>
            </w:pPr>
            <w:r w:rsidRPr="00F93482">
              <w:rPr>
                <w:b/>
                <w:bCs/>
              </w:rPr>
              <w:t>By Region**</w:t>
            </w: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1</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93.3%</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98.2%</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112,825</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24,668</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120,866</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25,111</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2</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92.6%</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98.2%</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171,070</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25,553</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184,672</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26,030</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3</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91.9%</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98.2%</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184,308</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37,300</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200,444</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37,997</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4</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92.4%</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97.7%</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438,524</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68,074</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474,534</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69,647</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5</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93.0%</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98.3%</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328,926</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78,496</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353,542</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79,820</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6</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92.3%</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98.0%</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216,583</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42,799</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234,739</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43,675</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7</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92.7%</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97.9%</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67,387</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15,580</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72,661</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15,922</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8</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91.6%</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96.8%</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35,509</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6,513</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38,785</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6,728</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9</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93.2%</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98.4%</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189,295</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29,206</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203,167</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29,685</w:t>
            </w:r>
          </w:p>
        </w:tc>
      </w:tr>
      <w:tr w:rsidR="002A1B92" w:rsidRPr="00ED3357" w:rsidTr="00820387">
        <w:trPr>
          <w:trHeight w:val="280"/>
          <w:jc w:val="center"/>
        </w:trPr>
        <w:tc>
          <w:tcPr>
            <w:cnfStyle w:val="001000000000" w:firstRow="0" w:lastRow="0" w:firstColumn="1" w:lastColumn="0" w:oddVBand="0" w:evenVBand="0" w:oddHBand="0" w:evenHBand="0" w:firstRowFirstColumn="0" w:firstRowLastColumn="0" w:lastRowFirstColumn="0" w:lastRowLastColumn="0"/>
            <w:tcW w:w="1168" w:type="dxa"/>
            <w:vMerge/>
            <w:hideMark/>
          </w:tcPr>
          <w:p w:rsidR="002A1B92" w:rsidRPr="00F93482" w:rsidRDefault="002A1B92" w:rsidP="00820387">
            <w:pPr>
              <w:spacing w:line="276" w:lineRule="auto"/>
              <w:ind w:left="0"/>
              <w:jc w:val="center"/>
              <w:rPr>
                <w:b/>
                <w:bCs/>
              </w:rPr>
            </w:pPr>
          </w:p>
        </w:tc>
        <w:tc>
          <w:tcPr>
            <w:tcW w:w="1425"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Region 10</w:t>
            </w:r>
          </w:p>
        </w:tc>
        <w:tc>
          <w:tcPr>
            <w:tcW w:w="1528" w:type="dxa"/>
            <w:noWrap/>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rPr>
                <w:color w:val="000000"/>
              </w:rPr>
              <w:t>92.4%</w:t>
            </w:r>
          </w:p>
        </w:tc>
        <w:tc>
          <w:tcPr>
            <w:tcW w:w="1333"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96.9%</w:t>
            </w:r>
          </w:p>
        </w:tc>
        <w:tc>
          <w:tcPr>
            <w:tcW w:w="116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45,148</w:t>
            </w:r>
          </w:p>
        </w:tc>
        <w:tc>
          <w:tcPr>
            <w:tcW w:w="1080"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8,678</w:t>
            </w:r>
          </w:p>
        </w:tc>
        <w:tc>
          <w:tcPr>
            <w:tcW w:w="1477" w:type="dxa"/>
            <w:noWrap/>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F93482">
              <w:rPr>
                <w:color w:val="000000"/>
              </w:rPr>
              <w:t>48,886</w:t>
            </w:r>
          </w:p>
        </w:tc>
        <w:tc>
          <w:tcPr>
            <w:tcW w:w="1234" w:type="dxa"/>
            <w:noWrap/>
            <w:hideMark/>
          </w:tcPr>
          <w:p w:rsidR="002A1B92" w:rsidRPr="00F93482" w:rsidRDefault="002A1B92" w:rsidP="00820387">
            <w:pPr>
              <w:spacing w:line="276" w:lineRule="auto"/>
              <w:cnfStyle w:val="000000000000" w:firstRow="0" w:lastRow="0" w:firstColumn="0" w:lastColumn="0" w:oddVBand="0" w:evenVBand="0" w:oddHBand="0" w:evenHBand="0" w:firstRowFirstColumn="0" w:firstRowLastColumn="0" w:lastRowFirstColumn="0" w:lastRowLastColumn="0"/>
            </w:pPr>
            <w:r w:rsidRPr="00F93482">
              <w:t>8,957</w:t>
            </w:r>
          </w:p>
        </w:tc>
      </w:tr>
    </w:tbl>
    <w:p w:rsidR="002A1B92" w:rsidRPr="00C041C6" w:rsidRDefault="002A1B92" w:rsidP="002A1B92">
      <w:pPr>
        <w:spacing w:after="0" w:line="240" w:lineRule="auto"/>
        <w:rPr>
          <w:rFonts w:ascii="Times New Roman" w:hAnsi="Times New Roman" w:cs="Times New Roman"/>
          <w:i/>
        </w:rPr>
      </w:pPr>
      <w:r w:rsidRPr="00D23669">
        <w:rPr>
          <w:rFonts w:ascii="Times New Roman" w:hAnsi="Times New Roman" w:cs="Times New Roman"/>
          <w:i/>
          <w:color w:val="000000"/>
        </w:rPr>
        <w:t xml:space="preserve">*Very Small = &lt;20 </w:t>
      </w:r>
      <w:r>
        <w:rPr>
          <w:rFonts w:ascii="Times New Roman" w:hAnsi="Times New Roman" w:cs="Times New Roman"/>
          <w:i/>
          <w:color w:val="000000"/>
        </w:rPr>
        <w:t>Episode</w:t>
      </w:r>
      <w:r w:rsidRPr="00D23669">
        <w:rPr>
          <w:rFonts w:ascii="Times New Roman" w:hAnsi="Times New Roman" w:cs="Times New Roman"/>
          <w:i/>
          <w:color w:val="000000"/>
        </w:rPr>
        <w:t xml:space="preserve">s, Small-Medium = &gt;20 and less than the median # of </w:t>
      </w:r>
      <w:r>
        <w:rPr>
          <w:rFonts w:ascii="Times New Roman" w:hAnsi="Times New Roman" w:cs="Times New Roman"/>
          <w:i/>
          <w:color w:val="000000"/>
        </w:rPr>
        <w:t>episode</w:t>
      </w:r>
      <w:r w:rsidRPr="00D23669">
        <w:rPr>
          <w:rFonts w:ascii="Times New Roman" w:hAnsi="Times New Roman" w:cs="Times New Roman"/>
          <w:i/>
          <w:color w:val="000000"/>
        </w:rPr>
        <w:t xml:space="preserve">s, Large = &gt;=Median # of </w:t>
      </w:r>
      <w:r>
        <w:rPr>
          <w:rFonts w:ascii="Times New Roman" w:hAnsi="Times New Roman" w:cs="Times New Roman"/>
          <w:i/>
          <w:color w:val="000000"/>
        </w:rPr>
        <w:t>episodes</w:t>
      </w:r>
      <w:r w:rsidR="00C041C6">
        <w:rPr>
          <w:rFonts w:ascii="Times New Roman" w:hAnsi="Times New Roman" w:cs="Times New Roman"/>
          <w:i/>
        </w:rPr>
        <w:t xml:space="preserve">    </w:t>
      </w:r>
      <w:r w:rsidRPr="00D23669">
        <w:rPr>
          <w:rFonts w:ascii="Times New Roman" w:hAnsi="Times New Roman" w:cs="Times New Roman"/>
          <w:i/>
          <w:color w:val="000000"/>
        </w:rPr>
        <w:t>**Region refers to CMS region</w:t>
      </w:r>
    </w:p>
    <w:p w:rsidR="002A1B92" w:rsidRDefault="002A1B92" w:rsidP="00914BA1">
      <w:pPr>
        <w:pStyle w:val="Body"/>
        <w:ind w:firstLine="0"/>
      </w:pPr>
      <w:r>
        <w:t>Table 3 s</w:t>
      </w:r>
      <w:r w:rsidRPr="00ED3357">
        <w:t xml:space="preserve">hows the distribution of observed agency rates for the </w:t>
      </w:r>
      <w:r w:rsidRPr="00ED3357">
        <w:rPr>
          <w:i/>
        </w:rPr>
        <w:t xml:space="preserve">Heart Failure Symptoms Addressed </w:t>
      </w:r>
      <w:r w:rsidRPr="00ED3357">
        <w:t xml:space="preserve">measure.  Across agencies with at least 20 valid </w:t>
      </w:r>
      <w:r>
        <w:t>episodes of care</w:t>
      </w:r>
      <w:r w:rsidRPr="00ED3357">
        <w:t xml:space="preserve">, the </w:t>
      </w:r>
      <w:r>
        <w:t>r</w:t>
      </w:r>
      <w:r w:rsidRPr="00ED3357">
        <w:t xml:space="preserve">evision to the measure specifications would decrease the average performance rate on the measure by approximately </w:t>
      </w:r>
      <w:r>
        <w:t>5</w:t>
      </w:r>
      <w:r w:rsidRPr="00ED3357">
        <w:t xml:space="preserve"> percentage points, (i.e., from 98.0 percent to 9</w:t>
      </w:r>
      <w:r>
        <w:t>2</w:t>
      </w:r>
      <w:r w:rsidRPr="00ED3357">
        <w:t>.</w:t>
      </w:r>
      <w:r>
        <w:t>9</w:t>
      </w:r>
      <w:r w:rsidRPr="00ED3357">
        <w:t xml:space="preserve"> percent).  Additionally, for agencies with at least 20 valid </w:t>
      </w:r>
      <w:r w:rsidRPr="007F6E38">
        <w:t>episodes</w:t>
      </w:r>
      <w:r>
        <w:t xml:space="preserve"> of care</w:t>
      </w:r>
      <w:r w:rsidRPr="00ED3357">
        <w:t xml:space="preserve">, the interquartile range of the measure rates under the proposed specifications is </w:t>
      </w:r>
      <w:r>
        <w:t>6</w:t>
      </w:r>
      <w:r w:rsidRPr="00ED3357">
        <w:t>.</w:t>
      </w:r>
      <w:r>
        <w:t>9</w:t>
      </w:r>
      <w:r w:rsidRPr="00ED3357">
        <w:t xml:space="preserve"> (</w:t>
      </w:r>
      <w:r>
        <w:t xml:space="preserve">i.e., </w:t>
      </w:r>
      <w:r w:rsidRPr="00ED3357">
        <w:t>9</w:t>
      </w:r>
      <w:r>
        <w:t>7</w:t>
      </w:r>
      <w:r w:rsidRPr="00ED3357">
        <w:t>.</w:t>
      </w:r>
      <w:r>
        <w:t>4</w:t>
      </w:r>
      <w:r w:rsidRPr="00ED3357">
        <w:t xml:space="preserve"> </w:t>
      </w:r>
      <w:r>
        <w:t>-</w:t>
      </w:r>
      <w:r w:rsidRPr="00ED3357">
        <w:t xml:space="preserve"> </w:t>
      </w:r>
      <w:r>
        <w:t>90.5</w:t>
      </w:r>
      <w:r w:rsidRPr="00ED3357">
        <w:t>); an agency at the 75</w:t>
      </w:r>
      <w:r w:rsidRPr="00ED3357">
        <w:rPr>
          <w:vertAlign w:val="superscript"/>
        </w:rPr>
        <w:t>th</w:t>
      </w:r>
      <w:r w:rsidRPr="00ED3357">
        <w:t xml:space="preserve"> percentile still has a measure rate that is </w:t>
      </w:r>
      <w:r>
        <w:t>6</w:t>
      </w:r>
      <w:r w:rsidRPr="00ED3357">
        <w:t>.</w:t>
      </w:r>
      <w:r>
        <w:t>9</w:t>
      </w:r>
      <w:r w:rsidRPr="00ED3357">
        <w:t xml:space="preserve"> percentage points higher than an agency at the 25</w:t>
      </w:r>
      <w:r w:rsidRPr="00ED3357">
        <w:rPr>
          <w:vertAlign w:val="superscript"/>
        </w:rPr>
        <w:t>th</w:t>
      </w:r>
      <w:r w:rsidRPr="00ED3357">
        <w:t xml:space="preserve"> percentile.  In contrast, under the current specifications, the corresponding interquartile range is only 3.0 (100.0 – 97.0).  </w:t>
      </w:r>
      <w:r w:rsidRPr="000C02D1">
        <w:t>Performance among agencies in the lowest decile falls from 95</w:t>
      </w:r>
      <w:r>
        <w:t>.0 percent</w:t>
      </w:r>
      <w:r w:rsidRPr="000C02D1">
        <w:t xml:space="preserve"> to 8</w:t>
      </w:r>
      <w:r>
        <w:t>5.0 percent</w:t>
      </w:r>
      <w:r w:rsidRPr="000C02D1">
        <w:t xml:space="preserve">, again showing that the revised specification allows more room for improvement.  Finally, the number of agencies with at least </w:t>
      </w:r>
      <w:r>
        <w:t>20</w:t>
      </w:r>
      <w:r w:rsidRPr="000C02D1">
        <w:t xml:space="preserve"> valid episodes of care increases from only 3,618 under the current measure logic to 8,882 under the </w:t>
      </w:r>
      <w:r>
        <w:t>revised</w:t>
      </w:r>
      <w:r w:rsidRPr="000C02D1">
        <w:t xml:space="preserve"> logic</w:t>
      </w:r>
      <w:r>
        <w:t>, expanding public reporting eligibility.</w:t>
      </w:r>
    </w:p>
    <w:p w:rsidR="002A1B92" w:rsidRPr="00ED3357" w:rsidRDefault="002A1B92" w:rsidP="002A1B92">
      <w:pPr>
        <w:pStyle w:val="Caption"/>
        <w:rPr>
          <w:i/>
        </w:rPr>
      </w:pPr>
      <w:bookmarkStart w:id="1" w:name="_Ref246480270"/>
      <w:r w:rsidRPr="00ED3357">
        <w:t xml:space="preserve">Table </w:t>
      </w:r>
      <w:fldSimple w:instr=" SEQ Table \* ARABIC ">
        <w:r>
          <w:rPr>
            <w:noProof/>
          </w:rPr>
          <w:t>3</w:t>
        </w:r>
      </w:fldSimple>
      <w:bookmarkEnd w:id="1"/>
      <w:r w:rsidRPr="00ED3357">
        <w:t xml:space="preserve">: Distribution of Observed Agency Rates of </w:t>
      </w:r>
      <w:r w:rsidRPr="00ED3357">
        <w:rPr>
          <w:i/>
        </w:rPr>
        <w:t>Heart Failure Symptoms Addressed</w:t>
      </w:r>
    </w:p>
    <w:tbl>
      <w:tblPr>
        <w:tblStyle w:val="TableGrid"/>
        <w:tblW w:w="10057" w:type="dxa"/>
        <w:jc w:val="center"/>
        <w:tblInd w:w="1283" w:type="dxa"/>
        <w:tblLook w:val="04A0" w:firstRow="1" w:lastRow="0" w:firstColumn="1" w:lastColumn="0" w:noHBand="0" w:noVBand="1"/>
      </w:tblPr>
      <w:tblGrid>
        <w:gridCol w:w="1080"/>
        <w:gridCol w:w="1282"/>
        <w:gridCol w:w="810"/>
        <w:gridCol w:w="990"/>
        <w:gridCol w:w="823"/>
        <w:gridCol w:w="777"/>
        <w:gridCol w:w="877"/>
        <w:gridCol w:w="777"/>
        <w:gridCol w:w="977"/>
        <w:gridCol w:w="977"/>
        <w:gridCol w:w="687"/>
      </w:tblGrid>
      <w:tr w:rsidR="002A1B92" w:rsidRPr="00ED3357" w:rsidTr="00C53545">
        <w:trPr>
          <w:cnfStyle w:val="100000000000" w:firstRow="1" w:lastRow="0" w:firstColumn="0" w:lastColumn="0" w:oddVBand="0" w:evenVBand="0" w:oddHBand="0"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2362" w:type="dxa"/>
            <w:gridSpan w:val="2"/>
            <w:vMerge w:val="restart"/>
            <w:noWrap/>
            <w:hideMark/>
          </w:tcPr>
          <w:p w:rsidR="002A1B92" w:rsidRPr="00F93482" w:rsidRDefault="002A1B92" w:rsidP="00820387">
            <w:pPr>
              <w:ind w:left="0"/>
              <w:rPr>
                <w:b w:val="0"/>
                <w:bCs/>
              </w:rPr>
            </w:pPr>
            <w:r w:rsidRPr="005C7B22">
              <w:rPr>
                <w:bCs/>
              </w:rPr>
              <w:t>Measure Specifications</w:t>
            </w:r>
          </w:p>
        </w:tc>
        <w:tc>
          <w:tcPr>
            <w:tcW w:w="810" w:type="dxa"/>
            <w:vMerge w:val="restart"/>
            <w:hideMark/>
          </w:tcPr>
          <w:p w:rsidR="002A1B92" w:rsidRPr="00F93482" w:rsidRDefault="002A1B92" w:rsidP="00820387">
            <w:pPr>
              <w:cnfStyle w:val="100000000000" w:firstRow="1" w:lastRow="0" w:firstColumn="0" w:lastColumn="0" w:oddVBand="0" w:evenVBand="0" w:oddHBand="0" w:evenHBand="0" w:firstRowFirstColumn="0" w:firstRowLastColumn="0" w:lastRowFirstColumn="0" w:lastRowLastColumn="0"/>
              <w:rPr>
                <w:b w:val="0"/>
                <w:bCs/>
              </w:rPr>
            </w:pPr>
            <w:r>
              <w:rPr>
                <w:bCs/>
              </w:rPr>
              <w:t>#</w:t>
            </w:r>
            <w:r w:rsidRPr="005C7B22">
              <w:rPr>
                <w:bCs/>
              </w:rPr>
              <w:t xml:space="preserve"> of Agencies</w:t>
            </w:r>
          </w:p>
        </w:tc>
        <w:tc>
          <w:tcPr>
            <w:tcW w:w="990" w:type="dxa"/>
            <w:vMerge w:val="restart"/>
            <w:hideMark/>
          </w:tcPr>
          <w:p w:rsidR="002A1B92" w:rsidRPr="00F93482" w:rsidRDefault="002A1B92" w:rsidP="00820387">
            <w:pPr>
              <w:cnfStyle w:val="100000000000" w:firstRow="1" w:lastRow="0" w:firstColumn="0" w:lastColumn="0" w:oddVBand="0" w:evenVBand="0" w:oddHBand="0" w:evenHBand="0" w:firstRowFirstColumn="0" w:firstRowLastColumn="0" w:lastRowFirstColumn="0" w:lastRowLastColumn="0"/>
              <w:rPr>
                <w:b w:val="0"/>
                <w:bCs/>
              </w:rPr>
            </w:pPr>
            <w:r w:rsidRPr="005C7B22">
              <w:rPr>
                <w:bCs/>
              </w:rPr>
              <w:t>Agency Av</w:t>
            </w:r>
            <w:r>
              <w:rPr>
                <w:bCs/>
              </w:rPr>
              <w:t>g.</w:t>
            </w:r>
            <w:r w:rsidRPr="005C7B22">
              <w:rPr>
                <w:bCs/>
              </w:rPr>
              <w:t xml:space="preserve"> Rate</w:t>
            </w:r>
          </w:p>
        </w:tc>
        <w:tc>
          <w:tcPr>
            <w:tcW w:w="5895" w:type="dxa"/>
            <w:gridSpan w:val="7"/>
            <w:tcBorders>
              <w:bottom w:val="single" w:sz="4" w:space="0" w:color="auto"/>
            </w:tcBorders>
            <w:noWrap/>
            <w:hideMark/>
          </w:tcPr>
          <w:p w:rsidR="002A1B92" w:rsidRPr="00F93482" w:rsidRDefault="002A1B92" w:rsidP="00820387">
            <w:pPr>
              <w:cnfStyle w:val="100000000000" w:firstRow="1" w:lastRow="0" w:firstColumn="0" w:lastColumn="0" w:oddVBand="0" w:evenVBand="0" w:oddHBand="0" w:evenHBand="0" w:firstRowFirstColumn="0" w:firstRowLastColumn="0" w:lastRowFirstColumn="0" w:lastRowLastColumn="0"/>
              <w:rPr>
                <w:b w:val="0"/>
                <w:bCs/>
              </w:rPr>
            </w:pPr>
            <w:r w:rsidRPr="005C7B22">
              <w:rPr>
                <w:bCs/>
              </w:rPr>
              <w:t>Percentile</w:t>
            </w:r>
          </w:p>
        </w:tc>
      </w:tr>
      <w:tr w:rsidR="002A1B92" w:rsidRPr="00ED3357" w:rsidTr="00C53545">
        <w:trPr>
          <w:trHeight w:val="435"/>
          <w:jc w:val="center"/>
        </w:trPr>
        <w:tc>
          <w:tcPr>
            <w:cnfStyle w:val="001000000000" w:firstRow="0" w:lastRow="0" w:firstColumn="1" w:lastColumn="0" w:oddVBand="0" w:evenVBand="0" w:oddHBand="0" w:evenHBand="0" w:firstRowFirstColumn="0" w:firstRowLastColumn="0" w:lastRowFirstColumn="0" w:lastRowLastColumn="0"/>
            <w:tcW w:w="2362" w:type="dxa"/>
            <w:gridSpan w:val="2"/>
            <w:vMerge/>
            <w:hideMark/>
          </w:tcPr>
          <w:p w:rsidR="002A1B92" w:rsidRPr="00F93482" w:rsidRDefault="002A1B92" w:rsidP="00820387">
            <w:pPr>
              <w:ind w:left="0"/>
              <w:jc w:val="center"/>
              <w:rPr>
                <w:b/>
                <w:bCs/>
              </w:rPr>
            </w:pPr>
          </w:p>
        </w:tc>
        <w:tc>
          <w:tcPr>
            <w:tcW w:w="810" w:type="dxa"/>
            <w:vMerge/>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p>
        </w:tc>
        <w:tc>
          <w:tcPr>
            <w:tcW w:w="990" w:type="dxa"/>
            <w:vMerge/>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p>
        </w:tc>
        <w:tc>
          <w:tcPr>
            <w:tcW w:w="823"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min</w:t>
            </w:r>
          </w:p>
        </w:tc>
        <w:tc>
          <w:tcPr>
            <w:tcW w:w="777"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p10</w:t>
            </w:r>
          </w:p>
        </w:tc>
        <w:tc>
          <w:tcPr>
            <w:tcW w:w="877"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p25</w:t>
            </w:r>
          </w:p>
        </w:tc>
        <w:tc>
          <w:tcPr>
            <w:tcW w:w="777"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p50</w:t>
            </w:r>
          </w:p>
        </w:tc>
        <w:tc>
          <w:tcPr>
            <w:tcW w:w="977"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p75</w:t>
            </w:r>
          </w:p>
        </w:tc>
        <w:tc>
          <w:tcPr>
            <w:tcW w:w="977"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p90</w:t>
            </w:r>
          </w:p>
        </w:tc>
        <w:tc>
          <w:tcPr>
            <w:tcW w:w="687" w:type="dxa"/>
            <w:tcBorders>
              <w:top w:val="single" w:sz="4" w:space="0" w:color="auto"/>
              <w:bottom w:val="single" w:sz="4" w:space="0" w:color="auto"/>
            </w:tcBorders>
            <w:shd w:val="clear" w:color="auto" w:fill="CDECFF"/>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rPr>
                <w:b/>
                <w:bCs/>
              </w:rPr>
            </w:pPr>
            <w:r w:rsidRPr="005C7B22">
              <w:rPr>
                <w:b/>
                <w:bCs/>
              </w:rPr>
              <w:t>max</w:t>
            </w:r>
          </w:p>
        </w:tc>
      </w:tr>
      <w:tr w:rsidR="002A1B92" w:rsidRPr="00ED3357" w:rsidTr="00C53545">
        <w:trPr>
          <w:trHeight w:val="350"/>
          <w:jc w:val="center"/>
        </w:trPr>
        <w:tc>
          <w:tcPr>
            <w:cnfStyle w:val="001000000000" w:firstRow="0" w:lastRow="0" w:firstColumn="1" w:lastColumn="0" w:oddVBand="0" w:evenVBand="0" w:oddHBand="0" w:evenHBand="0" w:firstRowFirstColumn="0" w:firstRowLastColumn="0" w:lastRowFirstColumn="0" w:lastRowLastColumn="0"/>
            <w:tcW w:w="1080" w:type="dxa"/>
            <w:vMerge w:val="restart"/>
            <w:noWrap/>
            <w:hideMark/>
          </w:tcPr>
          <w:p w:rsidR="002A1B92" w:rsidRPr="00F93482" w:rsidRDefault="002A1B92" w:rsidP="00820387">
            <w:pPr>
              <w:ind w:left="0"/>
              <w:jc w:val="center"/>
              <w:rPr>
                <w:b/>
                <w:bCs/>
              </w:rPr>
            </w:pPr>
            <w:r w:rsidRPr="005C7B22">
              <w:rPr>
                <w:b/>
                <w:bCs/>
              </w:rPr>
              <w:t>All Agencies</w:t>
            </w:r>
          </w:p>
        </w:tc>
        <w:tc>
          <w:tcPr>
            <w:tcW w:w="1282"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Current Logic</w:t>
            </w:r>
          </w:p>
        </w:tc>
        <w:tc>
          <w:tcPr>
            <w:tcW w:w="81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11,849</w:t>
            </w:r>
          </w:p>
        </w:tc>
        <w:tc>
          <w:tcPr>
            <w:tcW w:w="99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95.9%</w:t>
            </w:r>
          </w:p>
        </w:tc>
        <w:tc>
          <w:tcPr>
            <w:tcW w:w="823"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0.0%</w:t>
            </w:r>
          </w:p>
        </w:tc>
        <w:tc>
          <w:tcPr>
            <w:tcW w:w="777"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93.0%</w:t>
            </w:r>
          </w:p>
        </w:tc>
        <w:tc>
          <w:tcPr>
            <w:tcW w:w="877"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99.0%</w:t>
            </w:r>
          </w:p>
        </w:tc>
        <w:tc>
          <w:tcPr>
            <w:tcW w:w="777"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c>
          <w:tcPr>
            <w:tcW w:w="977"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c>
          <w:tcPr>
            <w:tcW w:w="977"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c>
          <w:tcPr>
            <w:tcW w:w="687" w:type="dxa"/>
            <w:tcBorders>
              <w:top w:val="single" w:sz="4" w:space="0" w:color="auto"/>
            </w:tcBorders>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r>
      <w:tr w:rsidR="002A1B92" w:rsidRPr="00ED3357" w:rsidTr="00C53545">
        <w:trPr>
          <w:trHeight w:val="350"/>
          <w:jc w:val="center"/>
        </w:trPr>
        <w:tc>
          <w:tcPr>
            <w:cnfStyle w:val="001000000000" w:firstRow="0" w:lastRow="0" w:firstColumn="1" w:lastColumn="0" w:oddVBand="0" w:evenVBand="0" w:oddHBand="0" w:evenHBand="0" w:firstRowFirstColumn="0" w:firstRowLastColumn="0" w:lastRowFirstColumn="0" w:lastRowLastColumn="0"/>
            <w:tcW w:w="1080" w:type="dxa"/>
            <w:vMerge/>
            <w:hideMark/>
          </w:tcPr>
          <w:p w:rsidR="002A1B92" w:rsidRPr="00F93482" w:rsidRDefault="002A1B92" w:rsidP="00820387">
            <w:pPr>
              <w:ind w:left="0"/>
              <w:jc w:val="center"/>
              <w:rPr>
                <w:b/>
                <w:bCs/>
              </w:rPr>
            </w:pPr>
          </w:p>
        </w:tc>
        <w:tc>
          <w:tcPr>
            <w:tcW w:w="1282"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Revised Logic</w:t>
            </w:r>
          </w:p>
        </w:tc>
        <w:tc>
          <w:tcPr>
            <w:tcW w:w="81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11,849</w:t>
            </w:r>
          </w:p>
        </w:tc>
        <w:tc>
          <w:tcPr>
            <w:tcW w:w="99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92.5%</w:t>
            </w:r>
          </w:p>
        </w:tc>
        <w:tc>
          <w:tcPr>
            <w:tcW w:w="823"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0.0%</w:t>
            </w:r>
          </w:p>
        </w:tc>
        <w:tc>
          <w:tcPr>
            <w:tcW w:w="7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83.3%</w:t>
            </w:r>
          </w:p>
        </w:tc>
        <w:tc>
          <w:tcPr>
            <w:tcW w:w="8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90.5%</w:t>
            </w:r>
          </w:p>
        </w:tc>
        <w:tc>
          <w:tcPr>
            <w:tcW w:w="7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95.2%</w:t>
            </w:r>
          </w:p>
        </w:tc>
        <w:tc>
          <w:tcPr>
            <w:tcW w:w="9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c>
          <w:tcPr>
            <w:tcW w:w="9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c>
          <w:tcPr>
            <w:tcW w:w="68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100.0%</w:t>
            </w:r>
          </w:p>
        </w:tc>
      </w:tr>
      <w:tr w:rsidR="002A1B92" w:rsidRPr="00ED3357" w:rsidTr="00C53545">
        <w:trPr>
          <w:trHeight w:val="332"/>
          <w:jc w:val="center"/>
        </w:trPr>
        <w:tc>
          <w:tcPr>
            <w:cnfStyle w:val="001000000000" w:firstRow="0" w:lastRow="0" w:firstColumn="1" w:lastColumn="0" w:oddVBand="0" w:evenVBand="0" w:oddHBand="0" w:evenHBand="0" w:firstRowFirstColumn="0" w:firstRowLastColumn="0" w:lastRowFirstColumn="0" w:lastRowLastColumn="0"/>
            <w:tcW w:w="1080" w:type="dxa"/>
            <w:vMerge w:val="restart"/>
            <w:hideMark/>
          </w:tcPr>
          <w:p w:rsidR="002A1B92" w:rsidRPr="00F93482" w:rsidRDefault="002A1B92" w:rsidP="00820387">
            <w:pPr>
              <w:ind w:left="0"/>
              <w:jc w:val="center"/>
              <w:rPr>
                <w:b/>
                <w:bCs/>
              </w:rPr>
            </w:pPr>
            <w:r w:rsidRPr="005C7B22">
              <w:rPr>
                <w:b/>
                <w:bCs/>
              </w:rPr>
              <w:t>Agencies with &gt; 20 Valid Episodes</w:t>
            </w:r>
          </w:p>
        </w:tc>
        <w:tc>
          <w:tcPr>
            <w:tcW w:w="1282"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Current Logic</w:t>
            </w:r>
          </w:p>
        </w:tc>
        <w:tc>
          <w:tcPr>
            <w:tcW w:w="81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3,618</w:t>
            </w:r>
          </w:p>
        </w:tc>
        <w:tc>
          <w:tcPr>
            <w:tcW w:w="99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98.0%</w:t>
            </w:r>
          </w:p>
        </w:tc>
        <w:tc>
          <w:tcPr>
            <w:tcW w:w="823"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59</w:t>
            </w:r>
            <w:r>
              <w:t>.0%</w:t>
            </w:r>
          </w:p>
        </w:tc>
        <w:tc>
          <w:tcPr>
            <w:tcW w:w="7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95</w:t>
            </w:r>
            <w:r>
              <w:t>.0%</w:t>
            </w:r>
          </w:p>
        </w:tc>
        <w:tc>
          <w:tcPr>
            <w:tcW w:w="8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97</w:t>
            </w:r>
            <w:r>
              <w:t>.0%</w:t>
            </w:r>
          </w:p>
        </w:tc>
        <w:tc>
          <w:tcPr>
            <w:tcW w:w="7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w:t>
            </w:r>
            <w:r>
              <w:t>.0%</w:t>
            </w:r>
          </w:p>
        </w:tc>
        <w:tc>
          <w:tcPr>
            <w:tcW w:w="9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w:t>
            </w:r>
            <w:r>
              <w:t>.0%</w:t>
            </w:r>
          </w:p>
        </w:tc>
        <w:tc>
          <w:tcPr>
            <w:tcW w:w="9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w:t>
            </w:r>
            <w:r>
              <w:t>.0%</w:t>
            </w:r>
          </w:p>
        </w:tc>
        <w:tc>
          <w:tcPr>
            <w:tcW w:w="68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w:t>
            </w:r>
            <w:r>
              <w:t>.0%</w:t>
            </w:r>
          </w:p>
        </w:tc>
      </w:tr>
      <w:tr w:rsidR="002A1B92" w:rsidRPr="00ED3357" w:rsidTr="00C53545">
        <w:trPr>
          <w:trHeight w:val="260"/>
          <w:jc w:val="center"/>
        </w:trPr>
        <w:tc>
          <w:tcPr>
            <w:cnfStyle w:val="001000000000" w:firstRow="0" w:lastRow="0" w:firstColumn="1" w:lastColumn="0" w:oddVBand="0" w:evenVBand="0" w:oddHBand="0" w:evenHBand="0" w:firstRowFirstColumn="0" w:firstRowLastColumn="0" w:lastRowFirstColumn="0" w:lastRowLastColumn="0"/>
            <w:tcW w:w="1080" w:type="dxa"/>
            <w:vMerge/>
            <w:hideMark/>
          </w:tcPr>
          <w:p w:rsidR="002A1B92" w:rsidRPr="00F93482" w:rsidRDefault="002A1B92" w:rsidP="00820387">
            <w:pPr>
              <w:ind w:left="0"/>
              <w:jc w:val="center"/>
              <w:rPr>
                <w:b/>
                <w:bCs/>
              </w:rPr>
            </w:pPr>
          </w:p>
        </w:tc>
        <w:tc>
          <w:tcPr>
            <w:tcW w:w="1282"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Revised Logic</w:t>
            </w:r>
          </w:p>
        </w:tc>
        <w:tc>
          <w:tcPr>
            <w:tcW w:w="81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8,882</w:t>
            </w:r>
          </w:p>
        </w:tc>
        <w:tc>
          <w:tcPr>
            <w:tcW w:w="990"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w:t>
            </w:r>
            <w:r>
              <w:t>2.9</w:t>
            </w:r>
            <w:r w:rsidRPr="005C7B22">
              <w:t>%</w:t>
            </w:r>
          </w:p>
        </w:tc>
        <w:tc>
          <w:tcPr>
            <w:tcW w:w="823"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t>0.7%</w:t>
            </w:r>
          </w:p>
        </w:tc>
        <w:tc>
          <w:tcPr>
            <w:tcW w:w="7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8</w:t>
            </w:r>
            <w:r>
              <w:t>5.0%</w:t>
            </w:r>
          </w:p>
        </w:tc>
        <w:tc>
          <w:tcPr>
            <w:tcW w:w="8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t>90.5%</w:t>
            </w:r>
          </w:p>
        </w:tc>
        <w:tc>
          <w:tcPr>
            <w:tcW w:w="7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w:t>
            </w:r>
            <w:r>
              <w:t>4.6%</w:t>
            </w:r>
          </w:p>
        </w:tc>
        <w:tc>
          <w:tcPr>
            <w:tcW w:w="9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9</w:t>
            </w:r>
            <w:r>
              <w:t>7.4%</w:t>
            </w:r>
          </w:p>
        </w:tc>
        <w:tc>
          <w:tcPr>
            <w:tcW w:w="97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t>100.0%</w:t>
            </w:r>
          </w:p>
        </w:tc>
        <w:tc>
          <w:tcPr>
            <w:tcW w:w="687" w:type="dxa"/>
            <w:noWrap/>
            <w:hideMark/>
          </w:tcPr>
          <w:p w:rsidR="002A1B92" w:rsidRPr="00F93482" w:rsidRDefault="002A1B92" w:rsidP="00820387">
            <w:pPr>
              <w:cnfStyle w:val="000000000000" w:firstRow="0" w:lastRow="0" w:firstColumn="0" w:lastColumn="0" w:oddVBand="0" w:evenVBand="0" w:oddHBand="0" w:evenHBand="0" w:firstRowFirstColumn="0" w:firstRowLastColumn="0" w:lastRowFirstColumn="0" w:lastRowLastColumn="0"/>
            </w:pPr>
            <w:r w:rsidRPr="005C7B22">
              <w:t>100</w:t>
            </w:r>
            <w:r>
              <w:t>.0%</w:t>
            </w:r>
          </w:p>
        </w:tc>
      </w:tr>
    </w:tbl>
    <w:p w:rsidR="007F6E38" w:rsidRDefault="00031705" w:rsidP="003D105A">
      <w:pPr>
        <w:pStyle w:val="Heading1"/>
        <w:spacing w:before="240"/>
      </w:pPr>
      <w:r>
        <w:t>Measure Reliability</w:t>
      </w:r>
    </w:p>
    <w:p w:rsidR="00FD0CCA" w:rsidRDefault="00FD0CCA" w:rsidP="00622693">
      <w:pPr>
        <w:pStyle w:val="Body125"/>
        <w:ind w:firstLine="0"/>
      </w:pPr>
      <w:r>
        <w:t>Acumen conducted two types of reliability testing</w:t>
      </w:r>
      <w:r w:rsidR="00992963">
        <w:t xml:space="preserve"> on the revised measure</w:t>
      </w:r>
      <w:r>
        <w:t>, including</w:t>
      </w:r>
      <w:r w:rsidR="00992963">
        <w:t xml:space="preserve"> calculating</w:t>
      </w:r>
      <w:r w:rsidR="00592FC8">
        <w:t>, at the agency level,</w:t>
      </w:r>
      <w:r w:rsidR="00992963">
        <w:t xml:space="preserve"> the</w:t>
      </w:r>
      <w:r>
        <w:t xml:space="preserve"> (</w:t>
      </w:r>
      <w:proofErr w:type="spellStart"/>
      <w:r>
        <w:t>i</w:t>
      </w:r>
      <w:proofErr w:type="spellEnd"/>
      <w:r>
        <w:t>) beta binomial reliability score</w:t>
      </w:r>
      <w:r w:rsidR="00592FC8">
        <w:t>s</w:t>
      </w:r>
      <w:r>
        <w:t xml:space="preserve">, and (ii) the </w:t>
      </w:r>
      <w:proofErr w:type="spellStart"/>
      <w:r>
        <w:t>intraclass</w:t>
      </w:r>
      <w:proofErr w:type="spellEnd"/>
      <w:r>
        <w:t xml:space="preserve"> correlation coefficient (ICC).</w:t>
      </w:r>
      <w:r w:rsidR="004435EB">
        <w:t xml:space="preserve">  The remainder of this section describes each</w:t>
      </w:r>
      <w:r w:rsidR="00992963">
        <w:t xml:space="preserve"> </w:t>
      </w:r>
      <w:r w:rsidR="004435EB">
        <w:t xml:space="preserve">in turn. </w:t>
      </w:r>
      <w:r>
        <w:t xml:space="preserve"> </w:t>
      </w:r>
    </w:p>
    <w:p w:rsidR="001753BC" w:rsidRDefault="001753BC" w:rsidP="00F93482">
      <w:pPr>
        <w:pStyle w:val="Heading2"/>
      </w:pPr>
      <w:r>
        <w:t>Beta</w:t>
      </w:r>
      <w:r w:rsidR="00592FC8">
        <w:t xml:space="preserve"> </w:t>
      </w:r>
      <w:r>
        <w:t xml:space="preserve">Binomial </w:t>
      </w:r>
      <w:r w:rsidR="00592FC8">
        <w:t xml:space="preserve">Reliability </w:t>
      </w:r>
      <w:r>
        <w:t>Scores</w:t>
      </w:r>
    </w:p>
    <w:p w:rsidR="007F6E38" w:rsidRDefault="007F6E38" w:rsidP="00622693">
      <w:pPr>
        <w:pStyle w:val="Body"/>
        <w:ind w:firstLine="0"/>
      </w:pPr>
      <w:r>
        <w:t xml:space="preserve">To address the reliability of the performance scores, Acumen measured the extent to which differences in each quality measure were due to actual differences in agency performance versus variation that arises from measurement error.  Statistically, reliability depends on performance variation for a measure across agencies, the random variation in performance for a measure within an agency’s panel of attributed beneficiaries, and the number of beneficiaries attributed to the agency.  High reliability for a measure suggests that comparisons of relative performance across agencies are likely to be stable over different performance </w:t>
      </w:r>
      <w:proofErr w:type="gramStart"/>
      <w:r>
        <w:t>periods,</w:t>
      </w:r>
      <w:proofErr w:type="gramEnd"/>
      <w:r>
        <w:t xml:space="preserve"> and that the performance of one agency on the quality measure can confidently be distinguished from another.  Potential reliability values range from zero to one, where one (highest possible reliability) means that all variation in the measure’s rates is the result of variation in differences in performance across agencies, while zero (lowest possible reliability) means that all variation is a result of measurement error.</w:t>
      </w:r>
    </w:p>
    <w:p w:rsidR="007F6E38" w:rsidRDefault="007F6E38" w:rsidP="00BC225A">
      <w:pPr>
        <w:pStyle w:val="Body"/>
        <w:ind w:firstLine="0"/>
      </w:pPr>
      <w:r>
        <w:t>Following the approach described by Adams,</w:t>
      </w:r>
      <w:r>
        <w:rPr>
          <w:rStyle w:val="FootnoteReference"/>
        </w:rPr>
        <w:footnoteReference w:id="1"/>
      </w:r>
      <w:r>
        <w:t xml:space="preserve"> </w:t>
      </w:r>
      <w:r w:rsidRPr="002413C2">
        <w:t>Acumen fit a beta-binomial model</w:t>
      </w:r>
      <w:r>
        <w:t xml:space="preserve"> to estimate measure reliability. The beta-binomial model is appropriate because a particular agency’s measure rate follows a binomial distribution (i.e., all measures are pass/fail), and it is reasonable to assume that the agencies’ true measure rates vary and follow a beta distribution.  The true measure rates among the agencies vary because of differences in agency styles, for example. It is reasonable to use the beta distribution to fit the true measure rates because it is a flexible distribution on the interval from 0 to 1, can have any mean on the interval, and can be </w:t>
      </w:r>
      <w:r w:rsidR="00C5339E">
        <w:t>s</w:t>
      </w:r>
      <w:r>
        <w:t xml:space="preserve">kewed left, right, or U-shaped. </w:t>
      </w:r>
    </w:p>
    <w:p w:rsidR="007F6E38" w:rsidRDefault="007F6E38" w:rsidP="00BC225A">
      <w:pPr>
        <w:pStyle w:val="Body"/>
        <w:ind w:firstLine="0"/>
      </w:pPr>
      <w:r>
        <w:t>Equation (1), which is based on the beta-binomial model, shows that reliability is dependent on two variance components: the variation across agencies, and variation within agencies. In general, reliability for agencies will be higher when the measure rates across agencies are more heterogeneous (as measured by the agency-to-agency variation).  Agencies with larger samples (</w:t>
      </w:r>
      <w:r w:rsidRPr="007E04A2">
        <w:t>n</w:t>
      </w:r>
      <w:r>
        <w:t>) and pass rates (</w:t>
      </w:r>
      <w:r w:rsidRPr="007E04A2">
        <w:t>p</w:t>
      </w:r>
      <w:r>
        <w:t xml:space="preserve">) nearer to 0 or 1 will have higher levels of reliability because the agency-specific error is reduced (i.e. the estimated agency rates are more precise).    </w:t>
      </w:r>
    </w:p>
    <w:p w:rsidR="007F6E38" w:rsidRDefault="007F6E38" w:rsidP="007F6E38">
      <w:pPr>
        <w:pStyle w:val="Body125"/>
      </w:pPr>
      <m:oMath>
        <m:r>
          <m:rPr>
            <m:sty m:val="p"/>
          </m:rPr>
          <w:rPr>
            <w:rFonts w:ascii="Cambria Math" w:hAnsi="Cambria Math"/>
          </w:rPr>
          <m:t xml:space="preserve">Reliability= </m:t>
        </m:r>
        <m:f>
          <m:fPr>
            <m:ctrlPr>
              <w:ins w:id="2" w:author="kchia" w:date="2013-12-10T21:57:00Z">
                <w:rPr>
                  <w:rFonts w:ascii="Cambria Math" w:hAnsi="Cambria Math"/>
                </w:rPr>
              </w:ins>
            </m:ctrlPr>
          </m:fPr>
          <m:num>
            <m:sSubSup>
              <m:sSubSupPr>
                <m:ctrlPr>
                  <w:ins w:id="3" w:author="kchia" w:date="2013-12-10T21:57: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num>
          <m:den>
            <m:sSubSup>
              <m:sSubSupPr>
                <m:ctrlPr>
                  <w:ins w:id="4" w:author="kchia" w:date="2013-12-10T21:57: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r>
              <m:rPr>
                <m:sty m:val="p"/>
              </m:rPr>
              <w:rPr>
                <w:rFonts w:ascii="Cambria Math" w:hAnsi="Cambria Math"/>
              </w:rPr>
              <m:t>+</m:t>
            </m:r>
            <m:sSubSup>
              <m:sSubSupPr>
                <m:ctrlPr>
                  <w:ins w:id="5" w:author="kchia" w:date="2013-12-10T21:57:00Z">
                    <w:rPr>
                      <w:rFonts w:ascii="Cambria Math" w:hAnsi="Cambria Math"/>
                    </w:rPr>
                  </w:ins>
                </m:ctrlPr>
              </m:sSubSupPr>
              <m:e>
                <m:r>
                  <m:rPr>
                    <m:sty m:val="p"/>
                  </m:rPr>
                  <w:rPr>
                    <w:rFonts w:ascii="Cambria Math" w:hAnsi="Cambria Math"/>
                  </w:rPr>
                  <m:t>σ</m:t>
                </m:r>
              </m:e>
              <m:sub>
                <m:r>
                  <m:rPr>
                    <m:sty m:val="p"/>
                  </m:rPr>
                  <w:rPr>
                    <w:rFonts w:ascii="Cambria Math" w:hAnsi="Cambria Math"/>
                  </w:rPr>
                  <m:t>agency-specific-error</m:t>
                </m:r>
              </m:sub>
              <m:sup>
                <m:r>
                  <m:rPr>
                    <m:sty m:val="p"/>
                  </m:rPr>
                  <w:rPr>
                    <w:rFonts w:ascii="Cambria Math" w:hAnsi="Cambria Math"/>
                  </w:rPr>
                  <m:t>2</m:t>
                </m:r>
              </m:sup>
            </m:sSubSup>
          </m:den>
        </m:f>
        <m:r>
          <m:rPr>
            <m:sty m:val="p"/>
          </m:rPr>
          <w:rPr>
            <w:rFonts w:ascii="Cambria Math" w:hAnsi="Cambria Math"/>
          </w:rPr>
          <m:t>=</m:t>
        </m:r>
        <m:f>
          <m:fPr>
            <m:ctrlPr>
              <w:ins w:id="6" w:author="kchia" w:date="2013-12-10T21:57:00Z">
                <w:rPr>
                  <w:rFonts w:ascii="Cambria Math" w:hAnsi="Cambria Math"/>
                </w:rPr>
              </w:ins>
            </m:ctrlPr>
          </m:fPr>
          <m:num>
            <m:sSubSup>
              <m:sSubSupPr>
                <m:ctrlPr>
                  <w:ins w:id="7" w:author="kchia" w:date="2013-12-10T21:57: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num>
          <m:den>
            <m:sSubSup>
              <m:sSubSupPr>
                <m:ctrlPr>
                  <w:ins w:id="8" w:author="kchia" w:date="2013-12-10T21:57:00Z">
                    <w:rPr>
                      <w:rFonts w:ascii="Cambria Math" w:hAnsi="Cambria Math"/>
                    </w:rPr>
                  </w:ins>
                </m:ctrlPr>
              </m:sSubSupPr>
              <m:e>
                <m:r>
                  <m:rPr>
                    <m:sty m:val="p"/>
                  </m:rPr>
                  <w:rPr>
                    <w:rFonts w:ascii="Cambria Math" w:hAnsi="Cambria Math"/>
                  </w:rPr>
                  <m:t>σ</m:t>
                </m:r>
              </m:e>
              <m:sub>
                <m:r>
                  <m:rPr>
                    <m:sty m:val="p"/>
                  </m:rPr>
                  <w:rPr>
                    <w:rFonts w:ascii="Cambria Math" w:hAnsi="Cambria Math"/>
                  </w:rPr>
                  <m:t>agency-to-agency</m:t>
                </m:r>
              </m:sub>
              <m:sup>
                <m:r>
                  <m:rPr>
                    <m:sty m:val="p"/>
                  </m:rPr>
                  <w:rPr>
                    <w:rFonts w:ascii="Cambria Math" w:hAnsi="Cambria Math"/>
                  </w:rPr>
                  <m:t>2</m:t>
                </m:r>
              </m:sup>
            </m:sSubSup>
            <m:r>
              <m:rPr>
                <m:sty m:val="p"/>
              </m:rPr>
              <w:rPr>
                <w:rFonts w:ascii="Cambria Math" w:hAnsi="Cambria Math"/>
              </w:rPr>
              <m:t>+</m:t>
            </m:r>
            <m:f>
              <m:fPr>
                <m:ctrlPr>
                  <w:ins w:id="9" w:author="kchia" w:date="2013-12-10T21:57:00Z">
                    <w:rPr>
                      <w:rFonts w:ascii="Cambria Math" w:hAnsi="Cambria Math"/>
                    </w:rPr>
                  </w:ins>
                </m:ctrlPr>
              </m:fPr>
              <m:num>
                <m:r>
                  <m:rPr>
                    <m:sty m:val="p"/>
                  </m:rPr>
                  <w:rPr>
                    <w:rFonts w:ascii="Cambria Math" w:hAnsi="Cambria Math"/>
                  </w:rPr>
                  <m:t>p(1-p)</m:t>
                </m:r>
              </m:num>
              <m:den>
                <m:r>
                  <m:rPr>
                    <m:sty m:val="p"/>
                  </m:rPr>
                  <w:rPr>
                    <w:rFonts w:ascii="Cambria Math" w:hAnsi="Cambria Math"/>
                  </w:rPr>
                  <m:t>n</m:t>
                </m:r>
              </m:den>
            </m:f>
          </m:den>
        </m:f>
      </m:oMath>
      <w:r w:rsidRPr="00D41096">
        <w:rPr>
          <w:rFonts w:eastAsia="Times New Roman"/>
        </w:rPr>
        <w:t xml:space="preserve">   (1)</w:t>
      </w:r>
    </w:p>
    <w:p w:rsidR="007F6E38" w:rsidRDefault="007F6E38" w:rsidP="00BC225A">
      <w:pPr>
        <w:pStyle w:val="Body125"/>
        <w:ind w:firstLine="0"/>
      </w:pPr>
      <w:r>
        <w:t xml:space="preserve">Using the beta-binomial model, Acumen concluded that the measure reliability </w:t>
      </w:r>
      <w:r w:rsidR="009D388A">
        <w:t>i</w:t>
      </w:r>
      <w:r>
        <w:t>s high</w:t>
      </w:r>
      <w:r w:rsidRPr="004F4778">
        <w:t xml:space="preserve">.  </w:t>
      </w:r>
      <w:r>
        <w:t>U</w:t>
      </w:r>
      <w:r w:rsidR="00EC26E9">
        <w:t>nder</w:t>
      </w:r>
      <w:r>
        <w:t xml:space="preserve"> the revised specifications, the 25</w:t>
      </w:r>
      <w:r>
        <w:rPr>
          <w:vertAlign w:val="superscript"/>
        </w:rPr>
        <w:t>th</w:t>
      </w:r>
      <w:r>
        <w:t xml:space="preserve"> percentile reliability score is </w:t>
      </w:r>
      <w:r w:rsidRPr="003E3095">
        <w:rPr>
          <w:b/>
        </w:rPr>
        <w:t>0.7</w:t>
      </w:r>
      <w:r>
        <w:rPr>
          <w:b/>
        </w:rPr>
        <w:t xml:space="preserve">6 </w:t>
      </w:r>
      <w:r w:rsidR="00DF45E4">
        <w:t>(compared to a score of</w:t>
      </w:r>
      <w:r>
        <w:t xml:space="preserve"> </w:t>
      </w:r>
      <w:r w:rsidRPr="00F93482">
        <w:rPr>
          <w:b/>
        </w:rPr>
        <w:t>0.51</w:t>
      </w:r>
      <w:r>
        <w:t xml:space="preserve"> when the measure is calculated u</w:t>
      </w:r>
      <w:r w:rsidR="00DF45E4">
        <w:t>sing</w:t>
      </w:r>
      <w:r>
        <w:t xml:space="preserve"> the current specifications), which is above the range considered acceptable for drawing inferences about home health agencies</w:t>
      </w:r>
      <w:r w:rsidR="00DF45E4">
        <w:t xml:space="preserve"> (i.e., 0.70 – 0.80)</w:t>
      </w:r>
      <w:r w:rsidRPr="004F4778">
        <w:t xml:space="preserve">.  </w:t>
      </w:r>
      <w:r w:rsidR="00DF45E4">
        <w:t>Table 4</w:t>
      </w:r>
      <w:r>
        <w:t xml:space="preserve"> summarizes the distribution of reliability scores for agencies with at least 20 valid episodes of care. </w:t>
      </w:r>
    </w:p>
    <w:p w:rsidR="007F6E38" w:rsidRDefault="007F6E38" w:rsidP="00F93482">
      <w:pPr>
        <w:pStyle w:val="Caption"/>
      </w:pPr>
      <w:r>
        <w:t xml:space="preserve">Table </w:t>
      </w:r>
      <w:fldSimple w:instr=" SEQ Table \* ARABIC ">
        <w:r w:rsidR="000A7B15">
          <w:rPr>
            <w:noProof/>
          </w:rPr>
          <w:t>4</w:t>
        </w:r>
      </w:fldSimple>
      <w:r>
        <w:t>: Distribution of Beta Binomial Reliability Scores for Agencies with at Least 20 Valid Episodes</w:t>
      </w:r>
    </w:p>
    <w:tbl>
      <w:tblPr>
        <w:tblW w:w="6899" w:type="dxa"/>
        <w:jc w:val="center"/>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805"/>
        <w:gridCol w:w="722"/>
        <w:gridCol w:w="635"/>
        <w:gridCol w:w="635"/>
        <w:gridCol w:w="628"/>
        <w:gridCol w:w="635"/>
        <w:gridCol w:w="628"/>
        <w:gridCol w:w="705"/>
      </w:tblGrid>
      <w:tr w:rsidR="007F6E38" w:rsidTr="00F93482">
        <w:trPr>
          <w:trHeight w:val="330"/>
          <w:jc w:val="center"/>
        </w:trPr>
        <w:tc>
          <w:tcPr>
            <w:tcW w:w="1506" w:type="dxa"/>
            <w:shd w:val="clear" w:color="auto" w:fill="CDECFF"/>
            <w:vAlign w:val="center"/>
          </w:tcPr>
          <w:p w:rsidR="007F6E38" w:rsidRPr="007F6E38" w:rsidRDefault="007F6E38" w:rsidP="00385F87">
            <w:pPr>
              <w:spacing w:after="0" w:line="240" w:lineRule="auto"/>
              <w:jc w:val="center"/>
              <w:rPr>
                <w:rFonts w:ascii="Times New Roman" w:hAnsi="Times New Roman" w:cs="Times New Roman"/>
                <w:b/>
                <w:sz w:val="20"/>
                <w:szCs w:val="20"/>
              </w:rPr>
            </w:pPr>
            <w:r w:rsidRPr="007F6E38">
              <w:rPr>
                <w:rFonts w:ascii="Times New Roman" w:hAnsi="Times New Roman" w:cs="Times New Roman"/>
                <w:b/>
                <w:sz w:val="20"/>
                <w:szCs w:val="20"/>
              </w:rPr>
              <w:t>Measure Specification</w:t>
            </w:r>
          </w:p>
        </w:tc>
        <w:tc>
          <w:tcPr>
            <w:tcW w:w="805" w:type="dxa"/>
            <w:shd w:val="clear" w:color="auto" w:fill="CDECFF"/>
            <w:vAlign w:val="center"/>
          </w:tcPr>
          <w:p w:rsidR="007F6E38" w:rsidRPr="00F93482" w:rsidRDefault="007F6E38" w:rsidP="00385F87">
            <w:pPr>
              <w:spacing w:after="0" w:line="240" w:lineRule="auto"/>
              <w:jc w:val="center"/>
              <w:rPr>
                <w:rFonts w:ascii="Times New Roman" w:hAnsi="Times New Roman" w:cs="Times New Roman"/>
                <w:b/>
                <w:sz w:val="20"/>
                <w:szCs w:val="20"/>
              </w:rPr>
            </w:pPr>
            <w:r w:rsidRPr="00F93482">
              <w:rPr>
                <w:rFonts w:ascii="Times New Roman" w:hAnsi="Times New Roman" w:cs="Times New Roman"/>
                <w:b/>
                <w:sz w:val="20"/>
                <w:szCs w:val="20"/>
              </w:rPr>
              <w:t>Mean</w:t>
            </w:r>
          </w:p>
        </w:tc>
        <w:tc>
          <w:tcPr>
            <w:tcW w:w="722" w:type="dxa"/>
            <w:shd w:val="clear" w:color="auto" w:fill="CDECFF"/>
            <w:vAlign w:val="center"/>
          </w:tcPr>
          <w:p w:rsidR="007F6E38" w:rsidRPr="00F93482" w:rsidRDefault="007F6E38" w:rsidP="00385F87">
            <w:pPr>
              <w:spacing w:after="0" w:line="240" w:lineRule="auto"/>
              <w:jc w:val="center"/>
              <w:rPr>
                <w:rFonts w:ascii="Times New Roman" w:hAnsi="Times New Roman"/>
                <w:b/>
                <w:szCs w:val="20"/>
              </w:rPr>
            </w:pPr>
            <w:r w:rsidRPr="00F93482">
              <w:rPr>
                <w:rFonts w:ascii="Times New Roman" w:hAnsi="Times New Roman" w:cs="Times New Roman"/>
                <w:b/>
                <w:sz w:val="20"/>
                <w:szCs w:val="20"/>
              </w:rPr>
              <w:t>Min.</w:t>
            </w:r>
          </w:p>
        </w:tc>
        <w:tc>
          <w:tcPr>
            <w:tcW w:w="635" w:type="dxa"/>
            <w:shd w:val="clear" w:color="auto" w:fill="CDECFF"/>
            <w:vAlign w:val="center"/>
          </w:tcPr>
          <w:p w:rsidR="007F6E38" w:rsidRPr="00F93482" w:rsidRDefault="007F6E38" w:rsidP="00385F87">
            <w:pPr>
              <w:spacing w:after="0" w:line="240" w:lineRule="auto"/>
              <w:jc w:val="center"/>
              <w:rPr>
                <w:rFonts w:ascii="Times New Roman" w:hAnsi="Times New Roman"/>
                <w:b/>
                <w:szCs w:val="20"/>
              </w:rPr>
            </w:pPr>
            <w:r w:rsidRPr="00F93482">
              <w:rPr>
                <w:rFonts w:ascii="Times New Roman" w:hAnsi="Times New Roman" w:cs="Times New Roman"/>
                <w:b/>
                <w:sz w:val="20"/>
                <w:szCs w:val="20"/>
              </w:rPr>
              <w:t>p10</w:t>
            </w:r>
          </w:p>
        </w:tc>
        <w:tc>
          <w:tcPr>
            <w:tcW w:w="635" w:type="dxa"/>
            <w:shd w:val="clear" w:color="auto" w:fill="CDECFF"/>
            <w:vAlign w:val="center"/>
          </w:tcPr>
          <w:p w:rsidR="007F6E38" w:rsidRPr="00F93482" w:rsidRDefault="007F6E38" w:rsidP="00385F87">
            <w:pPr>
              <w:spacing w:after="0" w:line="240" w:lineRule="auto"/>
              <w:jc w:val="center"/>
              <w:rPr>
                <w:rFonts w:ascii="Times New Roman" w:hAnsi="Times New Roman"/>
                <w:b/>
                <w:szCs w:val="20"/>
              </w:rPr>
            </w:pPr>
            <w:r w:rsidRPr="00F93482">
              <w:rPr>
                <w:rFonts w:ascii="Times New Roman" w:hAnsi="Times New Roman" w:cs="Times New Roman"/>
                <w:b/>
                <w:sz w:val="20"/>
                <w:szCs w:val="20"/>
              </w:rPr>
              <w:t>p25</w:t>
            </w:r>
          </w:p>
        </w:tc>
        <w:tc>
          <w:tcPr>
            <w:tcW w:w="628" w:type="dxa"/>
            <w:shd w:val="clear" w:color="auto" w:fill="CDECFF"/>
            <w:vAlign w:val="center"/>
          </w:tcPr>
          <w:p w:rsidR="007F6E38" w:rsidRPr="00F93482" w:rsidRDefault="007F6E38" w:rsidP="00385F87">
            <w:pPr>
              <w:pStyle w:val="TableText"/>
              <w:jc w:val="center"/>
              <w:rPr>
                <w:b/>
                <w:szCs w:val="20"/>
              </w:rPr>
            </w:pPr>
            <w:r w:rsidRPr="007F6E38">
              <w:rPr>
                <w:b/>
                <w:szCs w:val="20"/>
              </w:rPr>
              <w:t>p50</w:t>
            </w:r>
          </w:p>
        </w:tc>
        <w:tc>
          <w:tcPr>
            <w:tcW w:w="635" w:type="dxa"/>
            <w:shd w:val="clear" w:color="auto" w:fill="CDECFF"/>
            <w:vAlign w:val="center"/>
          </w:tcPr>
          <w:p w:rsidR="007F6E38" w:rsidRPr="00F93482" w:rsidRDefault="007F6E38" w:rsidP="00385F87">
            <w:pPr>
              <w:spacing w:after="0" w:line="240" w:lineRule="auto"/>
              <w:jc w:val="center"/>
              <w:rPr>
                <w:rFonts w:ascii="Times New Roman" w:hAnsi="Times New Roman"/>
                <w:b/>
                <w:szCs w:val="20"/>
              </w:rPr>
            </w:pPr>
            <w:r w:rsidRPr="00F93482">
              <w:rPr>
                <w:rFonts w:ascii="Times New Roman" w:hAnsi="Times New Roman" w:cs="Times New Roman"/>
                <w:b/>
                <w:sz w:val="20"/>
                <w:szCs w:val="20"/>
              </w:rPr>
              <w:t>p75</w:t>
            </w:r>
          </w:p>
        </w:tc>
        <w:tc>
          <w:tcPr>
            <w:tcW w:w="628" w:type="dxa"/>
            <w:shd w:val="clear" w:color="auto" w:fill="CDECFF"/>
            <w:vAlign w:val="center"/>
          </w:tcPr>
          <w:p w:rsidR="007F6E38" w:rsidRPr="007F6E38" w:rsidRDefault="007F6E38" w:rsidP="00385F87">
            <w:pPr>
              <w:pStyle w:val="TableText"/>
              <w:jc w:val="center"/>
              <w:rPr>
                <w:b/>
                <w:szCs w:val="20"/>
              </w:rPr>
            </w:pPr>
            <w:r w:rsidRPr="007F6E38">
              <w:rPr>
                <w:b/>
                <w:szCs w:val="20"/>
              </w:rPr>
              <w:t>p90</w:t>
            </w:r>
          </w:p>
        </w:tc>
        <w:tc>
          <w:tcPr>
            <w:tcW w:w="705" w:type="dxa"/>
            <w:shd w:val="clear" w:color="auto" w:fill="CDECFF"/>
            <w:vAlign w:val="center"/>
          </w:tcPr>
          <w:p w:rsidR="007F6E38" w:rsidRPr="00F93482" w:rsidRDefault="007F6E38" w:rsidP="00385F87">
            <w:pPr>
              <w:spacing w:after="0" w:line="240" w:lineRule="auto"/>
              <w:jc w:val="center"/>
              <w:rPr>
                <w:rFonts w:ascii="Times New Roman" w:hAnsi="Times New Roman"/>
                <w:b/>
                <w:szCs w:val="20"/>
              </w:rPr>
            </w:pPr>
            <w:r w:rsidRPr="00F93482">
              <w:rPr>
                <w:rFonts w:ascii="Times New Roman" w:hAnsi="Times New Roman" w:cs="Times New Roman"/>
                <w:b/>
                <w:sz w:val="20"/>
                <w:szCs w:val="20"/>
              </w:rPr>
              <w:t>Max</w:t>
            </w:r>
          </w:p>
        </w:tc>
      </w:tr>
      <w:tr w:rsidR="007F6E38" w:rsidTr="00F93482">
        <w:trPr>
          <w:trHeight w:val="260"/>
          <w:jc w:val="center"/>
        </w:trPr>
        <w:tc>
          <w:tcPr>
            <w:tcW w:w="1506" w:type="dxa"/>
          </w:tcPr>
          <w:p w:rsidR="007F6E38" w:rsidRPr="007F6E38" w:rsidRDefault="007F6E38" w:rsidP="00385F87">
            <w:pPr>
              <w:spacing w:after="0" w:line="240" w:lineRule="auto"/>
              <w:jc w:val="center"/>
              <w:rPr>
                <w:rFonts w:ascii="Times New Roman" w:hAnsi="Times New Roman" w:cs="Times New Roman"/>
                <w:sz w:val="20"/>
                <w:szCs w:val="20"/>
              </w:rPr>
            </w:pPr>
            <w:r w:rsidRPr="007F6E38">
              <w:rPr>
                <w:rFonts w:ascii="Times New Roman" w:hAnsi="Times New Roman" w:cs="Times New Roman"/>
                <w:sz w:val="20"/>
                <w:szCs w:val="20"/>
              </w:rPr>
              <w:t>Current Logic</w:t>
            </w:r>
          </w:p>
        </w:tc>
        <w:tc>
          <w:tcPr>
            <w:tcW w:w="805"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0.76</w:t>
            </w:r>
          </w:p>
        </w:tc>
        <w:tc>
          <w:tcPr>
            <w:tcW w:w="722"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0.04</w:t>
            </w:r>
          </w:p>
        </w:tc>
        <w:tc>
          <w:tcPr>
            <w:tcW w:w="635"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0.25</w:t>
            </w:r>
          </w:p>
        </w:tc>
        <w:tc>
          <w:tcPr>
            <w:tcW w:w="635"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0.51</w:t>
            </w:r>
          </w:p>
        </w:tc>
        <w:tc>
          <w:tcPr>
            <w:tcW w:w="628"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0.99</w:t>
            </w:r>
          </w:p>
        </w:tc>
        <w:tc>
          <w:tcPr>
            <w:tcW w:w="635"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1.00</w:t>
            </w:r>
          </w:p>
        </w:tc>
        <w:tc>
          <w:tcPr>
            <w:tcW w:w="628" w:type="dxa"/>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1.00</w:t>
            </w:r>
          </w:p>
        </w:tc>
        <w:tc>
          <w:tcPr>
            <w:tcW w:w="705" w:type="dxa"/>
            <w:shd w:val="clear" w:color="auto" w:fill="auto"/>
            <w:vAlign w:val="bottom"/>
          </w:tcPr>
          <w:p w:rsidR="007F6E38" w:rsidRPr="00F93482"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1.00</w:t>
            </w:r>
          </w:p>
        </w:tc>
      </w:tr>
      <w:tr w:rsidR="007F6E38" w:rsidTr="00F93482">
        <w:trPr>
          <w:trHeight w:val="260"/>
          <w:jc w:val="center"/>
        </w:trPr>
        <w:tc>
          <w:tcPr>
            <w:tcW w:w="1506" w:type="dxa"/>
          </w:tcPr>
          <w:p w:rsidR="007F6E38" w:rsidRPr="007F6E38" w:rsidRDefault="007F6E38" w:rsidP="00385F87">
            <w:pPr>
              <w:spacing w:after="0" w:line="240" w:lineRule="auto"/>
              <w:jc w:val="center"/>
              <w:rPr>
                <w:rFonts w:ascii="Times New Roman" w:hAnsi="Times New Roman" w:cs="Times New Roman"/>
                <w:sz w:val="20"/>
                <w:szCs w:val="20"/>
              </w:rPr>
            </w:pPr>
            <w:r w:rsidRPr="007F6E38">
              <w:rPr>
                <w:rFonts w:ascii="Times New Roman" w:hAnsi="Times New Roman" w:cs="Times New Roman"/>
                <w:sz w:val="20"/>
                <w:szCs w:val="20"/>
              </w:rPr>
              <w:t>Revised Logic</w:t>
            </w:r>
          </w:p>
        </w:tc>
        <w:tc>
          <w:tcPr>
            <w:tcW w:w="805"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0.84</w:t>
            </w:r>
          </w:p>
        </w:tc>
        <w:tc>
          <w:tcPr>
            <w:tcW w:w="722"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0.21</w:t>
            </w:r>
          </w:p>
        </w:tc>
        <w:tc>
          <w:tcPr>
            <w:tcW w:w="635"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0.59</w:t>
            </w:r>
          </w:p>
        </w:tc>
        <w:tc>
          <w:tcPr>
            <w:tcW w:w="635"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0.76</w:t>
            </w:r>
          </w:p>
        </w:tc>
        <w:tc>
          <w:tcPr>
            <w:tcW w:w="628"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0.90</w:t>
            </w:r>
          </w:p>
        </w:tc>
        <w:tc>
          <w:tcPr>
            <w:tcW w:w="635"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0.97</w:t>
            </w:r>
          </w:p>
        </w:tc>
        <w:tc>
          <w:tcPr>
            <w:tcW w:w="628" w:type="dxa"/>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1.00</w:t>
            </w:r>
          </w:p>
        </w:tc>
        <w:tc>
          <w:tcPr>
            <w:tcW w:w="705" w:type="dxa"/>
            <w:shd w:val="clear" w:color="auto" w:fill="auto"/>
            <w:vAlign w:val="bottom"/>
          </w:tcPr>
          <w:p w:rsidR="007F6E38" w:rsidRPr="007F6E38" w:rsidRDefault="007F6E38"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color w:val="000000"/>
                <w:sz w:val="20"/>
                <w:szCs w:val="20"/>
              </w:rPr>
              <w:t>1.00</w:t>
            </w:r>
          </w:p>
        </w:tc>
      </w:tr>
    </w:tbl>
    <w:p w:rsidR="00C041C6" w:rsidRDefault="00C041C6" w:rsidP="00F93482">
      <w:pPr>
        <w:pStyle w:val="Heading2"/>
      </w:pPr>
    </w:p>
    <w:p w:rsidR="001753BC" w:rsidRDefault="001753BC" w:rsidP="00F93482">
      <w:pPr>
        <w:pStyle w:val="Heading2"/>
      </w:pPr>
      <w:proofErr w:type="spellStart"/>
      <w:r>
        <w:t>Intraclass</w:t>
      </w:r>
      <w:proofErr w:type="spellEnd"/>
      <w:r>
        <w:t xml:space="preserve"> Correlation</w:t>
      </w:r>
      <w:r w:rsidR="00FD0CCA">
        <w:t xml:space="preserve"> Coefficient</w:t>
      </w:r>
    </w:p>
    <w:p w:rsidR="007F6E38" w:rsidRDefault="007F6E38" w:rsidP="00BC225A">
      <w:pPr>
        <w:pStyle w:val="Body125"/>
        <w:ind w:firstLine="0"/>
      </w:pPr>
      <w:r>
        <w:t>Acumen also calculated the test-retest reliability usin</w:t>
      </w:r>
      <w:r w:rsidR="00FD0CCA">
        <w:t>g the ICC</w:t>
      </w:r>
      <w:r>
        <w:t xml:space="preserve"> to measure between-agency variation and within-agency variation.  Home health episodes within each agency were randomly divided into two separate equally-sized groups. Performance rates were obtained for each set within a measure. Then, a measure-level mean and variance were estimated using the paired performance rates, and an ICC statistic was derived.  ICC values that approach 1 indicate that the fraction of the total variance due to between-agency variation is high.  </w:t>
      </w:r>
      <w:r w:rsidR="00DF45E4">
        <w:t xml:space="preserve">Under the revised specifications, the ICC is </w:t>
      </w:r>
      <w:r w:rsidR="00DF45E4">
        <w:rPr>
          <w:b/>
        </w:rPr>
        <w:t>0.78</w:t>
      </w:r>
      <w:r w:rsidR="00DF45E4">
        <w:t xml:space="preserve"> for agencies with at least 40 valid episodes (compared to </w:t>
      </w:r>
      <w:r w:rsidR="00FD0CCA">
        <w:t>an ICC</w:t>
      </w:r>
      <w:r w:rsidR="00DF45E4">
        <w:t xml:space="preserve"> of </w:t>
      </w:r>
      <w:r w:rsidR="00DF45E4" w:rsidRPr="00F93482">
        <w:rPr>
          <w:b/>
        </w:rPr>
        <w:t>0.50</w:t>
      </w:r>
      <w:r w:rsidR="00DF45E4">
        <w:rPr>
          <w:b/>
        </w:rPr>
        <w:t xml:space="preserve"> </w:t>
      </w:r>
      <w:r w:rsidR="00DF45E4">
        <w:t>when the measure is calculated under the current specifications</w:t>
      </w:r>
      <w:r w:rsidR="00DF45E4">
        <w:rPr>
          <w:b/>
        </w:rPr>
        <w:t>)</w:t>
      </w:r>
      <w:r w:rsidR="00DF45E4">
        <w:t xml:space="preserve">, indicating that most of the total variation is due to between-agency variation. </w:t>
      </w:r>
    </w:p>
    <w:p w:rsidR="00031705" w:rsidRDefault="00031705" w:rsidP="00031705">
      <w:pPr>
        <w:pStyle w:val="Heading1"/>
      </w:pPr>
      <w:r>
        <w:t>Measure Validity</w:t>
      </w:r>
    </w:p>
    <w:p w:rsidR="000A7B15" w:rsidRDefault="000A7B15" w:rsidP="00BC225A">
      <w:pPr>
        <w:pStyle w:val="Body125"/>
        <w:ind w:firstLine="0"/>
      </w:pPr>
      <w:r>
        <w:t xml:space="preserve">Acumen evaluated the convergent validity of the revised measure.  Convergent validity refers to the extent to which measures that are designed to assess the same construct are related to </w:t>
      </w:r>
      <w:r w:rsidRPr="000A7B15">
        <w:rPr>
          <w:rStyle w:val="Body125Char"/>
        </w:rPr>
        <w:t>each other.  To evaluate the convergent validity of the measure, Acumen calculated the Spearman rank</w:t>
      </w:r>
      <w:r>
        <w:t xml:space="preserve"> correlations of the </w:t>
      </w:r>
      <w:r>
        <w:rPr>
          <w:i/>
        </w:rPr>
        <w:t xml:space="preserve">Heart Failure Symptoms Addressed </w:t>
      </w:r>
      <w:proofErr w:type="gramStart"/>
      <w:r>
        <w:rPr>
          <w:i/>
        </w:rPr>
        <w:t>During</w:t>
      </w:r>
      <w:proofErr w:type="gramEnd"/>
      <w:r>
        <w:rPr>
          <w:i/>
        </w:rPr>
        <w:t xml:space="preserve"> All Episodes of Care </w:t>
      </w:r>
      <w:r w:rsidR="009845AD">
        <w:t>measure with other</w:t>
      </w:r>
      <w:r>
        <w:t xml:space="preserve"> publicly-reported measures of home health quality derived from OASIS assessments; Tab</w:t>
      </w:r>
      <w:r w:rsidR="009845AD">
        <w:t>le 5 shows the results.</w:t>
      </w:r>
      <w:r w:rsidR="009736C7">
        <w:t xml:space="preserve"> Correlation was low across all measures, showing that this measure captures a distinct type of care quality.</w:t>
      </w:r>
    </w:p>
    <w:p w:rsidR="000A7B15" w:rsidRPr="009845AD" w:rsidRDefault="000A7B15" w:rsidP="000A7B15">
      <w:pPr>
        <w:spacing w:after="0"/>
        <w:jc w:val="center"/>
        <w:rPr>
          <w:rFonts w:ascii="Times New Roman" w:hAnsi="Times New Roman" w:cs="Times New Roman"/>
          <w:b/>
          <w:sz w:val="24"/>
          <w:szCs w:val="24"/>
        </w:rPr>
      </w:pPr>
      <w:r w:rsidRPr="009845AD">
        <w:rPr>
          <w:rFonts w:ascii="Times New Roman" w:hAnsi="Times New Roman" w:cs="Times New Roman"/>
          <w:b/>
          <w:sz w:val="24"/>
          <w:szCs w:val="24"/>
        </w:rPr>
        <w:t xml:space="preserve">Table </w:t>
      </w:r>
      <w:r w:rsidRPr="009845AD">
        <w:rPr>
          <w:rFonts w:ascii="Times New Roman" w:hAnsi="Times New Roman" w:cs="Times New Roman"/>
          <w:b/>
          <w:sz w:val="24"/>
          <w:szCs w:val="24"/>
        </w:rPr>
        <w:fldChar w:fldCharType="begin"/>
      </w:r>
      <w:r w:rsidRPr="009845AD">
        <w:rPr>
          <w:rFonts w:ascii="Times New Roman" w:hAnsi="Times New Roman" w:cs="Times New Roman"/>
          <w:b/>
          <w:sz w:val="24"/>
          <w:szCs w:val="24"/>
        </w:rPr>
        <w:instrText xml:space="preserve"> SEQ Table \* ARABIC </w:instrText>
      </w:r>
      <w:r w:rsidRPr="009845AD">
        <w:rPr>
          <w:rFonts w:ascii="Times New Roman" w:hAnsi="Times New Roman" w:cs="Times New Roman"/>
          <w:b/>
          <w:sz w:val="24"/>
          <w:szCs w:val="24"/>
        </w:rPr>
        <w:fldChar w:fldCharType="separate"/>
      </w:r>
      <w:r w:rsidRPr="009845AD">
        <w:rPr>
          <w:rFonts w:ascii="Times New Roman" w:hAnsi="Times New Roman" w:cs="Times New Roman"/>
          <w:b/>
          <w:noProof/>
          <w:sz w:val="24"/>
          <w:szCs w:val="24"/>
        </w:rPr>
        <w:t>5</w:t>
      </w:r>
      <w:r w:rsidRPr="009845AD">
        <w:rPr>
          <w:rFonts w:ascii="Times New Roman" w:hAnsi="Times New Roman" w:cs="Times New Roman"/>
          <w:b/>
          <w:sz w:val="24"/>
          <w:szCs w:val="24"/>
        </w:rPr>
        <w:fldChar w:fldCharType="end"/>
      </w:r>
      <w:r w:rsidRPr="009845AD">
        <w:rPr>
          <w:rFonts w:ascii="Times New Roman" w:hAnsi="Times New Roman" w:cs="Times New Roman"/>
          <w:b/>
          <w:sz w:val="24"/>
          <w:szCs w:val="24"/>
        </w:rPr>
        <w:t xml:space="preserve">: Spearman Rank Correlations of </w:t>
      </w:r>
      <w:r w:rsidR="009736C7">
        <w:rPr>
          <w:rFonts w:ascii="Times New Roman" w:hAnsi="Times New Roman" w:cs="Times New Roman"/>
          <w:b/>
          <w:i/>
          <w:sz w:val="24"/>
          <w:szCs w:val="24"/>
        </w:rPr>
        <w:t>Heart Failure Symptoms Addressed</w:t>
      </w:r>
      <w:r w:rsidRPr="009845AD">
        <w:rPr>
          <w:rFonts w:ascii="Times New Roman" w:hAnsi="Times New Roman" w:cs="Times New Roman"/>
          <w:b/>
          <w:sz w:val="24"/>
          <w:szCs w:val="24"/>
        </w:rPr>
        <w:t xml:space="preserve"> with Other Measures of Home Health Quality</w:t>
      </w:r>
    </w:p>
    <w:tbl>
      <w:tblPr>
        <w:tblW w:w="7993"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7"/>
        <w:gridCol w:w="2556"/>
      </w:tblGrid>
      <w:tr w:rsidR="000A7B15" w:rsidTr="009736C7">
        <w:trPr>
          <w:trHeight w:val="206"/>
          <w:jc w:val="center"/>
        </w:trPr>
        <w:tc>
          <w:tcPr>
            <w:tcW w:w="5437"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0A7B15" w:rsidRPr="009845AD" w:rsidRDefault="000A7B15" w:rsidP="009845AD">
            <w:pPr>
              <w:spacing w:after="0" w:line="240" w:lineRule="auto"/>
              <w:jc w:val="center"/>
              <w:rPr>
                <w:rFonts w:ascii="Times New Roman" w:eastAsia="Times New Roman" w:hAnsi="Times New Roman" w:cs="Times New Roman"/>
                <w:b/>
                <w:bCs/>
                <w:color w:val="000000"/>
                <w:sz w:val="20"/>
                <w:szCs w:val="20"/>
              </w:rPr>
            </w:pPr>
            <w:r w:rsidRPr="009845AD">
              <w:rPr>
                <w:rFonts w:ascii="Times New Roman" w:hAnsi="Times New Roman" w:cs="Times New Roman"/>
                <w:b/>
                <w:bCs/>
                <w:color w:val="000000"/>
                <w:sz w:val="20"/>
                <w:szCs w:val="20"/>
              </w:rPr>
              <w:t>Measure Performance</w:t>
            </w:r>
          </w:p>
        </w:tc>
        <w:tc>
          <w:tcPr>
            <w:tcW w:w="2556" w:type="dxa"/>
            <w:tcBorders>
              <w:top w:val="single" w:sz="4" w:space="0" w:color="auto"/>
              <w:left w:val="single" w:sz="4" w:space="0" w:color="auto"/>
              <w:bottom w:val="single" w:sz="4" w:space="0" w:color="auto"/>
              <w:right w:val="single" w:sz="4" w:space="0" w:color="auto"/>
            </w:tcBorders>
            <w:shd w:val="clear" w:color="auto" w:fill="CDECFF"/>
            <w:vAlign w:val="center"/>
            <w:hideMark/>
          </w:tcPr>
          <w:p w:rsidR="000A7B15" w:rsidRPr="009845AD" w:rsidRDefault="000A7B15" w:rsidP="009845AD">
            <w:pPr>
              <w:spacing w:after="0" w:line="240" w:lineRule="auto"/>
              <w:jc w:val="center"/>
              <w:rPr>
                <w:rFonts w:ascii="Times New Roman" w:eastAsia="Times New Roman" w:hAnsi="Times New Roman" w:cs="Times New Roman"/>
                <w:b/>
                <w:bCs/>
                <w:color w:val="000000"/>
                <w:sz w:val="20"/>
                <w:szCs w:val="20"/>
              </w:rPr>
            </w:pPr>
            <w:r w:rsidRPr="009845AD">
              <w:rPr>
                <w:rFonts w:ascii="Times New Roman" w:hAnsi="Times New Roman" w:cs="Times New Roman"/>
                <w:b/>
                <w:bCs/>
                <w:color w:val="000000"/>
                <w:sz w:val="20"/>
                <w:szCs w:val="20"/>
              </w:rPr>
              <w:t>Spearman Rank Correlations</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Improvement in Ambulation</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-0.1656</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Improvement in Bed Transfer</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-0.1345</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Improvement in Bathing</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-0.1122</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Improvement in Management of Oral Medications</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-0.0989</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Improvement in Pain Interfering With Activity</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-0.0088</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Improvement in Status of Surgical Wounds</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0.0527</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Emergency Department Use Without Hospitalization</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-0.0066</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Acute Care Hospitalization</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0.0761</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Timely Initiation of Care</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0.0255</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Depression Assessment Conducted</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0.0867</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Multifactor Fall Risk Assessment Conducted</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0.1658</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Pressure Ulcer Risk Assessment Conducted</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-0.0658</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Pressure Ulcer Treatment in Plan of Care</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0.0602</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Pressure Ulcer Prevention Implemented in All Episodes of Care</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0.0499</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Diabetic Foot Care Plan Implemented in All Episodes of Care</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0.0573</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Flu Immunization Received for Current Flu Season</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0.0152</w:t>
            </w:r>
          </w:p>
        </w:tc>
      </w:tr>
      <w:tr w:rsidR="009845AD" w:rsidTr="009736C7">
        <w:trPr>
          <w:trHeight w:val="300"/>
          <w:jc w:val="center"/>
        </w:trPr>
        <w:tc>
          <w:tcPr>
            <w:tcW w:w="5437"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rPr>
                <w:rFonts w:ascii="Times New Roman" w:hAnsi="Times New Roman" w:cs="Times New Roman"/>
                <w:color w:val="000000"/>
                <w:sz w:val="20"/>
                <w:szCs w:val="20"/>
              </w:rPr>
            </w:pPr>
            <w:r w:rsidRPr="009845AD">
              <w:rPr>
                <w:rFonts w:ascii="Times New Roman" w:hAnsi="Times New Roman" w:cs="Times New Roman"/>
                <w:color w:val="000000"/>
                <w:sz w:val="20"/>
                <w:szCs w:val="20"/>
              </w:rPr>
              <w:t>Pneumococcal Polysaccharide Vaccine Ever Received</w:t>
            </w:r>
          </w:p>
        </w:tc>
        <w:tc>
          <w:tcPr>
            <w:tcW w:w="2556" w:type="dxa"/>
            <w:tcBorders>
              <w:top w:val="single" w:sz="4" w:space="0" w:color="auto"/>
              <w:left w:val="single" w:sz="4" w:space="0" w:color="auto"/>
              <w:bottom w:val="single" w:sz="4" w:space="0" w:color="auto"/>
              <w:right w:val="single" w:sz="4" w:space="0" w:color="auto"/>
            </w:tcBorders>
            <w:noWrap/>
            <w:vAlign w:val="bottom"/>
          </w:tcPr>
          <w:p w:rsidR="009845AD" w:rsidRPr="009845AD" w:rsidRDefault="009845AD" w:rsidP="009845AD">
            <w:pPr>
              <w:spacing w:after="0" w:line="240" w:lineRule="auto"/>
              <w:jc w:val="center"/>
              <w:rPr>
                <w:rFonts w:ascii="Times New Roman" w:hAnsi="Times New Roman" w:cs="Times New Roman"/>
                <w:color w:val="000000"/>
                <w:sz w:val="20"/>
                <w:szCs w:val="20"/>
              </w:rPr>
            </w:pPr>
            <w:r w:rsidRPr="009845AD">
              <w:rPr>
                <w:rFonts w:ascii="Times New Roman" w:hAnsi="Times New Roman" w:cs="Times New Roman"/>
                <w:color w:val="000000"/>
                <w:sz w:val="20"/>
                <w:szCs w:val="20"/>
              </w:rPr>
              <w:t>-0.0211</w:t>
            </w:r>
          </w:p>
        </w:tc>
      </w:tr>
    </w:tbl>
    <w:p w:rsidR="00BC225A" w:rsidRDefault="00BC225A" w:rsidP="00F93482">
      <w:pPr>
        <w:pStyle w:val="Heading1"/>
      </w:pPr>
    </w:p>
    <w:p w:rsidR="00D22B5F" w:rsidRDefault="00D22B5F" w:rsidP="00F93482">
      <w:pPr>
        <w:pStyle w:val="Heading1"/>
      </w:pPr>
      <w:r>
        <w:t>Exclusion</w:t>
      </w:r>
      <w:r w:rsidR="00A652BF">
        <w:t xml:space="preserve"> Analysi</w:t>
      </w:r>
      <w:r>
        <w:t>s</w:t>
      </w:r>
    </w:p>
    <w:p w:rsidR="005B6E41" w:rsidRDefault="005B6E41" w:rsidP="00BC225A">
      <w:pPr>
        <w:pStyle w:val="Body125"/>
        <w:ind w:firstLine="0"/>
      </w:pPr>
      <w:r>
        <w:t>Acumen calculated the frequency of exclusions by exclusion type. Under the revised specifications, the measure excludes (</w:t>
      </w:r>
      <w:proofErr w:type="spellStart"/>
      <w:r>
        <w:t>i</w:t>
      </w:r>
      <w:proofErr w:type="spellEnd"/>
      <w:r>
        <w:t>) home health episodes for which patient does not have a heart failure diagnosis, and (ii) home health episodes that end in death.   Acumen found that the exclusions are supported by sufficient frequency of occurrence, and</w:t>
      </w:r>
      <w:r w:rsidR="00A652BF">
        <w:t xml:space="preserve"> that</w:t>
      </w:r>
      <w:r>
        <w:t xml:space="preserve"> the results would be distorted </w:t>
      </w:r>
      <w:r w:rsidR="000A7B15">
        <w:t>without the exclusions.  Table 6</w:t>
      </w:r>
      <w:r>
        <w:t xml:space="preserve"> shows the number of quality episodes excluded as a result of each exclusion type. </w:t>
      </w:r>
    </w:p>
    <w:p w:rsidR="005B6E41" w:rsidRDefault="005B6E41" w:rsidP="00F93482">
      <w:pPr>
        <w:pStyle w:val="Caption"/>
      </w:pPr>
      <w:r>
        <w:t xml:space="preserve">Table </w:t>
      </w:r>
      <w:fldSimple w:instr=" SEQ Table \* ARABIC ">
        <w:r w:rsidR="000A7B15">
          <w:rPr>
            <w:noProof/>
          </w:rPr>
          <w:t>6</w:t>
        </w:r>
      </w:fldSimple>
      <w:r>
        <w:t xml:space="preserve">: </w:t>
      </w:r>
      <w:r w:rsidRPr="00F93482">
        <w:rPr>
          <w:i/>
        </w:rPr>
        <w:t xml:space="preserve">Heart Failure Symptoms Addressed </w:t>
      </w:r>
      <w:r w:rsidRPr="00B707B5">
        <w:t>Measure</w:t>
      </w:r>
      <w:r>
        <w:t xml:space="preserve"> Exclusions, by Type</w:t>
      </w:r>
    </w:p>
    <w:tbl>
      <w:tblPr>
        <w:tblW w:w="8361" w:type="dxa"/>
        <w:jc w:val="center"/>
        <w:tblInd w:w="-99" w:type="dxa"/>
        <w:tblLayout w:type="fixed"/>
        <w:tblCellMar>
          <w:left w:w="0" w:type="dxa"/>
          <w:right w:w="0" w:type="dxa"/>
        </w:tblCellMar>
        <w:tblLook w:val="04A0" w:firstRow="1" w:lastRow="0" w:firstColumn="1" w:lastColumn="0" w:noHBand="0" w:noVBand="1"/>
      </w:tblPr>
      <w:tblGrid>
        <w:gridCol w:w="5593"/>
        <w:gridCol w:w="2768"/>
      </w:tblGrid>
      <w:tr w:rsidR="005B6E41" w:rsidRPr="00C24C41" w:rsidTr="00F93482">
        <w:trPr>
          <w:trHeight w:val="50"/>
          <w:jc w:val="center"/>
        </w:trPr>
        <w:tc>
          <w:tcPr>
            <w:tcW w:w="5593" w:type="dxa"/>
            <w:tcBorders>
              <w:top w:val="single" w:sz="4" w:space="0" w:color="auto"/>
              <w:left w:val="single" w:sz="4" w:space="0" w:color="auto"/>
              <w:bottom w:val="single" w:sz="4" w:space="0" w:color="auto"/>
              <w:right w:val="single" w:sz="4" w:space="0" w:color="auto"/>
            </w:tcBorders>
            <w:shd w:val="clear" w:color="auto" w:fill="CDECFF"/>
            <w:tcMar>
              <w:top w:w="15" w:type="dxa"/>
              <w:left w:w="108" w:type="dxa"/>
              <w:bottom w:w="0" w:type="dxa"/>
              <w:right w:w="108" w:type="dxa"/>
            </w:tcMar>
            <w:vAlign w:val="center"/>
          </w:tcPr>
          <w:p w:rsidR="005B6E41" w:rsidRPr="00F93482" w:rsidRDefault="005B6E41" w:rsidP="00385F87">
            <w:pPr>
              <w:spacing w:after="0" w:line="240" w:lineRule="auto"/>
              <w:jc w:val="center"/>
              <w:rPr>
                <w:rFonts w:ascii="Times New Roman" w:hAnsi="Times New Roman" w:cs="Times New Roman"/>
                <w:b/>
                <w:sz w:val="20"/>
                <w:szCs w:val="20"/>
              </w:rPr>
            </w:pPr>
            <w:r w:rsidRPr="00F93482">
              <w:rPr>
                <w:rFonts w:ascii="Times New Roman" w:hAnsi="Times New Roman" w:cs="Times New Roman"/>
                <w:b/>
                <w:sz w:val="20"/>
                <w:szCs w:val="20"/>
              </w:rPr>
              <w:t xml:space="preserve">Exclusion Type </w:t>
            </w:r>
          </w:p>
        </w:tc>
        <w:tc>
          <w:tcPr>
            <w:tcW w:w="2768" w:type="dxa"/>
            <w:tcBorders>
              <w:top w:val="single" w:sz="4" w:space="0" w:color="auto"/>
              <w:left w:val="single" w:sz="4" w:space="0" w:color="auto"/>
              <w:bottom w:val="single" w:sz="4" w:space="0" w:color="auto"/>
              <w:right w:val="single" w:sz="4" w:space="0" w:color="auto"/>
            </w:tcBorders>
            <w:shd w:val="clear" w:color="auto" w:fill="CDECFF"/>
            <w:vAlign w:val="center"/>
          </w:tcPr>
          <w:p w:rsidR="005B6E41" w:rsidRPr="00F93482" w:rsidRDefault="005B6E41" w:rsidP="00385F87">
            <w:pPr>
              <w:spacing w:after="0" w:line="240" w:lineRule="auto"/>
              <w:jc w:val="center"/>
              <w:rPr>
                <w:rFonts w:ascii="Times New Roman" w:hAnsi="Times New Roman" w:cs="Times New Roman"/>
                <w:b/>
                <w:sz w:val="20"/>
                <w:szCs w:val="20"/>
              </w:rPr>
            </w:pPr>
            <w:r w:rsidRPr="00F93482">
              <w:rPr>
                <w:rFonts w:ascii="Times New Roman" w:hAnsi="Times New Roman" w:cs="Times New Roman"/>
                <w:b/>
                <w:sz w:val="20"/>
                <w:szCs w:val="20"/>
              </w:rPr>
              <w:t># of Quality Episodes Excluded</w:t>
            </w:r>
          </w:p>
        </w:tc>
      </w:tr>
      <w:tr w:rsidR="005B6E41" w:rsidRPr="00C24C41" w:rsidTr="00F93482">
        <w:trPr>
          <w:trHeight w:val="50"/>
          <w:jc w:val="center"/>
        </w:trPr>
        <w:tc>
          <w:tcPr>
            <w:tcW w:w="5593"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bottom"/>
          </w:tcPr>
          <w:p w:rsidR="005B6E41" w:rsidRPr="00F93482" w:rsidRDefault="005B6E41" w:rsidP="00385F87">
            <w:pPr>
              <w:spacing w:after="0" w:line="240" w:lineRule="auto"/>
              <w:rPr>
                <w:rFonts w:ascii="Times New Roman" w:hAnsi="Times New Roman" w:cs="Times New Roman"/>
                <w:sz w:val="20"/>
                <w:szCs w:val="20"/>
              </w:rPr>
            </w:pPr>
            <w:r w:rsidRPr="00F93482">
              <w:rPr>
                <w:rFonts w:ascii="Times New Roman" w:hAnsi="Times New Roman" w:cs="Times New Roman"/>
                <w:sz w:val="20"/>
                <w:szCs w:val="20"/>
              </w:rPr>
              <w:t>Patient death at home (missing M2400A value)</w:t>
            </w:r>
          </w:p>
        </w:tc>
        <w:tc>
          <w:tcPr>
            <w:tcW w:w="2768" w:type="dxa"/>
            <w:tcBorders>
              <w:top w:val="single" w:sz="4" w:space="0" w:color="auto"/>
              <w:left w:val="single" w:sz="4" w:space="0" w:color="auto"/>
              <w:bottom w:val="single" w:sz="4" w:space="0" w:color="auto"/>
              <w:right w:val="single" w:sz="4" w:space="0" w:color="auto"/>
            </w:tcBorders>
          </w:tcPr>
          <w:p w:rsidR="005B6E41" w:rsidRPr="00F93482" w:rsidRDefault="005B6E41" w:rsidP="00385F87">
            <w:pPr>
              <w:spacing w:after="0" w:line="240" w:lineRule="auto"/>
              <w:jc w:val="center"/>
              <w:rPr>
                <w:rFonts w:ascii="Times New Roman" w:hAnsi="Times New Roman" w:cs="Times New Roman"/>
                <w:sz w:val="20"/>
                <w:szCs w:val="20"/>
              </w:rPr>
            </w:pPr>
            <w:r w:rsidRPr="00F93482">
              <w:rPr>
                <w:rFonts w:ascii="Times New Roman" w:hAnsi="Times New Roman" w:cs="Times New Roman"/>
                <w:sz w:val="20"/>
                <w:szCs w:val="20"/>
              </w:rPr>
              <w:t>28,919</w:t>
            </w:r>
          </w:p>
        </w:tc>
      </w:tr>
      <w:tr w:rsidR="005B6E41" w:rsidRPr="00C24C41" w:rsidTr="00F93482">
        <w:trPr>
          <w:trHeight w:val="50"/>
          <w:jc w:val="center"/>
        </w:trPr>
        <w:tc>
          <w:tcPr>
            <w:tcW w:w="5593"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bottom"/>
          </w:tcPr>
          <w:p w:rsidR="005B6E41" w:rsidRPr="00F93482" w:rsidRDefault="005B6E41" w:rsidP="00385F87">
            <w:pPr>
              <w:spacing w:after="0" w:line="240" w:lineRule="auto"/>
              <w:rPr>
                <w:rFonts w:ascii="Times New Roman" w:hAnsi="Times New Roman" w:cs="Times New Roman"/>
                <w:sz w:val="20"/>
                <w:szCs w:val="20"/>
              </w:rPr>
            </w:pPr>
            <w:r>
              <w:rPr>
                <w:rFonts w:ascii="Times New Roman" w:hAnsi="Times New Roman" w:cs="Times New Roman"/>
                <w:sz w:val="20"/>
                <w:szCs w:val="20"/>
              </w:rPr>
              <w:t>No heart failure – no diagnosis found and symptoms not addressed</w:t>
            </w:r>
            <w:r w:rsidRPr="00F93482">
              <w:rPr>
                <w:rFonts w:ascii="Times New Roman" w:hAnsi="Times New Roman" w:cs="Times New Roman"/>
                <w:sz w:val="20"/>
                <w:szCs w:val="20"/>
              </w:rPr>
              <w:t xml:space="preserve"> </w:t>
            </w:r>
          </w:p>
        </w:tc>
        <w:tc>
          <w:tcPr>
            <w:tcW w:w="2768" w:type="dxa"/>
            <w:tcBorders>
              <w:top w:val="single" w:sz="4" w:space="0" w:color="auto"/>
              <w:left w:val="single" w:sz="4" w:space="0" w:color="auto"/>
              <w:bottom w:val="single" w:sz="4" w:space="0" w:color="auto"/>
              <w:right w:val="single" w:sz="4" w:space="0" w:color="auto"/>
            </w:tcBorders>
            <w:vAlign w:val="center"/>
          </w:tcPr>
          <w:p w:rsidR="005B6E41" w:rsidRPr="00F93482" w:rsidRDefault="005B6E41" w:rsidP="00385F8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2,936,811</w:t>
            </w:r>
          </w:p>
        </w:tc>
      </w:tr>
      <w:tr w:rsidR="005B6E41" w:rsidRPr="00C24C41" w:rsidTr="00F93482">
        <w:trPr>
          <w:trHeight w:val="70"/>
          <w:jc w:val="center"/>
        </w:trPr>
        <w:tc>
          <w:tcPr>
            <w:tcW w:w="5593"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vAlign w:val="bottom"/>
          </w:tcPr>
          <w:p w:rsidR="005B6E41" w:rsidRPr="00F93482" w:rsidRDefault="005B6E41" w:rsidP="00385F87">
            <w:pPr>
              <w:spacing w:after="0" w:line="240" w:lineRule="auto"/>
              <w:rPr>
                <w:rFonts w:ascii="Times New Roman" w:hAnsi="Times New Roman" w:cs="Times New Roman"/>
                <w:b/>
                <w:sz w:val="20"/>
                <w:szCs w:val="20"/>
              </w:rPr>
            </w:pPr>
            <w:r w:rsidRPr="00F93482">
              <w:rPr>
                <w:rFonts w:ascii="Times New Roman" w:hAnsi="Times New Roman" w:cs="Times New Roman"/>
                <w:b/>
                <w:sz w:val="20"/>
                <w:szCs w:val="20"/>
              </w:rPr>
              <w:t>Total # of Quality Episodes Excluded</w:t>
            </w:r>
          </w:p>
        </w:tc>
        <w:tc>
          <w:tcPr>
            <w:tcW w:w="2768" w:type="dxa"/>
            <w:tcBorders>
              <w:top w:val="single" w:sz="4" w:space="0" w:color="auto"/>
              <w:left w:val="single" w:sz="4" w:space="0" w:color="auto"/>
              <w:bottom w:val="single" w:sz="4" w:space="0" w:color="auto"/>
              <w:right w:val="single" w:sz="4" w:space="0" w:color="auto"/>
            </w:tcBorders>
          </w:tcPr>
          <w:p w:rsidR="005B6E41" w:rsidRPr="00F93482" w:rsidRDefault="005B6E41" w:rsidP="00385F87">
            <w:pPr>
              <w:spacing w:after="0" w:line="240" w:lineRule="auto"/>
              <w:jc w:val="center"/>
              <w:rPr>
                <w:rFonts w:ascii="Times New Roman" w:hAnsi="Times New Roman" w:cs="Times New Roman"/>
                <w:sz w:val="20"/>
                <w:szCs w:val="20"/>
              </w:rPr>
            </w:pPr>
            <w:r w:rsidRPr="005B6E41">
              <w:rPr>
                <w:rFonts w:ascii="Times New Roman" w:hAnsi="Times New Roman" w:cs="Times New Roman"/>
                <w:sz w:val="20"/>
                <w:szCs w:val="20"/>
              </w:rPr>
              <w:t>2</w:t>
            </w:r>
            <w:r>
              <w:rPr>
                <w:rFonts w:ascii="Times New Roman" w:hAnsi="Times New Roman" w:cs="Times New Roman"/>
                <w:sz w:val="20"/>
                <w:szCs w:val="20"/>
              </w:rPr>
              <w:t>,</w:t>
            </w:r>
            <w:r w:rsidRPr="005B6E41">
              <w:rPr>
                <w:rFonts w:ascii="Times New Roman" w:hAnsi="Times New Roman" w:cs="Times New Roman"/>
                <w:sz w:val="20"/>
                <w:szCs w:val="20"/>
              </w:rPr>
              <w:t>965</w:t>
            </w:r>
            <w:r>
              <w:rPr>
                <w:rFonts w:ascii="Times New Roman" w:hAnsi="Times New Roman" w:cs="Times New Roman"/>
                <w:sz w:val="20"/>
                <w:szCs w:val="20"/>
              </w:rPr>
              <w:t>,</w:t>
            </w:r>
            <w:r w:rsidRPr="005B6E41">
              <w:rPr>
                <w:rFonts w:ascii="Times New Roman" w:hAnsi="Times New Roman" w:cs="Times New Roman"/>
                <w:sz w:val="20"/>
                <w:szCs w:val="20"/>
              </w:rPr>
              <w:t>730</w:t>
            </w:r>
          </w:p>
        </w:tc>
      </w:tr>
    </w:tbl>
    <w:p w:rsidR="00D80DFA" w:rsidRPr="00750110" w:rsidRDefault="00D80DFA" w:rsidP="00BC225A">
      <w:pPr>
        <w:pStyle w:val="Body125"/>
        <w:ind w:firstLine="0"/>
      </w:pPr>
      <w:r>
        <w:t>Acumen also analyzed impact of excluding the long-</w:t>
      </w:r>
      <w:r w:rsidRPr="005B008F">
        <w:t>term episode</w:t>
      </w:r>
      <w:r>
        <w:t xml:space="preserve">s.  When NQF first considered the </w:t>
      </w:r>
      <w:r>
        <w:rPr>
          <w:i/>
        </w:rPr>
        <w:t xml:space="preserve">Heart Failure Symptoms Addressed </w:t>
      </w:r>
      <w:r>
        <w:t xml:space="preserve">measure in 2008, the NQF reviewers added a long-term episode exclusion to avoid excessive burden to agencies in reviewing records longer than 60 days.  Therefore, the version of the </w:t>
      </w:r>
      <w:r>
        <w:rPr>
          <w:i/>
        </w:rPr>
        <w:t xml:space="preserve">Heart Failure Symptoms Addressed </w:t>
      </w:r>
      <w:r>
        <w:t xml:space="preserve">measure that was endorsed in 2011 included only the short-term episodes.  However, the data needed to compute the measure are collected once at the end of each care episode, regardless of whether the episode is short or long-term, so including all episodes in the measure does not increase burden. In preparing this measure for the current NQF reevaluation process, </w:t>
      </w:r>
      <w:r w:rsidR="00385B3C">
        <w:t>Acumen</w:t>
      </w:r>
      <w:r>
        <w:t xml:space="preserve"> re-considered the impact of the long-term episodes exclusion.</w:t>
      </w:r>
    </w:p>
    <w:p w:rsidR="00C041C6" w:rsidRDefault="00265AA3" w:rsidP="00C041C6">
      <w:pPr>
        <w:pStyle w:val="Body125"/>
        <w:ind w:firstLine="0"/>
      </w:pPr>
      <w:r>
        <w:t xml:space="preserve">Removing the long-term episodes exclusion (i.e., using all episodes of care rather than the short-term episodes only) does </w:t>
      </w:r>
      <w:r w:rsidRPr="004D5D48">
        <w:rPr>
          <w:i/>
        </w:rPr>
        <w:t>not</w:t>
      </w:r>
      <w:r>
        <w:t xml:space="preserve"> dis</w:t>
      </w:r>
      <w:r w:rsidR="00D80DFA">
        <w:t xml:space="preserve">tort the results; </w:t>
      </w:r>
      <w:r>
        <w:t>the mean agency performance</w:t>
      </w:r>
      <w:r w:rsidR="00D80DFA">
        <w:t xml:space="preserve"> stays almost the same (~93.0%) as a result of this change</w:t>
      </w:r>
      <w:r>
        <w:t xml:space="preserve">.  Additionally, removing the long-term episodes exclusion (i.e., using all episodes of care rather than the short-term episodes only) actually causes the number of agencies eligible for the measure to increase from </w:t>
      </w:r>
      <w:r w:rsidR="00D80DFA">
        <w:t>7</w:t>
      </w:r>
      <w:r>
        <w:t>,</w:t>
      </w:r>
      <w:r w:rsidR="00D80DFA">
        <w:t>566</w:t>
      </w:r>
      <w:r>
        <w:t xml:space="preserve"> to 8,</w:t>
      </w:r>
      <w:r w:rsidR="004C3FD5">
        <w:t>822</w:t>
      </w:r>
      <w:r>
        <w:t xml:space="preserve"> and the ave</w:t>
      </w:r>
      <w:r w:rsidR="004C3FD5">
        <w:t>rage number of valid episodes</w:t>
      </w:r>
      <w:r>
        <w:t xml:space="preserve"> per agency to increase from </w:t>
      </w:r>
      <w:r w:rsidR="00D80DFA">
        <w:t>192</w:t>
      </w:r>
      <w:r>
        <w:t xml:space="preserve"> to </w:t>
      </w:r>
      <w:r w:rsidR="004C3FD5">
        <w:t>216</w:t>
      </w:r>
      <w:r>
        <w:t xml:space="preserve">.  </w:t>
      </w:r>
      <w:r w:rsidR="0049180B">
        <w:t xml:space="preserve">Table </w:t>
      </w:r>
      <w:r w:rsidR="000A7B15">
        <w:t>7</w:t>
      </w:r>
      <w:r>
        <w:t xml:space="preserve"> shows the distribution of agency performance and number of agencies meeting the assessment threshold by episode type restriction. </w:t>
      </w:r>
    </w:p>
    <w:p w:rsidR="0049180B" w:rsidRPr="00C041C6" w:rsidRDefault="00C53545" w:rsidP="00C041C6">
      <w:pPr>
        <w:pStyle w:val="Body125"/>
        <w:ind w:firstLine="0"/>
        <w:rPr>
          <w:b/>
        </w:rPr>
      </w:pPr>
      <w:r w:rsidRPr="00C041C6">
        <w:rPr>
          <w:b/>
        </w:rPr>
        <w:t>T</w:t>
      </w:r>
      <w:r w:rsidR="0049180B" w:rsidRPr="00C041C6">
        <w:rPr>
          <w:b/>
        </w:rPr>
        <w:t xml:space="preserve">able </w:t>
      </w:r>
      <w:r w:rsidR="00B21B41" w:rsidRPr="00C041C6">
        <w:rPr>
          <w:b/>
        </w:rPr>
        <w:fldChar w:fldCharType="begin"/>
      </w:r>
      <w:r w:rsidR="00B21B41" w:rsidRPr="00C041C6">
        <w:rPr>
          <w:b/>
        </w:rPr>
        <w:instrText xml:space="preserve"> SEQ Table \* ARABIC </w:instrText>
      </w:r>
      <w:r w:rsidR="00B21B41" w:rsidRPr="00C041C6">
        <w:rPr>
          <w:b/>
        </w:rPr>
        <w:fldChar w:fldCharType="separate"/>
      </w:r>
      <w:r w:rsidR="000A7B15" w:rsidRPr="00C041C6">
        <w:rPr>
          <w:b/>
          <w:noProof/>
        </w:rPr>
        <w:t>7</w:t>
      </w:r>
      <w:r w:rsidR="00B21B41" w:rsidRPr="00C041C6">
        <w:rPr>
          <w:b/>
          <w:noProof/>
        </w:rPr>
        <w:fldChar w:fldCharType="end"/>
      </w:r>
      <w:r w:rsidR="0049180B" w:rsidRPr="00C041C6">
        <w:rPr>
          <w:b/>
        </w:rPr>
        <w:t>: Agency Performance and Number of Agencies Meeting Episode Threshold, by Episode Type Restriction</w:t>
      </w:r>
    </w:p>
    <w:tbl>
      <w:tblPr>
        <w:tblW w:w="10262" w:type="dxa"/>
        <w:jc w:val="center"/>
        <w:tblInd w:w="1377" w:type="dxa"/>
        <w:tblLayout w:type="fixed"/>
        <w:tblLook w:val="04A0" w:firstRow="1" w:lastRow="0" w:firstColumn="1" w:lastColumn="0" w:noHBand="0" w:noVBand="1"/>
      </w:tblPr>
      <w:tblGrid>
        <w:gridCol w:w="987"/>
        <w:gridCol w:w="990"/>
        <w:gridCol w:w="990"/>
        <w:gridCol w:w="684"/>
        <w:gridCol w:w="1073"/>
        <w:gridCol w:w="650"/>
        <w:gridCol w:w="751"/>
        <w:gridCol w:w="753"/>
        <w:gridCol w:w="754"/>
        <w:gridCol w:w="856"/>
        <w:gridCol w:w="841"/>
        <w:gridCol w:w="933"/>
      </w:tblGrid>
      <w:tr w:rsidR="00274390" w:rsidRPr="00D41096" w:rsidTr="00622693">
        <w:trPr>
          <w:trHeight w:val="485"/>
          <w:jc w:val="center"/>
        </w:trPr>
        <w:tc>
          <w:tcPr>
            <w:tcW w:w="987" w:type="dxa"/>
            <w:vMerge w:val="restart"/>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color w:val="000000"/>
                <w:sz w:val="20"/>
                <w:szCs w:val="20"/>
              </w:rPr>
            </w:pPr>
            <w:r w:rsidRPr="00F93482">
              <w:rPr>
                <w:rFonts w:ascii="Times New Roman" w:hAnsi="Times New Roman" w:cs="Times New Roman"/>
                <w:b/>
                <w:bCs/>
                <w:color w:val="000000"/>
                <w:sz w:val="20"/>
                <w:szCs w:val="20"/>
              </w:rPr>
              <w:t>Episode</w:t>
            </w:r>
            <w:r w:rsidR="0049180B" w:rsidRPr="004C3FD5">
              <w:rPr>
                <w:rFonts w:ascii="Times New Roman" w:hAnsi="Times New Roman" w:cs="Times New Roman"/>
                <w:b/>
                <w:bCs/>
                <w:color w:val="000000"/>
                <w:sz w:val="20"/>
                <w:szCs w:val="20"/>
              </w:rPr>
              <w:t xml:space="preserve"> Type</w:t>
            </w:r>
            <w:r w:rsidR="00D80DFA">
              <w:rPr>
                <w:rFonts w:ascii="Times New Roman" w:hAnsi="Times New Roman" w:cs="Times New Roman"/>
                <w:b/>
                <w:bCs/>
                <w:color w:val="000000"/>
                <w:sz w:val="20"/>
                <w:szCs w:val="20"/>
              </w:rPr>
              <w:t xml:space="preserve"> </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 of Agencies with ≥ 20 Episodes</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49180B" w:rsidRPr="004C3FD5"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 xml:space="preserve">Agency </w:t>
            </w:r>
          </w:p>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Average</w:t>
            </w:r>
          </w:p>
        </w:tc>
        <w:tc>
          <w:tcPr>
            <w:tcW w:w="684" w:type="dxa"/>
            <w:vMerge w:val="restart"/>
            <w:tcBorders>
              <w:top w:val="single" w:sz="4" w:space="0" w:color="auto"/>
              <w:left w:val="single" w:sz="4" w:space="0" w:color="auto"/>
              <w:right w:val="single" w:sz="4" w:space="0" w:color="auto"/>
            </w:tcBorders>
            <w:shd w:val="clear" w:color="auto" w:fill="CDECFF"/>
            <w:vAlign w:val="center"/>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Std</w:t>
            </w:r>
            <w:r w:rsidR="0049180B" w:rsidRPr="004C3FD5">
              <w:rPr>
                <w:rFonts w:ascii="Times New Roman" w:hAnsi="Times New Roman" w:cs="Times New Roman"/>
                <w:b/>
                <w:bCs/>
                <w:sz w:val="20"/>
                <w:szCs w:val="20"/>
              </w:rPr>
              <w:t>.</w:t>
            </w:r>
            <w:r w:rsidRPr="00F93482">
              <w:rPr>
                <w:rFonts w:ascii="Times New Roman" w:hAnsi="Times New Roman" w:cs="Times New Roman"/>
                <w:b/>
                <w:bCs/>
                <w:sz w:val="20"/>
                <w:szCs w:val="20"/>
              </w:rPr>
              <w:t xml:space="preserve"> Dev</w:t>
            </w:r>
            <w:r w:rsidR="0049180B" w:rsidRPr="004C3FD5">
              <w:rPr>
                <w:rFonts w:ascii="Times New Roman" w:hAnsi="Times New Roman" w:cs="Times New Roman"/>
                <w:b/>
                <w:bCs/>
                <w:sz w:val="20"/>
                <w:szCs w:val="20"/>
              </w:rPr>
              <w:t>.</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CDECFF"/>
            <w:vAlign w:val="center"/>
            <w:hideMark/>
          </w:tcPr>
          <w:p w:rsidR="00274390" w:rsidRPr="00F93482" w:rsidRDefault="00274390" w:rsidP="009736C7">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Average # of Episodes per Agency</w:t>
            </w:r>
          </w:p>
        </w:tc>
        <w:tc>
          <w:tcPr>
            <w:tcW w:w="5538" w:type="dxa"/>
            <w:gridSpan w:val="7"/>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Percentile</w:t>
            </w:r>
          </w:p>
        </w:tc>
      </w:tr>
      <w:tr w:rsidR="00F93482" w:rsidRPr="00D41096" w:rsidTr="00622693">
        <w:trPr>
          <w:trHeight w:val="170"/>
          <w:jc w:val="center"/>
        </w:trPr>
        <w:tc>
          <w:tcPr>
            <w:tcW w:w="987"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274390" w:rsidRPr="00F93482" w:rsidRDefault="00274390" w:rsidP="00F93482">
            <w:pPr>
              <w:spacing w:after="0" w:line="240" w:lineRule="auto"/>
              <w:jc w:val="center"/>
              <w:rPr>
                <w:rFonts w:ascii="Times New Roman" w:hAnsi="Times New Roman" w:cs="Times New Roman"/>
                <w:b/>
                <w:bCs/>
                <w:color w:val="000000"/>
                <w:sz w:val="20"/>
                <w:szCs w:val="20"/>
              </w:rPr>
            </w:pPr>
          </w:p>
        </w:tc>
        <w:tc>
          <w:tcPr>
            <w:tcW w:w="990"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p>
        </w:tc>
        <w:tc>
          <w:tcPr>
            <w:tcW w:w="990"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p>
        </w:tc>
        <w:tc>
          <w:tcPr>
            <w:tcW w:w="684" w:type="dxa"/>
            <w:vMerge/>
            <w:tcBorders>
              <w:left w:val="single" w:sz="4" w:space="0" w:color="auto"/>
              <w:bottom w:val="single" w:sz="4" w:space="0" w:color="auto"/>
              <w:right w:val="single" w:sz="4" w:space="0" w:color="auto"/>
            </w:tcBorders>
            <w:shd w:val="clear" w:color="auto" w:fill="CDECFF"/>
          </w:tcPr>
          <w:p w:rsidR="00274390" w:rsidRPr="00F93482" w:rsidRDefault="00274390" w:rsidP="00F93482">
            <w:pPr>
              <w:spacing w:after="0" w:line="240" w:lineRule="auto"/>
              <w:jc w:val="center"/>
              <w:rPr>
                <w:rFonts w:ascii="Times New Roman" w:hAnsi="Times New Roman" w:cs="Times New Roman"/>
                <w:b/>
                <w:bCs/>
                <w:sz w:val="20"/>
                <w:szCs w:val="20"/>
              </w:rPr>
            </w:pPr>
          </w:p>
        </w:tc>
        <w:tc>
          <w:tcPr>
            <w:tcW w:w="1073" w:type="dxa"/>
            <w:vMerge/>
            <w:tcBorders>
              <w:top w:val="single" w:sz="4" w:space="0" w:color="auto"/>
              <w:left w:val="single" w:sz="4" w:space="0" w:color="auto"/>
              <w:bottom w:val="single" w:sz="4" w:space="0" w:color="auto"/>
              <w:right w:val="single" w:sz="4" w:space="0" w:color="auto"/>
            </w:tcBorders>
            <w:shd w:val="clear" w:color="auto" w:fill="CDECFF"/>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p>
        </w:tc>
        <w:tc>
          <w:tcPr>
            <w:tcW w:w="650"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min</w:t>
            </w:r>
          </w:p>
        </w:tc>
        <w:tc>
          <w:tcPr>
            <w:tcW w:w="751"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p10</w:t>
            </w:r>
          </w:p>
        </w:tc>
        <w:tc>
          <w:tcPr>
            <w:tcW w:w="753"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p25</w:t>
            </w:r>
          </w:p>
        </w:tc>
        <w:tc>
          <w:tcPr>
            <w:tcW w:w="754"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p50</w:t>
            </w:r>
          </w:p>
        </w:tc>
        <w:tc>
          <w:tcPr>
            <w:tcW w:w="856"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p75</w:t>
            </w:r>
          </w:p>
        </w:tc>
        <w:tc>
          <w:tcPr>
            <w:tcW w:w="841"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p90</w:t>
            </w:r>
          </w:p>
        </w:tc>
        <w:tc>
          <w:tcPr>
            <w:tcW w:w="933" w:type="dxa"/>
            <w:tcBorders>
              <w:top w:val="single" w:sz="4" w:space="0" w:color="auto"/>
              <w:left w:val="single" w:sz="4" w:space="0" w:color="auto"/>
              <w:bottom w:val="single" w:sz="4" w:space="0" w:color="auto"/>
              <w:right w:val="single" w:sz="4" w:space="0" w:color="auto"/>
            </w:tcBorders>
            <w:shd w:val="clear" w:color="auto" w:fill="CDECFF"/>
            <w:noWrap/>
            <w:vAlign w:val="center"/>
            <w:hideMark/>
          </w:tcPr>
          <w:p w:rsidR="00274390" w:rsidRPr="00F93482" w:rsidRDefault="00274390" w:rsidP="00F93482">
            <w:pPr>
              <w:spacing w:after="0" w:line="240" w:lineRule="auto"/>
              <w:jc w:val="center"/>
              <w:rPr>
                <w:rFonts w:ascii="Times New Roman" w:hAnsi="Times New Roman" w:cs="Times New Roman"/>
                <w:b/>
                <w:bCs/>
                <w:sz w:val="20"/>
                <w:szCs w:val="20"/>
              </w:rPr>
            </w:pPr>
            <w:r w:rsidRPr="00F93482">
              <w:rPr>
                <w:rFonts w:ascii="Times New Roman" w:hAnsi="Times New Roman" w:cs="Times New Roman"/>
                <w:b/>
                <w:bCs/>
                <w:sz w:val="20"/>
                <w:szCs w:val="20"/>
              </w:rPr>
              <w:t>max</w:t>
            </w:r>
          </w:p>
        </w:tc>
      </w:tr>
      <w:tr w:rsidR="0049180B" w:rsidRPr="00D41096" w:rsidTr="00622693">
        <w:trPr>
          <w:trHeight w:val="300"/>
          <w:jc w:val="center"/>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80B" w:rsidRPr="00F93482" w:rsidRDefault="0049180B" w:rsidP="00F93482">
            <w:pPr>
              <w:spacing w:after="0" w:line="240" w:lineRule="auto"/>
              <w:rPr>
                <w:rFonts w:ascii="Times New Roman" w:hAnsi="Times New Roman" w:cs="Times New Roman"/>
                <w:color w:val="000000"/>
                <w:sz w:val="20"/>
                <w:szCs w:val="20"/>
              </w:rPr>
            </w:pPr>
            <w:r w:rsidRPr="004C3FD5">
              <w:rPr>
                <w:rFonts w:ascii="Times New Roman" w:hAnsi="Times New Roman" w:cs="Times New Roman"/>
                <w:color w:val="000000"/>
                <w:sz w:val="20"/>
                <w:szCs w:val="20"/>
              </w:rPr>
              <w:t>Short-</w:t>
            </w:r>
            <w:r w:rsidRPr="00F93482">
              <w:rPr>
                <w:rFonts w:ascii="Times New Roman" w:hAnsi="Times New Roman" w:cs="Times New Roman"/>
                <w:color w:val="000000"/>
                <w:sz w:val="20"/>
                <w:szCs w:val="20"/>
              </w:rPr>
              <w:t>Term Episodes</w:t>
            </w:r>
            <w:r w:rsidR="00FE7D19">
              <w:rPr>
                <w:rFonts w:ascii="Times New Roman" w:hAnsi="Times New Roman" w:cs="Times New Roman"/>
                <w:color w:val="000000"/>
                <w:sz w:val="20"/>
                <w:szCs w:val="20"/>
              </w:rPr>
              <w:t xml:space="preserve"> Only</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7,566</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92.8%</w:t>
            </w:r>
          </w:p>
        </w:tc>
        <w:tc>
          <w:tcPr>
            <w:tcW w:w="684" w:type="dxa"/>
            <w:tcBorders>
              <w:top w:val="single" w:sz="4" w:space="0" w:color="auto"/>
              <w:left w:val="single" w:sz="4" w:space="0" w:color="auto"/>
              <w:bottom w:val="single" w:sz="4" w:space="0" w:color="auto"/>
              <w:right w:val="single" w:sz="4" w:space="0" w:color="auto"/>
            </w:tcBorders>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7.3%</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192.1</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0.0%</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84.6%</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90.3%</w:t>
            </w:r>
          </w:p>
        </w:tc>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94.4%</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97.4%</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100.0%</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100.0%</w:t>
            </w:r>
          </w:p>
        </w:tc>
      </w:tr>
      <w:tr w:rsidR="0049180B" w:rsidRPr="00D41096" w:rsidTr="00622693">
        <w:trPr>
          <w:trHeight w:val="300"/>
          <w:jc w:val="center"/>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80B" w:rsidRPr="00F93482" w:rsidRDefault="0049180B" w:rsidP="00F93482">
            <w:pPr>
              <w:spacing w:after="0" w:line="240" w:lineRule="auto"/>
              <w:rPr>
                <w:rFonts w:ascii="Times New Roman" w:hAnsi="Times New Roman" w:cs="Times New Roman"/>
                <w:color w:val="000000"/>
                <w:sz w:val="20"/>
                <w:szCs w:val="20"/>
              </w:rPr>
            </w:pPr>
            <w:r w:rsidRPr="004C3FD5">
              <w:rPr>
                <w:rFonts w:ascii="Times New Roman" w:hAnsi="Times New Roman" w:cs="Times New Roman"/>
                <w:color w:val="000000"/>
                <w:sz w:val="20"/>
                <w:szCs w:val="20"/>
              </w:rPr>
              <w:t>Long-</w:t>
            </w:r>
            <w:r w:rsidRPr="00F93482">
              <w:rPr>
                <w:rFonts w:ascii="Times New Roman" w:hAnsi="Times New Roman" w:cs="Times New Roman"/>
                <w:color w:val="000000"/>
                <w:sz w:val="20"/>
                <w:szCs w:val="20"/>
              </w:rPr>
              <w:t>Term Episodes</w:t>
            </w:r>
            <w:r w:rsidR="00FE7D19">
              <w:rPr>
                <w:rFonts w:ascii="Times New Roman" w:hAnsi="Times New Roman" w:cs="Times New Roman"/>
                <w:color w:val="000000"/>
                <w:sz w:val="20"/>
                <w:szCs w:val="20"/>
              </w:rPr>
              <w:t xml:space="preserve"> Only</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5,221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93.2%</w:t>
            </w:r>
          </w:p>
        </w:tc>
        <w:tc>
          <w:tcPr>
            <w:tcW w:w="684" w:type="dxa"/>
            <w:tcBorders>
              <w:top w:val="single" w:sz="4" w:space="0" w:color="auto"/>
              <w:left w:val="single" w:sz="4" w:space="0" w:color="auto"/>
              <w:bottom w:val="single" w:sz="4" w:space="0" w:color="auto"/>
              <w:right w:val="single" w:sz="4" w:space="0" w:color="auto"/>
            </w:tcBorders>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7.0%</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77.0</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1.5%</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84.8%</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90.7%</w:t>
            </w:r>
          </w:p>
        </w:tc>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95.0%</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97.7%</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100.0%</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100.0%</w:t>
            </w:r>
          </w:p>
        </w:tc>
      </w:tr>
      <w:tr w:rsidR="0049180B" w:rsidRPr="00D41096" w:rsidTr="00622693">
        <w:trPr>
          <w:trHeight w:val="300"/>
          <w:jc w:val="center"/>
        </w:trPr>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80B" w:rsidRPr="00F93482" w:rsidRDefault="0049180B" w:rsidP="00F93482">
            <w:pPr>
              <w:spacing w:after="0" w:line="240" w:lineRule="auto"/>
              <w:rPr>
                <w:rFonts w:ascii="Times New Roman" w:hAnsi="Times New Roman" w:cs="Times New Roman"/>
                <w:color w:val="000000"/>
                <w:sz w:val="20"/>
                <w:szCs w:val="20"/>
              </w:rPr>
            </w:pPr>
            <w:r w:rsidRPr="00F93482">
              <w:rPr>
                <w:rFonts w:ascii="Times New Roman" w:hAnsi="Times New Roman" w:cs="Times New Roman"/>
                <w:color w:val="000000"/>
                <w:sz w:val="20"/>
                <w:szCs w:val="20"/>
              </w:rPr>
              <w:t>All</w:t>
            </w:r>
            <w:r w:rsidRPr="004C3FD5">
              <w:rPr>
                <w:rFonts w:ascii="Times New Roman" w:hAnsi="Times New Roman" w:cs="Times New Roman"/>
                <w:color w:val="000000"/>
                <w:sz w:val="20"/>
                <w:szCs w:val="20"/>
              </w:rPr>
              <w:t>-</w:t>
            </w:r>
            <w:r w:rsidRPr="00F93482">
              <w:rPr>
                <w:rFonts w:ascii="Times New Roman" w:hAnsi="Times New Roman" w:cs="Times New Roman"/>
                <w:color w:val="000000"/>
                <w:sz w:val="20"/>
                <w:szCs w:val="20"/>
              </w:rPr>
              <w:t>Episodes</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8,822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92.9%</w:t>
            </w:r>
          </w:p>
        </w:tc>
        <w:tc>
          <w:tcPr>
            <w:tcW w:w="684" w:type="dxa"/>
            <w:tcBorders>
              <w:top w:val="single" w:sz="4" w:space="0" w:color="auto"/>
              <w:left w:val="single" w:sz="4" w:space="0" w:color="auto"/>
              <w:bottom w:val="single" w:sz="4" w:space="0" w:color="auto"/>
              <w:right w:val="single" w:sz="4" w:space="0" w:color="auto"/>
            </w:tcBorders>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7.2%</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216.2</w:t>
            </w:r>
          </w:p>
        </w:tc>
        <w:tc>
          <w:tcPr>
            <w:tcW w:w="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0.7%</w:t>
            </w:r>
          </w:p>
        </w:tc>
        <w:tc>
          <w:tcPr>
            <w:tcW w:w="7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85.0%</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90.5%</w:t>
            </w:r>
          </w:p>
        </w:tc>
        <w:tc>
          <w:tcPr>
            <w:tcW w:w="7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94.6%</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97.4%</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100.0%</w:t>
            </w:r>
          </w:p>
        </w:tc>
        <w:tc>
          <w:tcPr>
            <w:tcW w:w="9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180B" w:rsidRPr="00F93482" w:rsidRDefault="0049180B" w:rsidP="00F93482">
            <w:pPr>
              <w:spacing w:after="0" w:line="240" w:lineRule="auto"/>
              <w:jc w:val="center"/>
              <w:rPr>
                <w:rFonts w:ascii="Times New Roman" w:hAnsi="Times New Roman" w:cs="Times New Roman"/>
                <w:color w:val="000000"/>
                <w:sz w:val="20"/>
                <w:szCs w:val="20"/>
              </w:rPr>
            </w:pPr>
            <w:r w:rsidRPr="00F93482">
              <w:rPr>
                <w:rFonts w:ascii="Times New Roman" w:hAnsi="Times New Roman" w:cs="Times New Roman"/>
                <w:color w:val="000000"/>
                <w:sz w:val="20"/>
                <w:szCs w:val="20"/>
              </w:rPr>
              <w:t>100.0%</w:t>
            </w:r>
          </w:p>
        </w:tc>
      </w:tr>
    </w:tbl>
    <w:p w:rsidR="00C977C7" w:rsidRPr="00BC225A" w:rsidRDefault="00BC225A" w:rsidP="00BC225A">
      <w:pPr>
        <w:pStyle w:val="Heading7"/>
        <w:numPr>
          <w:ilvl w:val="0"/>
          <w:numId w:val="0"/>
        </w:numPr>
        <w:rPr>
          <w:rFonts w:ascii="Times New Roman" w:hAnsi="Times New Roman" w:cs="Times New Roman"/>
          <w:caps w:val="0"/>
          <w:sz w:val="24"/>
          <w:szCs w:val="24"/>
        </w:rPr>
      </w:pPr>
      <w:r w:rsidRPr="00BC225A">
        <w:rPr>
          <w:rFonts w:ascii="Times New Roman" w:hAnsi="Times New Roman" w:cs="Times New Roman"/>
          <w:caps w:val="0"/>
          <w:sz w:val="24"/>
          <w:szCs w:val="24"/>
        </w:rPr>
        <w:t xml:space="preserve">Table 8 </w:t>
      </w:r>
      <w:proofErr w:type="gramStart"/>
      <w:r w:rsidRPr="00BC225A">
        <w:rPr>
          <w:rFonts w:ascii="Times New Roman" w:hAnsi="Times New Roman" w:cs="Times New Roman"/>
          <w:caps w:val="0"/>
          <w:sz w:val="24"/>
          <w:szCs w:val="24"/>
        </w:rPr>
        <w:t>-  IC</w:t>
      </w:r>
      <w:r w:rsidR="00C977C7" w:rsidRPr="00BC225A">
        <w:rPr>
          <w:rFonts w:ascii="Times New Roman" w:hAnsi="Times New Roman" w:cs="Times New Roman"/>
          <w:caps w:val="0"/>
          <w:sz w:val="24"/>
          <w:szCs w:val="24"/>
        </w:rPr>
        <w:t>D</w:t>
      </w:r>
      <w:proofErr w:type="gramEnd"/>
      <w:r w:rsidR="00C977C7" w:rsidRPr="00BC225A">
        <w:rPr>
          <w:rFonts w:ascii="Times New Roman" w:hAnsi="Times New Roman" w:cs="Times New Roman"/>
          <w:caps w:val="0"/>
          <w:sz w:val="24"/>
          <w:szCs w:val="24"/>
        </w:rPr>
        <w:t xml:space="preserve">-9 </w:t>
      </w:r>
      <w:r w:rsidR="00622693">
        <w:rPr>
          <w:rFonts w:ascii="Times New Roman" w:hAnsi="Times New Roman" w:cs="Times New Roman"/>
          <w:caps w:val="0"/>
          <w:sz w:val="24"/>
          <w:szCs w:val="24"/>
        </w:rPr>
        <w:t>and ICD-10 Codes Defined as</w:t>
      </w:r>
      <w:r w:rsidR="00C977C7" w:rsidRPr="00BC225A">
        <w:rPr>
          <w:rFonts w:ascii="Times New Roman" w:hAnsi="Times New Roman" w:cs="Times New Roman"/>
          <w:caps w:val="0"/>
          <w:sz w:val="24"/>
          <w:szCs w:val="24"/>
        </w:rPr>
        <w:t xml:space="preserve"> Heart Failure Diagnosis </w:t>
      </w:r>
    </w:p>
    <w:tbl>
      <w:tblPr>
        <w:tblStyle w:val="TableGrid"/>
        <w:tblW w:w="0" w:type="auto"/>
        <w:tblLook w:val="04A0" w:firstRow="1" w:lastRow="0" w:firstColumn="1" w:lastColumn="0" w:noHBand="0" w:noVBand="1"/>
      </w:tblPr>
      <w:tblGrid>
        <w:gridCol w:w="4335"/>
        <w:gridCol w:w="5055"/>
      </w:tblGrid>
      <w:tr w:rsidR="003471C2" w:rsidTr="00C041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CC45D7">
            <w:pPr>
              <w:rPr>
                <w:sz w:val="22"/>
                <w:szCs w:val="22"/>
              </w:rPr>
            </w:pPr>
            <w:r w:rsidRPr="003471C2">
              <w:rPr>
                <w:sz w:val="22"/>
                <w:szCs w:val="22"/>
              </w:rPr>
              <w:t>ICD-9 Codes</w:t>
            </w:r>
          </w:p>
        </w:tc>
        <w:tc>
          <w:tcPr>
            <w:tcW w:w="5055" w:type="dxa"/>
          </w:tcPr>
          <w:p w:rsidR="00CC45D7" w:rsidRPr="003471C2" w:rsidRDefault="00CC45D7" w:rsidP="00CC45D7">
            <w:pPr>
              <w:cnfStyle w:val="100000000000" w:firstRow="1" w:lastRow="0" w:firstColumn="0" w:lastColumn="0" w:oddVBand="0" w:evenVBand="0" w:oddHBand="0" w:evenHBand="0" w:firstRowFirstColumn="0" w:firstRowLastColumn="0" w:lastRowFirstColumn="0" w:lastRowLastColumn="0"/>
              <w:rPr>
                <w:sz w:val="22"/>
                <w:szCs w:val="22"/>
              </w:rPr>
            </w:pPr>
            <w:r w:rsidRPr="003471C2">
              <w:rPr>
                <w:sz w:val="22"/>
                <w:szCs w:val="22"/>
              </w:rPr>
              <w:t>Corresponding ICD-10-CM Codes</w:t>
            </w: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CC45D7">
            <w:pPr>
              <w:rPr>
                <w:sz w:val="22"/>
                <w:szCs w:val="22"/>
              </w:rPr>
            </w:pPr>
            <w:r w:rsidRPr="004126CF">
              <w:rPr>
                <w:b/>
                <w:sz w:val="22"/>
                <w:szCs w:val="22"/>
              </w:rPr>
              <w:t>402.01</w:t>
            </w:r>
            <w:r w:rsidRPr="003471C2">
              <w:rPr>
                <w:sz w:val="22"/>
                <w:szCs w:val="22"/>
              </w:rPr>
              <w:t xml:space="preserve"> Hypertensive heart disease, malignant, with heart failure</w:t>
            </w:r>
          </w:p>
        </w:tc>
        <w:tc>
          <w:tcPr>
            <w:tcW w:w="5055" w:type="dxa"/>
            <w:vMerge w:val="restart"/>
          </w:tcPr>
          <w:p w:rsidR="00CC45D7" w:rsidRPr="003471C2" w:rsidRDefault="00CC45D7"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I11.</w:t>
            </w:r>
            <w:r w:rsidR="0066472E">
              <w:rPr>
                <w:b/>
                <w:bCs/>
                <w:sz w:val="22"/>
                <w:szCs w:val="22"/>
              </w:rPr>
              <w:t>0</w:t>
            </w:r>
            <w:r w:rsidRPr="003471C2">
              <w:rPr>
                <w:sz w:val="22"/>
                <w:szCs w:val="22"/>
              </w:rPr>
              <w:t xml:space="preserve"> </w:t>
            </w:r>
            <w:r w:rsidRPr="00CC45D7">
              <w:rPr>
                <w:sz w:val="22"/>
                <w:szCs w:val="22"/>
              </w:rPr>
              <w:t>Hypertensive heart disease with heart failure</w:t>
            </w: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CC45D7">
            <w:pPr>
              <w:rPr>
                <w:sz w:val="22"/>
                <w:szCs w:val="22"/>
              </w:rPr>
            </w:pPr>
            <w:r w:rsidRPr="004126CF">
              <w:rPr>
                <w:b/>
                <w:sz w:val="22"/>
                <w:szCs w:val="22"/>
              </w:rPr>
              <w:t>402.11</w:t>
            </w:r>
            <w:r w:rsidRPr="003471C2">
              <w:rPr>
                <w:sz w:val="22"/>
                <w:szCs w:val="22"/>
              </w:rPr>
              <w:t xml:space="preserve"> Hypertensive heart disease, benign, with heart failure</w:t>
            </w:r>
          </w:p>
        </w:tc>
        <w:tc>
          <w:tcPr>
            <w:tcW w:w="5055" w:type="dxa"/>
            <w:vMerge/>
          </w:tcPr>
          <w:p w:rsidR="00CC45D7" w:rsidRPr="003471C2" w:rsidRDefault="00CC45D7" w:rsidP="00CC45D7">
            <w:pPr>
              <w:ind w:left="72"/>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CC45D7">
            <w:pPr>
              <w:rPr>
                <w:sz w:val="22"/>
                <w:szCs w:val="22"/>
              </w:rPr>
            </w:pPr>
            <w:r w:rsidRPr="004126CF">
              <w:rPr>
                <w:b/>
                <w:sz w:val="22"/>
                <w:szCs w:val="22"/>
              </w:rPr>
              <w:t>402.91</w:t>
            </w:r>
            <w:r w:rsidRPr="003471C2">
              <w:rPr>
                <w:sz w:val="22"/>
                <w:szCs w:val="22"/>
              </w:rPr>
              <w:t xml:space="preserve"> Hypertensive heart disease, unspecified, with heart failure</w:t>
            </w:r>
          </w:p>
        </w:tc>
        <w:tc>
          <w:tcPr>
            <w:tcW w:w="5055" w:type="dxa"/>
            <w:vMerge/>
          </w:tcPr>
          <w:p w:rsidR="00CC45D7" w:rsidRPr="003471C2" w:rsidRDefault="00CC45D7" w:rsidP="00CC45D7">
            <w:pPr>
              <w:ind w:left="72"/>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CC45D7">
            <w:pPr>
              <w:rPr>
                <w:sz w:val="22"/>
                <w:szCs w:val="22"/>
              </w:rPr>
            </w:pPr>
            <w:r w:rsidRPr="004126CF">
              <w:rPr>
                <w:b/>
                <w:sz w:val="22"/>
                <w:szCs w:val="22"/>
              </w:rPr>
              <w:t>404.01</w:t>
            </w:r>
            <w:r w:rsidRPr="003471C2">
              <w:rPr>
                <w:sz w:val="22"/>
                <w:szCs w:val="22"/>
              </w:rPr>
              <w:t xml:space="preserve"> Hypertensive heart and chronic kidney disease, malignant, with heart failure and with chronic kidney disease stage I through stage IV, or unspecified</w:t>
            </w:r>
          </w:p>
        </w:tc>
        <w:tc>
          <w:tcPr>
            <w:tcW w:w="5055" w:type="dxa"/>
            <w:vMerge w:val="restart"/>
          </w:tcPr>
          <w:p w:rsidR="00CC45D7" w:rsidRPr="003471C2" w:rsidRDefault="00CC45D7"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I13.</w:t>
            </w:r>
            <w:r w:rsidR="0066472E">
              <w:rPr>
                <w:b/>
                <w:bCs/>
                <w:sz w:val="22"/>
                <w:szCs w:val="22"/>
              </w:rPr>
              <w:t>0</w:t>
            </w:r>
            <w:r w:rsidRPr="003471C2">
              <w:rPr>
                <w:sz w:val="22"/>
                <w:szCs w:val="22"/>
              </w:rPr>
              <w:t xml:space="preserve"> </w:t>
            </w:r>
            <w:r w:rsidRPr="00CC45D7">
              <w:rPr>
                <w:sz w:val="22"/>
                <w:szCs w:val="22"/>
              </w:rPr>
              <w:t>Hypertensive heart and chronic kidney disease with heart failure and stage 1 through stage 4 chronic kidney disease, or unspecified chronic kidney disease</w:t>
            </w: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404.11</w:t>
            </w:r>
            <w:r w:rsidRPr="003471C2">
              <w:rPr>
                <w:sz w:val="22"/>
                <w:szCs w:val="22"/>
              </w:rPr>
              <w:t xml:space="preserve"> Hypertensive heart and chronic kidney disease, benign, with heart failure and with chronic kidney disease stage I through stage IV, or unspecified</w:t>
            </w:r>
          </w:p>
        </w:tc>
        <w:tc>
          <w:tcPr>
            <w:tcW w:w="5055" w:type="dxa"/>
            <w:vMerge/>
          </w:tcPr>
          <w:p w:rsidR="00CC45D7" w:rsidRPr="003471C2" w:rsidRDefault="00CC45D7" w:rsidP="00B21B41">
            <w:pPr>
              <w:ind w:left="72"/>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404.91</w:t>
            </w:r>
            <w:r w:rsidRPr="003471C2">
              <w:rPr>
                <w:sz w:val="22"/>
                <w:szCs w:val="22"/>
              </w:rPr>
              <w:t xml:space="preserve"> Hypertensive heart and chronic kidney disease, unspecified, with heart failure and with chronic kidney disease stage I through stage IV, or unspecified</w:t>
            </w:r>
          </w:p>
        </w:tc>
        <w:tc>
          <w:tcPr>
            <w:tcW w:w="5055" w:type="dxa"/>
            <w:vMerge/>
          </w:tcPr>
          <w:p w:rsidR="00CC45D7" w:rsidRPr="003471C2" w:rsidRDefault="00CC45D7" w:rsidP="00B21B41">
            <w:pPr>
              <w:ind w:left="72"/>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404.03</w:t>
            </w:r>
            <w:r w:rsidRPr="003471C2">
              <w:rPr>
                <w:sz w:val="22"/>
                <w:szCs w:val="22"/>
              </w:rPr>
              <w:t xml:space="preserve"> Hypertensive heart and chronic kidney disease, malignant, with heart failure and with chronic kidney disease stage V or end stage renal disease</w:t>
            </w:r>
          </w:p>
        </w:tc>
        <w:tc>
          <w:tcPr>
            <w:tcW w:w="5055" w:type="dxa"/>
            <w:vMerge w:val="restart"/>
          </w:tcPr>
          <w:p w:rsidR="00CC45D7" w:rsidRPr="003471C2" w:rsidRDefault="00CC45D7" w:rsidP="00B21B41">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I13.2</w:t>
            </w:r>
            <w:r w:rsidRPr="003471C2">
              <w:rPr>
                <w:sz w:val="22"/>
                <w:szCs w:val="22"/>
              </w:rPr>
              <w:t xml:space="preserve"> </w:t>
            </w:r>
            <w:r w:rsidRPr="00CC45D7">
              <w:rPr>
                <w:sz w:val="22"/>
                <w:szCs w:val="22"/>
              </w:rPr>
              <w:t>Hypertensive heart and chronic kidney disease with heart failure and with stage 5 chronic kidney disease, or end stage renal disease</w:t>
            </w: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404.13</w:t>
            </w:r>
            <w:r w:rsidRPr="003471C2">
              <w:rPr>
                <w:sz w:val="22"/>
                <w:szCs w:val="22"/>
              </w:rPr>
              <w:t xml:space="preserve"> Hypertensive heart and chronic kidney disease, benign, with heart failure and chronic kidney disease stage V or end stage renal disease</w:t>
            </w:r>
          </w:p>
        </w:tc>
        <w:tc>
          <w:tcPr>
            <w:tcW w:w="5055" w:type="dxa"/>
            <w:vMerge/>
          </w:tcPr>
          <w:p w:rsidR="00CC45D7" w:rsidRPr="003471C2" w:rsidRDefault="00CC45D7" w:rsidP="00B21B41">
            <w:pPr>
              <w:ind w:left="72"/>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CC45D7"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404.93</w:t>
            </w:r>
            <w:r w:rsidRPr="003471C2">
              <w:rPr>
                <w:sz w:val="22"/>
                <w:szCs w:val="22"/>
              </w:rPr>
              <w:t xml:space="preserve"> Hypertensive heart and chronic kidney disease, unspecified, with heart failure and chronic kidney disease stage V or end stage renal disease</w:t>
            </w:r>
          </w:p>
        </w:tc>
        <w:tc>
          <w:tcPr>
            <w:tcW w:w="5055" w:type="dxa"/>
            <w:vMerge/>
          </w:tcPr>
          <w:p w:rsidR="00CC45D7" w:rsidRPr="003471C2" w:rsidRDefault="00CC45D7" w:rsidP="00B21B41">
            <w:pPr>
              <w:ind w:left="72"/>
              <w:jc w:val="left"/>
              <w:cnfStyle w:val="000000000000" w:firstRow="0" w:lastRow="0" w:firstColumn="0" w:lastColumn="0" w:oddVBand="0" w:evenVBand="0" w:oddHBand="0" w:evenHBand="0" w:firstRowFirstColumn="0" w:firstRowLastColumn="0" w:lastRowFirstColumn="0" w:lastRowLastColumn="0"/>
              <w:rPr>
                <w:sz w:val="22"/>
                <w:szCs w:val="22"/>
              </w:rPr>
            </w:pP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428.0</w:t>
            </w:r>
            <w:r w:rsidRPr="003471C2">
              <w:rPr>
                <w:sz w:val="22"/>
                <w:szCs w:val="22"/>
              </w:rPr>
              <w:t xml:space="preserve"> Congestive heart failure, unspecified</w:t>
            </w:r>
          </w:p>
        </w:tc>
        <w:tc>
          <w:tcPr>
            <w:tcW w:w="5055" w:type="dxa"/>
          </w:tcPr>
          <w:p w:rsidR="00CC45D7" w:rsidRPr="003471C2" w:rsidRDefault="00CC45D7"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I5</w:t>
            </w:r>
            <w:r w:rsidR="0066472E">
              <w:rPr>
                <w:b/>
                <w:bCs/>
                <w:sz w:val="22"/>
                <w:szCs w:val="22"/>
              </w:rPr>
              <w:t>0</w:t>
            </w:r>
            <w:r w:rsidRPr="003471C2">
              <w:rPr>
                <w:b/>
                <w:bCs/>
                <w:sz w:val="22"/>
                <w:szCs w:val="22"/>
              </w:rPr>
              <w:t>.9</w:t>
            </w:r>
            <w:r w:rsidRPr="003471C2">
              <w:rPr>
                <w:sz w:val="22"/>
                <w:szCs w:val="22"/>
              </w:rPr>
              <w:t xml:space="preserve"> </w:t>
            </w:r>
            <w:r w:rsidRPr="00CC45D7">
              <w:rPr>
                <w:sz w:val="22"/>
                <w:szCs w:val="22"/>
              </w:rPr>
              <w:t>Heart failure, unspecified</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CC45D7" w:rsidP="00B21B41">
            <w:pPr>
              <w:rPr>
                <w:sz w:val="22"/>
                <w:szCs w:val="22"/>
              </w:rPr>
            </w:pPr>
            <w:r w:rsidRPr="004126CF">
              <w:rPr>
                <w:b/>
                <w:sz w:val="22"/>
                <w:szCs w:val="22"/>
              </w:rPr>
              <w:t>428.1</w:t>
            </w:r>
            <w:r w:rsidRPr="003471C2">
              <w:rPr>
                <w:sz w:val="22"/>
                <w:szCs w:val="22"/>
              </w:rPr>
              <w:t xml:space="preserve"> Left heart failure</w:t>
            </w:r>
          </w:p>
        </w:tc>
        <w:tc>
          <w:tcPr>
            <w:tcW w:w="5055" w:type="dxa"/>
          </w:tcPr>
          <w:p w:rsidR="00CC45D7" w:rsidRPr="003471C2" w:rsidRDefault="00CC45D7"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I5</w:t>
            </w:r>
            <w:r w:rsidR="0066472E">
              <w:rPr>
                <w:b/>
                <w:bCs/>
                <w:sz w:val="22"/>
                <w:szCs w:val="22"/>
              </w:rPr>
              <w:t>0</w:t>
            </w:r>
            <w:r w:rsidRPr="003471C2">
              <w:rPr>
                <w:b/>
                <w:bCs/>
                <w:sz w:val="22"/>
                <w:szCs w:val="22"/>
              </w:rPr>
              <w:t>.1</w:t>
            </w:r>
            <w:r w:rsidRPr="003471C2">
              <w:rPr>
                <w:sz w:val="22"/>
                <w:szCs w:val="22"/>
              </w:rPr>
              <w:t xml:space="preserve"> </w:t>
            </w:r>
            <w:r w:rsidRPr="00CC45D7">
              <w:rPr>
                <w:sz w:val="22"/>
                <w:szCs w:val="22"/>
              </w:rPr>
              <w:t>Left ventricular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3471C2" w:rsidP="00B21B41">
            <w:pPr>
              <w:rPr>
                <w:sz w:val="22"/>
                <w:szCs w:val="22"/>
              </w:rPr>
            </w:pPr>
            <w:r w:rsidRPr="004126CF">
              <w:rPr>
                <w:b/>
                <w:sz w:val="22"/>
                <w:szCs w:val="22"/>
              </w:rPr>
              <w:t>428.20</w:t>
            </w:r>
            <w:r w:rsidRPr="003471C2">
              <w:rPr>
                <w:sz w:val="22"/>
                <w:szCs w:val="22"/>
              </w:rPr>
              <w:t xml:space="preserve"> Unspecified systolic heart failure</w:t>
            </w:r>
          </w:p>
        </w:tc>
        <w:tc>
          <w:tcPr>
            <w:tcW w:w="5055" w:type="dxa"/>
          </w:tcPr>
          <w:p w:rsidR="00CC45D7" w:rsidRPr="003471C2" w:rsidRDefault="003471C2"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I5</w:t>
            </w:r>
            <w:r w:rsidR="0066472E">
              <w:rPr>
                <w:b/>
                <w:bCs/>
                <w:sz w:val="22"/>
                <w:szCs w:val="22"/>
              </w:rPr>
              <w:t>0</w:t>
            </w:r>
            <w:r w:rsidRPr="003471C2">
              <w:rPr>
                <w:b/>
                <w:bCs/>
                <w:sz w:val="22"/>
                <w:szCs w:val="22"/>
              </w:rPr>
              <w:t>.2</w:t>
            </w:r>
            <w:r w:rsidR="0066472E">
              <w:rPr>
                <w:b/>
                <w:bCs/>
                <w:sz w:val="22"/>
                <w:szCs w:val="22"/>
              </w:rPr>
              <w:t>0</w:t>
            </w:r>
            <w:r w:rsidRPr="003471C2">
              <w:rPr>
                <w:sz w:val="22"/>
                <w:szCs w:val="22"/>
              </w:rPr>
              <w:t xml:space="preserve"> </w:t>
            </w:r>
            <w:r w:rsidRPr="00CC45D7">
              <w:rPr>
                <w:sz w:val="22"/>
                <w:szCs w:val="22"/>
              </w:rPr>
              <w:t>Unspecified systolic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3471C2" w:rsidP="00B21B41">
            <w:pPr>
              <w:rPr>
                <w:sz w:val="22"/>
                <w:szCs w:val="22"/>
              </w:rPr>
            </w:pPr>
            <w:r w:rsidRPr="004126CF">
              <w:rPr>
                <w:b/>
                <w:sz w:val="22"/>
                <w:szCs w:val="22"/>
              </w:rPr>
              <w:t>428.21</w:t>
            </w:r>
            <w:r w:rsidRPr="003471C2">
              <w:rPr>
                <w:sz w:val="22"/>
                <w:szCs w:val="22"/>
              </w:rPr>
              <w:t xml:space="preserve"> Acute systolic heart failure</w:t>
            </w:r>
          </w:p>
        </w:tc>
        <w:tc>
          <w:tcPr>
            <w:tcW w:w="5055" w:type="dxa"/>
          </w:tcPr>
          <w:p w:rsidR="00CC45D7" w:rsidRPr="003471C2" w:rsidRDefault="003471C2"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I5</w:t>
            </w:r>
            <w:r w:rsidR="0066472E">
              <w:rPr>
                <w:b/>
                <w:bCs/>
                <w:sz w:val="22"/>
                <w:szCs w:val="22"/>
              </w:rPr>
              <w:t>0</w:t>
            </w:r>
            <w:r w:rsidRPr="003471C2">
              <w:rPr>
                <w:b/>
                <w:bCs/>
                <w:sz w:val="22"/>
                <w:szCs w:val="22"/>
              </w:rPr>
              <w:t>.21</w:t>
            </w:r>
            <w:r w:rsidRPr="003471C2">
              <w:rPr>
                <w:sz w:val="22"/>
                <w:szCs w:val="22"/>
              </w:rPr>
              <w:t xml:space="preserve"> </w:t>
            </w:r>
            <w:r w:rsidRPr="00CC45D7">
              <w:rPr>
                <w:sz w:val="22"/>
                <w:szCs w:val="22"/>
              </w:rPr>
              <w:t>Acute systolic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3471C2" w:rsidP="00B21B41">
            <w:pPr>
              <w:rPr>
                <w:sz w:val="22"/>
                <w:szCs w:val="22"/>
              </w:rPr>
            </w:pPr>
            <w:r w:rsidRPr="004126CF">
              <w:rPr>
                <w:b/>
                <w:sz w:val="22"/>
                <w:szCs w:val="22"/>
              </w:rPr>
              <w:t>428.22</w:t>
            </w:r>
            <w:r w:rsidRPr="003471C2">
              <w:rPr>
                <w:sz w:val="22"/>
                <w:szCs w:val="22"/>
              </w:rPr>
              <w:t xml:space="preserve"> Chronic systolic heart failure</w:t>
            </w:r>
          </w:p>
        </w:tc>
        <w:tc>
          <w:tcPr>
            <w:tcW w:w="5055" w:type="dxa"/>
          </w:tcPr>
          <w:p w:rsidR="00CC45D7" w:rsidRPr="003471C2" w:rsidRDefault="003471C2"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I5</w:t>
            </w:r>
            <w:r w:rsidR="0066472E">
              <w:rPr>
                <w:b/>
                <w:bCs/>
                <w:sz w:val="22"/>
                <w:szCs w:val="22"/>
              </w:rPr>
              <w:t>0</w:t>
            </w:r>
            <w:r w:rsidRPr="003471C2">
              <w:rPr>
                <w:b/>
                <w:bCs/>
                <w:sz w:val="22"/>
                <w:szCs w:val="22"/>
              </w:rPr>
              <w:t>.22</w:t>
            </w:r>
            <w:r w:rsidRPr="003471C2">
              <w:rPr>
                <w:sz w:val="22"/>
                <w:szCs w:val="22"/>
              </w:rPr>
              <w:t xml:space="preserve"> </w:t>
            </w:r>
            <w:r w:rsidRPr="00CC45D7">
              <w:rPr>
                <w:sz w:val="22"/>
                <w:szCs w:val="22"/>
              </w:rPr>
              <w:t>Chronic systolic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3471C2" w:rsidP="00CC45D7">
            <w:pPr>
              <w:rPr>
                <w:sz w:val="22"/>
                <w:szCs w:val="22"/>
              </w:rPr>
            </w:pPr>
            <w:r w:rsidRPr="004126CF">
              <w:rPr>
                <w:b/>
                <w:sz w:val="22"/>
                <w:szCs w:val="22"/>
              </w:rPr>
              <w:t>428.23</w:t>
            </w:r>
            <w:r w:rsidRPr="003471C2">
              <w:rPr>
                <w:sz w:val="22"/>
                <w:szCs w:val="22"/>
              </w:rPr>
              <w:t xml:space="preserve"> Acute on chronic systolic heart failure</w:t>
            </w:r>
          </w:p>
        </w:tc>
        <w:tc>
          <w:tcPr>
            <w:tcW w:w="5055" w:type="dxa"/>
          </w:tcPr>
          <w:p w:rsidR="00CC45D7" w:rsidRPr="003471C2" w:rsidRDefault="003471C2" w:rsidP="0066472E">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sidRPr="003471C2">
              <w:rPr>
                <w:b/>
                <w:bCs/>
                <w:sz w:val="22"/>
                <w:szCs w:val="22"/>
              </w:rPr>
              <w:t>I5</w:t>
            </w:r>
            <w:r w:rsidR="0066472E">
              <w:rPr>
                <w:b/>
                <w:bCs/>
                <w:sz w:val="22"/>
                <w:szCs w:val="22"/>
              </w:rPr>
              <w:t>0</w:t>
            </w:r>
            <w:r w:rsidRPr="003471C2">
              <w:rPr>
                <w:b/>
                <w:bCs/>
                <w:sz w:val="22"/>
                <w:szCs w:val="22"/>
              </w:rPr>
              <w:t>.23</w:t>
            </w:r>
            <w:r w:rsidRPr="003471C2">
              <w:rPr>
                <w:sz w:val="22"/>
                <w:szCs w:val="22"/>
              </w:rPr>
              <w:t xml:space="preserve"> </w:t>
            </w:r>
            <w:r w:rsidRPr="00CC45D7">
              <w:rPr>
                <w:sz w:val="22"/>
                <w:szCs w:val="22"/>
              </w:rPr>
              <w:t>Acute on chronic systolic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3471C2" w:rsidP="00CC45D7">
            <w:pPr>
              <w:rPr>
                <w:sz w:val="22"/>
                <w:szCs w:val="22"/>
              </w:rPr>
            </w:pPr>
            <w:r w:rsidRPr="004126CF">
              <w:rPr>
                <w:b/>
                <w:sz w:val="22"/>
                <w:szCs w:val="22"/>
              </w:rPr>
              <w:t>428.30</w:t>
            </w:r>
            <w:r w:rsidRPr="003471C2">
              <w:rPr>
                <w:sz w:val="22"/>
                <w:szCs w:val="22"/>
              </w:rPr>
              <w:t xml:space="preserve"> Unspecified diastolic heart failure</w:t>
            </w:r>
          </w:p>
        </w:tc>
        <w:tc>
          <w:tcPr>
            <w:tcW w:w="5055" w:type="dxa"/>
          </w:tcPr>
          <w:p w:rsidR="00CC45D7" w:rsidRPr="003471C2" w:rsidRDefault="0066472E" w:rsidP="00CC45D7">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Pr>
                <w:b/>
                <w:bCs/>
                <w:sz w:val="22"/>
                <w:szCs w:val="22"/>
              </w:rPr>
              <w:t>I50.30</w:t>
            </w:r>
            <w:r w:rsidR="003471C2" w:rsidRPr="003471C2">
              <w:rPr>
                <w:sz w:val="22"/>
                <w:szCs w:val="22"/>
              </w:rPr>
              <w:t xml:space="preserve"> </w:t>
            </w:r>
            <w:r w:rsidR="003471C2" w:rsidRPr="00CC45D7">
              <w:rPr>
                <w:sz w:val="22"/>
                <w:szCs w:val="22"/>
              </w:rPr>
              <w:t>Unspecified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CC45D7" w:rsidRPr="003471C2" w:rsidRDefault="003471C2" w:rsidP="00CC45D7">
            <w:pPr>
              <w:rPr>
                <w:sz w:val="22"/>
                <w:szCs w:val="22"/>
              </w:rPr>
            </w:pPr>
            <w:r w:rsidRPr="004126CF">
              <w:rPr>
                <w:b/>
                <w:sz w:val="22"/>
                <w:szCs w:val="22"/>
              </w:rPr>
              <w:t>428.31</w:t>
            </w:r>
            <w:r w:rsidRPr="003471C2">
              <w:rPr>
                <w:sz w:val="22"/>
                <w:szCs w:val="22"/>
              </w:rPr>
              <w:t xml:space="preserve"> Acute diastolic heart failure</w:t>
            </w:r>
          </w:p>
        </w:tc>
        <w:tc>
          <w:tcPr>
            <w:tcW w:w="5055" w:type="dxa"/>
          </w:tcPr>
          <w:p w:rsidR="00CC45D7" w:rsidRPr="003471C2" w:rsidRDefault="0066472E" w:rsidP="00CC45D7">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Pr>
                <w:b/>
                <w:bCs/>
                <w:sz w:val="22"/>
                <w:szCs w:val="22"/>
              </w:rPr>
              <w:t>I50</w:t>
            </w:r>
            <w:r w:rsidR="003471C2" w:rsidRPr="003471C2">
              <w:rPr>
                <w:b/>
                <w:bCs/>
                <w:sz w:val="22"/>
                <w:szCs w:val="22"/>
              </w:rPr>
              <w:t>.31</w:t>
            </w:r>
            <w:r w:rsidR="003471C2" w:rsidRPr="003471C2">
              <w:rPr>
                <w:sz w:val="22"/>
                <w:szCs w:val="22"/>
              </w:rPr>
              <w:t xml:space="preserve"> </w:t>
            </w:r>
            <w:r w:rsidR="003471C2" w:rsidRPr="00CC45D7">
              <w:rPr>
                <w:sz w:val="22"/>
                <w:szCs w:val="22"/>
              </w:rPr>
              <w:t>Acute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428.32</w:t>
            </w:r>
            <w:r w:rsidRPr="003471C2">
              <w:rPr>
                <w:sz w:val="22"/>
                <w:szCs w:val="22"/>
              </w:rPr>
              <w:t xml:space="preserve"> Chronic diastolic heart failure</w:t>
            </w:r>
          </w:p>
        </w:tc>
        <w:tc>
          <w:tcPr>
            <w:tcW w:w="5055" w:type="dxa"/>
          </w:tcPr>
          <w:p w:rsidR="003471C2" w:rsidRPr="003471C2" w:rsidRDefault="0066472E"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r>
              <w:rPr>
                <w:b/>
                <w:bCs/>
                <w:sz w:val="22"/>
                <w:szCs w:val="22"/>
              </w:rPr>
              <w:t>I50</w:t>
            </w:r>
            <w:r w:rsidR="003471C2" w:rsidRPr="003471C2">
              <w:rPr>
                <w:b/>
                <w:bCs/>
                <w:sz w:val="22"/>
                <w:szCs w:val="22"/>
              </w:rPr>
              <w:t>.32</w:t>
            </w:r>
            <w:r w:rsidR="003471C2" w:rsidRPr="003471C2">
              <w:rPr>
                <w:sz w:val="22"/>
                <w:szCs w:val="22"/>
              </w:rPr>
              <w:t xml:space="preserve"> </w:t>
            </w:r>
            <w:r w:rsidR="003471C2" w:rsidRPr="00CC45D7">
              <w:rPr>
                <w:sz w:val="22"/>
                <w:szCs w:val="22"/>
              </w:rPr>
              <w:t>Chronic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428.33</w:t>
            </w:r>
            <w:r w:rsidRPr="003471C2">
              <w:rPr>
                <w:sz w:val="22"/>
                <w:szCs w:val="22"/>
              </w:rPr>
              <w:t xml:space="preserve"> Acute on chronic diastolic heart failure</w:t>
            </w:r>
          </w:p>
        </w:tc>
        <w:tc>
          <w:tcPr>
            <w:tcW w:w="5055" w:type="dxa"/>
          </w:tcPr>
          <w:p w:rsidR="003471C2" w:rsidRPr="003471C2" w:rsidRDefault="0066472E"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r>
              <w:rPr>
                <w:b/>
                <w:bCs/>
                <w:sz w:val="22"/>
                <w:szCs w:val="22"/>
              </w:rPr>
              <w:t>I50</w:t>
            </w:r>
            <w:r w:rsidR="003471C2" w:rsidRPr="003471C2">
              <w:rPr>
                <w:b/>
                <w:bCs/>
                <w:sz w:val="22"/>
                <w:szCs w:val="22"/>
              </w:rPr>
              <w:t>.33</w:t>
            </w:r>
            <w:r w:rsidR="003471C2" w:rsidRPr="003471C2">
              <w:rPr>
                <w:sz w:val="22"/>
                <w:szCs w:val="22"/>
              </w:rPr>
              <w:t xml:space="preserve"> </w:t>
            </w:r>
            <w:r w:rsidR="003471C2" w:rsidRPr="00CC45D7">
              <w:rPr>
                <w:sz w:val="22"/>
                <w:szCs w:val="22"/>
              </w:rPr>
              <w:t>Acute on chronic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428.40</w:t>
            </w:r>
            <w:r w:rsidRPr="003471C2">
              <w:rPr>
                <w:sz w:val="22"/>
                <w:szCs w:val="22"/>
              </w:rPr>
              <w:t xml:space="preserve"> Unspecified combined systolic and diastolic heart failure</w:t>
            </w:r>
          </w:p>
        </w:tc>
        <w:tc>
          <w:tcPr>
            <w:tcW w:w="5055" w:type="dxa"/>
          </w:tcPr>
          <w:p w:rsidR="003471C2" w:rsidRPr="003471C2" w:rsidRDefault="0066472E"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r>
              <w:rPr>
                <w:b/>
                <w:bCs/>
                <w:sz w:val="22"/>
                <w:szCs w:val="22"/>
              </w:rPr>
              <w:t>I50.40</w:t>
            </w:r>
            <w:r w:rsidR="003471C2" w:rsidRPr="003471C2">
              <w:rPr>
                <w:sz w:val="22"/>
                <w:szCs w:val="22"/>
              </w:rPr>
              <w:t xml:space="preserve"> </w:t>
            </w:r>
            <w:r w:rsidR="003471C2" w:rsidRPr="00CC45D7">
              <w:rPr>
                <w:sz w:val="22"/>
                <w:szCs w:val="22"/>
              </w:rPr>
              <w:t>Unspecified combined systolic (congestive) and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428.41</w:t>
            </w:r>
            <w:r w:rsidRPr="003471C2">
              <w:rPr>
                <w:sz w:val="22"/>
                <w:szCs w:val="22"/>
              </w:rPr>
              <w:t xml:space="preserve"> Acute combined systolic and diastolic heart failure</w:t>
            </w:r>
          </w:p>
        </w:tc>
        <w:tc>
          <w:tcPr>
            <w:tcW w:w="5055" w:type="dxa"/>
          </w:tcPr>
          <w:p w:rsidR="003471C2" w:rsidRPr="003471C2" w:rsidRDefault="003471C2"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r w:rsidRPr="003471C2">
              <w:rPr>
                <w:b/>
                <w:bCs/>
                <w:sz w:val="22"/>
                <w:szCs w:val="22"/>
              </w:rPr>
              <w:t>I5</w:t>
            </w:r>
            <w:r w:rsidR="0066472E">
              <w:rPr>
                <w:b/>
                <w:bCs/>
                <w:sz w:val="22"/>
                <w:szCs w:val="22"/>
              </w:rPr>
              <w:t>0</w:t>
            </w:r>
            <w:r w:rsidRPr="003471C2">
              <w:rPr>
                <w:b/>
                <w:bCs/>
                <w:sz w:val="22"/>
                <w:szCs w:val="22"/>
              </w:rPr>
              <w:t>.41</w:t>
            </w:r>
            <w:r w:rsidRPr="003471C2">
              <w:rPr>
                <w:sz w:val="22"/>
                <w:szCs w:val="22"/>
              </w:rPr>
              <w:t xml:space="preserve"> </w:t>
            </w:r>
            <w:r w:rsidRPr="00CC45D7">
              <w:rPr>
                <w:sz w:val="22"/>
                <w:szCs w:val="22"/>
              </w:rPr>
              <w:t>Acute combined systolic (congestive) and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428.42</w:t>
            </w:r>
            <w:r w:rsidRPr="003471C2">
              <w:rPr>
                <w:sz w:val="22"/>
                <w:szCs w:val="22"/>
              </w:rPr>
              <w:t xml:space="preserve"> Chronic combined systolic and diastolic heart failure</w:t>
            </w:r>
          </w:p>
        </w:tc>
        <w:tc>
          <w:tcPr>
            <w:tcW w:w="5055" w:type="dxa"/>
          </w:tcPr>
          <w:p w:rsidR="003471C2" w:rsidRDefault="0066472E" w:rsidP="003471C2">
            <w:pPr>
              <w:ind w:left="72"/>
              <w:jc w:val="left"/>
              <w:cnfStyle w:val="000000000000" w:firstRow="0" w:lastRow="0" w:firstColumn="0" w:lastColumn="0" w:oddVBand="0" w:evenVBand="0" w:oddHBand="0" w:evenHBand="0" w:firstRowFirstColumn="0" w:firstRowLastColumn="0" w:lastRowFirstColumn="0" w:lastRowLastColumn="0"/>
              <w:rPr>
                <w:sz w:val="22"/>
                <w:szCs w:val="22"/>
              </w:rPr>
            </w:pPr>
            <w:r>
              <w:rPr>
                <w:b/>
                <w:bCs/>
                <w:sz w:val="22"/>
                <w:szCs w:val="22"/>
              </w:rPr>
              <w:t>I50</w:t>
            </w:r>
            <w:r w:rsidR="003471C2" w:rsidRPr="003471C2">
              <w:rPr>
                <w:b/>
                <w:bCs/>
                <w:sz w:val="22"/>
                <w:szCs w:val="22"/>
              </w:rPr>
              <w:t>.42</w:t>
            </w:r>
            <w:r w:rsidR="003471C2" w:rsidRPr="003471C2">
              <w:rPr>
                <w:sz w:val="22"/>
                <w:szCs w:val="22"/>
              </w:rPr>
              <w:t xml:space="preserve"> </w:t>
            </w:r>
            <w:r w:rsidR="003471C2" w:rsidRPr="00CC45D7">
              <w:rPr>
                <w:sz w:val="22"/>
                <w:szCs w:val="22"/>
              </w:rPr>
              <w:t>Chronic combined systolic (congestive) and diastolic (congestive) heart failure</w:t>
            </w:r>
          </w:p>
          <w:p w:rsidR="00C041C6" w:rsidRPr="003471C2" w:rsidRDefault="00C041C6"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bookmarkStart w:id="10" w:name="_GoBack"/>
            <w:bookmarkEnd w:id="10"/>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428.43</w:t>
            </w:r>
            <w:r w:rsidRPr="003471C2">
              <w:rPr>
                <w:sz w:val="22"/>
                <w:szCs w:val="22"/>
              </w:rPr>
              <w:t xml:space="preserve"> Acute on chronic combined systolic and diastolic heart failure</w:t>
            </w:r>
          </w:p>
        </w:tc>
        <w:tc>
          <w:tcPr>
            <w:tcW w:w="5055" w:type="dxa"/>
          </w:tcPr>
          <w:p w:rsidR="003471C2" w:rsidRPr="003471C2" w:rsidRDefault="0066472E"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r>
              <w:rPr>
                <w:b/>
                <w:bCs/>
                <w:sz w:val="22"/>
                <w:szCs w:val="22"/>
              </w:rPr>
              <w:t>I50</w:t>
            </w:r>
            <w:r w:rsidR="003471C2" w:rsidRPr="003471C2">
              <w:rPr>
                <w:b/>
                <w:bCs/>
                <w:sz w:val="22"/>
                <w:szCs w:val="22"/>
              </w:rPr>
              <w:t>.43</w:t>
            </w:r>
            <w:r w:rsidR="003471C2" w:rsidRPr="003471C2">
              <w:rPr>
                <w:sz w:val="22"/>
                <w:szCs w:val="22"/>
              </w:rPr>
              <w:t xml:space="preserve"> </w:t>
            </w:r>
            <w:r w:rsidR="003471C2" w:rsidRPr="00CC45D7">
              <w:rPr>
                <w:sz w:val="22"/>
                <w:szCs w:val="22"/>
              </w:rPr>
              <w:t>Acute on chronic combined systolic (congestive) and diastolic (congestive) heart failure</w:t>
            </w:r>
          </w:p>
        </w:tc>
      </w:tr>
      <w:tr w:rsidR="003471C2" w:rsidTr="00C041C6">
        <w:tc>
          <w:tcPr>
            <w:cnfStyle w:val="001000000000" w:firstRow="0" w:lastRow="0" w:firstColumn="1" w:lastColumn="0" w:oddVBand="0" w:evenVBand="0" w:oddHBand="0" w:evenHBand="0" w:firstRowFirstColumn="0" w:firstRowLastColumn="0" w:lastRowFirstColumn="0" w:lastRowLastColumn="0"/>
            <w:tcW w:w="4335" w:type="dxa"/>
          </w:tcPr>
          <w:p w:rsidR="003471C2" w:rsidRPr="003471C2" w:rsidRDefault="003471C2" w:rsidP="00B21B41">
            <w:pPr>
              <w:rPr>
                <w:sz w:val="22"/>
                <w:szCs w:val="22"/>
              </w:rPr>
            </w:pPr>
            <w:r w:rsidRPr="004126CF">
              <w:rPr>
                <w:b/>
                <w:sz w:val="22"/>
                <w:szCs w:val="22"/>
              </w:rPr>
              <w:t>428.9</w:t>
            </w:r>
            <w:r w:rsidRPr="003471C2">
              <w:rPr>
                <w:sz w:val="22"/>
                <w:szCs w:val="22"/>
              </w:rPr>
              <w:t xml:space="preserve"> Heart failure, unspecified</w:t>
            </w:r>
          </w:p>
        </w:tc>
        <w:tc>
          <w:tcPr>
            <w:tcW w:w="5055" w:type="dxa"/>
          </w:tcPr>
          <w:p w:rsidR="003471C2" w:rsidRPr="003471C2" w:rsidRDefault="0066472E" w:rsidP="003471C2">
            <w:pPr>
              <w:ind w:left="72"/>
              <w:jc w:val="left"/>
              <w:cnfStyle w:val="000000000000" w:firstRow="0" w:lastRow="0" w:firstColumn="0" w:lastColumn="0" w:oddVBand="0" w:evenVBand="0" w:oddHBand="0" w:evenHBand="0" w:firstRowFirstColumn="0" w:firstRowLastColumn="0" w:lastRowFirstColumn="0" w:lastRowLastColumn="0"/>
              <w:rPr>
                <w:b/>
                <w:bCs/>
                <w:sz w:val="22"/>
                <w:szCs w:val="22"/>
              </w:rPr>
            </w:pPr>
            <w:r>
              <w:rPr>
                <w:b/>
                <w:bCs/>
                <w:sz w:val="22"/>
                <w:szCs w:val="22"/>
              </w:rPr>
              <w:t>I50</w:t>
            </w:r>
            <w:r w:rsidR="003471C2" w:rsidRPr="003471C2">
              <w:rPr>
                <w:b/>
                <w:bCs/>
                <w:sz w:val="22"/>
                <w:szCs w:val="22"/>
              </w:rPr>
              <w:t>.9</w:t>
            </w:r>
            <w:r w:rsidR="003471C2" w:rsidRPr="003471C2">
              <w:rPr>
                <w:sz w:val="22"/>
                <w:szCs w:val="22"/>
              </w:rPr>
              <w:t xml:space="preserve"> </w:t>
            </w:r>
            <w:r w:rsidR="003471C2" w:rsidRPr="00CC45D7">
              <w:rPr>
                <w:sz w:val="22"/>
                <w:szCs w:val="22"/>
              </w:rPr>
              <w:t>Heart failure, unspecified</w:t>
            </w:r>
          </w:p>
        </w:tc>
      </w:tr>
    </w:tbl>
    <w:p w:rsidR="00C977C7" w:rsidRDefault="00C977C7" w:rsidP="008615E6">
      <w:pPr>
        <w:spacing w:after="120"/>
        <w:rPr>
          <w:rFonts w:ascii="Times New Roman" w:hAnsi="Times New Roman" w:cs="Times New Roman"/>
          <w:sz w:val="24"/>
          <w:szCs w:val="24"/>
        </w:rPr>
      </w:pPr>
    </w:p>
    <w:p w:rsidR="005B3E10" w:rsidRPr="00ED3357" w:rsidRDefault="005B3E10" w:rsidP="000B1034">
      <w:pPr>
        <w:pStyle w:val="Body125"/>
      </w:pPr>
    </w:p>
    <w:sectPr w:rsidR="005B3E10" w:rsidRPr="00ED3357" w:rsidSect="00C53545">
      <w:headerReference w:type="first" r:id="rId9"/>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B41" w:rsidRDefault="00B21B41" w:rsidP="000B13F2">
      <w:pPr>
        <w:spacing w:after="0" w:line="240" w:lineRule="auto"/>
      </w:pPr>
      <w:r>
        <w:separator/>
      </w:r>
    </w:p>
  </w:endnote>
  <w:endnote w:type="continuationSeparator" w:id="0">
    <w:p w:rsidR="00B21B41" w:rsidRDefault="00B21B41" w:rsidP="000B1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rial">
    <w:altName w:val="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B41" w:rsidRDefault="00B21B41" w:rsidP="000B13F2">
      <w:pPr>
        <w:spacing w:after="0" w:line="240" w:lineRule="auto"/>
      </w:pPr>
      <w:r>
        <w:separator/>
      </w:r>
    </w:p>
  </w:footnote>
  <w:footnote w:type="continuationSeparator" w:id="0">
    <w:p w:rsidR="00B21B41" w:rsidRDefault="00B21B41" w:rsidP="000B13F2">
      <w:pPr>
        <w:spacing w:after="0" w:line="240" w:lineRule="auto"/>
      </w:pPr>
      <w:r>
        <w:continuationSeparator/>
      </w:r>
    </w:p>
  </w:footnote>
  <w:footnote w:id="1">
    <w:p w:rsidR="00B21B41" w:rsidRPr="00200CF9" w:rsidRDefault="00B21B41" w:rsidP="007F6E38">
      <w:pPr>
        <w:pStyle w:val="FootnoteText"/>
      </w:pPr>
      <w:r>
        <w:rPr>
          <w:rStyle w:val="FootnoteReference"/>
        </w:rPr>
        <w:footnoteRef/>
      </w:r>
      <w:r>
        <w:t xml:space="preserve"> </w:t>
      </w:r>
      <w:r w:rsidRPr="006A23D2">
        <w:t>For more information about re</w:t>
      </w:r>
      <w:r>
        <w:t xml:space="preserve">liability testing for </w:t>
      </w:r>
      <w:r w:rsidRPr="006A23D2">
        <w:t>performance measurement</w:t>
      </w:r>
      <w:r>
        <w:t>, as well as the methodology for constructing the reliability score reported on Table 6</w:t>
      </w:r>
      <w:r w:rsidRPr="006A23D2">
        <w:t>, see “Reliability of Provider Profiling: A Tutorial” by John Adams, RAND</w:t>
      </w:r>
      <w:r w:rsidRPr="004F4778">
        <w:t xml:space="preserve">.  </w:t>
      </w:r>
      <w:r w:rsidRPr="006A23D2">
        <w:t>http://www.rand.org/pubs/technical_reports/TR653.html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45" w:rsidRPr="00C53545" w:rsidRDefault="00C53545" w:rsidP="00C53545">
    <w:pPr>
      <w:spacing w:after="120" w:line="240" w:lineRule="auto"/>
      <w:jc w:val="center"/>
      <w:rPr>
        <w:rFonts w:ascii="Times New Roman" w:hAnsi="Times New Roman" w:cs="Times New Roman"/>
        <w:b/>
        <w:smallCaps/>
        <w:sz w:val="28"/>
        <w:szCs w:val="28"/>
      </w:rPr>
    </w:pPr>
    <w:r w:rsidRPr="00C53545">
      <w:rPr>
        <w:rFonts w:ascii="Times New Roman" w:hAnsi="Times New Roman" w:cs="Times New Roman"/>
        <w:b/>
        <w:smallCaps/>
        <w:sz w:val="28"/>
        <w:szCs w:val="28"/>
      </w:rPr>
      <w:t xml:space="preserve">Attachment 1 </w:t>
    </w:r>
  </w:p>
  <w:p w:rsidR="00C53545" w:rsidRPr="00C53545" w:rsidRDefault="00C53545" w:rsidP="00C53545">
    <w:pPr>
      <w:spacing w:after="120" w:line="240" w:lineRule="auto"/>
      <w:jc w:val="center"/>
      <w:rPr>
        <w:rFonts w:ascii="Times New Roman" w:hAnsi="Times New Roman" w:cs="Times New Roman"/>
        <w:b/>
        <w:smallCaps/>
        <w:sz w:val="28"/>
        <w:szCs w:val="28"/>
      </w:rPr>
    </w:pPr>
    <w:r w:rsidRPr="00C53545">
      <w:rPr>
        <w:rFonts w:ascii="Times New Roman" w:hAnsi="Times New Roman" w:cs="Times New Roman"/>
        <w:b/>
        <w:smallCaps/>
        <w:sz w:val="28"/>
        <w:szCs w:val="28"/>
      </w:rPr>
      <w:t xml:space="preserve">Heart Failure Symptoms Addressed Measure - Analysis of Impact Revised Specifications </w:t>
    </w:r>
  </w:p>
  <w:p w:rsidR="00B21B41" w:rsidRDefault="00B21B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2BC2"/>
    <w:multiLevelType w:val="multilevel"/>
    <w:tmpl w:val="D8D85C9C"/>
    <w:numStyleLink w:val="Style1"/>
  </w:abstractNum>
  <w:abstractNum w:abstractNumId="1">
    <w:nsid w:val="085F5858"/>
    <w:multiLevelType w:val="multilevel"/>
    <w:tmpl w:val="5B6CA414"/>
    <w:lvl w:ilvl="0">
      <w:start w:val="1"/>
      <w:numFmt w:val="lowerRoman"/>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lowerLetter"/>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160444A5"/>
    <w:multiLevelType w:val="multilevel"/>
    <w:tmpl w:val="5D1A2CAA"/>
    <w:lvl w:ilvl="0">
      <w:start w:val="1"/>
      <w:numFmt w:val="upperLetter"/>
      <w:pStyle w:val="Heading7"/>
      <w:suff w:val="nothing"/>
      <w:lvlText w:val="Appendix %1"/>
      <w:lvlJc w:val="left"/>
      <w:pPr>
        <w:ind w:left="1440" w:hanging="1440"/>
      </w:pPr>
      <w:rPr>
        <w:rFonts w:hint="default"/>
      </w:rPr>
    </w:lvl>
    <w:lvl w:ilvl="1">
      <w:start w:val="1"/>
      <w:numFmt w:val="decimal"/>
      <w:pStyle w:val="Heading8"/>
      <w:lvlText w:val="%1.%2"/>
      <w:lvlJc w:val="left"/>
      <w:pPr>
        <w:tabs>
          <w:tab w:val="num" w:pos="720"/>
        </w:tabs>
        <w:ind w:left="720" w:hanging="720"/>
      </w:pPr>
      <w:rPr>
        <w:rFonts w:hint="default"/>
      </w:rPr>
    </w:lvl>
    <w:lvl w:ilvl="2">
      <w:start w:val="1"/>
      <w:numFmt w:val="decimal"/>
      <w:pStyle w:val="Heading9"/>
      <w:lvlText w:val="%1.%2.%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C5ACA"/>
    <w:multiLevelType w:val="multilevel"/>
    <w:tmpl w:val="D8D85C9C"/>
    <w:numStyleLink w:val="Style1"/>
  </w:abstractNum>
  <w:abstractNum w:abstractNumId="4">
    <w:nsid w:val="1F0F388D"/>
    <w:multiLevelType w:val="multilevel"/>
    <w:tmpl w:val="F4EEEC6A"/>
    <w:numStyleLink w:val="Style3"/>
  </w:abstractNum>
  <w:abstractNum w:abstractNumId="5">
    <w:nsid w:val="249238C7"/>
    <w:multiLevelType w:val="multilevel"/>
    <w:tmpl w:val="D8D85C9C"/>
    <w:numStyleLink w:val="Style1"/>
  </w:abstractNum>
  <w:abstractNum w:abstractNumId="6">
    <w:nsid w:val="26A0761A"/>
    <w:multiLevelType w:val="multilevel"/>
    <w:tmpl w:val="F4EEEC6A"/>
    <w:numStyleLink w:val="Style3"/>
  </w:abstractNum>
  <w:abstractNum w:abstractNumId="7">
    <w:nsid w:val="276037FB"/>
    <w:multiLevelType w:val="multilevel"/>
    <w:tmpl w:val="F4EEEC6A"/>
    <w:styleLink w:val="Style3"/>
    <w:lvl w:ilvl="0">
      <w:start w:val="1"/>
      <w:numFmt w:val="lowerRoman"/>
      <w:pStyle w:val="RomanNumberedList"/>
      <w:lvlText w:val="(%1)"/>
      <w:lvlJc w:val="left"/>
      <w:pPr>
        <w:ind w:left="1512" w:hanging="432"/>
      </w:pPr>
      <w:rPr>
        <w:rFonts w:hint="default"/>
      </w:rPr>
    </w:lvl>
    <w:lvl w:ilvl="1">
      <w:start w:val="1"/>
      <w:numFmt w:val="lowerLetter"/>
      <w:lvlText w:val="(%2)"/>
      <w:lvlJc w:val="left"/>
      <w:pPr>
        <w:ind w:left="1944" w:hanging="432"/>
      </w:pPr>
      <w:rPr>
        <w:rFonts w:hint="default"/>
      </w:rPr>
    </w:lvl>
    <w:lvl w:ilvl="2">
      <w:start w:val="1"/>
      <w:numFmt w:val="lowerRoman"/>
      <w:lvlText w:val="%3."/>
      <w:lvlJc w:val="left"/>
      <w:pPr>
        <w:ind w:left="2376" w:hanging="432"/>
      </w:pPr>
      <w:rPr>
        <w:rFonts w:hint="default"/>
      </w:rPr>
    </w:lvl>
    <w:lvl w:ilvl="3">
      <w:start w:val="1"/>
      <w:numFmt w:val="lowerLetter"/>
      <w:lvlText w:val="%4."/>
      <w:lvlJc w:val="left"/>
      <w:pPr>
        <w:ind w:left="2808" w:hanging="432"/>
      </w:pPr>
      <w:rPr>
        <w:rFonts w:hint="default"/>
      </w:rPr>
    </w:lvl>
    <w:lvl w:ilvl="4">
      <w:start w:val="1"/>
      <w:numFmt w:val="lowerLetter"/>
      <w:lvlText w:val="%5)"/>
      <w:lvlJc w:val="left"/>
      <w:pPr>
        <w:ind w:left="3240" w:hanging="432"/>
      </w:pPr>
      <w:rPr>
        <w:rFonts w:hint="default"/>
      </w:rPr>
    </w:lvl>
    <w:lvl w:ilvl="5">
      <w:start w:val="1"/>
      <w:numFmt w:val="lowerRoman"/>
      <w:lvlText w:val="%6)"/>
      <w:lvlJc w:val="left"/>
      <w:pPr>
        <w:ind w:left="3672" w:hanging="432"/>
      </w:pPr>
      <w:rPr>
        <w:rFonts w:hint="default"/>
      </w:rPr>
    </w:lvl>
    <w:lvl w:ilvl="6">
      <w:start w:val="1"/>
      <w:numFmt w:val="decimal"/>
      <w:lvlText w:val="%7."/>
      <w:lvlJc w:val="left"/>
      <w:pPr>
        <w:ind w:left="4104" w:hanging="432"/>
      </w:pPr>
      <w:rPr>
        <w:rFonts w:hint="default"/>
      </w:rPr>
    </w:lvl>
    <w:lvl w:ilvl="7">
      <w:start w:val="1"/>
      <w:numFmt w:val="lowerLetter"/>
      <w:lvlText w:val="%8."/>
      <w:lvlJc w:val="left"/>
      <w:pPr>
        <w:ind w:left="4536" w:hanging="432"/>
      </w:pPr>
      <w:rPr>
        <w:rFonts w:hint="default"/>
      </w:rPr>
    </w:lvl>
    <w:lvl w:ilvl="8">
      <w:start w:val="1"/>
      <w:numFmt w:val="lowerRoman"/>
      <w:lvlText w:val="%9."/>
      <w:lvlJc w:val="left"/>
      <w:pPr>
        <w:ind w:left="4968" w:hanging="432"/>
      </w:pPr>
      <w:rPr>
        <w:rFonts w:hint="default"/>
      </w:rPr>
    </w:lvl>
  </w:abstractNum>
  <w:abstractNum w:abstractNumId="8">
    <w:nsid w:val="29DC054B"/>
    <w:multiLevelType w:val="multilevel"/>
    <w:tmpl w:val="55B2E6EE"/>
    <w:numStyleLink w:val="Style2"/>
  </w:abstractNum>
  <w:abstractNum w:abstractNumId="9">
    <w:nsid w:val="2B033F8B"/>
    <w:multiLevelType w:val="hybridMultilevel"/>
    <w:tmpl w:val="15D01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E700D0"/>
    <w:multiLevelType w:val="multilevel"/>
    <w:tmpl w:val="D8D85C9C"/>
    <w:numStyleLink w:val="Style1"/>
  </w:abstractNum>
  <w:abstractNum w:abstractNumId="11">
    <w:nsid w:val="2E593E36"/>
    <w:multiLevelType w:val="hybridMultilevel"/>
    <w:tmpl w:val="4710A378"/>
    <w:lvl w:ilvl="0" w:tplc="767ABF0A">
      <w:start w:val="1"/>
      <w:numFmt w:val="upperLetter"/>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C131FA"/>
    <w:multiLevelType w:val="hybridMultilevel"/>
    <w:tmpl w:val="779ABC80"/>
    <w:lvl w:ilvl="0" w:tplc="F5B84A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6D0EF0"/>
    <w:multiLevelType w:val="multilevel"/>
    <w:tmpl w:val="53A45388"/>
    <w:lvl w:ilvl="0">
      <w:start w:val="1"/>
      <w:numFmt w:val="decimal"/>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nsid w:val="3EF871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1757162"/>
    <w:multiLevelType w:val="multilevel"/>
    <w:tmpl w:val="D8D85C9C"/>
    <w:numStyleLink w:val="Style1"/>
  </w:abstractNum>
  <w:abstractNum w:abstractNumId="16">
    <w:nsid w:val="4B971DE3"/>
    <w:multiLevelType w:val="multilevel"/>
    <w:tmpl w:val="55B2E6EE"/>
    <w:styleLink w:val="Style2"/>
    <w:lvl w:ilvl="0">
      <w:start w:val="1"/>
      <w:numFmt w:val="decimal"/>
      <w:pStyle w:val="NumberList"/>
      <w:lvlText w:val="(%1)"/>
      <w:lvlJc w:val="left"/>
      <w:pPr>
        <w:ind w:left="1339" w:hanging="432"/>
      </w:pPr>
      <w:rPr>
        <w:rFonts w:hint="default"/>
      </w:rPr>
    </w:lvl>
    <w:lvl w:ilvl="1">
      <w:start w:val="1"/>
      <w:numFmt w:val="lowerLetter"/>
      <w:lvlText w:val="(%2)"/>
      <w:lvlJc w:val="left"/>
      <w:pPr>
        <w:ind w:left="1771" w:hanging="432"/>
      </w:pPr>
      <w:rPr>
        <w:rFonts w:hint="default"/>
      </w:rPr>
    </w:lvl>
    <w:lvl w:ilvl="2">
      <w:start w:val="1"/>
      <w:numFmt w:val="lowerRoman"/>
      <w:lvlText w:val="(%3)"/>
      <w:lvlJc w:val="left"/>
      <w:pPr>
        <w:ind w:left="2203" w:hanging="432"/>
      </w:pPr>
      <w:rPr>
        <w:rFonts w:hint="default"/>
      </w:rPr>
    </w:lvl>
    <w:lvl w:ilvl="3">
      <w:start w:val="1"/>
      <w:numFmt w:val="decimal"/>
      <w:lvlText w:val="%4)"/>
      <w:lvlJc w:val="left"/>
      <w:pPr>
        <w:ind w:left="2635" w:hanging="432"/>
      </w:pPr>
      <w:rPr>
        <w:rFonts w:hint="default"/>
      </w:rPr>
    </w:lvl>
    <w:lvl w:ilvl="4">
      <w:start w:val="1"/>
      <w:numFmt w:val="lowerLetter"/>
      <w:lvlText w:val="%5)"/>
      <w:lvlJc w:val="left"/>
      <w:pPr>
        <w:ind w:left="3067" w:hanging="432"/>
      </w:pPr>
      <w:rPr>
        <w:rFonts w:hint="default"/>
      </w:rPr>
    </w:lvl>
    <w:lvl w:ilvl="5">
      <w:start w:val="1"/>
      <w:numFmt w:val="lowerRoman"/>
      <w:lvlText w:val="%6)"/>
      <w:lvlJc w:val="left"/>
      <w:pPr>
        <w:ind w:left="3499" w:hanging="432"/>
      </w:pPr>
      <w:rPr>
        <w:rFonts w:hint="default"/>
      </w:rPr>
    </w:lvl>
    <w:lvl w:ilvl="6">
      <w:start w:val="1"/>
      <w:numFmt w:val="decimal"/>
      <w:lvlText w:val="%7."/>
      <w:lvlJc w:val="left"/>
      <w:pPr>
        <w:ind w:left="3931" w:hanging="432"/>
      </w:pPr>
      <w:rPr>
        <w:rFonts w:hint="default"/>
      </w:rPr>
    </w:lvl>
    <w:lvl w:ilvl="7">
      <w:start w:val="1"/>
      <w:numFmt w:val="lowerLetter"/>
      <w:lvlText w:val="%8."/>
      <w:lvlJc w:val="left"/>
      <w:pPr>
        <w:ind w:left="4363" w:hanging="432"/>
      </w:pPr>
      <w:rPr>
        <w:rFonts w:hint="default"/>
      </w:rPr>
    </w:lvl>
    <w:lvl w:ilvl="8">
      <w:start w:val="1"/>
      <w:numFmt w:val="lowerRoman"/>
      <w:lvlText w:val="%9."/>
      <w:lvlJc w:val="left"/>
      <w:pPr>
        <w:ind w:left="4795" w:hanging="432"/>
      </w:pPr>
      <w:rPr>
        <w:rFonts w:hint="default"/>
      </w:rPr>
    </w:lvl>
  </w:abstractNum>
  <w:abstractNum w:abstractNumId="17">
    <w:nsid w:val="4C174546"/>
    <w:multiLevelType w:val="multilevel"/>
    <w:tmpl w:val="55B2E6EE"/>
    <w:numStyleLink w:val="Style2"/>
  </w:abstractNum>
  <w:abstractNum w:abstractNumId="18">
    <w:nsid w:val="4DE22CC8"/>
    <w:multiLevelType w:val="multilevel"/>
    <w:tmpl w:val="876001B6"/>
    <w:styleLink w:val="Appendices"/>
    <w:lvl w:ilvl="0">
      <w:start w:val="1"/>
      <w:numFmt w:val="upperLetter"/>
      <w:suff w:val="nothing"/>
      <w:lvlText w:val="Appendix %1:"/>
      <w:lvlJc w:val="left"/>
      <w:pPr>
        <w:ind w:left="720" w:hanging="720"/>
      </w:pPr>
      <w:rPr>
        <w:rFonts w:ascii="Arial Bold" w:hAnsi="Arial Bold" w:hint="default"/>
        <w:b/>
        <w:i w:val="0"/>
        <w:caps/>
        <w:strike w:val="0"/>
        <w:dstrike w:val="0"/>
        <w:vanish w:val="0"/>
        <w:sz w:val="28"/>
        <w:vertAlign w:val="baseline"/>
      </w:rPr>
    </w:lvl>
    <w:lvl w:ilvl="1">
      <w:start w:val="1"/>
      <w:numFmt w:val="decimal"/>
      <w:lvlText w:val="%1.%2"/>
      <w:lvlJc w:val="left"/>
      <w:pPr>
        <w:tabs>
          <w:tab w:val="num" w:pos="720"/>
        </w:tabs>
        <w:ind w:left="720" w:hanging="720"/>
      </w:pPr>
      <w:rPr>
        <w:rFonts w:ascii="Arial Bold" w:hAnsi="Arial Bold" w:hint="default"/>
        <w:b/>
        <w:i w:val="0"/>
        <w:sz w:val="24"/>
      </w:rPr>
    </w:lvl>
    <w:lvl w:ilvl="2">
      <w:start w:val="1"/>
      <w:numFmt w:val="decimal"/>
      <w:lvlText w:val="%1.%2.%3"/>
      <w:lvlJc w:val="left"/>
      <w:pPr>
        <w:tabs>
          <w:tab w:val="num" w:pos="720"/>
        </w:tabs>
        <w:ind w:left="720" w:hanging="720"/>
      </w:pPr>
      <w:rPr>
        <w:rFonts w:ascii="Arial Bold" w:hAnsi="Arial Bold" w:hint="default"/>
        <w:b/>
        <w:i/>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F91287F"/>
    <w:multiLevelType w:val="multilevel"/>
    <w:tmpl w:val="04F471A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0">
    <w:nsid w:val="57C44C42"/>
    <w:multiLevelType w:val="hybridMultilevel"/>
    <w:tmpl w:val="5B8A5A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0B7226"/>
    <w:multiLevelType w:val="multilevel"/>
    <w:tmpl w:val="6038DEAC"/>
    <w:lvl w:ilvl="0">
      <w:start w:val="1"/>
      <w:numFmt w:val="upperLetter"/>
      <w:lvlText w:val="Appendix %1"/>
      <w:lvlJc w:val="left"/>
      <w:pPr>
        <w:tabs>
          <w:tab w:val="num" w:pos="2016"/>
        </w:tabs>
        <w:ind w:left="2016" w:hanging="2016"/>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decimal"/>
      <w:pStyle w:val="Appendixsubheading"/>
      <w:lvlText w:val="%1.%2"/>
      <w:lvlJc w:val="left"/>
      <w:pPr>
        <w:tabs>
          <w:tab w:val="num" w:pos="576"/>
        </w:tabs>
        <w:ind w:left="576" w:hanging="576"/>
      </w:pPr>
      <w:rPr>
        <w:rFonts w:hint="default"/>
      </w:rPr>
    </w:lvl>
    <w:lvl w:ilvl="2">
      <w:start w:val="1"/>
      <w:numFmt w:val="decimal"/>
      <w:pStyle w:val="AppendixSubheading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A.%7"/>
      <w:lvlJc w:val="left"/>
      <w:pPr>
        <w:ind w:left="270" w:firstLine="0"/>
      </w:pPr>
      <w:rPr>
        <w:rFonts w:hint="default"/>
        <w:b/>
        <w:bCs w:val="0"/>
        <w:i w:val="0"/>
        <w:iCs w:val="0"/>
        <w:caps/>
        <w:smallCaps w:val="0"/>
        <w:strike w:val="0"/>
        <w:dstrike w:val="0"/>
        <w:noProof w:val="0"/>
        <w:vanish w:val="0"/>
        <w:spacing w:val="0"/>
        <w:kern w:val="0"/>
        <w:position w:val="0"/>
        <w:u w:val="none"/>
        <w:vertAlign w:val="baseline"/>
        <w:em w:val="none"/>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291260F"/>
    <w:multiLevelType w:val="multilevel"/>
    <w:tmpl w:val="55B2E6EE"/>
    <w:numStyleLink w:val="Style2"/>
  </w:abstractNum>
  <w:abstractNum w:abstractNumId="23">
    <w:nsid w:val="6A1D2B4D"/>
    <w:multiLevelType w:val="hybridMultilevel"/>
    <w:tmpl w:val="BEB0FDC8"/>
    <w:lvl w:ilvl="0" w:tplc="87F0916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E2D0B3F"/>
    <w:multiLevelType w:val="hybridMultilevel"/>
    <w:tmpl w:val="183CF408"/>
    <w:lvl w:ilvl="0" w:tplc="DAF69620">
      <w:start w:val="1"/>
      <w:numFmt w:val="upperLetter"/>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AD5E7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DD93387"/>
    <w:multiLevelType w:val="multilevel"/>
    <w:tmpl w:val="C9F0A6B6"/>
    <w:lvl w:ilvl="0">
      <w:start w:val="1"/>
      <w:numFmt w:val="decimal"/>
      <w:lvlText w:val="%1"/>
      <w:lvlJc w:val="left"/>
      <w:pPr>
        <w:tabs>
          <w:tab w:val="num" w:pos="400"/>
        </w:tabs>
        <w:ind w:left="400" w:hanging="400"/>
      </w:pPr>
      <w:rPr>
        <w:rFonts w:ascii="Arial" w:hAnsi="Arial" w:cs="Arial" w:hint="default"/>
        <w:b/>
        <w:i w:val="0"/>
        <w:sz w:val="28"/>
        <w:u w:val="none"/>
      </w:rPr>
    </w:lvl>
    <w:lvl w:ilvl="1">
      <w:start w:val="1"/>
      <w:numFmt w:val="decimal"/>
      <w:lvlText w:val="%1.%2"/>
      <w:lvlJc w:val="left"/>
      <w:pPr>
        <w:tabs>
          <w:tab w:val="num" w:pos="720"/>
        </w:tabs>
        <w:ind w:left="720" w:hanging="720"/>
      </w:pPr>
      <w:rPr>
        <w:rFonts w:ascii="Arial" w:hAnsi="Arial" w:cs="Arial" w:hint="default"/>
        <w:b/>
        <w:i w:val="0"/>
        <w:sz w:val="26"/>
        <w:szCs w:val="26"/>
      </w:rPr>
    </w:lvl>
    <w:lvl w:ilvl="2">
      <w:start w:val="1"/>
      <w:numFmt w:val="decimal"/>
      <w:lvlText w:val="%1.%2.%3"/>
      <w:lvlJc w:val="left"/>
      <w:pPr>
        <w:tabs>
          <w:tab w:val="num" w:pos="1440"/>
        </w:tabs>
        <w:ind w:left="720" w:firstLine="0"/>
      </w:pPr>
      <w:rPr>
        <w:rFonts w:ascii="Arial" w:hAnsi="Arial" w:cs="Arial" w:hint="default"/>
      </w:rPr>
    </w:lvl>
    <w:lvl w:ilvl="3">
      <w:start w:val="1"/>
      <w:numFmt w:val="decimal"/>
      <w:lvlText w:val="%1.%2.%3.%4."/>
      <w:lvlJc w:val="left"/>
      <w:pPr>
        <w:tabs>
          <w:tab w:val="num" w:pos="1800"/>
        </w:tabs>
        <w:ind w:left="1728" w:hanging="648"/>
      </w:pPr>
      <w:rPr>
        <w:rFonts w:cs="Lucida Console" w:hint="default"/>
      </w:rPr>
    </w:lvl>
    <w:lvl w:ilvl="4">
      <w:start w:val="1"/>
      <w:numFmt w:val="decimal"/>
      <w:lvlText w:val="%1.%2.%3.%4.%5."/>
      <w:lvlJc w:val="left"/>
      <w:pPr>
        <w:tabs>
          <w:tab w:val="num" w:pos="2520"/>
        </w:tabs>
        <w:ind w:left="2232" w:hanging="792"/>
      </w:pPr>
      <w:rPr>
        <w:rFonts w:cs="Lucida Console" w:hint="default"/>
      </w:rPr>
    </w:lvl>
    <w:lvl w:ilvl="5">
      <w:start w:val="1"/>
      <w:numFmt w:val="decimal"/>
      <w:lvlText w:val="%1.%2.%3.%4.%5.%6."/>
      <w:lvlJc w:val="left"/>
      <w:pPr>
        <w:tabs>
          <w:tab w:val="num" w:pos="2880"/>
        </w:tabs>
        <w:ind w:left="2736" w:hanging="936"/>
      </w:pPr>
      <w:rPr>
        <w:rFonts w:cs="Lucida Console" w:hint="default"/>
      </w:rPr>
    </w:lvl>
    <w:lvl w:ilvl="6">
      <w:start w:val="1"/>
      <w:numFmt w:val="decimal"/>
      <w:lvlText w:val="%1.%2.%3.%4.%5.%6.%7."/>
      <w:lvlJc w:val="left"/>
      <w:pPr>
        <w:tabs>
          <w:tab w:val="num" w:pos="3600"/>
        </w:tabs>
        <w:ind w:left="3240" w:hanging="1080"/>
      </w:pPr>
      <w:rPr>
        <w:rFonts w:cs="Lucida Console" w:hint="default"/>
      </w:rPr>
    </w:lvl>
    <w:lvl w:ilvl="7">
      <w:start w:val="1"/>
      <w:numFmt w:val="decimal"/>
      <w:lvlText w:val="%1.%2.%3.%4.%5.%6.%7.%8."/>
      <w:lvlJc w:val="left"/>
      <w:pPr>
        <w:tabs>
          <w:tab w:val="num" w:pos="3960"/>
        </w:tabs>
        <w:ind w:left="3744" w:hanging="1224"/>
      </w:pPr>
      <w:rPr>
        <w:rFonts w:cs="Lucida Console" w:hint="default"/>
      </w:rPr>
    </w:lvl>
    <w:lvl w:ilvl="8">
      <w:start w:val="1"/>
      <w:numFmt w:val="decimal"/>
      <w:lvlText w:val="%1.%2.%3.%4.%5.%6.%7.%8.%9."/>
      <w:lvlJc w:val="left"/>
      <w:pPr>
        <w:tabs>
          <w:tab w:val="num" w:pos="4680"/>
        </w:tabs>
        <w:ind w:left="4320" w:hanging="1440"/>
      </w:pPr>
      <w:rPr>
        <w:rFonts w:cs="Lucida Console" w:hint="default"/>
      </w:rPr>
    </w:lvl>
  </w:abstractNum>
  <w:abstractNum w:abstractNumId="27">
    <w:nsid w:val="7F971FF5"/>
    <w:multiLevelType w:val="multilevel"/>
    <w:tmpl w:val="D8D85C9C"/>
    <w:styleLink w:val="Style1"/>
    <w:lvl w:ilvl="0">
      <w:start w:val="1"/>
      <w:numFmt w:val="bullet"/>
      <w:pStyle w:val="BulletList"/>
      <w:lvlText w:val=""/>
      <w:lvlJc w:val="left"/>
      <w:pPr>
        <w:ind w:left="1260" w:hanging="360"/>
      </w:pPr>
      <w:rPr>
        <w:rFonts w:ascii="Symbol" w:hAnsi="Symbol" w:hint="default"/>
      </w:rPr>
    </w:lvl>
    <w:lvl w:ilvl="1">
      <w:start w:val="1"/>
      <w:numFmt w:val="bullet"/>
      <w:lvlText w:val="o"/>
      <w:lvlJc w:val="left"/>
      <w:pPr>
        <w:ind w:left="1620" w:hanging="360"/>
      </w:pPr>
      <w:rPr>
        <w:rFonts w:ascii="Courier New" w:hAnsi="Courier New" w:hint="default"/>
      </w:rPr>
    </w:lvl>
    <w:lvl w:ilvl="2">
      <w:start w:val="1"/>
      <w:numFmt w:val="bullet"/>
      <w:lvlText w:val=""/>
      <w:lvlJc w:val="left"/>
      <w:pPr>
        <w:ind w:left="1980" w:hanging="360"/>
      </w:pPr>
      <w:rPr>
        <w:rFonts w:ascii="Wingdings" w:hAnsi="Wingdings" w:hint="default"/>
      </w:rPr>
    </w:lvl>
    <w:lvl w:ilvl="3">
      <w:start w:val="1"/>
      <w:numFmt w:val="bullet"/>
      <w:lvlText w:val=""/>
      <w:lvlJc w:val="left"/>
      <w:pPr>
        <w:ind w:left="2340" w:hanging="360"/>
      </w:pPr>
      <w:rPr>
        <w:rFonts w:ascii="Wingdings" w:hAnsi="Wingdings" w:hint="default"/>
      </w:rPr>
    </w:lvl>
    <w:lvl w:ilvl="4">
      <w:start w:val="1"/>
      <w:numFmt w:val="bullet"/>
      <w:lvlText w:val=""/>
      <w:lvlJc w:val="left"/>
      <w:pPr>
        <w:ind w:left="2700" w:hanging="360"/>
      </w:pPr>
      <w:rPr>
        <w:rFonts w:ascii="Symbol" w:hAnsi="Symbol" w:hint="default"/>
      </w:rPr>
    </w:lvl>
    <w:lvl w:ilvl="5">
      <w:start w:val="1"/>
      <w:numFmt w:val="bullet"/>
      <w:lvlText w:val=""/>
      <w:lvlJc w:val="left"/>
      <w:pPr>
        <w:ind w:left="3060" w:hanging="360"/>
      </w:pPr>
      <w:rPr>
        <w:rFonts w:ascii="Wingdings" w:hAnsi="Wingdings" w:hint="default"/>
      </w:rPr>
    </w:lvl>
    <w:lvl w:ilvl="6">
      <w:start w:val="1"/>
      <w:numFmt w:val="bullet"/>
      <w:lvlText w:val=""/>
      <w:lvlJc w:val="left"/>
      <w:pPr>
        <w:ind w:left="3420" w:hanging="360"/>
      </w:pPr>
      <w:rPr>
        <w:rFonts w:ascii="Symbol" w:hAnsi="Symbol" w:hint="default"/>
      </w:rPr>
    </w:lvl>
    <w:lvl w:ilvl="7">
      <w:start w:val="1"/>
      <w:numFmt w:val="bullet"/>
      <w:lvlText w:val="o"/>
      <w:lvlJc w:val="left"/>
      <w:pPr>
        <w:ind w:left="3780" w:hanging="360"/>
      </w:pPr>
      <w:rPr>
        <w:rFonts w:ascii="Courier New" w:hAnsi="Courier New" w:cs="Courier New" w:hint="default"/>
      </w:rPr>
    </w:lvl>
    <w:lvl w:ilvl="8">
      <w:start w:val="1"/>
      <w:numFmt w:val="bullet"/>
      <w:lvlText w:val=""/>
      <w:lvlJc w:val="left"/>
      <w:pPr>
        <w:ind w:left="4140" w:hanging="360"/>
      </w:pPr>
      <w:rPr>
        <w:rFonts w:ascii="Wingdings" w:hAnsi="Wingdings" w:hint="default"/>
      </w:rPr>
    </w:lvl>
  </w:abstractNum>
  <w:num w:numId="1">
    <w:abstractNumId w:val="11"/>
  </w:num>
  <w:num w:numId="2">
    <w:abstractNumId w:val="11"/>
  </w:num>
  <w:num w:numId="3">
    <w:abstractNumId w:val="11"/>
  </w:num>
  <w:num w:numId="4">
    <w:abstractNumId w:val="26"/>
  </w:num>
  <w:num w:numId="5">
    <w:abstractNumId w:val="12"/>
  </w:num>
  <w:num w:numId="6">
    <w:abstractNumId w:val="23"/>
  </w:num>
  <w:num w:numId="7">
    <w:abstractNumId w:val="25"/>
  </w:num>
  <w:num w:numId="8">
    <w:abstractNumId w:val="26"/>
    <w:lvlOverride w:ilvl="0">
      <w:startOverride w:val="3"/>
    </w:lvlOverride>
  </w:num>
  <w:num w:numId="9">
    <w:abstractNumId w:val="9"/>
  </w:num>
  <w:num w:numId="10">
    <w:abstractNumId w:val="24"/>
  </w:num>
  <w:num w:numId="11">
    <w:abstractNumId w:val="13"/>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0"/>
  </w:num>
  <w:num w:numId="16">
    <w:abstractNumId w:val="27"/>
  </w:num>
  <w:num w:numId="17">
    <w:abstractNumId w:val="3"/>
  </w:num>
  <w:num w:numId="18">
    <w:abstractNumId w:val="16"/>
  </w:num>
  <w:num w:numId="19">
    <w:abstractNumId w:val="17"/>
  </w:num>
  <w:num w:numId="20">
    <w:abstractNumId w:val="1"/>
  </w:num>
  <w:num w:numId="21">
    <w:abstractNumId w:val="7"/>
  </w:num>
  <w:num w:numId="22">
    <w:abstractNumId w:val="4"/>
  </w:num>
  <w:num w:numId="23">
    <w:abstractNumId w:val="8"/>
  </w:num>
  <w:num w:numId="24">
    <w:abstractNumId w:val="18"/>
  </w:num>
  <w:num w:numId="25">
    <w:abstractNumId w:val="18"/>
  </w:num>
  <w:num w:numId="26">
    <w:abstractNumId w:val="14"/>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5"/>
  </w:num>
  <w:num w:numId="33">
    <w:abstractNumId w:val="15"/>
  </w:num>
  <w:num w:numId="34">
    <w:abstractNumId w:val="22"/>
  </w:num>
  <w:num w:numId="35">
    <w:abstractNumId w:val="22"/>
  </w:num>
  <w:num w:numId="36">
    <w:abstractNumId w:val="6"/>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3F2"/>
    <w:rsid w:val="0000646B"/>
    <w:rsid w:val="0002313E"/>
    <w:rsid w:val="00024F56"/>
    <w:rsid w:val="00031705"/>
    <w:rsid w:val="00040259"/>
    <w:rsid w:val="00041479"/>
    <w:rsid w:val="00056EE1"/>
    <w:rsid w:val="0006676B"/>
    <w:rsid w:val="00084FE8"/>
    <w:rsid w:val="00086774"/>
    <w:rsid w:val="000877F5"/>
    <w:rsid w:val="000936AB"/>
    <w:rsid w:val="000950D0"/>
    <w:rsid w:val="00096A7A"/>
    <w:rsid w:val="00096D6D"/>
    <w:rsid w:val="000A4912"/>
    <w:rsid w:val="000A7B15"/>
    <w:rsid w:val="000B1034"/>
    <w:rsid w:val="000B13F2"/>
    <w:rsid w:val="000B2C79"/>
    <w:rsid w:val="000B5A50"/>
    <w:rsid w:val="000B5E85"/>
    <w:rsid w:val="000C02D1"/>
    <w:rsid w:val="000C04D7"/>
    <w:rsid w:val="000E38EF"/>
    <w:rsid w:val="000E63DB"/>
    <w:rsid w:val="000E70EF"/>
    <w:rsid w:val="00105314"/>
    <w:rsid w:val="00105E2C"/>
    <w:rsid w:val="00106731"/>
    <w:rsid w:val="00106FA8"/>
    <w:rsid w:val="0011090B"/>
    <w:rsid w:val="0011217B"/>
    <w:rsid w:val="00116C79"/>
    <w:rsid w:val="00117B4C"/>
    <w:rsid w:val="00122DA2"/>
    <w:rsid w:val="00123406"/>
    <w:rsid w:val="00126AA1"/>
    <w:rsid w:val="00141CC0"/>
    <w:rsid w:val="00161FDB"/>
    <w:rsid w:val="00174FE5"/>
    <w:rsid w:val="001753BC"/>
    <w:rsid w:val="0017741B"/>
    <w:rsid w:val="0018308D"/>
    <w:rsid w:val="00192DF4"/>
    <w:rsid w:val="001A0921"/>
    <w:rsid w:val="001A4299"/>
    <w:rsid w:val="001B0AEC"/>
    <w:rsid w:val="001B1E50"/>
    <w:rsid w:val="001B280F"/>
    <w:rsid w:val="001B2941"/>
    <w:rsid w:val="001B6BCD"/>
    <w:rsid w:val="001C294F"/>
    <w:rsid w:val="001C57AF"/>
    <w:rsid w:val="001C6253"/>
    <w:rsid w:val="001D5EDE"/>
    <w:rsid w:val="001D656D"/>
    <w:rsid w:val="001E1BF4"/>
    <w:rsid w:val="001F5087"/>
    <w:rsid w:val="001F7C92"/>
    <w:rsid w:val="00210DE4"/>
    <w:rsid w:val="002174C1"/>
    <w:rsid w:val="00222FD6"/>
    <w:rsid w:val="00240807"/>
    <w:rsid w:val="002471BD"/>
    <w:rsid w:val="00252D25"/>
    <w:rsid w:val="0026201C"/>
    <w:rsid w:val="002638B1"/>
    <w:rsid w:val="00265AA3"/>
    <w:rsid w:val="0026755B"/>
    <w:rsid w:val="0027100E"/>
    <w:rsid w:val="002712DC"/>
    <w:rsid w:val="00274390"/>
    <w:rsid w:val="002773F8"/>
    <w:rsid w:val="002946A1"/>
    <w:rsid w:val="00295042"/>
    <w:rsid w:val="00296074"/>
    <w:rsid w:val="00297976"/>
    <w:rsid w:val="002A1B92"/>
    <w:rsid w:val="002A7D1F"/>
    <w:rsid w:val="002C0D49"/>
    <w:rsid w:val="002C22F0"/>
    <w:rsid w:val="002D2176"/>
    <w:rsid w:val="002D2EBD"/>
    <w:rsid w:val="002D5C55"/>
    <w:rsid w:val="002F1649"/>
    <w:rsid w:val="002F3086"/>
    <w:rsid w:val="00301FF1"/>
    <w:rsid w:val="00302B7F"/>
    <w:rsid w:val="003030DD"/>
    <w:rsid w:val="003104B6"/>
    <w:rsid w:val="00311B4F"/>
    <w:rsid w:val="00315C17"/>
    <w:rsid w:val="00315DD5"/>
    <w:rsid w:val="003165E6"/>
    <w:rsid w:val="00325A24"/>
    <w:rsid w:val="00335FC9"/>
    <w:rsid w:val="003405FB"/>
    <w:rsid w:val="00344623"/>
    <w:rsid w:val="003471C2"/>
    <w:rsid w:val="00347D22"/>
    <w:rsid w:val="00360CD9"/>
    <w:rsid w:val="00362C14"/>
    <w:rsid w:val="0037012A"/>
    <w:rsid w:val="00373326"/>
    <w:rsid w:val="003749CD"/>
    <w:rsid w:val="00384958"/>
    <w:rsid w:val="00384F3D"/>
    <w:rsid w:val="00385B3C"/>
    <w:rsid w:val="00385F87"/>
    <w:rsid w:val="00386C6B"/>
    <w:rsid w:val="00392D25"/>
    <w:rsid w:val="003A0432"/>
    <w:rsid w:val="003A6DBE"/>
    <w:rsid w:val="003B61E3"/>
    <w:rsid w:val="003D105A"/>
    <w:rsid w:val="003D18DA"/>
    <w:rsid w:val="003D2A30"/>
    <w:rsid w:val="003D2AE4"/>
    <w:rsid w:val="003D3B0A"/>
    <w:rsid w:val="003D7CB4"/>
    <w:rsid w:val="003E3DCE"/>
    <w:rsid w:val="003E596F"/>
    <w:rsid w:val="004126CF"/>
    <w:rsid w:val="00417A7E"/>
    <w:rsid w:val="0043455F"/>
    <w:rsid w:val="004365EF"/>
    <w:rsid w:val="004433EC"/>
    <w:rsid w:val="004435EB"/>
    <w:rsid w:val="0044750E"/>
    <w:rsid w:val="00460FC3"/>
    <w:rsid w:val="004616FC"/>
    <w:rsid w:val="00464CDA"/>
    <w:rsid w:val="004702F4"/>
    <w:rsid w:val="0047320F"/>
    <w:rsid w:val="004757A3"/>
    <w:rsid w:val="00486652"/>
    <w:rsid w:val="00486F35"/>
    <w:rsid w:val="00487853"/>
    <w:rsid w:val="00490C04"/>
    <w:rsid w:val="0049180B"/>
    <w:rsid w:val="00494A54"/>
    <w:rsid w:val="004A185E"/>
    <w:rsid w:val="004A2D08"/>
    <w:rsid w:val="004A7238"/>
    <w:rsid w:val="004A7DFC"/>
    <w:rsid w:val="004A7E45"/>
    <w:rsid w:val="004B1ACC"/>
    <w:rsid w:val="004B1EAB"/>
    <w:rsid w:val="004B48C8"/>
    <w:rsid w:val="004C3FD5"/>
    <w:rsid w:val="004C4B14"/>
    <w:rsid w:val="004C653F"/>
    <w:rsid w:val="004D46D0"/>
    <w:rsid w:val="004D7179"/>
    <w:rsid w:val="004E2E4B"/>
    <w:rsid w:val="004F5697"/>
    <w:rsid w:val="005024FC"/>
    <w:rsid w:val="00504D5D"/>
    <w:rsid w:val="005059F8"/>
    <w:rsid w:val="00506B76"/>
    <w:rsid w:val="0051235B"/>
    <w:rsid w:val="0051463C"/>
    <w:rsid w:val="00514DB9"/>
    <w:rsid w:val="00521852"/>
    <w:rsid w:val="00532224"/>
    <w:rsid w:val="00534073"/>
    <w:rsid w:val="00543398"/>
    <w:rsid w:val="00543BEB"/>
    <w:rsid w:val="00544EE1"/>
    <w:rsid w:val="0055306B"/>
    <w:rsid w:val="005618E3"/>
    <w:rsid w:val="00563411"/>
    <w:rsid w:val="00564597"/>
    <w:rsid w:val="00576B89"/>
    <w:rsid w:val="00580D9B"/>
    <w:rsid w:val="00585B11"/>
    <w:rsid w:val="0058660E"/>
    <w:rsid w:val="0058769E"/>
    <w:rsid w:val="005920CB"/>
    <w:rsid w:val="00592BF7"/>
    <w:rsid w:val="00592FC8"/>
    <w:rsid w:val="0059572E"/>
    <w:rsid w:val="005A0393"/>
    <w:rsid w:val="005A262D"/>
    <w:rsid w:val="005A48DC"/>
    <w:rsid w:val="005B3E10"/>
    <w:rsid w:val="005B6E41"/>
    <w:rsid w:val="005C3EFD"/>
    <w:rsid w:val="005C7B22"/>
    <w:rsid w:val="005D46C8"/>
    <w:rsid w:val="005D6D42"/>
    <w:rsid w:val="005D6F41"/>
    <w:rsid w:val="005E2248"/>
    <w:rsid w:val="005E4464"/>
    <w:rsid w:val="005E4F2C"/>
    <w:rsid w:val="005E65D8"/>
    <w:rsid w:val="005E7FC2"/>
    <w:rsid w:val="005F08E8"/>
    <w:rsid w:val="005F0E4C"/>
    <w:rsid w:val="0061085F"/>
    <w:rsid w:val="00621AF0"/>
    <w:rsid w:val="00622693"/>
    <w:rsid w:val="00624E58"/>
    <w:rsid w:val="00635D91"/>
    <w:rsid w:val="00635F64"/>
    <w:rsid w:val="00642140"/>
    <w:rsid w:val="006422C8"/>
    <w:rsid w:val="00646B92"/>
    <w:rsid w:val="006609C2"/>
    <w:rsid w:val="0066360B"/>
    <w:rsid w:val="0066472E"/>
    <w:rsid w:val="00667704"/>
    <w:rsid w:val="00675F77"/>
    <w:rsid w:val="00684F0C"/>
    <w:rsid w:val="006918B8"/>
    <w:rsid w:val="00691A70"/>
    <w:rsid w:val="00696229"/>
    <w:rsid w:val="006A3F0D"/>
    <w:rsid w:val="006A5876"/>
    <w:rsid w:val="006B720C"/>
    <w:rsid w:val="006C0EC5"/>
    <w:rsid w:val="006C5B05"/>
    <w:rsid w:val="006C711B"/>
    <w:rsid w:val="006E068A"/>
    <w:rsid w:val="006E3056"/>
    <w:rsid w:val="006E3412"/>
    <w:rsid w:val="006E6F9C"/>
    <w:rsid w:val="0071564A"/>
    <w:rsid w:val="00715B55"/>
    <w:rsid w:val="00721AA0"/>
    <w:rsid w:val="00722800"/>
    <w:rsid w:val="00722FC5"/>
    <w:rsid w:val="00725343"/>
    <w:rsid w:val="007509FC"/>
    <w:rsid w:val="00752EF4"/>
    <w:rsid w:val="00760648"/>
    <w:rsid w:val="00763CDD"/>
    <w:rsid w:val="007660C5"/>
    <w:rsid w:val="007711D4"/>
    <w:rsid w:val="00771456"/>
    <w:rsid w:val="00772A40"/>
    <w:rsid w:val="00777311"/>
    <w:rsid w:val="007866F7"/>
    <w:rsid w:val="007930A7"/>
    <w:rsid w:val="007938A2"/>
    <w:rsid w:val="007A3D8A"/>
    <w:rsid w:val="007D75EE"/>
    <w:rsid w:val="007E08CD"/>
    <w:rsid w:val="007E2464"/>
    <w:rsid w:val="007E357D"/>
    <w:rsid w:val="007E787A"/>
    <w:rsid w:val="007F2E95"/>
    <w:rsid w:val="007F6E38"/>
    <w:rsid w:val="008042CE"/>
    <w:rsid w:val="0080521E"/>
    <w:rsid w:val="00807B76"/>
    <w:rsid w:val="00813780"/>
    <w:rsid w:val="008227C5"/>
    <w:rsid w:val="00824718"/>
    <w:rsid w:val="00824CFF"/>
    <w:rsid w:val="00825B22"/>
    <w:rsid w:val="00825E20"/>
    <w:rsid w:val="008324D3"/>
    <w:rsid w:val="00834A5F"/>
    <w:rsid w:val="0083674B"/>
    <w:rsid w:val="008376A8"/>
    <w:rsid w:val="00840F9E"/>
    <w:rsid w:val="00845631"/>
    <w:rsid w:val="00850711"/>
    <w:rsid w:val="008510A7"/>
    <w:rsid w:val="00851408"/>
    <w:rsid w:val="008552D9"/>
    <w:rsid w:val="0086040A"/>
    <w:rsid w:val="008615E6"/>
    <w:rsid w:val="0086623D"/>
    <w:rsid w:val="00884CD9"/>
    <w:rsid w:val="008850B3"/>
    <w:rsid w:val="00891777"/>
    <w:rsid w:val="00897E87"/>
    <w:rsid w:val="008A3BA8"/>
    <w:rsid w:val="008A44D2"/>
    <w:rsid w:val="008A6586"/>
    <w:rsid w:val="008A776D"/>
    <w:rsid w:val="008B61FF"/>
    <w:rsid w:val="008B6F61"/>
    <w:rsid w:val="008B7FD3"/>
    <w:rsid w:val="008C5D7F"/>
    <w:rsid w:val="008D0193"/>
    <w:rsid w:val="008D0206"/>
    <w:rsid w:val="008D5BA1"/>
    <w:rsid w:val="008F2DEF"/>
    <w:rsid w:val="00912BC1"/>
    <w:rsid w:val="00913E98"/>
    <w:rsid w:val="00914BA1"/>
    <w:rsid w:val="00914CF7"/>
    <w:rsid w:val="009157E2"/>
    <w:rsid w:val="00927C00"/>
    <w:rsid w:val="00930B8C"/>
    <w:rsid w:val="009326C5"/>
    <w:rsid w:val="0093352E"/>
    <w:rsid w:val="00940493"/>
    <w:rsid w:val="00951FEF"/>
    <w:rsid w:val="00952F7F"/>
    <w:rsid w:val="009544F4"/>
    <w:rsid w:val="00956F8F"/>
    <w:rsid w:val="00962284"/>
    <w:rsid w:val="00967D0E"/>
    <w:rsid w:val="00967F2C"/>
    <w:rsid w:val="00972F56"/>
    <w:rsid w:val="009736C7"/>
    <w:rsid w:val="0097445D"/>
    <w:rsid w:val="00974DF6"/>
    <w:rsid w:val="00981D61"/>
    <w:rsid w:val="00982222"/>
    <w:rsid w:val="009845AD"/>
    <w:rsid w:val="00985602"/>
    <w:rsid w:val="00992963"/>
    <w:rsid w:val="009A0E7B"/>
    <w:rsid w:val="009B05F0"/>
    <w:rsid w:val="009B1C1C"/>
    <w:rsid w:val="009C0DF6"/>
    <w:rsid w:val="009C4CF1"/>
    <w:rsid w:val="009D2F11"/>
    <w:rsid w:val="009D2F35"/>
    <w:rsid w:val="009D388A"/>
    <w:rsid w:val="009E0BA6"/>
    <w:rsid w:val="009E49E5"/>
    <w:rsid w:val="009E51F4"/>
    <w:rsid w:val="009F7DB0"/>
    <w:rsid w:val="00A100AB"/>
    <w:rsid w:val="00A149E6"/>
    <w:rsid w:val="00A16F44"/>
    <w:rsid w:val="00A2042C"/>
    <w:rsid w:val="00A20FF6"/>
    <w:rsid w:val="00A21BE6"/>
    <w:rsid w:val="00A271F5"/>
    <w:rsid w:val="00A27E31"/>
    <w:rsid w:val="00A31B4A"/>
    <w:rsid w:val="00A31C4F"/>
    <w:rsid w:val="00A32C39"/>
    <w:rsid w:val="00A36BF6"/>
    <w:rsid w:val="00A37E71"/>
    <w:rsid w:val="00A40796"/>
    <w:rsid w:val="00A5315C"/>
    <w:rsid w:val="00A546C8"/>
    <w:rsid w:val="00A60A25"/>
    <w:rsid w:val="00A638B9"/>
    <w:rsid w:val="00A652BF"/>
    <w:rsid w:val="00A73925"/>
    <w:rsid w:val="00A74718"/>
    <w:rsid w:val="00A74E52"/>
    <w:rsid w:val="00A824E1"/>
    <w:rsid w:val="00A908B8"/>
    <w:rsid w:val="00A92BA1"/>
    <w:rsid w:val="00A936C3"/>
    <w:rsid w:val="00AA16D8"/>
    <w:rsid w:val="00AA4625"/>
    <w:rsid w:val="00AA5018"/>
    <w:rsid w:val="00AB303D"/>
    <w:rsid w:val="00AB53DA"/>
    <w:rsid w:val="00AC3EA2"/>
    <w:rsid w:val="00AD5468"/>
    <w:rsid w:val="00AD59BC"/>
    <w:rsid w:val="00AD7703"/>
    <w:rsid w:val="00AD7E2A"/>
    <w:rsid w:val="00B00674"/>
    <w:rsid w:val="00B068A0"/>
    <w:rsid w:val="00B1388D"/>
    <w:rsid w:val="00B21B41"/>
    <w:rsid w:val="00B22225"/>
    <w:rsid w:val="00B33715"/>
    <w:rsid w:val="00B357A0"/>
    <w:rsid w:val="00B43503"/>
    <w:rsid w:val="00B46C0F"/>
    <w:rsid w:val="00B4758A"/>
    <w:rsid w:val="00B50B2B"/>
    <w:rsid w:val="00B549FD"/>
    <w:rsid w:val="00B54E99"/>
    <w:rsid w:val="00B63AFB"/>
    <w:rsid w:val="00B707B5"/>
    <w:rsid w:val="00B80376"/>
    <w:rsid w:val="00B85DDF"/>
    <w:rsid w:val="00B91B48"/>
    <w:rsid w:val="00B91FA5"/>
    <w:rsid w:val="00B934FA"/>
    <w:rsid w:val="00BA12AA"/>
    <w:rsid w:val="00BA3AA4"/>
    <w:rsid w:val="00BB5671"/>
    <w:rsid w:val="00BC225A"/>
    <w:rsid w:val="00BC2DB3"/>
    <w:rsid w:val="00BC4C55"/>
    <w:rsid w:val="00BC6C4E"/>
    <w:rsid w:val="00BC7D52"/>
    <w:rsid w:val="00BD0889"/>
    <w:rsid w:val="00BD7EA0"/>
    <w:rsid w:val="00BE3C11"/>
    <w:rsid w:val="00BF4E7F"/>
    <w:rsid w:val="00C010DB"/>
    <w:rsid w:val="00C041C6"/>
    <w:rsid w:val="00C10BE4"/>
    <w:rsid w:val="00C155D8"/>
    <w:rsid w:val="00C205A8"/>
    <w:rsid w:val="00C21AB4"/>
    <w:rsid w:val="00C43F1F"/>
    <w:rsid w:val="00C454E2"/>
    <w:rsid w:val="00C47187"/>
    <w:rsid w:val="00C50729"/>
    <w:rsid w:val="00C52AD7"/>
    <w:rsid w:val="00C5339E"/>
    <w:rsid w:val="00C53545"/>
    <w:rsid w:val="00C614E7"/>
    <w:rsid w:val="00C62410"/>
    <w:rsid w:val="00C651F3"/>
    <w:rsid w:val="00C6775F"/>
    <w:rsid w:val="00C7460C"/>
    <w:rsid w:val="00C83C36"/>
    <w:rsid w:val="00C933CF"/>
    <w:rsid w:val="00C977C7"/>
    <w:rsid w:val="00CA477A"/>
    <w:rsid w:val="00CA4D82"/>
    <w:rsid w:val="00CB6A48"/>
    <w:rsid w:val="00CC38E4"/>
    <w:rsid w:val="00CC3B14"/>
    <w:rsid w:val="00CC45D7"/>
    <w:rsid w:val="00CC5556"/>
    <w:rsid w:val="00CC7DC9"/>
    <w:rsid w:val="00CD32D4"/>
    <w:rsid w:val="00CD4244"/>
    <w:rsid w:val="00CD748C"/>
    <w:rsid w:val="00CE44C3"/>
    <w:rsid w:val="00CE7096"/>
    <w:rsid w:val="00CE7986"/>
    <w:rsid w:val="00CF04C5"/>
    <w:rsid w:val="00CF2542"/>
    <w:rsid w:val="00CF7466"/>
    <w:rsid w:val="00D05E30"/>
    <w:rsid w:val="00D162DB"/>
    <w:rsid w:val="00D22B5F"/>
    <w:rsid w:val="00D23669"/>
    <w:rsid w:val="00D40777"/>
    <w:rsid w:val="00D4523D"/>
    <w:rsid w:val="00D47EA6"/>
    <w:rsid w:val="00D50935"/>
    <w:rsid w:val="00D516F2"/>
    <w:rsid w:val="00D60BA6"/>
    <w:rsid w:val="00D61F08"/>
    <w:rsid w:val="00D72108"/>
    <w:rsid w:val="00D72D85"/>
    <w:rsid w:val="00D806E2"/>
    <w:rsid w:val="00D80DFA"/>
    <w:rsid w:val="00D82DA9"/>
    <w:rsid w:val="00D87E62"/>
    <w:rsid w:val="00D92D4B"/>
    <w:rsid w:val="00DA0D59"/>
    <w:rsid w:val="00DA2927"/>
    <w:rsid w:val="00DA6AA5"/>
    <w:rsid w:val="00DB4ED4"/>
    <w:rsid w:val="00DC2E1E"/>
    <w:rsid w:val="00DC4201"/>
    <w:rsid w:val="00DD3240"/>
    <w:rsid w:val="00DE1944"/>
    <w:rsid w:val="00DE24B6"/>
    <w:rsid w:val="00DE4938"/>
    <w:rsid w:val="00DE4A8C"/>
    <w:rsid w:val="00DF4273"/>
    <w:rsid w:val="00DF44C1"/>
    <w:rsid w:val="00DF45E4"/>
    <w:rsid w:val="00DF5409"/>
    <w:rsid w:val="00E0044A"/>
    <w:rsid w:val="00E028A7"/>
    <w:rsid w:val="00E0626B"/>
    <w:rsid w:val="00E07650"/>
    <w:rsid w:val="00E114DC"/>
    <w:rsid w:val="00E178DA"/>
    <w:rsid w:val="00E23156"/>
    <w:rsid w:val="00E2772A"/>
    <w:rsid w:val="00E309DB"/>
    <w:rsid w:val="00E31045"/>
    <w:rsid w:val="00E3764B"/>
    <w:rsid w:val="00E40BDE"/>
    <w:rsid w:val="00E53489"/>
    <w:rsid w:val="00E5600F"/>
    <w:rsid w:val="00E616F4"/>
    <w:rsid w:val="00E659DF"/>
    <w:rsid w:val="00E67CD6"/>
    <w:rsid w:val="00E7266B"/>
    <w:rsid w:val="00E73439"/>
    <w:rsid w:val="00E74F24"/>
    <w:rsid w:val="00E85719"/>
    <w:rsid w:val="00E8620C"/>
    <w:rsid w:val="00E9298E"/>
    <w:rsid w:val="00EA18FC"/>
    <w:rsid w:val="00EB075F"/>
    <w:rsid w:val="00EB52B5"/>
    <w:rsid w:val="00EB637C"/>
    <w:rsid w:val="00EB7727"/>
    <w:rsid w:val="00EC26E9"/>
    <w:rsid w:val="00EC562E"/>
    <w:rsid w:val="00ED3357"/>
    <w:rsid w:val="00ED684A"/>
    <w:rsid w:val="00ED7CC2"/>
    <w:rsid w:val="00EE0C27"/>
    <w:rsid w:val="00EE2526"/>
    <w:rsid w:val="00EE7AAC"/>
    <w:rsid w:val="00EF569C"/>
    <w:rsid w:val="00F01D85"/>
    <w:rsid w:val="00F0324F"/>
    <w:rsid w:val="00F10266"/>
    <w:rsid w:val="00F1591F"/>
    <w:rsid w:val="00F213FF"/>
    <w:rsid w:val="00F42375"/>
    <w:rsid w:val="00F4265B"/>
    <w:rsid w:val="00F430A3"/>
    <w:rsid w:val="00F53D30"/>
    <w:rsid w:val="00F56615"/>
    <w:rsid w:val="00F56C3D"/>
    <w:rsid w:val="00F57568"/>
    <w:rsid w:val="00F66069"/>
    <w:rsid w:val="00F71143"/>
    <w:rsid w:val="00F7165F"/>
    <w:rsid w:val="00F7371B"/>
    <w:rsid w:val="00F82BAF"/>
    <w:rsid w:val="00F8603D"/>
    <w:rsid w:val="00F87822"/>
    <w:rsid w:val="00F90806"/>
    <w:rsid w:val="00F92B76"/>
    <w:rsid w:val="00F93482"/>
    <w:rsid w:val="00F94AC8"/>
    <w:rsid w:val="00F96BE2"/>
    <w:rsid w:val="00FA7790"/>
    <w:rsid w:val="00FA79CB"/>
    <w:rsid w:val="00FB2062"/>
    <w:rsid w:val="00FB4D12"/>
    <w:rsid w:val="00FC5529"/>
    <w:rsid w:val="00FC59F2"/>
    <w:rsid w:val="00FD0CCA"/>
    <w:rsid w:val="00FE0970"/>
    <w:rsid w:val="00FE5D0F"/>
    <w:rsid w:val="00FE6F0C"/>
    <w:rsid w:val="00FE7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9"/>
    <w:qFormat/>
    <w:rsid w:val="00CF04C5"/>
  </w:style>
  <w:style w:type="paragraph" w:styleId="Heading1">
    <w:name w:val="heading 1"/>
    <w:next w:val="Body125"/>
    <w:link w:val="Heading1Char"/>
    <w:uiPriority w:val="8"/>
    <w:qFormat/>
    <w:rsid w:val="009736C7"/>
    <w:pPr>
      <w:spacing w:after="120" w:line="240" w:lineRule="auto"/>
      <w:ind w:left="720" w:hanging="720"/>
      <w:outlineLvl w:val="0"/>
    </w:pPr>
    <w:rPr>
      <w:rFonts w:ascii="Arial" w:eastAsia="Times New Roman" w:hAnsi="Arial" w:cs="Times New Roman"/>
      <w:b/>
      <w:bCs/>
      <w:sz w:val="26"/>
      <w:szCs w:val="26"/>
    </w:rPr>
  </w:style>
  <w:style w:type="paragraph" w:styleId="Heading2">
    <w:name w:val="heading 2"/>
    <w:next w:val="Body125"/>
    <w:link w:val="Heading2Char"/>
    <w:uiPriority w:val="8"/>
    <w:qFormat/>
    <w:rsid w:val="009736C7"/>
    <w:pPr>
      <w:spacing w:before="180" w:after="120" w:line="240" w:lineRule="auto"/>
      <w:ind w:left="720" w:hanging="720"/>
      <w:outlineLvl w:val="1"/>
    </w:pPr>
    <w:rPr>
      <w:rFonts w:ascii="Arial" w:eastAsia="Times New Roman" w:hAnsi="Arial" w:cs="Arial"/>
      <w:b/>
      <w:bCs/>
      <w:i/>
      <w:iCs/>
      <w:sz w:val="24"/>
      <w:szCs w:val="24"/>
    </w:rPr>
  </w:style>
  <w:style w:type="paragraph" w:styleId="Heading3">
    <w:name w:val="heading 3"/>
    <w:next w:val="Body125"/>
    <w:link w:val="Heading3Char"/>
    <w:uiPriority w:val="8"/>
    <w:qFormat/>
    <w:rsid w:val="002946A1"/>
    <w:pPr>
      <w:ind w:left="720"/>
      <w:outlineLvl w:val="2"/>
    </w:pPr>
    <w:rPr>
      <w:rFonts w:ascii="Arial" w:eastAsiaTheme="majorEastAsia" w:hAnsi="Arial" w:cs="Arial"/>
      <w:b/>
      <w:bCs/>
      <w:i/>
      <w:iCs/>
    </w:rPr>
  </w:style>
  <w:style w:type="paragraph" w:styleId="Heading4">
    <w:name w:val="heading 4"/>
    <w:next w:val="Body125"/>
    <w:link w:val="Heading4Char"/>
    <w:uiPriority w:val="8"/>
    <w:rsid w:val="00956F8F"/>
    <w:pPr>
      <w:keepNext/>
      <w:spacing w:after="120" w:line="240" w:lineRule="auto"/>
      <w:ind w:firstLine="720"/>
      <w:outlineLvl w:val="3"/>
    </w:pPr>
    <w:rPr>
      <w:rFonts w:ascii="Arial" w:eastAsiaTheme="majorEastAsia" w:hAnsi="Arial" w:cs="Arial"/>
      <w:b/>
      <w:bCs/>
      <w:i/>
      <w:iCs/>
    </w:rPr>
  </w:style>
  <w:style w:type="paragraph" w:styleId="Heading5">
    <w:name w:val="heading 5"/>
    <w:next w:val="Body125"/>
    <w:link w:val="Heading5Char"/>
    <w:uiPriority w:val="8"/>
    <w:rsid w:val="00956F8F"/>
    <w:pPr>
      <w:keepNext/>
      <w:spacing w:after="120" w:line="240" w:lineRule="auto"/>
      <w:ind w:firstLine="720"/>
      <w:outlineLvl w:val="4"/>
    </w:pPr>
    <w:rPr>
      <w:rFonts w:ascii="Arial" w:hAnsi="Arial" w:cs="Arial"/>
    </w:rPr>
  </w:style>
  <w:style w:type="paragraph" w:styleId="Heading6">
    <w:name w:val="heading 6"/>
    <w:next w:val="Body125"/>
    <w:link w:val="Heading6Char"/>
    <w:uiPriority w:val="8"/>
    <w:rsid w:val="00956F8F"/>
    <w:pPr>
      <w:keepNext/>
      <w:spacing w:after="120" w:line="240" w:lineRule="auto"/>
      <w:ind w:firstLine="720"/>
      <w:outlineLvl w:val="5"/>
    </w:pPr>
    <w:rPr>
      <w:rFonts w:ascii="Arial" w:eastAsiaTheme="majorEastAsia" w:hAnsi="Arial" w:cs="Arial"/>
      <w:i/>
      <w:iCs/>
    </w:rPr>
  </w:style>
  <w:style w:type="paragraph" w:styleId="Heading7">
    <w:name w:val="heading 7"/>
    <w:aliases w:val="Appendix Title"/>
    <w:next w:val="Body125"/>
    <w:link w:val="Heading7Char"/>
    <w:uiPriority w:val="15"/>
    <w:qFormat/>
    <w:rsid w:val="00956F8F"/>
    <w:pPr>
      <w:keepNext/>
      <w:numPr>
        <w:numId w:val="27"/>
      </w:numPr>
      <w:pBdr>
        <w:bottom w:val="single" w:sz="4" w:space="1" w:color="auto"/>
      </w:pBdr>
      <w:spacing w:after="120" w:line="240" w:lineRule="auto"/>
      <w:outlineLvl w:val="6"/>
    </w:pPr>
    <w:rPr>
      <w:rFonts w:ascii="Arial" w:eastAsiaTheme="majorEastAsia" w:hAnsi="Arial"/>
      <w:b/>
      <w:iCs/>
      <w:caps/>
      <w:sz w:val="28"/>
    </w:rPr>
  </w:style>
  <w:style w:type="paragraph" w:styleId="Heading8">
    <w:name w:val="heading 8"/>
    <w:aliases w:val="Appendix 2"/>
    <w:basedOn w:val="Heading7"/>
    <w:next w:val="Body125"/>
    <w:link w:val="Heading8Char"/>
    <w:uiPriority w:val="16"/>
    <w:qFormat/>
    <w:rsid w:val="001C6253"/>
    <w:pPr>
      <w:numPr>
        <w:ilvl w:val="1"/>
      </w:numPr>
      <w:pBdr>
        <w:bottom w:val="none" w:sz="0" w:space="0" w:color="auto"/>
      </w:pBdr>
      <w:outlineLvl w:val="7"/>
    </w:pPr>
    <w:rPr>
      <w:rFonts w:cstheme="majorBidi"/>
      <w:caps w:val="0"/>
      <w:sz w:val="26"/>
      <w:szCs w:val="20"/>
    </w:rPr>
  </w:style>
  <w:style w:type="paragraph" w:styleId="Heading9">
    <w:name w:val="heading 9"/>
    <w:aliases w:val="Appendix 3"/>
    <w:basedOn w:val="Heading8"/>
    <w:next w:val="Body125"/>
    <w:link w:val="Heading9Char"/>
    <w:uiPriority w:val="16"/>
    <w:qFormat/>
    <w:rsid w:val="00AB303D"/>
    <w:pPr>
      <w:numPr>
        <w:ilvl w:val="2"/>
      </w:numPr>
      <w:outlineLvl w:val="8"/>
    </w:pPr>
    <w:rPr>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aliases w:val="Appendix Title Char"/>
    <w:basedOn w:val="DefaultParagraphFont"/>
    <w:link w:val="Heading7"/>
    <w:uiPriority w:val="15"/>
    <w:rsid w:val="00CF04C5"/>
    <w:rPr>
      <w:rFonts w:ascii="Arial" w:eastAsiaTheme="majorEastAsia" w:hAnsi="Arial"/>
      <w:b/>
      <w:iCs/>
      <w:caps/>
      <w:sz w:val="28"/>
    </w:rPr>
  </w:style>
  <w:style w:type="paragraph" w:styleId="Header">
    <w:name w:val="header"/>
    <w:basedOn w:val="Normal"/>
    <w:link w:val="HeaderChar"/>
    <w:uiPriority w:val="99"/>
    <w:unhideWhenUsed/>
    <w:rsid w:val="000B1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3F2"/>
  </w:style>
  <w:style w:type="paragraph" w:styleId="Footer">
    <w:name w:val="footer"/>
    <w:basedOn w:val="Normal"/>
    <w:link w:val="FooterChar"/>
    <w:uiPriority w:val="99"/>
    <w:unhideWhenUsed/>
    <w:rsid w:val="000B1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3F2"/>
  </w:style>
  <w:style w:type="paragraph" w:styleId="BalloonText">
    <w:name w:val="Balloon Text"/>
    <w:basedOn w:val="Normal"/>
    <w:link w:val="BalloonTextChar"/>
    <w:uiPriority w:val="99"/>
    <w:semiHidden/>
    <w:unhideWhenUsed/>
    <w:rsid w:val="000B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3F2"/>
    <w:rPr>
      <w:rFonts w:ascii="Tahoma" w:hAnsi="Tahoma" w:cs="Tahoma"/>
      <w:sz w:val="16"/>
      <w:szCs w:val="16"/>
    </w:rPr>
  </w:style>
  <w:style w:type="paragraph" w:styleId="Title">
    <w:name w:val="Title"/>
    <w:aliases w:val="Memo Title"/>
    <w:basedOn w:val="Normal"/>
    <w:link w:val="TitleChar"/>
    <w:qFormat/>
    <w:rsid w:val="00F56615"/>
    <w:pPr>
      <w:spacing w:after="120" w:line="240" w:lineRule="auto"/>
      <w:jc w:val="center"/>
    </w:pPr>
    <w:rPr>
      <w:rFonts w:ascii="Times New Roman" w:hAnsi="Times New Roman" w:cs="Times New Roman"/>
      <w:b/>
      <w:smallCaps/>
      <w:sz w:val="40"/>
      <w:szCs w:val="40"/>
    </w:rPr>
  </w:style>
  <w:style w:type="character" w:customStyle="1" w:styleId="TitleChar">
    <w:name w:val="Title Char"/>
    <w:aliases w:val="Memo Title Char"/>
    <w:basedOn w:val="DefaultParagraphFont"/>
    <w:link w:val="Title"/>
    <w:rsid w:val="00F56615"/>
    <w:rPr>
      <w:rFonts w:ascii="Times New Roman" w:hAnsi="Times New Roman" w:cs="Times New Roman"/>
      <w:b/>
      <w:smallCaps/>
      <w:sz w:val="40"/>
      <w:szCs w:val="40"/>
    </w:rPr>
  </w:style>
  <w:style w:type="paragraph" w:customStyle="1" w:styleId="MonthYear">
    <w:name w:val="Month Year"/>
    <w:next w:val="Authors"/>
    <w:link w:val="MonthYearChar"/>
    <w:uiPriority w:val="1"/>
    <w:rsid w:val="00BC7D52"/>
    <w:pPr>
      <w:spacing w:after="120"/>
      <w:ind w:left="1440"/>
      <w:contextualSpacing/>
    </w:pPr>
    <w:rPr>
      <w:rFonts w:ascii="Arial" w:hAnsi="Arial" w:cs="Arial"/>
      <w:b/>
      <w:sz w:val="24"/>
      <w:szCs w:val="24"/>
    </w:rPr>
  </w:style>
  <w:style w:type="paragraph" w:customStyle="1" w:styleId="Authors">
    <w:name w:val="Authors"/>
    <w:link w:val="AuthorsChar"/>
    <w:uiPriority w:val="2"/>
    <w:rsid w:val="00BC7D52"/>
    <w:pPr>
      <w:spacing w:after="120"/>
      <w:ind w:left="1440"/>
      <w:contextualSpacing/>
    </w:pPr>
    <w:rPr>
      <w:rFonts w:ascii="Arial" w:hAnsi="Arial" w:cs="Arial"/>
      <w:sz w:val="24"/>
      <w:szCs w:val="24"/>
    </w:rPr>
  </w:style>
  <w:style w:type="character" w:customStyle="1" w:styleId="MonthYearChar">
    <w:name w:val="Month Year Char"/>
    <w:basedOn w:val="DefaultParagraphFont"/>
    <w:link w:val="MonthYear"/>
    <w:uiPriority w:val="1"/>
    <w:rsid w:val="00CF04C5"/>
    <w:rPr>
      <w:rFonts w:ascii="Arial" w:hAnsi="Arial" w:cs="Arial"/>
      <w:b/>
      <w:sz w:val="24"/>
      <w:szCs w:val="24"/>
    </w:rPr>
  </w:style>
  <w:style w:type="character" w:customStyle="1" w:styleId="AuthorsChar">
    <w:name w:val="Authors Char"/>
    <w:basedOn w:val="DefaultParagraphFont"/>
    <w:link w:val="Authors"/>
    <w:uiPriority w:val="2"/>
    <w:rsid w:val="00CF04C5"/>
    <w:rPr>
      <w:rFonts w:ascii="Arial" w:hAnsi="Arial" w:cs="Arial"/>
      <w:sz w:val="24"/>
      <w:szCs w:val="24"/>
    </w:rPr>
  </w:style>
  <w:style w:type="paragraph" w:customStyle="1" w:styleId="BlankPage">
    <w:name w:val="Blank Page"/>
    <w:link w:val="BlankPageChar"/>
    <w:uiPriority w:val="17"/>
    <w:rsid w:val="00BC7D52"/>
    <w:pPr>
      <w:spacing w:after="120" w:line="240" w:lineRule="auto"/>
      <w:jc w:val="center"/>
    </w:pPr>
    <w:rPr>
      <w:rFonts w:ascii="Times New Roman" w:hAnsi="Times New Roman" w:cs="Times New Roman"/>
      <w:sz w:val="24"/>
      <w:szCs w:val="24"/>
    </w:rPr>
  </w:style>
  <w:style w:type="character" w:customStyle="1" w:styleId="BlankPageChar">
    <w:name w:val="Blank Page Char"/>
    <w:basedOn w:val="DefaultParagraphFont"/>
    <w:link w:val="BlankPage"/>
    <w:uiPriority w:val="17"/>
    <w:rsid w:val="00CF04C5"/>
    <w:rPr>
      <w:rFonts w:ascii="Times New Roman" w:hAnsi="Times New Roman" w:cs="Times New Roman"/>
      <w:sz w:val="24"/>
      <w:szCs w:val="24"/>
    </w:rPr>
  </w:style>
  <w:style w:type="character" w:customStyle="1" w:styleId="Heading1Char">
    <w:name w:val="Heading 1 Char"/>
    <w:basedOn w:val="DefaultParagraphFont"/>
    <w:link w:val="Heading1"/>
    <w:uiPriority w:val="8"/>
    <w:rsid w:val="009736C7"/>
    <w:rPr>
      <w:rFonts w:ascii="Arial" w:eastAsia="Times New Roman" w:hAnsi="Arial" w:cs="Times New Roman"/>
      <w:b/>
      <w:bCs/>
      <w:sz w:val="26"/>
      <w:szCs w:val="26"/>
    </w:rPr>
  </w:style>
  <w:style w:type="character" w:customStyle="1" w:styleId="Heading2Char">
    <w:name w:val="Heading 2 Char"/>
    <w:basedOn w:val="DefaultParagraphFont"/>
    <w:link w:val="Heading2"/>
    <w:uiPriority w:val="8"/>
    <w:rsid w:val="009736C7"/>
    <w:rPr>
      <w:rFonts w:ascii="Arial" w:eastAsia="Times New Roman" w:hAnsi="Arial" w:cs="Arial"/>
      <w:b/>
      <w:bCs/>
      <w:i/>
      <w:iCs/>
      <w:sz w:val="24"/>
      <w:szCs w:val="24"/>
    </w:rPr>
  </w:style>
  <w:style w:type="character" w:customStyle="1" w:styleId="Heading3Char">
    <w:name w:val="Heading 3 Char"/>
    <w:basedOn w:val="DefaultParagraphFont"/>
    <w:link w:val="Heading3"/>
    <w:uiPriority w:val="8"/>
    <w:rsid w:val="002946A1"/>
    <w:rPr>
      <w:rFonts w:ascii="Arial" w:eastAsiaTheme="majorEastAsia" w:hAnsi="Arial" w:cs="Arial"/>
      <w:b/>
      <w:bCs/>
      <w:i/>
      <w:iCs/>
    </w:rPr>
  </w:style>
  <w:style w:type="paragraph" w:customStyle="1" w:styleId="Body125">
    <w:name w:val="Body 1.25"/>
    <w:basedOn w:val="BodyText"/>
    <w:link w:val="Body125Char"/>
    <w:uiPriority w:val="6"/>
    <w:qFormat/>
    <w:rsid w:val="000B13F2"/>
    <w:pPr>
      <w:spacing w:before="120" w:line="300" w:lineRule="auto"/>
      <w:ind w:firstLine="720"/>
    </w:pPr>
    <w:rPr>
      <w:rFonts w:ascii="Times New Roman" w:hAnsi="Times New Roman" w:cs="Times New Roman"/>
      <w:sz w:val="24"/>
      <w:szCs w:val="24"/>
    </w:rPr>
  </w:style>
  <w:style w:type="paragraph" w:customStyle="1" w:styleId="ESSection">
    <w:name w:val="ES Section"/>
    <w:next w:val="Body125"/>
    <w:link w:val="ESSectionChar"/>
    <w:uiPriority w:val="4"/>
    <w:rsid w:val="00956F8F"/>
    <w:pPr>
      <w:keepNext/>
      <w:spacing w:after="120" w:line="240" w:lineRule="auto"/>
    </w:pPr>
    <w:rPr>
      <w:rFonts w:ascii="Arial" w:hAnsi="Arial" w:cs="Arial"/>
      <w:b/>
      <w:i/>
      <w:sz w:val="24"/>
      <w:szCs w:val="24"/>
    </w:rPr>
  </w:style>
  <w:style w:type="character" w:customStyle="1" w:styleId="Body125Char">
    <w:name w:val="Body 1.25 Char"/>
    <w:basedOn w:val="BodyTextChar"/>
    <w:link w:val="Body125"/>
    <w:uiPriority w:val="6"/>
    <w:rsid w:val="00CF04C5"/>
    <w:rPr>
      <w:rFonts w:ascii="Times New Roman" w:hAnsi="Times New Roman" w:cs="Times New Roman"/>
      <w:sz w:val="24"/>
      <w:szCs w:val="24"/>
    </w:rPr>
  </w:style>
  <w:style w:type="paragraph" w:styleId="Caption">
    <w:name w:val="caption"/>
    <w:basedOn w:val="Normal"/>
    <w:next w:val="Normal"/>
    <w:qFormat/>
    <w:rsid w:val="00210DE4"/>
    <w:pPr>
      <w:keepNext/>
      <w:spacing w:after="120" w:line="240" w:lineRule="auto"/>
      <w:jc w:val="center"/>
    </w:pPr>
    <w:rPr>
      <w:rFonts w:ascii="Times New Roman" w:hAnsi="Times New Roman" w:cs="Times New Roman"/>
      <w:b/>
      <w:bCs/>
      <w:sz w:val="24"/>
      <w:szCs w:val="18"/>
    </w:rPr>
  </w:style>
  <w:style w:type="character" w:customStyle="1" w:styleId="ESSectionChar">
    <w:name w:val="ES Section Char"/>
    <w:basedOn w:val="DefaultParagraphFont"/>
    <w:link w:val="ESSection"/>
    <w:uiPriority w:val="4"/>
    <w:rsid w:val="00CF04C5"/>
    <w:rPr>
      <w:rFonts w:ascii="Arial" w:hAnsi="Arial" w:cs="Arial"/>
      <w:b/>
      <w:i/>
      <w:sz w:val="24"/>
      <w:szCs w:val="24"/>
    </w:rPr>
  </w:style>
  <w:style w:type="paragraph" w:customStyle="1" w:styleId="Body125Left">
    <w:name w:val="Body 1.25 Left"/>
    <w:basedOn w:val="Body125"/>
    <w:link w:val="Body125LeftChar"/>
    <w:uiPriority w:val="7"/>
    <w:qFormat/>
    <w:rsid w:val="000B13F2"/>
    <w:pPr>
      <w:ind w:firstLine="0"/>
    </w:pPr>
    <w:rPr>
      <w:rFonts w:eastAsia="Times New Roman"/>
    </w:rPr>
  </w:style>
  <w:style w:type="character" w:customStyle="1" w:styleId="Body125LeftChar">
    <w:name w:val="Body 1.25 Left Char"/>
    <w:basedOn w:val="Body125Char"/>
    <w:link w:val="Body125Left"/>
    <w:uiPriority w:val="7"/>
    <w:rsid w:val="00CF04C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B13F2"/>
    <w:rPr>
      <w:color w:val="0000FF" w:themeColor="hyperlink"/>
      <w:u w:val="single"/>
    </w:rPr>
  </w:style>
  <w:style w:type="paragraph" w:styleId="FootnoteText">
    <w:name w:val="footnote text"/>
    <w:basedOn w:val="Normal"/>
    <w:link w:val="FootnoteTextChar"/>
    <w:uiPriority w:val="99"/>
    <w:unhideWhenUsed/>
    <w:rsid w:val="00825B22"/>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825B22"/>
    <w:rPr>
      <w:rFonts w:ascii="Times New Roman" w:hAnsi="Times New Roman" w:cs="Times New Roman"/>
      <w:sz w:val="20"/>
      <w:szCs w:val="20"/>
    </w:rPr>
  </w:style>
  <w:style w:type="character" w:styleId="FootnoteReference">
    <w:name w:val="footnote reference"/>
    <w:basedOn w:val="DefaultParagraphFont"/>
    <w:uiPriority w:val="99"/>
    <w:unhideWhenUsed/>
    <w:rsid w:val="000B13F2"/>
    <w:rPr>
      <w:vertAlign w:val="superscript"/>
    </w:rPr>
  </w:style>
  <w:style w:type="paragraph" w:styleId="BodyText">
    <w:name w:val="Body Text"/>
    <w:basedOn w:val="Normal"/>
    <w:link w:val="BodyTextChar"/>
    <w:uiPriority w:val="99"/>
    <w:semiHidden/>
    <w:unhideWhenUsed/>
    <w:rsid w:val="000B13F2"/>
    <w:pPr>
      <w:spacing w:after="120"/>
    </w:pPr>
  </w:style>
  <w:style w:type="character" w:customStyle="1" w:styleId="BodyTextChar">
    <w:name w:val="Body Text Char"/>
    <w:basedOn w:val="DefaultParagraphFont"/>
    <w:link w:val="BodyText"/>
    <w:uiPriority w:val="99"/>
    <w:semiHidden/>
    <w:rsid w:val="000B13F2"/>
  </w:style>
  <w:style w:type="paragraph" w:customStyle="1" w:styleId="TableofContentsHeading">
    <w:name w:val="Table of Contents Heading"/>
    <w:basedOn w:val="BodyText"/>
    <w:link w:val="TableofContentsHeadingChar"/>
    <w:uiPriority w:val="5"/>
    <w:rsid w:val="00956F8F"/>
    <w:pPr>
      <w:keepNext/>
      <w:spacing w:line="240" w:lineRule="auto"/>
    </w:pPr>
    <w:rPr>
      <w:rFonts w:ascii="Arial" w:hAnsi="Arial" w:cs="Times New Roman"/>
      <w:b/>
      <w:caps/>
      <w:sz w:val="28"/>
      <w:szCs w:val="24"/>
    </w:rPr>
  </w:style>
  <w:style w:type="character" w:customStyle="1" w:styleId="TableofContentsHeadingChar">
    <w:name w:val="Table of Contents Heading Char"/>
    <w:basedOn w:val="BodyTextChar"/>
    <w:link w:val="TableofContentsHeading"/>
    <w:uiPriority w:val="5"/>
    <w:rsid w:val="00CF04C5"/>
    <w:rPr>
      <w:rFonts w:ascii="Arial" w:hAnsi="Arial" w:cs="Times New Roman"/>
      <w:b/>
      <w:caps/>
      <w:sz w:val="28"/>
      <w:szCs w:val="24"/>
    </w:rPr>
  </w:style>
  <w:style w:type="paragraph" w:styleId="TOC1">
    <w:name w:val="toc 1"/>
    <w:basedOn w:val="Normal"/>
    <w:next w:val="Normal"/>
    <w:uiPriority w:val="39"/>
    <w:unhideWhenUsed/>
    <w:rsid w:val="002C22F0"/>
    <w:pPr>
      <w:tabs>
        <w:tab w:val="left" w:pos="360"/>
        <w:tab w:val="right" w:leader="dot" w:pos="9350"/>
      </w:tabs>
      <w:spacing w:after="0" w:line="240" w:lineRule="auto"/>
      <w:contextualSpacing/>
    </w:pPr>
    <w:rPr>
      <w:rFonts w:ascii="Times New Roman" w:hAnsi="Times New Roman" w:cs="Times New Roman"/>
      <w:b/>
      <w:noProof/>
      <w:sz w:val="24"/>
      <w:szCs w:val="24"/>
    </w:rPr>
  </w:style>
  <w:style w:type="paragraph" w:styleId="TOC2">
    <w:name w:val="toc 2"/>
    <w:basedOn w:val="Normal"/>
    <w:next w:val="BodyText"/>
    <w:uiPriority w:val="39"/>
    <w:rsid w:val="002C22F0"/>
    <w:pPr>
      <w:tabs>
        <w:tab w:val="right" w:leader="dot" w:pos="9350"/>
      </w:tabs>
      <w:spacing w:after="0" w:line="240" w:lineRule="auto"/>
      <w:ind w:left="907" w:hanging="547"/>
      <w:contextualSpacing/>
    </w:pPr>
    <w:rPr>
      <w:rFonts w:ascii="Times New Roman" w:eastAsia="Times New Roman" w:hAnsi="Times New Roman" w:cs="Times New Roman"/>
      <w:noProof/>
      <w:sz w:val="24"/>
      <w:szCs w:val="24"/>
    </w:rPr>
  </w:style>
  <w:style w:type="paragraph" w:styleId="TOC3">
    <w:name w:val="toc 3"/>
    <w:basedOn w:val="Normal"/>
    <w:next w:val="Normal"/>
    <w:uiPriority w:val="39"/>
    <w:unhideWhenUsed/>
    <w:rsid w:val="002C22F0"/>
    <w:pPr>
      <w:tabs>
        <w:tab w:val="left" w:pos="1260"/>
        <w:tab w:val="right" w:leader="dot" w:pos="9350"/>
      </w:tabs>
      <w:spacing w:after="0" w:line="240" w:lineRule="auto"/>
      <w:ind w:left="1627" w:hanging="720"/>
      <w:contextualSpacing/>
    </w:pPr>
    <w:rPr>
      <w:rFonts w:ascii="Times New Roman" w:hAnsi="Times New Roman" w:cs="Times New Roman"/>
      <w:noProof/>
      <w:sz w:val="24"/>
      <w:szCs w:val="24"/>
    </w:rPr>
  </w:style>
  <w:style w:type="paragraph" w:styleId="TableofFigures">
    <w:name w:val="table of figures"/>
    <w:basedOn w:val="Normal"/>
    <w:next w:val="Normal"/>
    <w:uiPriority w:val="99"/>
    <w:unhideWhenUsed/>
    <w:rsid w:val="00684F0C"/>
    <w:pPr>
      <w:spacing w:after="0" w:line="240" w:lineRule="auto"/>
    </w:pPr>
    <w:rPr>
      <w:rFonts w:ascii="Times New Roman" w:hAnsi="Times New Roman" w:cs="Times New Roman"/>
      <w:sz w:val="24"/>
      <w:szCs w:val="24"/>
    </w:rPr>
  </w:style>
  <w:style w:type="table" w:styleId="TableGrid">
    <w:name w:val="Table Grid"/>
    <w:aliases w:val="Acumen"/>
    <w:basedOn w:val="TableNormal"/>
    <w:rsid w:val="005A262D"/>
    <w:pPr>
      <w:spacing w:after="0" w:line="240" w:lineRule="auto"/>
      <w:jc w:val="center"/>
    </w:pPr>
    <w:rPr>
      <w:rFonts w:ascii="Times New Roman" w:eastAsia="Times New Roman" w:hAnsi="Times New Roman" w:cs="Times New Roman"/>
      <w:sz w:val="20"/>
      <w:szCs w:val="20"/>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spacing w:line="240" w:lineRule="auto"/>
        <w:jc w:val="center"/>
      </w:pPr>
      <w:rPr>
        <w:b/>
      </w:rPr>
      <w:tblPr/>
      <w:tcPr>
        <w:shd w:val="clear" w:color="auto" w:fill="CDECFF"/>
      </w:tcPr>
    </w:tblStylePr>
    <w:tblStylePr w:type="firstCol">
      <w:pPr>
        <w:wordWrap/>
        <w:ind w:leftChars="0" w:left="72" w:rightChars="0" w:right="0"/>
        <w:jc w:val="left"/>
      </w:pPr>
      <w:rPr>
        <w:rFonts w:ascii="Times New Roman" w:hAnsi="Times New Roman"/>
        <w:sz w:val="20"/>
      </w:rPr>
    </w:tblStylePr>
  </w:style>
  <w:style w:type="paragraph" w:customStyle="1" w:styleId="TableText">
    <w:name w:val="Table Text"/>
    <w:aliases w:val="tt,table text"/>
    <w:basedOn w:val="Body125"/>
    <w:link w:val="TableTextChar"/>
    <w:uiPriority w:val="17"/>
    <w:qFormat/>
    <w:rsid w:val="000B13F2"/>
    <w:pPr>
      <w:spacing w:before="0" w:after="0" w:line="240" w:lineRule="auto"/>
      <w:ind w:firstLine="0"/>
    </w:pPr>
    <w:rPr>
      <w:rFonts w:eastAsia="Times New Roman"/>
      <w:sz w:val="20"/>
    </w:rPr>
  </w:style>
  <w:style w:type="character" w:customStyle="1" w:styleId="TableTextChar">
    <w:name w:val="Table Text Char"/>
    <w:aliases w:val="tt Char,table text Char"/>
    <w:basedOn w:val="Body125Char"/>
    <w:link w:val="TableText"/>
    <w:uiPriority w:val="17"/>
    <w:rsid w:val="00CF04C5"/>
    <w:rPr>
      <w:rFonts w:ascii="Times New Roman" w:eastAsia="Times New Roman" w:hAnsi="Times New Roman" w:cs="Times New Roman"/>
      <w:sz w:val="20"/>
      <w:szCs w:val="24"/>
    </w:rPr>
  </w:style>
  <w:style w:type="paragraph" w:customStyle="1" w:styleId="BulletList">
    <w:name w:val="Bullet List"/>
    <w:basedOn w:val="Body125"/>
    <w:link w:val="BulletListChar"/>
    <w:uiPriority w:val="10"/>
    <w:qFormat/>
    <w:rsid w:val="007711D4"/>
    <w:pPr>
      <w:numPr>
        <w:numId w:val="16"/>
      </w:numPr>
      <w:spacing w:line="240" w:lineRule="auto"/>
    </w:pPr>
  </w:style>
  <w:style w:type="paragraph" w:customStyle="1" w:styleId="NumberList">
    <w:name w:val="Number List"/>
    <w:basedOn w:val="BulletList"/>
    <w:link w:val="NumberListChar"/>
    <w:uiPriority w:val="11"/>
    <w:qFormat/>
    <w:rsid w:val="006E6F9C"/>
    <w:pPr>
      <w:numPr>
        <w:numId w:val="35"/>
      </w:numPr>
    </w:pPr>
    <w:rPr>
      <w:rFonts w:eastAsia="Times New Roman"/>
    </w:rPr>
  </w:style>
  <w:style w:type="character" w:customStyle="1" w:styleId="BulletListChar">
    <w:name w:val="Bullet List Char"/>
    <w:basedOn w:val="Body125Char"/>
    <w:link w:val="BulletList"/>
    <w:uiPriority w:val="10"/>
    <w:rsid w:val="007711D4"/>
    <w:rPr>
      <w:rFonts w:ascii="Times New Roman" w:hAnsi="Times New Roman" w:cs="Times New Roman"/>
      <w:sz w:val="24"/>
      <w:szCs w:val="24"/>
    </w:rPr>
  </w:style>
  <w:style w:type="character" w:customStyle="1" w:styleId="NumberListChar">
    <w:name w:val="Number List Char"/>
    <w:basedOn w:val="BulletListChar"/>
    <w:link w:val="NumberList"/>
    <w:uiPriority w:val="11"/>
    <w:rsid w:val="006E6F9C"/>
    <w:rPr>
      <w:rFonts w:ascii="Times New Roman" w:eastAsia="Times New Roman" w:hAnsi="Times New Roman" w:cs="Times New Roman"/>
      <w:sz w:val="24"/>
      <w:szCs w:val="24"/>
    </w:rPr>
  </w:style>
  <w:style w:type="paragraph" w:customStyle="1" w:styleId="References">
    <w:name w:val="References"/>
    <w:basedOn w:val="Normal"/>
    <w:link w:val="ReferencesChar"/>
    <w:uiPriority w:val="14"/>
    <w:qFormat/>
    <w:rsid w:val="00506B76"/>
    <w:pPr>
      <w:tabs>
        <w:tab w:val="left" w:pos="-1440"/>
        <w:tab w:val="left" w:pos="-720"/>
        <w:tab w:val="left" w:pos="360"/>
        <w:tab w:val="left" w:pos="60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5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240" w:lineRule="auto"/>
      <w:ind w:left="720" w:hanging="720"/>
    </w:pPr>
    <w:rPr>
      <w:rFonts w:ascii="Times New Roman" w:eastAsia="Times New Roman" w:hAnsi="Times New Roman" w:cs="Times New Roman"/>
      <w:noProof/>
      <w:sz w:val="24"/>
      <w:szCs w:val="24"/>
    </w:rPr>
  </w:style>
  <w:style w:type="character" w:customStyle="1" w:styleId="ReferencesChar">
    <w:name w:val="References Char"/>
    <w:basedOn w:val="DefaultParagraphFont"/>
    <w:link w:val="References"/>
    <w:uiPriority w:val="14"/>
    <w:rsid w:val="00CF04C5"/>
    <w:rPr>
      <w:rFonts w:ascii="Times New Roman" w:eastAsia="Times New Roman" w:hAnsi="Times New Roman" w:cs="Times New Roman"/>
      <w:noProof/>
      <w:sz w:val="24"/>
      <w:szCs w:val="24"/>
    </w:rPr>
  </w:style>
  <w:style w:type="paragraph" w:customStyle="1" w:styleId="ReferencesHeading">
    <w:name w:val="References Heading"/>
    <w:aliases w:val="References Heading 10"/>
    <w:link w:val="ReferencesHeadingChar"/>
    <w:uiPriority w:val="13"/>
    <w:qFormat/>
    <w:rsid w:val="00AB303D"/>
    <w:pPr>
      <w:keepNext/>
      <w:pBdr>
        <w:bottom w:val="single" w:sz="4" w:space="1" w:color="auto"/>
      </w:pBdr>
      <w:spacing w:after="120" w:line="240" w:lineRule="auto"/>
      <w:ind w:left="403" w:hanging="403"/>
    </w:pPr>
    <w:rPr>
      <w:rFonts w:ascii="Arial" w:eastAsia="Times New Roman" w:hAnsi="Arial" w:cs="Times New Roman"/>
      <w:b/>
      <w:caps/>
      <w:noProof/>
      <w:sz w:val="28"/>
      <w:szCs w:val="28"/>
      <w:u w:color="000000"/>
    </w:rPr>
  </w:style>
  <w:style w:type="character" w:customStyle="1" w:styleId="ReferencesHeadingChar">
    <w:name w:val="References Heading Char"/>
    <w:aliases w:val="References Heading 10 Char"/>
    <w:basedOn w:val="Heading1Char"/>
    <w:link w:val="ReferencesHeading"/>
    <w:uiPriority w:val="13"/>
    <w:rsid w:val="00AB303D"/>
    <w:rPr>
      <w:rFonts w:ascii="Arial" w:eastAsia="Times New Roman" w:hAnsi="Arial" w:cs="Times New Roman"/>
      <w:b/>
      <w:bCs/>
      <w:caps w:val="0"/>
      <w:noProof/>
      <w:sz w:val="28"/>
      <w:szCs w:val="28"/>
      <w:u w:color="000000"/>
    </w:rPr>
  </w:style>
  <w:style w:type="character" w:customStyle="1" w:styleId="Heading8Char">
    <w:name w:val="Heading 8 Char"/>
    <w:aliases w:val="Appendix 2 Char"/>
    <w:basedOn w:val="DefaultParagraphFont"/>
    <w:link w:val="Heading8"/>
    <w:uiPriority w:val="16"/>
    <w:rsid w:val="001C6253"/>
    <w:rPr>
      <w:rFonts w:ascii="Arial" w:eastAsiaTheme="majorEastAsia" w:hAnsi="Arial" w:cstheme="majorBidi"/>
      <w:b/>
      <w:iCs/>
      <w:sz w:val="26"/>
      <w:szCs w:val="20"/>
    </w:rPr>
  </w:style>
  <w:style w:type="character" w:customStyle="1" w:styleId="Heading9Char">
    <w:name w:val="Heading 9 Char"/>
    <w:aliases w:val="Appendix 3 Char"/>
    <w:basedOn w:val="DefaultParagraphFont"/>
    <w:link w:val="Heading9"/>
    <w:uiPriority w:val="16"/>
    <w:rsid w:val="00AB303D"/>
    <w:rPr>
      <w:rFonts w:ascii="Arial" w:eastAsiaTheme="majorEastAsia" w:hAnsi="Arial" w:cstheme="majorBidi"/>
      <w:b/>
      <w:i/>
      <w:sz w:val="24"/>
      <w:szCs w:val="20"/>
    </w:rPr>
  </w:style>
  <w:style w:type="character" w:customStyle="1" w:styleId="Heading4Char">
    <w:name w:val="Heading 4 Char"/>
    <w:basedOn w:val="DefaultParagraphFont"/>
    <w:link w:val="Heading4"/>
    <w:uiPriority w:val="8"/>
    <w:rsid w:val="00CF04C5"/>
    <w:rPr>
      <w:rFonts w:ascii="Arial" w:eastAsiaTheme="majorEastAsia" w:hAnsi="Arial" w:cs="Arial"/>
      <w:b/>
      <w:bCs/>
      <w:i/>
      <w:iCs/>
    </w:rPr>
  </w:style>
  <w:style w:type="character" w:customStyle="1" w:styleId="Heading5Char">
    <w:name w:val="Heading 5 Char"/>
    <w:basedOn w:val="DefaultParagraphFont"/>
    <w:link w:val="Heading5"/>
    <w:uiPriority w:val="8"/>
    <w:rsid w:val="00CF04C5"/>
    <w:rPr>
      <w:rFonts w:ascii="Arial" w:hAnsi="Arial" w:cs="Arial"/>
    </w:rPr>
  </w:style>
  <w:style w:type="character" w:customStyle="1" w:styleId="Heading6Char">
    <w:name w:val="Heading 6 Char"/>
    <w:basedOn w:val="DefaultParagraphFont"/>
    <w:link w:val="Heading6"/>
    <w:uiPriority w:val="8"/>
    <w:rsid w:val="00CF04C5"/>
    <w:rPr>
      <w:rFonts w:ascii="Arial" w:eastAsiaTheme="majorEastAsia" w:hAnsi="Arial" w:cs="Arial"/>
      <w:i/>
      <w:iCs/>
    </w:rPr>
  </w:style>
  <w:style w:type="character" w:styleId="PlaceholderText">
    <w:name w:val="Placeholder Text"/>
    <w:basedOn w:val="DefaultParagraphFont"/>
    <w:uiPriority w:val="99"/>
    <w:semiHidden/>
    <w:rsid w:val="00DA0D59"/>
    <w:rPr>
      <w:color w:val="808080"/>
    </w:rPr>
  </w:style>
  <w:style w:type="paragraph" w:customStyle="1" w:styleId="Appendixsubheading">
    <w:name w:val="Appendix subheading"/>
    <w:basedOn w:val="Heading8"/>
    <w:link w:val="AppendixsubheadingChar"/>
    <w:rsid w:val="00952F7F"/>
    <w:pPr>
      <w:keepNext w:val="0"/>
      <w:numPr>
        <w:numId w:val="14"/>
      </w:numPr>
      <w:spacing w:line="300" w:lineRule="auto"/>
    </w:pPr>
    <w:rPr>
      <w:b w:val="0"/>
    </w:rPr>
  </w:style>
  <w:style w:type="paragraph" w:customStyle="1" w:styleId="AppendixSubheading2">
    <w:name w:val="Appendix Subheading 2"/>
    <w:basedOn w:val="Heading9"/>
    <w:rsid w:val="00952F7F"/>
    <w:pPr>
      <w:keepNext w:val="0"/>
      <w:numPr>
        <w:numId w:val="14"/>
      </w:numPr>
      <w:spacing w:line="300" w:lineRule="auto"/>
    </w:pPr>
    <w:rPr>
      <w:rFonts w:cs="Arial"/>
      <w:b w:val="0"/>
      <w:szCs w:val="24"/>
    </w:rPr>
  </w:style>
  <w:style w:type="character" w:customStyle="1" w:styleId="AppendixsubheadingChar">
    <w:name w:val="Appendix subheading Char"/>
    <w:basedOn w:val="Heading8Char"/>
    <w:link w:val="Appendixsubheading"/>
    <w:rsid w:val="00952F7F"/>
    <w:rPr>
      <w:rFonts w:ascii="Arial" w:eastAsiaTheme="majorEastAsia" w:hAnsi="Arial" w:cstheme="majorBidi"/>
      <w:b w:val="0"/>
      <w:iCs/>
      <w:color w:val="345E8C"/>
      <w:sz w:val="24"/>
      <w:szCs w:val="20"/>
    </w:rPr>
  </w:style>
  <w:style w:type="table" w:styleId="LightShading">
    <w:name w:val="Light Shading"/>
    <w:basedOn w:val="TableNormal"/>
    <w:uiPriority w:val="60"/>
    <w:rsid w:val="00E9298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tyle1">
    <w:name w:val="Style1"/>
    <w:uiPriority w:val="99"/>
    <w:rsid w:val="007711D4"/>
    <w:pPr>
      <w:numPr>
        <w:numId w:val="16"/>
      </w:numPr>
    </w:pPr>
  </w:style>
  <w:style w:type="numbering" w:customStyle="1" w:styleId="Style2">
    <w:name w:val="Style2"/>
    <w:uiPriority w:val="99"/>
    <w:rsid w:val="006E6F9C"/>
    <w:pPr>
      <w:numPr>
        <w:numId w:val="18"/>
      </w:numPr>
    </w:pPr>
  </w:style>
  <w:style w:type="paragraph" w:customStyle="1" w:styleId="RomanNumberedList">
    <w:name w:val="Roman Numbered List"/>
    <w:basedOn w:val="Body125"/>
    <w:link w:val="RomanNumberedListChar"/>
    <w:uiPriority w:val="12"/>
    <w:rsid w:val="00EB52B5"/>
    <w:pPr>
      <w:numPr>
        <w:numId w:val="36"/>
      </w:numPr>
      <w:spacing w:line="240" w:lineRule="auto"/>
    </w:pPr>
  </w:style>
  <w:style w:type="numbering" w:customStyle="1" w:styleId="Style3">
    <w:name w:val="Style3"/>
    <w:uiPriority w:val="99"/>
    <w:rsid w:val="00EB52B5"/>
    <w:pPr>
      <w:numPr>
        <w:numId w:val="21"/>
      </w:numPr>
    </w:pPr>
  </w:style>
  <w:style w:type="character" w:customStyle="1" w:styleId="RomanNumberedListChar">
    <w:name w:val="Roman Numbered List Char"/>
    <w:basedOn w:val="Body125Char"/>
    <w:link w:val="RomanNumberedList"/>
    <w:uiPriority w:val="12"/>
    <w:rsid w:val="00CF04C5"/>
    <w:rPr>
      <w:rFonts w:ascii="Times New Roman" w:hAnsi="Times New Roman" w:cs="Times New Roman"/>
      <w:sz w:val="24"/>
      <w:szCs w:val="24"/>
    </w:rPr>
  </w:style>
  <w:style w:type="numbering" w:customStyle="1" w:styleId="Appendices">
    <w:name w:val="Appendices"/>
    <w:uiPriority w:val="99"/>
    <w:rsid w:val="0002313E"/>
    <w:pPr>
      <w:numPr>
        <w:numId w:val="24"/>
      </w:numPr>
    </w:pPr>
  </w:style>
  <w:style w:type="numbering" w:customStyle="1" w:styleId="Appendices2">
    <w:name w:val="Appendices 2"/>
    <w:uiPriority w:val="99"/>
    <w:rsid w:val="0002313E"/>
  </w:style>
  <w:style w:type="paragraph" w:styleId="TOC4">
    <w:name w:val="toc 4"/>
    <w:basedOn w:val="Normal"/>
    <w:next w:val="Normal"/>
    <w:uiPriority w:val="39"/>
    <w:semiHidden/>
    <w:unhideWhenUsed/>
    <w:rsid w:val="00E67CD6"/>
    <w:pPr>
      <w:spacing w:after="100"/>
      <w:ind w:left="660"/>
    </w:pPr>
    <w:rPr>
      <w:rFonts w:ascii="Times New Roman" w:hAnsi="Times New Roman"/>
    </w:rPr>
  </w:style>
  <w:style w:type="paragraph" w:styleId="TOC5">
    <w:name w:val="toc 5"/>
    <w:basedOn w:val="Normal"/>
    <w:next w:val="Normal"/>
    <w:autoRedefine/>
    <w:uiPriority w:val="39"/>
    <w:semiHidden/>
    <w:unhideWhenUsed/>
    <w:rsid w:val="00E67CD6"/>
    <w:pPr>
      <w:spacing w:after="100"/>
      <w:ind w:left="880"/>
    </w:pPr>
    <w:rPr>
      <w:rFonts w:ascii="Times New Roman" w:hAnsi="Times New Roman"/>
    </w:rPr>
  </w:style>
  <w:style w:type="paragraph" w:styleId="TOC6">
    <w:name w:val="toc 6"/>
    <w:basedOn w:val="Normal"/>
    <w:next w:val="Normal"/>
    <w:uiPriority w:val="39"/>
    <w:semiHidden/>
    <w:unhideWhenUsed/>
    <w:rsid w:val="00E67CD6"/>
    <w:pPr>
      <w:spacing w:after="100"/>
      <w:ind w:left="1100"/>
    </w:pPr>
    <w:rPr>
      <w:rFonts w:ascii="Times New Roman" w:hAnsi="Times New Roman"/>
    </w:rPr>
  </w:style>
  <w:style w:type="numbering" w:customStyle="1" w:styleId="Appendices20">
    <w:name w:val="Appendices 2"/>
    <w:next w:val="Appendices2"/>
    <w:uiPriority w:val="99"/>
    <w:rsid w:val="0002313E"/>
  </w:style>
  <w:style w:type="paragraph" w:customStyle="1" w:styleId="Picture">
    <w:name w:val="Picture"/>
    <w:next w:val="Body125"/>
    <w:link w:val="PictureChar"/>
    <w:uiPriority w:val="17"/>
    <w:qFormat/>
    <w:rsid w:val="001D5EDE"/>
    <w:pPr>
      <w:spacing w:after="80" w:line="240" w:lineRule="auto"/>
      <w:contextualSpacing/>
      <w:jc w:val="center"/>
    </w:pPr>
    <w:rPr>
      <w:rFonts w:ascii="Times New Roman" w:eastAsia="Times New Roman" w:hAnsi="Times New Roman" w:cs="Times New Roman"/>
      <w:noProof/>
      <w:sz w:val="24"/>
      <w:szCs w:val="24"/>
    </w:rPr>
  </w:style>
  <w:style w:type="character" w:customStyle="1" w:styleId="PictureChar">
    <w:name w:val="Picture Char"/>
    <w:basedOn w:val="DefaultParagraphFont"/>
    <w:link w:val="Picture"/>
    <w:uiPriority w:val="17"/>
    <w:rsid w:val="00CF04C5"/>
    <w:rPr>
      <w:rFonts w:ascii="Times New Roman" w:eastAsia="Times New Roman" w:hAnsi="Times New Roman" w:cs="Times New Roman"/>
      <w:noProof/>
      <w:sz w:val="24"/>
      <w:szCs w:val="24"/>
    </w:rPr>
  </w:style>
  <w:style w:type="character" w:styleId="CommentReference">
    <w:name w:val="annotation reference"/>
    <w:basedOn w:val="DefaultParagraphFont"/>
    <w:uiPriority w:val="99"/>
    <w:semiHidden/>
    <w:unhideWhenUsed/>
    <w:rsid w:val="00347D22"/>
    <w:rPr>
      <w:sz w:val="16"/>
      <w:szCs w:val="16"/>
    </w:rPr>
  </w:style>
  <w:style w:type="paragraph" w:styleId="CommentText">
    <w:name w:val="annotation text"/>
    <w:basedOn w:val="Normal"/>
    <w:link w:val="CommentTextChar"/>
    <w:uiPriority w:val="99"/>
    <w:semiHidden/>
    <w:unhideWhenUsed/>
    <w:rsid w:val="00347D22"/>
    <w:pPr>
      <w:spacing w:line="240" w:lineRule="auto"/>
    </w:pPr>
    <w:rPr>
      <w:sz w:val="20"/>
      <w:szCs w:val="20"/>
    </w:rPr>
  </w:style>
  <w:style w:type="character" w:customStyle="1" w:styleId="CommentTextChar">
    <w:name w:val="Comment Text Char"/>
    <w:basedOn w:val="DefaultParagraphFont"/>
    <w:link w:val="CommentText"/>
    <w:uiPriority w:val="99"/>
    <w:semiHidden/>
    <w:rsid w:val="00347D22"/>
    <w:rPr>
      <w:sz w:val="20"/>
      <w:szCs w:val="20"/>
    </w:rPr>
  </w:style>
  <w:style w:type="paragraph" w:styleId="CommentSubject">
    <w:name w:val="annotation subject"/>
    <w:basedOn w:val="CommentText"/>
    <w:next w:val="CommentText"/>
    <w:link w:val="CommentSubjectChar"/>
    <w:uiPriority w:val="99"/>
    <w:semiHidden/>
    <w:unhideWhenUsed/>
    <w:rsid w:val="00347D22"/>
    <w:rPr>
      <w:b/>
      <w:bCs/>
    </w:rPr>
  </w:style>
  <w:style w:type="character" w:customStyle="1" w:styleId="CommentSubjectChar">
    <w:name w:val="Comment Subject Char"/>
    <w:basedOn w:val="CommentTextChar"/>
    <w:link w:val="CommentSubject"/>
    <w:uiPriority w:val="99"/>
    <w:semiHidden/>
    <w:rsid w:val="00347D22"/>
    <w:rPr>
      <w:b/>
      <w:bCs/>
      <w:sz w:val="20"/>
      <w:szCs w:val="20"/>
    </w:rPr>
  </w:style>
  <w:style w:type="paragraph" w:customStyle="1" w:styleId="ESHeading">
    <w:name w:val="ES Heading"/>
    <w:basedOn w:val="Heading1"/>
    <w:next w:val="Body125"/>
    <w:link w:val="ESHeadingChar"/>
    <w:uiPriority w:val="3"/>
    <w:rsid w:val="00AB303D"/>
    <w:pPr>
      <w:ind w:left="403" w:hanging="403"/>
    </w:pPr>
  </w:style>
  <w:style w:type="character" w:customStyle="1" w:styleId="ESHeadingChar">
    <w:name w:val="ES Heading Char"/>
    <w:basedOn w:val="Heading1Char"/>
    <w:link w:val="ESHeading"/>
    <w:uiPriority w:val="3"/>
    <w:rsid w:val="00AB303D"/>
    <w:rPr>
      <w:rFonts w:ascii="Arial" w:eastAsia="Times New Roman" w:hAnsi="Arial" w:cs="Times New Roman"/>
      <w:b/>
      <w:bCs/>
      <w:caps w:val="0"/>
      <w:sz w:val="28"/>
      <w:szCs w:val="28"/>
      <w:u w:color="000000"/>
    </w:rPr>
  </w:style>
  <w:style w:type="paragraph" w:customStyle="1" w:styleId="SectionHeading">
    <w:name w:val="Section Heading"/>
    <w:basedOn w:val="Normal"/>
    <w:link w:val="SectionHeadingChar"/>
    <w:qFormat/>
    <w:rsid w:val="00C977C7"/>
    <w:pPr>
      <w:spacing w:after="120" w:line="300" w:lineRule="auto"/>
    </w:pPr>
    <w:rPr>
      <w:rFonts w:ascii="Arial" w:eastAsia="Times New Roman" w:hAnsi="Arial" w:cs="Arial"/>
      <w:b/>
      <w:sz w:val="24"/>
      <w:szCs w:val="24"/>
    </w:rPr>
  </w:style>
  <w:style w:type="character" w:customStyle="1" w:styleId="SectionHeadingChar">
    <w:name w:val="Section Heading Char"/>
    <w:basedOn w:val="DefaultParagraphFont"/>
    <w:link w:val="SectionHeading"/>
    <w:rsid w:val="00C977C7"/>
    <w:rPr>
      <w:rFonts w:ascii="Arial" w:eastAsia="Times New Roman" w:hAnsi="Arial" w:cs="Arial"/>
      <w:b/>
      <w:sz w:val="24"/>
      <w:szCs w:val="24"/>
    </w:rPr>
  </w:style>
  <w:style w:type="paragraph" w:customStyle="1" w:styleId="Body">
    <w:name w:val="Body"/>
    <w:basedOn w:val="Normal"/>
    <w:link w:val="BodyChar"/>
    <w:qFormat/>
    <w:rsid w:val="00C977C7"/>
    <w:pPr>
      <w:spacing w:before="60" w:after="120" w:line="300" w:lineRule="auto"/>
      <w:ind w:firstLine="720"/>
    </w:pPr>
    <w:rPr>
      <w:rFonts w:ascii="Times New Roman" w:eastAsia="Times New Roman" w:hAnsi="Times New Roman" w:cs="Times New Roman"/>
      <w:sz w:val="24"/>
      <w:szCs w:val="24"/>
    </w:rPr>
  </w:style>
  <w:style w:type="character" w:customStyle="1" w:styleId="BodyChar">
    <w:name w:val="Body Char"/>
    <w:basedOn w:val="DefaultParagraphFont"/>
    <w:link w:val="Body"/>
    <w:rsid w:val="00C977C7"/>
    <w:rPr>
      <w:rFonts w:ascii="Times New Roman" w:eastAsia="Times New Roman" w:hAnsi="Times New Roman" w:cs="Times New Roman"/>
      <w:sz w:val="24"/>
      <w:szCs w:val="24"/>
    </w:rPr>
  </w:style>
  <w:style w:type="paragraph" w:customStyle="1" w:styleId="Style4">
    <w:name w:val="Style4"/>
    <w:basedOn w:val="Normal"/>
    <w:link w:val="Style4Char"/>
    <w:uiPriority w:val="9"/>
    <w:qFormat/>
    <w:rsid w:val="005618E3"/>
    <w:pPr>
      <w:spacing w:after="0" w:line="240" w:lineRule="auto"/>
      <w:jc w:val="center"/>
    </w:pPr>
    <w:rPr>
      <w:rFonts w:ascii="Times New Roman" w:eastAsia="Times New Roman" w:hAnsi="Times New Roman" w:cs="Times New Roman"/>
      <w:color w:val="000000"/>
    </w:rPr>
  </w:style>
  <w:style w:type="character" w:customStyle="1" w:styleId="Style2Char">
    <w:name w:val="Style2 Char"/>
    <w:rsid w:val="007F6E38"/>
    <w:rPr>
      <w:rFonts w:ascii="Calibri" w:hAnsi="Calibri"/>
      <w:color w:val="000000"/>
    </w:rPr>
  </w:style>
  <w:style w:type="character" w:customStyle="1" w:styleId="Style4Char">
    <w:name w:val="Style4 Char"/>
    <w:basedOn w:val="DefaultParagraphFont"/>
    <w:link w:val="Style4"/>
    <w:uiPriority w:val="9"/>
    <w:rsid w:val="005618E3"/>
    <w:rPr>
      <w:rFonts w:ascii="Times New Roman" w:eastAsia="Times New Roman" w:hAnsi="Times New Roman" w:cs="Times New Roman"/>
      <w:color w:val="000000"/>
    </w:rPr>
  </w:style>
  <w:style w:type="character" w:customStyle="1" w:styleId="Style3Char">
    <w:name w:val="Style3 Char"/>
    <w:rsid w:val="007F6E38"/>
    <w:rPr>
      <w:rFonts w:ascii="Calibri" w:eastAsia="Times New Roman" w:hAnsi="Calibri"/>
      <w:b/>
    </w:rPr>
  </w:style>
  <w:style w:type="character" w:styleId="Strong">
    <w:name w:val="Strong"/>
    <w:basedOn w:val="DefaultParagraphFont"/>
    <w:uiPriority w:val="22"/>
    <w:qFormat/>
    <w:rsid w:val="00CC45D7"/>
    <w:rPr>
      <w:b/>
      <w:bCs/>
    </w:rPr>
  </w:style>
  <w:style w:type="paragraph" w:customStyle="1" w:styleId="Default">
    <w:name w:val="Default"/>
    <w:rsid w:val="0043455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9"/>
    <w:qFormat/>
    <w:rsid w:val="00CF04C5"/>
  </w:style>
  <w:style w:type="paragraph" w:styleId="Heading1">
    <w:name w:val="heading 1"/>
    <w:next w:val="Body125"/>
    <w:link w:val="Heading1Char"/>
    <w:uiPriority w:val="8"/>
    <w:qFormat/>
    <w:rsid w:val="009736C7"/>
    <w:pPr>
      <w:spacing w:after="120" w:line="240" w:lineRule="auto"/>
      <w:ind w:left="720" w:hanging="720"/>
      <w:outlineLvl w:val="0"/>
    </w:pPr>
    <w:rPr>
      <w:rFonts w:ascii="Arial" w:eastAsia="Times New Roman" w:hAnsi="Arial" w:cs="Times New Roman"/>
      <w:b/>
      <w:bCs/>
      <w:sz w:val="26"/>
      <w:szCs w:val="26"/>
    </w:rPr>
  </w:style>
  <w:style w:type="paragraph" w:styleId="Heading2">
    <w:name w:val="heading 2"/>
    <w:next w:val="Body125"/>
    <w:link w:val="Heading2Char"/>
    <w:uiPriority w:val="8"/>
    <w:qFormat/>
    <w:rsid w:val="009736C7"/>
    <w:pPr>
      <w:spacing w:before="180" w:after="120" w:line="240" w:lineRule="auto"/>
      <w:ind w:left="720" w:hanging="720"/>
      <w:outlineLvl w:val="1"/>
    </w:pPr>
    <w:rPr>
      <w:rFonts w:ascii="Arial" w:eastAsia="Times New Roman" w:hAnsi="Arial" w:cs="Arial"/>
      <w:b/>
      <w:bCs/>
      <w:i/>
      <w:iCs/>
      <w:sz w:val="24"/>
      <w:szCs w:val="24"/>
    </w:rPr>
  </w:style>
  <w:style w:type="paragraph" w:styleId="Heading3">
    <w:name w:val="heading 3"/>
    <w:next w:val="Body125"/>
    <w:link w:val="Heading3Char"/>
    <w:uiPriority w:val="8"/>
    <w:qFormat/>
    <w:rsid w:val="002946A1"/>
    <w:pPr>
      <w:ind w:left="720"/>
      <w:outlineLvl w:val="2"/>
    </w:pPr>
    <w:rPr>
      <w:rFonts w:ascii="Arial" w:eastAsiaTheme="majorEastAsia" w:hAnsi="Arial" w:cs="Arial"/>
      <w:b/>
      <w:bCs/>
      <w:i/>
      <w:iCs/>
    </w:rPr>
  </w:style>
  <w:style w:type="paragraph" w:styleId="Heading4">
    <w:name w:val="heading 4"/>
    <w:next w:val="Body125"/>
    <w:link w:val="Heading4Char"/>
    <w:uiPriority w:val="8"/>
    <w:rsid w:val="00956F8F"/>
    <w:pPr>
      <w:keepNext/>
      <w:spacing w:after="120" w:line="240" w:lineRule="auto"/>
      <w:ind w:firstLine="720"/>
      <w:outlineLvl w:val="3"/>
    </w:pPr>
    <w:rPr>
      <w:rFonts w:ascii="Arial" w:eastAsiaTheme="majorEastAsia" w:hAnsi="Arial" w:cs="Arial"/>
      <w:b/>
      <w:bCs/>
      <w:i/>
      <w:iCs/>
    </w:rPr>
  </w:style>
  <w:style w:type="paragraph" w:styleId="Heading5">
    <w:name w:val="heading 5"/>
    <w:next w:val="Body125"/>
    <w:link w:val="Heading5Char"/>
    <w:uiPriority w:val="8"/>
    <w:rsid w:val="00956F8F"/>
    <w:pPr>
      <w:keepNext/>
      <w:spacing w:after="120" w:line="240" w:lineRule="auto"/>
      <w:ind w:firstLine="720"/>
      <w:outlineLvl w:val="4"/>
    </w:pPr>
    <w:rPr>
      <w:rFonts w:ascii="Arial" w:hAnsi="Arial" w:cs="Arial"/>
    </w:rPr>
  </w:style>
  <w:style w:type="paragraph" w:styleId="Heading6">
    <w:name w:val="heading 6"/>
    <w:next w:val="Body125"/>
    <w:link w:val="Heading6Char"/>
    <w:uiPriority w:val="8"/>
    <w:rsid w:val="00956F8F"/>
    <w:pPr>
      <w:keepNext/>
      <w:spacing w:after="120" w:line="240" w:lineRule="auto"/>
      <w:ind w:firstLine="720"/>
      <w:outlineLvl w:val="5"/>
    </w:pPr>
    <w:rPr>
      <w:rFonts w:ascii="Arial" w:eastAsiaTheme="majorEastAsia" w:hAnsi="Arial" w:cs="Arial"/>
      <w:i/>
      <w:iCs/>
    </w:rPr>
  </w:style>
  <w:style w:type="paragraph" w:styleId="Heading7">
    <w:name w:val="heading 7"/>
    <w:aliases w:val="Appendix Title"/>
    <w:next w:val="Body125"/>
    <w:link w:val="Heading7Char"/>
    <w:uiPriority w:val="15"/>
    <w:qFormat/>
    <w:rsid w:val="00956F8F"/>
    <w:pPr>
      <w:keepNext/>
      <w:numPr>
        <w:numId w:val="27"/>
      </w:numPr>
      <w:pBdr>
        <w:bottom w:val="single" w:sz="4" w:space="1" w:color="auto"/>
      </w:pBdr>
      <w:spacing w:after="120" w:line="240" w:lineRule="auto"/>
      <w:outlineLvl w:val="6"/>
    </w:pPr>
    <w:rPr>
      <w:rFonts w:ascii="Arial" w:eastAsiaTheme="majorEastAsia" w:hAnsi="Arial"/>
      <w:b/>
      <w:iCs/>
      <w:caps/>
      <w:sz w:val="28"/>
    </w:rPr>
  </w:style>
  <w:style w:type="paragraph" w:styleId="Heading8">
    <w:name w:val="heading 8"/>
    <w:aliases w:val="Appendix 2"/>
    <w:basedOn w:val="Heading7"/>
    <w:next w:val="Body125"/>
    <w:link w:val="Heading8Char"/>
    <w:uiPriority w:val="16"/>
    <w:qFormat/>
    <w:rsid w:val="001C6253"/>
    <w:pPr>
      <w:numPr>
        <w:ilvl w:val="1"/>
      </w:numPr>
      <w:pBdr>
        <w:bottom w:val="none" w:sz="0" w:space="0" w:color="auto"/>
      </w:pBdr>
      <w:outlineLvl w:val="7"/>
    </w:pPr>
    <w:rPr>
      <w:rFonts w:cstheme="majorBidi"/>
      <w:caps w:val="0"/>
      <w:sz w:val="26"/>
      <w:szCs w:val="20"/>
    </w:rPr>
  </w:style>
  <w:style w:type="paragraph" w:styleId="Heading9">
    <w:name w:val="heading 9"/>
    <w:aliases w:val="Appendix 3"/>
    <w:basedOn w:val="Heading8"/>
    <w:next w:val="Body125"/>
    <w:link w:val="Heading9Char"/>
    <w:uiPriority w:val="16"/>
    <w:qFormat/>
    <w:rsid w:val="00AB303D"/>
    <w:pPr>
      <w:numPr>
        <w:ilvl w:val="2"/>
      </w:numPr>
      <w:outlineLvl w:val="8"/>
    </w:pPr>
    <w:rPr>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aliases w:val="Appendix Title Char"/>
    <w:basedOn w:val="DefaultParagraphFont"/>
    <w:link w:val="Heading7"/>
    <w:uiPriority w:val="15"/>
    <w:rsid w:val="00CF04C5"/>
    <w:rPr>
      <w:rFonts w:ascii="Arial" w:eastAsiaTheme="majorEastAsia" w:hAnsi="Arial"/>
      <w:b/>
      <w:iCs/>
      <w:caps/>
      <w:sz w:val="28"/>
    </w:rPr>
  </w:style>
  <w:style w:type="paragraph" w:styleId="Header">
    <w:name w:val="header"/>
    <w:basedOn w:val="Normal"/>
    <w:link w:val="HeaderChar"/>
    <w:uiPriority w:val="99"/>
    <w:unhideWhenUsed/>
    <w:rsid w:val="000B1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3F2"/>
  </w:style>
  <w:style w:type="paragraph" w:styleId="Footer">
    <w:name w:val="footer"/>
    <w:basedOn w:val="Normal"/>
    <w:link w:val="FooterChar"/>
    <w:uiPriority w:val="99"/>
    <w:unhideWhenUsed/>
    <w:rsid w:val="000B1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3F2"/>
  </w:style>
  <w:style w:type="paragraph" w:styleId="BalloonText">
    <w:name w:val="Balloon Text"/>
    <w:basedOn w:val="Normal"/>
    <w:link w:val="BalloonTextChar"/>
    <w:uiPriority w:val="99"/>
    <w:semiHidden/>
    <w:unhideWhenUsed/>
    <w:rsid w:val="000B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3F2"/>
    <w:rPr>
      <w:rFonts w:ascii="Tahoma" w:hAnsi="Tahoma" w:cs="Tahoma"/>
      <w:sz w:val="16"/>
      <w:szCs w:val="16"/>
    </w:rPr>
  </w:style>
  <w:style w:type="paragraph" w:styleId="Title">
    <w:name w:val="Title"/>
    <w:aliases w:val="Memo Title"/>
    <w:basedOn w:val="Normal"/>
    <w:link w:val="TitleChar"/>
    <w:qFormat/>
    <w:rsid w:val="00F56615"/>
    <w:pPr>
      <w:spacing w:after="120" w:line="240" w:lineRule="auto"/>
      <w:jc w:val="center"/>
    </w:pPr>
    <w:rPr>
      <w:rFonts w:ascii="Times New Roman" w:hAnsi="Times New Roman" w:cs="Times New Roman"/>
      <w:b/>
      <w:smallCaps/>
      <w:sz w:val="40"/>
      <w:szCs w:val="40"/>
    </w:rPr>
  </w:style>
  <w:style w:type="character" w:customStyle="1" w:styleId="TitleChar">
    <w:name w:val="Title Char"/>
    <w:aliases w:val="Memo Title Char"/>
    <w:basedOn w:val="DefaultParagraphFont"/>
    <w:link w:val="Title"/>
    <w:rsid w:val="00F56615"/>
    <w:rPr>
      <w:rFonts w:ascii="Times New Roman" w:hAnsi="Times New Roman" w:cs="Times New Roman"/>
      <w:b/>
      <w:smallCaps/>
      <w:sz w:val="40"/>
      <w:szCs w:val="40"/>
    </w:rPr>
  </w:style>
  <w:style w:type="paragraph" w:customStyle="1" w:styleId="MonthYear">
    <w:name w:val="Month Year"/>
    <w:next w:val="Authors"/>
    <w:link w:val="MonthYearChar"/>
    <w:uiPriority w:val="1"/>
    <w:rsid w:val="00BC7D52"/>
    <w:pPr>
      <w:spacing w:after="120"/>
      <w:ind w:left="1440"/>
      <w:contextualSpacing/>
    </w:pPr>
    <w:rPr>
      <w:rFonts w:ascii="Arial" w:hAnsi="Arial" w:cs="Arial"/>
      <w:b/>
      <w:sz w:val="24"/>
      <w:szCs w:val="24"/>
    </w:rPr>
  </w:style>
  <w:style w:type="paragraph" w:customStyle="1" w:styleId="Authors">
    <w:name w:val="Authors"/>
    <w:link w:val="AuthorsChar"/>
    <w:uiPriority w:val="2"/>
    <w:rsid w:val="00BC7D52"/>
    <w:pPr>
      <w:spacing w:after="120"/>
      <w:ind w:left="1440"/>
      <w:contextualSpacing/>
    </w:pPr>
    <w:rPr>
      <w:rFonts w:ascii="Arial" w:hAnsi="Arial" w:cs="Arial"/>
      <w:sz w:val="24"/>
      <w:szCs w:val="24"/>
    </w:rPr>
  </w:style>
  <w:style w:type="character" w:customStyle="1" w:styleId="MonthYearChar">
    <w:name w:val="Month Year Char"/>
    <w:basedOn w:val="DefaultParagraphFont"/>
    <w:link w:val="MonthYear"/>
    <w:uiPriority w:val="1"/>
    <w:rsid w:val="00CF04C5"/>
    <w:rPr>
      <w:rFonts w:ascii="Arial" w:hAnsi="Arial" w:cs="Arial"/>
      <w:b/>
      <w:sz w:val="24"/>
      <w:szCs w:val="24"/>
    </w:rPr>
  </w:style>
  <w:style w:type="character" w:customStyle="1" w:styleId="AuthorsChar">
    <w:name w:val="Authors Char"/>
    <w:basedOn w:val="DefaultParagraphFont"/>
    <w:link w:val="Authors"/>
    <w:uiPriority w:val="2"/>
    <w:rsid w:val="00CF04C5"/>
    <w:rPr>
      <w:rFonts w:ascii="Arial" w:hAnsi="Arial" w:cs="Arial"/>
      <w:sz w:val="24"/>
      <w:szCs w:val="24"/>
    </w:rPr>
  </w:style>
  <w:style w:type="paragraph" w:customStyle="1" w:styleId="BlankPage">
    <w:name w:val="Blank Page"/>
    <w:link w:val="BlankPageChar"/>
    <w:uiPriority w:val="17"/>
    <w:rsid w:val="00BC7D52"/>
    <w:pPr>
      <w:spacing w:after="120" w:line="240" w:lineRule="auto"/>
      <w:jc w:val="center"/>
    </w:pPr>
    <w:rPr>
      <w:rFonts w:ascii="Times New Roman" w:hAnsi="Times New Roman" w:cs="Times New Roman"/>
      <w:sz w:val="24"/>
      <w:szCs w:val="24"/>
    </w:rPr>
  </w:style>
  <w:style w:type="character" w:customStyle="1" w:styleId="BlankPageChar">
    <w:name w:val="Blank Page Char"/>
    <w:basedOn w:val="DefaultParagraphFont"/>
    <w:link w:val="BlankPage"/>
    <w:uiPriority w:val="17"/>
    <w:rsid w:val="00CF04C5"/>
    <w:rPr>
      <w:rFonts w:ascii="Times New Roman" w:hAnsi="Times New Roman" w:cs="Times New Roman"/>
      <w:sz w:val="24"/>
      <w:szCs w:val="24"/>
    </w:rPr>
  </w:style>
  <w:style w:type="character" w:customStyle="1" w:styleId="Heading1Char">
    <w:name w:val="Heading 1 Char"/>
    <w:basedOn w:val="DefaultParagraphFont"/>
    <w:link w:val="Heading1"/>
    <w:uiPriority w:val="8"/>
    <w:rsid w:val="009736C7"/>
    <w:rPr>
      <w:rFonts w:ascii="Arial" w:eastAsia="Times New Roman" w:hAnsi="Arial" w:cs="Times New Roman"/>
      <w:b/>
      <w:bCs/>
      <w:sz w:val="26"/>
      <w:szCs w:val="26"/>
    </w:rPr>
  </w:style>
  <w:style w:type="character" w:customStyle="1" w:styleId="Heading2Char">
    <w:name w:val="Heading 2 Char"/>
    <w:basedOn w:val="DefaultParagraphFont"/>
    <w:link w:val="Heading2"/>
    <w:uiPriority w:val="8"/>
    <w:rsid w:val="009736C7"/>
    <w:rPr>
      <w:rFonts w:ascii="Arial" w:eastAsia="Times New Roman" w:hAnsi="Arial" w:cs="Arial"/>
      <w:b/>
      <w:bCs/>
      <w:i/>
      <w:iCs/>
      <w:sz w:val="24"/>
      <w:szCs w:val="24"/>
    </w:rPr>
  </w:style>
  <w:style w:type="character" w:customStyle="1" w:styleId="Heading3Char">
    <w:name w:val="Heading 3 Char"/>
    <w:basedOn w:val="DefaultParagraphFont"/>
    <w:link w:val="Heading3"/>
    <w:uiPriority w:val="8"/>
    <w:rsid w:val="002946A1"/>
    <w:rPr>
      <w:rFonts w:ascii="Arial" w:eastAsiaTheme="majorEastAsia" w:hAnsi="Arial" w:cs="Arial"/>
      <w:b/>
      <w:bCs/>
      <w:i/>
      <w:iCs/>
    </w:rPr>
  </w:style>
  <w:style w:type="paragraph" w:customStyle="1" w:styleId="Body125">
    <w:name w:val="Body 1.25"/>
    <w:basedOn w:val="BodyText"/>
    <w:link w:val="Body125Char"/>
    <w:uiPriority w:val="6"/>
    <w:qFormat/>
    <w:rsid w:val="000B13F2"/>
    <w:pPr>
      <w:spacing w:before="120" w:line="300" w:lineRule="auto"/>
      <w:ind w:firstLine="720"/>
    </w:pPr>
    <w:rPr>
      <w:rFonts w:ascii="Times New Roman" w:hAnsi="Times New Roman" w:cs="Times New Roman"/>
      <w:sz w:val="24"/>
      <w:szCs w:val="24"/>
    </w:rPr>
  </w:style>
  <w:style w:type="paragraph" w:customStyle="1" w:styleId="ESSection">
    <w:name w:val="ES Section"/>
    <w:next w:val="Body125"/>
    <w:link w:val="ESSectionChar"/>
    <w:uiPriority w:val="4"/>
    <w:rsid w:val="00956F8F"/>
    <w:pPr>
      <w:keepNext/>
      <w:spacing w:after="120" w:line="240" w:lineRule="auto"/>
    </w:pPr>
    <w:rPr>
      <w:rFonts w:ascii="Arial" w:hAnsi="Arial" w:cs="Arial"/>
      <w:b/>
      <w:i/>
      <w:sz w:val="24"/>
      <w:szCs w:val="24"/>
    </w:rPr>
  </w:style>
  <w:style w:type="character" w:customStyle="1" w:styleId="Body125Char">
    <w:name w:val="Body 1.25 Char"/>
    <w:basedOn w:val="BodyTextChar"/>
    <w:link w:val="Body125"/>
    <w:uiPriority w:val="6"/>
    <w:rsid w:val="00CF04C5"/>
    <w:rPr>
      <w:rFonts w:ascii="Times New Roman" w:hAnsi="Times New Roman" w:cs="Times New Roman"/>
      <w:sz w:val="24"/>
      <w:szCs w:val="24"/>
    </w:rPr>
  </w:style>
  <w:style w:type="paragraph" w:styleId="Caption">
    <w:name w:val="caption"/>
    <w:basedOn w:val="Normal"/>
    <w:next w:val="Normal"/>
    <w:qFormat/>
    <w:rsid w:val="00210DE4"/>
    <w:pPr>
      <w:keepNext/>
      <w:spacing w:after="120" w:line="240" w:lineRule="auto"/>
      <w:jc w:val="center"/>
    </w:pPr>
    <w:rPr>
      <w:rFonts w:ascii="Times New Roman" w:hAnsi="Times New Roman" w:cs="Times New Roman"/>
      <w:b/>
      <w:bCs/>
      <w:sz w:val="24"/>
      <w:szCs w:val="18"/>
    </w:rPr>
  </w:style>
  <w:style w:type="character" w:customStyle="1" w:styleId="ESSectionChar">
    <w:name w:val="ES Section Char"/>
    <w:basedOn w:val="DefaultParagraphFont"/>
    <w:link w:val="ESSection"/>
    <w:uiPriority w:val="4"/>
    <w:rsid w:val="00CF04C5"/>
    <w:rPr>
      <w:rFonts w:ascii="Arial" w:hAnsi="Arial" w:cs="Arial"/>
      <w:b/>
      <w:i/>
      <w:sz w:val="24"/>
      <w:szCs w:val="24"/>
    </w:rPr>
  </w:style>
  <w:style w:type="paragraph" w:customStyle="1" w:styleId="Body125Left">
    <w:name w:val="Body 1.25 Left"/>
    <w:basedOn w:val="Body125"/>
    <w:link w:val="Body125LeftChar"/>
    <w:uiPriority w:val="7"/>
    <w:qFormat/>
    <w:rsid w:val="000B13F2"/>
    <w:pPr>
      <w:ind w:firstLine="0"/>
    </w:pPr>
    <w:rPr>
      <w:rFonts w:eastAsia="Times New Roman"/>
    </w:rPr>
  </w:style>
  <w:style w:type="character" w:customStyle="1" w:styleId="Body125LeftChar">
    <w:name w:val="Body 1.25 Left Char"/>
    <w:basedOn w:val="Body125Char"/>
    <w:link w:val="Body125Left"/>
    <w:uiPriority w:val="7"/>
    <w:rsid w:val="00CF04C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B13F2"/>
    <w:rPr>
      <w:color w:val="0000FF" w:themeColor="hyperlink"/>
      <w:u w:val="single"/>
    </w:rPr>
  </w:style>
  <w:style w:type="paragraph" w:styleId="FootnoteText">
    <w:name w:val="footnote text"/>
    <w:basedOn w:val="Normal"/>
    <w:link w:val="FootnoteTextChar"/>
    <w:uiPriority w:val="99"/>
    <w:unhideWhenUsed/>
    <w:rsid w:val="00825B22"/>
    <w:pPr>
      <w:spacing w:after="0" w:line="240" w:lineRule="auto"/>
    </w:pPr>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rsid w:val="00825B22"/>
    <w:rPr>
      <w:rFonts w:ascii="Times New Roman" w:hAnsi="Times New Roman" w:cs="Times New Roman"/>
      <w:sz w:val="20"/>
      <w:szCs w:val="20"/>
    </w:rPr>
  </w:style>
  <w:style w:type="character" w:styleId="FootnoteReference">
    <w:name w:val="footnote reference"/>
    <w:basedOn w:val="DefaultParagraphFont"/>
    <w:uiPriority w:val="99"/>
    <w:unhideWhenUsed/>
    <w:rsid w:val="000B13F2"/>
    <w:rPr>
      <w:vertAlign w:val="superscript"/>
    </w:rPr>
  </w:style>
  <w:style w:type="paragraph" w:styleId="BodyText">
    <w:name w:val="Body Text"/>
    <w:basedOn w:val="Normal"/>
    <w:link w:val="BodyTextChar"/>
    <w:uiPriority w:val="99"/>
    <w:semiHidden/>
    <w:unhideWhenUsed/>
    <w:rsid w:val="000B13F2"/>
    <w:pPr>
      <w:spacing w:after="120"/>
    </w:pPr>
  </w:style>
  <w:style w:type="character" w:customStyle="1" w:styleId="BodyTextChar">
    <w:name w:val="Body Text Char"/>
    <w:basedOn w:val="DefaultParagraphFont"/>
    <w:link w:val="BodyText"/>
    <w:uiPriority w:val="99"/>
    <w:semiHidden/>
    <w:rsid w:val="000B13F2"/>
  </w:style>
  <w:style w:type="paragraph" w:customStyle="1" w:styleId="TableofContentsHeading">
    <w:name w:val="Table of Contents Heading"/>
    <w:basedOn w:val="BodyText"/>
    <w:link w:val="TableofContentsHeadingChar"/>
    <w:uiPriority w:val="5"/>
    <w:rsid w:val="00956F8F"/>
    <w:pPr>
      <w:keepNext/>
      <w:spacing w:line="240" w:lineRule="auto"/>
    </w:pPr>
    <w:rPr>
      <w:rFonts w:ascii="Arial" w:hAnsi="Arial" w:cs="Times New Roman"/>
      <w:b/>
      <w:caps/>
      <w:sz w:val="28"/>
      <w:szCs w:val="24"/>
    </w:rPr>
  </w:style>
  <w:style w:type="character" w:customStyle="1" w:styleId="TableofContentsHeadingChar">
    <w:name w:val="Table of Contents Heading Char"/>
    <w:basedOn w:val="BodyTextChar"/>
    <w:link w:val="TableofContentsHeading"/>
    <w:uiPriority w:val="5"/>
    <w:rsid w:val="00CF04C5"/>
    <w:rPr>
      <w:rFonts w:ascii="Arial" w:hAnsi="Arial" w:cs="Times New Roman"/>
      <w:b/>
      <w:caps/>
      <w:sz w:val="28"/>
      <w:szCs w:val="24"/>
    </w:rPr>
  </w:style>
  <w:style w:type="paragraph" w:styleId="TOC1">
    <w:name w:val="toc 1"/>
    <w:basedOn w:val="Normal"/>
    <w:next w:val="Normal"/>
    <w:uiPriority w:val="39"/>
    <w:unhideWhenUsed/>
    <w:rsid w:val="002C22F0"/>
    <w:pPr>
      <w:tabs>
        <w:tab w:val="left" w:pos="360"/>
        <w:tab w:val="right" w:leader="dot" w:pos="9350"/>
      </w:tabs>
      <w:spacing w:after="0" w:line="240" w:lineRule="auto"/>
      <w:contextualSpacing/>
    </w:pPr>
    <w:rPr>
      <w:rFonts w:ascii="Times New Roman" w:hAnsi="Times New Roman" w:cs="Times New Roman"/>
      <w:b/>
      <w:noProof/>
      <w:sz w:val="24"/>
      <w:szCs w:val="24"/>
    </w:rPr>
  </w:style>
  <w:style w:type="paragraph" w:styleId="TOC2">
    <w:name w:val="toc 2"/>
    <w:basedOn w:val="Normal"/>
    <w:next w:val="BodyText"/>
    <w:uiPriority w:val="39"/>
    <w:rsid w:val="002C22F0"/>
    <w:pPr>
      <w:tabs>
        <w:tab w:val="right" w:leader="dot" w:pos="9350"/>
      </w:tabs>
      <w:spacing w:after="0" w:line="240" w:lineRule="auto"/>
      <w:ind w:left="907" w:hanging="547"/>
      <w:contextualSpacing/>
    </w:pPr>
    <w:rPr>
      <w:rFonts w:ascii="Times New Roman" w:eastAsia="Times New Roman" w:hAnsi="Times New Roman" w:cs="Times New Roman"/>
      <w:noProof/>
      <w:sz w:val="24"/>
      <w:szCs w:val="24"/>
    </w:rPr>
  </w:style>
  <w:style w:type="paragraph" w:styleId="TOC3">
    <w:name w:val="toc 3"/>
    <w:basedOn w:val="Normal"/>
    <w:next w:val="Normal"/>
    <w:uiPriority w:val="39"/>
    <w:unhideWhenUsed/>
    <w:rsid w:val="002C22F0"/>
    <w:pPr>
      <w:tabs>
        <w:tab w:val="left" w:pos="1260"/>
        <w:tab w:val="right" w:leader="dot" w:pos="9350"/>
      </w:tabs>
      <w:spacing w:after="0" w:line="240" w:lineRule="auto"/>
      <w:ind w:left="1627" w:hanging="720"/>
      <w:contextualSpacing/>
    </w:pPr>
    <w:rPr>
      <w:rFonts w:ascii="Times New Roman" w:hAnsi="Times New Roman" w:cs="Times New Roman"/>
      <w:noProof/>
      <w:sz w:val="24"/>
      <w:szCs w:val="24"/>
    </w:rPr>
  </w:style>
  <w:style w:type="paragraph" w:styleId="TableofFigures">
    <w:name w:val="table of figures"/>
    <w:basedOn w:val="Normal"/>
    <w:next w:val="Normal"/>
    <w:uiPriority w:val="99"/>
    <w:unhideWhenUsed/>
    <w:rsid w:val="00684F0C"/>
    <w:pPr>
      <w:spacing w:after="0" w:line="240" w:lineRule="auto"/>
    </w:pPr>
    <w:rPr>
      <w:rFonts w:ascii="Times New Roman" w:hAnsi="Times New Roman" w:cs="Times New Roman"/>
      <w:sz w:val="24"/>
      <w:szCs w:val="24"/>
    </w:rPr>
  </w:style>
  <w:style w:type="table" w:styleId="TableGrid">
    <w:name w:val="Table Grid"/>
    <w:aliases w:val="Acumen"/>
    <w:basedOn w:val="TableNormal"/>
    <w:rsid w:val="005A262D"/>
    <w:pPr>
      <w:spacing w:after="0" w:line="240" w:lineRule="auto"/>
      <w:jc w:val="center"/>
    </w:pPr>
    <w:rPr>
      <w:rFonts w:ascii="Times New Roman" w:eastAsia="Times New Roman" w:hAnsi="Times New Roman" w:cs="Times New Roman"/>
      <w:sz w:val="20"/>
      <w:szCs w:val="20"/>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spacing w:line="240" w:lineRule="auto"/>
        <w:jc w:val="center"/>
      </w:pPr>
      <w:rPr>
        <w:b/>
      </w:rPr>
      <w:tblPr/>
      <w:tcPr>
        <w:shd w:val="clear" w:color="auto" w:fill="CDECFF"/>
      </w:tcPr>
    </w:tblStylePr>
    <w:tblStylePr w:type="firstCol">
      <w:pPr>
        <w:wordWrap/>
        <w:ind w:leftChars="0" w:left="72" w:rightChars="0" w:right="0"/>
        <w:jc w:val="left"/>
      </w:pPr>
      <w:rPr>
        <w:rFonts w:ascii="Times New Roman" w:hAnsi="Times New Roman"/>
        <w:sz w:val="20"/>
      </w:rPr>
    </w:tblStylePr>
  </w:style>
  <w:style w:type="paragraph" w:customStyle="1" w:styleId="TableText">
    <w:name w:val="Table Text"/>
    <w:aliases w:val="tt,table text"/>
    <w:basedOn w:val="Body125"/>
    <w:link w:val="TableTextChar"/>
    <w:uiPriority w:val="17"/>
    <w:qFormat/>
    <w:rsid w:val="000B13F2"/>
    <w:pPr>
      <w:spacing w:before="0" w:after="0" w:line="240" w:lineRule="auto"/>
      <w:ind w:firstLine="0"/>
    </w:pPr>
    <w:rPr>
      <w:rFonts w:eastAsia="Times New Roman"/>
      <w:sz w:val="20"/>
    </w:rPr>
  </w:style>
  <w:style w:type="character" w:customStyle="1" w:styleId="TableTextChar">
    <w:name w:val="Table Text Char"/>
    <w:aliases w:val="tt Char,table text Char"/>
    <w:basedOn w:val="Body125Char"/>
    <w:link w:val="TableText"/>
    <w:uiPriority w:val="17"/>
    <w:rsid w:val="00CF04C5"/>
    <w:rPr>
      <w:rFonts w:ascii="Times New Roman" w:eastAsia="Times New Roman" w:hAnsi="Times New Roman" w:cs="Times New Roman"/>
      <w:sz w:val="20"/>
      <w:szCs w:val="24"/>
    </w:rPr>
  </w:style>
  <w:style w:type="paragraph" w:customStyle="1" w:styleId="BulletList">
    <w:name w:val="Bullet List"/>
    <w:basedOn w:val="Body125"/>
    <w:link w:val="BulletListChar"/>
    <w:uiPriority w:val="10"/>
    <w:qFormat/>
    <w:rsid w:val="007711D4"/>
    <w:pPr>
      <w:numPr>
        <w:numId w:val="16"/>
      </w:numPr>
      <w:spacing w:line="240" w:lineRule="auto"/>
    </w:pPr>
  </w:style>
  <w:style w:type="paragraph" w:customStyle="1" w:styleId="NumberList">
    <w:name w:val="Number List"/>
    <w:basedOn w:val="BulletList"/>
    <w:link w:val="NumberListChar"/>
    <w:uiPriority w:val="11"/>
    <w:qFormat/>
    <w:rsid w:val="006E6F9C"/>
    <w:pPr>
      <w:numPr>
        <w:numId w:val="35"/>
      </w:numPr>
    </w:pPr>
    <w:rPr>
      <w:rFonts w:eastAsia="Times New Roman"/>
    </w:rPr>
  </w:style>
  <w:style w:type="character" w:customStyle="1" w:styleId="BulletListChar">
    <w:name w:val="Bullet List Char"/>
    <w:basedOn w:val="Body125Char"/>
    <w:link w:val="BulletList"/>
    <w:uiPriority w:val="10"/>
    <w:rsid w:val="007711D4"/>
    <w:rPr>
      <w:rFonts w:ascii="Times New Roman" w:hAnsi="Times New Roman" w:cs="Times New Roman"/>
      <w:sz w:val="24"/>
      <w:szCs w:val="24"/>
    </w:rPr>
  </w:style>
  <w:style w:type="character" w:customStyle="1" w:styleId="NumberListChar">
    <w:name w:val="Number List Char"/>
    <w:basedOn w:val="BulletListChar"/>
    <w:link w:val="NumberList"/>
    <w:uiPriority w:val="11"/>
    <w:rsid w:val="006E6F9C"/>
    <w:rPr>
      <w:rFonts w:ascii="Times New Roman" w:eastAsia="Times New Roman" w:hAnsi="Times New Roman" w:cs="Times New Roman"/>
      <w:sz w:val="24"/>
      <w:szCs w:val="24"/>
    </w:rPr>
  </w:style>
  <w:style w:type="paragraph" w:customStyle="1" w:styleId="References">
    <w:name w:val="References"/>
    <w:basedOn w:val="Normal"/>
    <w:link w:val="ReferencesChar"/>
    <w:uiPriority w:val="14"/>
    <w:qFormat/>
    <w:rsid w:val="00506B76"/>
    <w:pPr>
      <w:tabs>
        <w:tab w:val="left" w:pos="-1440"/>
        <w:tab w:val="left" w:pos="-720"/>
        <w:tab w:val="left" w:pos="360"/>
        <w:tab w:val="left" w:pos="60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5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240" w:lineRule="auto"/>
      <w:ind w:left="720" w:hanging="720"/>
    </w:pPr>
    <w:rPr>
      <w:rFonts w:ascii="Times New Roman" w:eastAsia="Times New Roman" w:hAnsi="Times New Roman" w:cs="Times New Roman"/>
      <w:noProof/>
      <w:sz w:val="24"/>
      <w:szCs w:val="24"/>
    </w:rPr>
  </w:style>
  <w:style w:type="character" w:customStyle="1" w:styleId="ReferencesChar">
    <w:name w:val="References Char"/>
    <w:basedOn w:val="DefaultParagraphFont"/>
    <w:link w:val="References"/>
    <w:uiPriority w:val="14"/>
    <w:rsid w:val="00CF04C5"/>
    <w:rPr>
      <w:rFonts w:ascii="Times New Roman" w:eastAsia="Times New Roman" w:hAnsi="Times New Roman" w:cs="Times New Roman"/>
      <w:noProof/>
      <w:sz w:val="24"/>
      <w:szCs w:val="24"/>
    </w:rPr>
  </w:style>
  <w:style w:type="paragraph" w:customStyle="1" w:styleId="ReferencesHeading">
    <w:name w:val="References Heading"/>
    <w:aliases w:val="References Heading 10"/>
    <w:link w:val="ReferencesHeadingChar"/>
    <w:uiPriority w:val="13"/>
    <w:qFormat/>
    <w:rsid w:val="00AB303D"/>
    <w:pPr>
      <w:keepNext/>
      <w:pBdr>
        <w:bottom w:val="single" w:sz="4" w:space="1" w:color="auto"/>
      </w:pBdr>
      <w:spacing w:after="120" w:line="240" w:lineRule="auto"/>
      <w:ind w:left="403" w:hanging="403"/>
    </w:pPr>
    <w:rPr>
      <w:rFonts w:ascii="Arial" w:eastAsia="Times New Roman" w:hAnsi="Arial" w:cs="Times New Roman"/>
      <w:b/>
      <w:caps/>
      <w:noProof/>
      <w:sz w:val="28"/>
      <w:szCs w:val="28"/>
      <w:u w:color="000000"/>
    </w:rPr>
  </w:style>
  <w:style w:type="character" w:customStyle="1" w:styleId="ReferencesHeadingChar">
    <w:name w:val="References Heading Char"/>
    <w:aliases w:val="References Heading 10 Char"/>
    <w:basedOn w:val="Heading1Char"/>
    <w:link w:val="ReferencesHeading"/>
    <w:uiPriority w:val="13"/>
    <w:rsid w:val="00AB303D"/>
    <w:rPr>
      <w:rFonts w:ascii="Arial" w:eastAsia="Times New Roman" w:hAnsi="Arial" w:cs="Times New Roman"/>
      <w:b/>
      <w:bCs/>
      <w:caps w:val="0"/>
      <w:noProof/>
      <w:sz w:val="28"/>
      <w:szCs w:val="28"/>
      <w:u w:color="000000"/>
    </w:rPr>
  </w:style>
  <w:style w:type="character" w:customStyle="1" w:styleId="Heading8Char">
    <w:name w:val="Heading 8 Char"/>
    <w:aliases w:val="Appendix 2 Char"/>
    <w:basedOn w:val="DefaultParagraphFont"/>
    <w:link w:val="Heading8"/>
    <w:uiPriority w:val="16"/>
    <w:rsid w:val="001C6253"/>
    <w:rPr>
      <w:rFonts w:ascii="Arial" w:eastAsiaTheme="majorEastAsia" w:hAnsi="Arial" w:cstheme="majorBidi"/>
      <w:b/>
      <w:iCs/>
      <w:sz w:val="26"/>
      <w:szCs w:val="20"/>
    </w:rPr>
  </w:style>
  <w:style w:type="character" w:customStyle="1" w:styleId="Heading9Char">
    <w:name w:val="Heading 9 Char"/>
    <w:aliases w:val="Appendix 3 Char"/>
    <w:basedOn w:val="DefaultParagraphFont"/>
    <w:link w:val="Heading9"/>
    <w:uiPriority w:val="16"/>
    <w:rsid w:val="00AB303D"/>
    <w:rPr>
      <w:rFonts w:ascii="Arial" w:eastAsiaTheme="majorEastAsia" w:hAnsi="Arial" w:cstheme="majorBidi"/>
      <w:b/>
      <w:i/>
      <w:sz w:val="24"/>
      <w:szCs w:val="20"/>
    </w:rPr>
  </w:style>
  <w:style w:type="character" w:customStyle="1" w:styleId="Heading4Char">
    <w:name w:val="Heading 4 Char"/>
    <w:basedOn w:val="DefaultParagraphFont"/>
    <w:link w:val="Heading4"/>
    <w:uiPriority w:val="8"/>
    <w:rsid w:val="00CF04C5"/>
    <w:rPr>
      <w:rFonts w:ascii="Arial" w:eastAsiaTheme="majorEastAsia" w:hAnsi="Arial" w:cs="Arial"/>
      <w:b/>
      <w:bCs/>
      <w:i/>
      <w:iCs/>
    </w:rPr>
  </w:style>
  <w:style w:type="character" w:customStyle="1" w:styleId="Heading5Char">
    <w:name w:val="Heading 5 Char"/>
    <w:basedOn w:val="DefaultParagraphFont"/>
    <w:link w:val="Heading5"/>
    <w:uiPriority w:val="8"/>
    <w:rsid w:val="00CF04C5"/>
    <w:rPr>
      <w:rFonts w:ascii="Arial" w:hAnsi="Arial" w:cs="Arial"/>
    </w:rPr>
  </w:style>
  <w:style w:type="character" w:customStyle="1" w:styleId="Heading6Char">
    <w:name w:val="Heading 6 Char"/>
    <w:basedOn w:val="DefaultParagraphFont"/>
    <w:link w:val="Heading6"/>
    <w:uiPriority w:val="8"/>
    <w:rsid w:val="00CF04C5"/>
    <w:rPr>
      <w:rFonts w:ascii="Arial" w:eastAsiaTheme="majorEastAsia" w:hAnsi="Arial" w:cs="Arial"/>
      <w:i/>
      <w:iCs/>
    </w:rPr>
  </w:style>
  <w:style w:type="character" w:styleId="PlaceholderText">
    <w:name w:val="Placeholder Text"/>
    <w:basedOn w:val="DefaultParagraphFont"/>
    <w:uiPriority w:val="99"/>
    <w:semiHidden/>
    <w:rsid w:val="00DA0D59"/>
    <w:rPr>
      <w:color w:val="808080"/>
    </w:rPr>
  </w:style>
  <w:style w:type="paragraph" w:customStyle="1" w:styleId="Appendixsubheading">
    <w:name w:val="Appendix subheading"/>
    <w:basedOn w:val="Heading8"/>
    <w:link w:val="AppendixsubheadingChar"/>
    <w:rsid w:val="00952F7F"/>
    <w:pPr>
      <w:keepNext w:val="0"/>
      <w:numPr>
        <w:numId w:val="14"/>
      </w:numPr>
      <w:spacing w:line="300" w:lineRule="auto"/>
    </w:pPr>
    <w:rPr>
      <w:b w:val="0"/>
    </w:rPr>
  </w:style>
  <w:style w:type="paragraph" w:customStyle="1" w:styleId="AppendixSubheading2">
    <w:name w:val="Appendix Subheading 2"/>
    <w:basedOn w:val="Heading9"/>
    <w:rsid w:val="00952F7F"/>
    <w:pPr>
      <w:keepNext w:val="0"/>
      <w:numPr>
        <w:numId w:val="14"/>
      </w:numPr>
      <w:spacing w:line="300" w:lineRule="auto"/>
    </w:pPr>
    <w:rPr>
      <w:rFonts w:cs="Arial"/>
      <w:b w:val="0"/>
      <w:szCs w:val="24"/>
    </w:rPr>
  </w:style>
  <w:style w:type="character" w:customStyle="1" w:styleId="AppendixsubheadingChar">
    <w:name w:val="Appendix subheading Char"/>
    <w:basedOn w:val="Heading8Char"/>
    <w:link w:val="Appendixsubheading"/>
    <w:rsid w:val="00952F7F"/>
    <w:rPr>
      <w:rFonts w:ascii="Arial" w:eastAsiaTheme="majorEastAsia" w:hAnsi="Arial" w:cstheme="majorBidi"/>
      <w:b w:val="0"/>
      <w:iCs/>
      <w:color w:val="345E8C"/>
      <w:sz w:val="24"/>
      <w:szCs w:val="20"/>
    </w:rPr>
  </w:style>
  <w:style w:type="table" w:styleId="LightShading">
    <w:name w:val="Light Shading"/>
    <w:basedOn w:val="TableNormal"/>
    <w:uiPriority w:val="60"/>
    <w:rsid w:val="00E9298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tyle1">
    <w:name w:val="Style1"/>
    <w:uiPriority w:val="99"/>
    <w:rsid w:val="007711D4"/>
    <w:pPr>
      <w:numPr>
        <w:numId w:val="16"/>
      </w:numPr>
    </w:pPr>
  </w:style>
  <w:style w:type="numbering" w:customStyle="1" w:styleId="Style2">
    <w:name w:val="Style2"/>
    <w:uiPriority w:val="99"/>
    <w:rsid w:val="006E6F9C"/>
    <w:pPr>
      <w:numPr>
        <w:numId w:val="18"/>
      </w:numPr>
    </w:pPr>
  </w:style>
  <w:style w:type="paragraph" w:customStyle="1" w:styleId="RomanNumberedList">
    <w:name w:val="Roman Numbered List"/>
    <w:basedOn w:val="Body125"/>
    <w:link w:val="RomanNumberedListChar"/>
    <w:uiPriority w:val="12"/>
    <w:rsid w:val="00EB52B5"/>
    <w:pPr>
      <w:numPr>
        <w:numId w:val="36"/>
      </w:numPr>
      <w:spacing w:line="240" w:lineRule="auto"/>
    </w:pPr>
  </w:style>
  <w:style w:type="numbering" w:customStyle="1" w:styleId="Style3">
    <w:name w:val="Style3"/>
    <w:uiPriority w:val="99"/>
    <w:rsid w:val="00EB52B5"/>
    <w:pPr>
      <w:numPr>
        <w:numId w:val="21"/>
      </w:numPr>
    </w:pPr>
  </w:style>
  <w:style w:type="character" w:customStyle="1" w:styleId="RomanNumberedListChar">
    <w:name w:val="Roman Numbered List Char"/>
    <w:basedOn w:val="Body125Char"/>
    <w:link w:val="RomanNumberedList"/>
    <w:uiPriority w:val="12"/>
    <w:rsid w:val="00CF04C5"/>
    <w:rPr>
      <w:rFonts w:ascii="Times New Roman" w:hAnsi="Times New Roman" w:cs="Times New Roman"/>
      <w:sz w:val="24"/>
      <w:szCs w:val="24"/>
    </w:rPr>
  </w:style>
  <w:style w:type="numbering" w:customStyle="1" w:styleId="Appendices">
    <w:name w:val="Appendices"/>
    <w:uiPriority w:val="99"/>
    <w:rsid w:val="0002313E"/>
    <w:pPr>
      <w:numPr>
        <w:numId w:val="24"/>
      </w:numPr>
    </w:pPr>
  </w:style>
  <w:style w:type="numbering" w:customStyle="1" w:styleId="Appendices2">
    <w:name w:val="Appendices 2"/>
    <w:uiPriority w:val="99"/>
    <w:rsid w:val="0002313E"/>
  </w:style>
  <w:style w:type="paragraph" w:styleId="TOC4">
    <w:name w:val="toc 4"/>
    <w:basedOn w:val="Normal"/>
    <w:next w:val="Normal"/>
    <w:uiPriority w:val="39"/>
    <w:semiHidden/>
    <w:unhideWhenUsed/>
    <w:rsid w:val="00E67CD6"/>
    <w:pPr>
      <w:spacing w:after="100"/>
      <w:ind w:left="660"/>
    </w:pPr>
    <w:rPr>
      <w:rFonts w:ascii="Times New Roman" w:hAnsi="Times New Roman"/>
    </w:rPr>
  </w:style>
  <w:style w:type="paragraph" w:styleId="TOC5">
    <w:name w:val="toc 5"/>
    <w:basedOn w:val="Normal"/>
    <w:next w:val="Normal"/>
    <w:autoRedefine/>
    <w:uiPriority w:val="39"/>
    <w:semiHidden/>
    <w:unhideWhenUsed/>
    <w:rsid w:val="00E67CD6"/>
    <w:pPr>
      <w:spacing w:after="100"/>
      <w:ind w:left="880"/>
    </w:pPr>
    <w:rPr>
      <w:rFonts w:ascii="Times New Roman" w:hAnsi="Times New Roman"/>
    </w:rPr>
  </w:style>
  <w:style w:type="paragraph" w:styleId="TOC6">
    <w:name w:val="toc 6"/>
    <w:basedOn w:val="Normal"/>
    <w:next w:val="Normal"/>
    <w:uiPriority w:val="39"/>
    <w:semiHidden/>
    <w:unhideWhenUsed/>
    <w:rsid w:val="00E67CD6"/>
    <w:pPr>
      <w:spacing w:after="100"/>
      <w:ind w:left="1100"/>
    </w:pPr>
    <w:rPr>
      <w:rFonts w:ascii="Times New Roman" w:hAnsi="Times New Roman"/>
    </w:rPr>
  </w:style>
  <w:style w:type="numbering" w:customStyle="1" w:styleId="Appendices20">
    <w:name w:val="Appendices 2"/>
    <w:next w:val="Appendices2"/>
    <w:uiPriority w:val="99"/>
    <w:rsid w:val="0002313E"/>
  </w:style>
  <w:style w:type="paragraph" w:customStyle="1" w:styleId="Picture">
    <w:name w:val="Picture"/>
    <w:next w:val="Body125"/>
    <w:link w:val="PictureChar"/>
    <w:uiPriority w:val="17"/>
    <w:qFormat/>
    <w:rsid w:val="001D5EDE"/>
    <w:pPr>
      <w:spacing w:after="80" w:line="240" w:lineRule="auto"/>
      <w:contextualSpacing/>
      <w:jc w:val="center"/>
    </w:pPr>
    <w:rPr>
      <w:rFonts w:ascii="Times New Roman" w:eastAsia="Times New Roman" w:hAnsi="Times New Roman" w:cs="Times New Roman"/>
      <w:noProof/>
      <w:sz w:val="24"/>
      <w:szCs w:val="24"/>
    </w:rPr>
  </w:style>
  <w:style w:type="character" w:customStyle="1" w:styleId="PictureChar">
    <w:name w:val="Picture Char"/>
    <w:basedOn w:val="DefaultParagraphFont"/>
    <w:link w:val="Picture"/>
    <w:uiPriority w:val="17"/>
    <w:rsid w:val="00CF04C5"/>
    <w:rPr>
      <w:rFonts w:ascii="Times New Roman" w:eastAsia="Times New Roman" w:hAnsi="Times New Roman" w:cs="Times New Roman"/>
      <w:noProof/>
      <w:sz w:val="24"/>
      <w:szCs w:val="24"/>
    </w:rPr>
  </w:style>
  <w:style w:type="character" w:styleId="CommentReference">
    <w:name w:val="annotation reference"/>
    <w:basedOn w:val="DefaultParagraphFont"/>
    <w:uiPriority w:val="99"/>
    <w:semiHidden/>
    <w:unhideWhenUsed/>
    <w:rsid w:val="00347D22"/>
    <w:rPr>
      <w:sz w:val="16"/>
      <w:szCs w:val="16"/>
    </w:rPr>
  </w:style>
  <w:style w:type="paragraph" w:styleId="CommentText">
    <w:name w:val="annotation text"/>
    <w:basedOn w:val="Normal"/>
    <w:link w:val="CommentTextChar"/>
    <w:uiPriority w:val="99"/>
    <w:semiHidden/>
    <w:unhideWhenUsed/>
    <w:rsid w:val="00347D22"/>
    <w:pPr>
      <w:spacing w:line="240" w:lineRule="auto"/>
    </w:pPr>
    <w:rPr>
      <w:sz w:val="20"/>
      <w:szCs w:val="20"/>
    </w:rPr>
  </w:style>
  <w:style w:type="character" w:customStyle="1" w:styleId="CommentTextChar">
    <w:name w:val="Comment Text Char"/>
    <w:basedOn w:val="DefaultParagraphFont"/>
    <w:link w:val="CommentText"/>
    <w:uiPriority w:val="99"/>
    <w:semiHidden/>
    <w:rsid w:val="00347D22"/>
    <w:rPr>
      <w:sz w:val="20"/>
      <w:szCs w:val="20"/>
    </w:rPr>
  </w:style>
  <w:style w:type="paragraph" w:styleId="CommentSubject">
    <w:name w:val="annotation subject"/>
    <w:basedOn w:val="CommentText"/>
    <w:next w:val="CommentText"/>
    <w:link w:val="CommentSubjectChar"/>
    <w:uiPriority w:val="99"/>
    <w:semiHidden/>
    <w:unhideWhenUsed/>
    <w:rsid w:val="00347D22"/>
    <w:rPr>
      <w:b/>
      <w:bCs/>
    </w:rPr>
  </w:style>
  <w:style w:type="character" w:customStyle="1" w:styleId="CommentSubjectChar">
    <w:name w:val="Comment Subject Char"/>
    <w:basedOn w:val="CommentTextChar"/>
    <w:link w:val="CommentSubject"/>
    <w:uiPriority w:val="99"/>
    <w:semiHidden/>
    <w:rsid w:val="00347D22"/>
    <w:rPr>
      <w:b/>
      <w:bCs/>
      <w:sz w:val="20"/>
      <w:szCs w:val="20"/>
    </w:rPr>
  </w:style>
  <w:style w:type="paragraph" w:customStyle="1" w:styleId="ESHeading">
    <w:name w:val="ES Heading"/>
    <w:basedOn w:val="Heading1"/>
    <w:next w:val="Body125"/>
    <w:link w:val="ESHeadingChar"/>
    <w:uiPriority w:val="3"/>
    <w:rsid w:val="00AB303D"/>
    <w:pPr>
      <w:ind w:left="403" w:hanging="403"/>
    </w:pPr>
  </w:style>
  <w:style w:type="character" w:customStyle="1" w:styleId="ESHeadingChar">
    <w:name w:val="ES Heading Char"/>
    <w:basedOn w:val="Heading1Char"/>
    <w:link w:val="ESHeading"/>
    <w:uiPriority w:val="3"/>
    <w:rsid w:val="00AB303D"/>
    <w:rPr>
      <w:rFonts w:ascii="Arial" w:eastAsia="Times New Roman" w:hAnsi="Arial" w:cs="Times New Roman"/>
      <w:b/>
      <w:bCs/>
      <w:caps w:val="0"/>
      <w:sz w:val="28"/>
      <w:szCs w:val="28"/>
      <w:u w:color="000000"/>
    </w:rPr>
  </w:style>
  <w:style w:type="paragraph" w:customStyle="1" w:styleId="SectionHeading">
    <w:name w:val="Section Heading"/>
    <w:basedOn w:val="Normal"/>
    <w:link w:val="SectionHeadingChar"/>
    <w:qFormat/>
    <w:rsid w:val="00C977C7"/>
    <w:pPr>
      <w:spacing w:after="120" w:line="300" w:lineRule="auto"/>
    </w:pPr>
    <w:rPr>
      <w:rFonts w:ascii="Arial" w:eastAsia="Times New Roman" w:hAnsi="Arial" w:cs="Arial"/>
      <w:b/>
      <w:sz w:val="24"/>
      <w:szCs w:val="24"/>
    </w:rPr>
  </w:style>
  <w:style w:type="character" w:customStyle="1" w:styleId="SectionHeadingChar">
    <w:name w:val="Section Heading Char"/>
    <w:basedOn w:val="DefaultParagraphFont"/>
    <w:link w:val="SectionHeading"/>
    <w:rsid w:val="00C977C7"/>
    <w:rPr>
      <w:rFonts w:ascii="Arial" w:eastAsia="Times New Roman" w:hAnsi="Arial" w:cs="Arial"/>
      <w:b/>
      <w:sz w:val="24"/>
      <w:szCs w:val="24"/>
    </w:rPr>
  </w:style>
  <w:style w:type="paragraph" w:customStyle="1" w:styleId="Body">
    <w:name w:val="Body"/>
    <w:basedOn w:val="Normal"/>
    <w:link w:val="BodyChar"/>
    <w:qFormat/>
    <w:rsid w:val="00C977C7"/>
    <w:pPr>
      <w:spacing w:before="60" w:after="120" w:line="300" w:lineRule="auto"/>
      <w:ind w:firstLine="720"/>
    </w:pPr>
    <w:rPr>
      <w:rFonts w:ascii="Times New Roman" w:eastAsia="Times New Roman" w:hAnsi="Times New Roman" w:cs="Times New Roman"/>
      <w:sz w:val="24"/>
      <w:szCs w:val="24"/>
    </w:rPr>
  </w:style>
  <w:style w:type="character" w:customStyle="1" w:styleId="BodyChar">
    <w:name w:val="Body Char"/>
    <w:basedOn w:val="DefaultParagraphFont"/>
    <w:link w:val="Body"/>
    <w:rsid w:val="00C977C7"/>
    <w:rPr>
      <w:rFonts w:ascii="Times New Roman" w:eastAsia="Times New Roman" w:hAnsi="Times New Roman" w:cs="Times New Roman"/>
      <w:sz w:val="24"/>
      <w:szCs w:val="24"/>
    </w:rPr>
  </w:style>
  <w:style w:type="paragraph" w:customStyle="1" w:styleId="Style4">
    <w:name w:val="Style4"/>
    <w:basedOn w:val="Normal"/>
    <w:link w:val="Style4Char"/>
    <w:uiPriority w:val="9"/>
    <w:qFormat/>
    <w:rsid w:val="005618E3"/>
    <w:pPr>
      <w:spacing w:after="0" w:line="240" w:lineRule="auto"/>
      <w:jc w:val="center"/>
    </w:pPr>
    <w:rPr>
      <w:rFonts w:ascii="Times New Roman" w:eastAsia="Times New Roman" w:hAnsi="Times New Roman" w:cs="Times New Roman"/>
      <w:color w:val="000000"/>
    </w:rPr>
  </w:style>
  <w:style w:type="character" w:customStyle="1" w:styleId="Style2Char">
    <w:name w:val="Style2 Char"/>
    <w:rsid w:val="007F6E38"/>
    <w:rPr>
      <w:rFonts w:ascii="Calibri" w:hAnsi="Calibri"/>
      <w:color w:val="000000"/>
    </w:rPr>
  </w:style>
  <w:style w:type="character" w:customStyle="1" w:styleId="Style4Char">
    <w:name w:val="Style4 Char"/>
    <w:basedOn w:val="DefaultParagraphFont"/>
    <w:link w:val="Style4"/>
    <w:uiPriority w:val="9"/>
    <w:rsid w:val="005618E3"/>
    <w:rPr>
      <w:rFonts w:ascii="Times New Roman" w:eastAsia="Times New Roman" w:hAnsi="Times New Roman" w:cs="Times New Roman"/>
      <w:color w:val="000000"/>
    </w:rPr>
  </w:style>
  <w:style w:type="character" w:customStyle="1" w:styleId="Style3Char">
    <w:name w:val="Style3 Char"/>
    <w:rsid w:val="007F6E38"/>
    <w:rPr>
      <w:rFonts w:ascii="Calibri" w:eastAsia="Times New Roman" w:hAnsi="Calibri"/>
      <w:b/>
    </w:rPr>
  </w:style>
  <w:style w:type="character" w:styleId="Strong">
    <w:name w:val="Strong"/>
    <w:basedOn w:val="DefaultParagraphFont"/>
    <w:uiPriority w:val="22"/>
    <w:qFormat/>
    <w:rsid w:val="00CC45D7"/>
    <w:rPr>
      <w:b/>
      <w:bCs/>
    </w:rPr>
  </w:style>
  <w:style w:type="paragraph" w:customStyle="1" w:styleId="Default">
    <w:name w:val="Default"/>
    <w:rsid w:val="0043455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053">
      <w:bodyDiv w:val="1"/>
      <w:marLeft w:val="0"/>
      <w:marRight w:val="0"/>
      <w:marTop w:val="0"/>
      <w:marBottom w:val="0"/>
      <w:divBdr>
        <w:top w:val="none" w:sz="0" w:space="0" w:color="auto"/>
        <w:left w:val="none" w:sz="0" w:space="0" w:color="auto"/>
        <w:bottom w:val="none" w:sz="0" w:space="0" w:color="auto"/>
        <w:right w:val="none" w:sz="0" w:space="0" w:color="auto"/>
      </w:divBdr>
    </w:div>
    <w:div w:id="267739150">
      <w:bodyDiv w:val="1"/>
      <w:marLeft w:val="0"/>
      <w:marRight w:val="0"/>
      <w:marTop w:val="0"/>
      <w:marBottom w:val="0"/>
      <w:divBdr>
        <w:top w:val="none" w:sz="0" w:space="0" w:color="auto"/>
        <w:left w:val="none" w:sz="0" w:space="0" w:color="auto"/>
        <w:bottom w:val="none" w:sz="0" w:space="0" w:color="auto"/>
        <w:right w:val="none" w:sz="0" w:space="0" w:color="auto"/>
      </w:divBdr>
    </w:div>
    <w:div w:id="337580996">
      <w:bodyDiv w:val="1"/>
      <w:marLeft w:val="0"/>
      <w:marRight w:val="0"/>
      <w:marTop w:val="0"/>
      <w:marBottom w:val="0"/>
      <w:divBdr>
        <w:top w:val="none" w:sz="0" w:space="0" w:color="auto"/>
        <w:left w:val="none" w:sz="0" w:space="0" w:color="auto"/>
        <w:bottom w:val="none" w:sz="0" w:space="0" w:color="auto"/>
        <w:right w:val="none" w:sz="0" w:space="0" w:color="auto"/>
      </w:divBdr>
    </w:div>
    <w:div w:id="495724543">
      <w:bodyDiv w:val="1"/>
      <w:marLeft w:val="0"/>
      <w:marRight w:val="0"/>
      <w:marTop w:val="0"/>
      <w:marBottom w:val="0"/>
      <w:divBdr>
        <w:top w:val="none" w:sz="0" w:space="0" w:color="auto"/>
        <w:left w:val="none" w:sz="0" w:space="0" w:color="auto"/>
        <w:bottom w:val="none" w:sz="0" w:space="0" w:color="auto"/>
        <w:right w:val="none" w:sz="0" w:space="0" w:color="auto"/>
      </w:divBdr>
    </w:div>
    <w:div w:id="562714379">
      <w:bodyDiv w:val="1"/>
      <w:marLeft w:val="0"/>
      <w:marRight w:val="0"/>
      <w:marTop w:val="0"/>
      <w:marBottom w:val="0"/>
      <w:divBdr>
        <w:top w:val="none" w:sz="0" w:space="0" w:color="auto"/>
        <w:left w:val="none" w:sz="0" w:space="0" w:color="auto"/>
        <w:bottom w:val="none" w:sz="0" w:space="0" w:color="auto"/>
        <w:right w:val="none" w:sz="0" w:space="0" w:color="auto"/>
      </w:divBdr>
    </w:div>
    <w:div w:id="621422998">
      <w:bodyDiv w:val="1"/>
      <w:marLeft w:val="0"/>
      <w:marRight w:val="0"/>
      <w:marTop w:val="0"/>
      <w:marBottom w:val="0"/>
      <w:divBdr>
        <w:top w:val="none" w:sz="0" w:space="0" w:color="auto"/>
        <w:left w:val="none" w:sz="0" w:space="0" w:color="auto"/>
        <w:bottom w:val="none" w:sz="0" w:space="0" w:color="auto"/>
        <w:right w:val="none" w:sz="0" w:space="0" w:color="auto"/>
      </w:divBdr>
    </w:div>
    <w:div w:id="670989206">
      <w:bodyDiv w:val="1"/>
      <w:marLeft w:val="0"/>
      <w:marRight w:val="0"/>
      <w:marTop w:val="0"/>
      <w:marBottom w:val="0"/>
      <w:divBdr>
        <w:top w:val="none" w:sz="0" w:space="0" w:color="auto"/>
        <w:left w:val="none" w:sz="0" w:space="0" w:color="auto"/>
        <w:bottom w:val="none" w:sz="0" w:space="0" w:color="auto"/>
        <w:right w:val="none" w:sz="0" w:space="0" w:color="auto"/>
      </w:divBdr>
    </w:div>
    <w:div w:id="865673979">
      <w:bodyDiv w:val="1"/>
      <w:marLeft w:val="0"/>
      <w:marRight w:val="0"/>
      <w:marTop w:val="0"/>
      <w:marBottom w:val="0"/>
      <w:divBdr>
        <w:top w:val="none" w:sz="0" w:space="0" w:color="auto"/>
        <w:left w:val="none" w:sz="0" w:space="0" w:color="auto"/>
        <w:bottom w:val="none" w:sz="0" w:space="0" w:color="auto"/>
        <w:right w:val="none" w:sz="0" w:space="0" w:color="auto"/>
      </w:divBdr>
    </w:div>
    <w:div w:id="869607254">
      <w:bodyDiv w:val="1"/>
      <w:marLeft w:val="0"/>
      <w:marRight w:val="0"/>
      <w:marTop w:val="0"/>
      <w:marBottom w:val="0"/>
      <w:divBdr>
        <w:top w:val="none" w:sz="0" w:space="0" w:color="auto"/>
        <w:left w:val="none" w:sz="0" w:space="0" w:color="auto"/>
        <w:bottom w:val="none" w:sz="0" w:space="0" w:color="auto"/>
        <w:right w:val="none" w:sz="0" w:space="0" w:color="auto"/>
      </w:divBdr>
    </w:div>
    <w:div w:id="915045968">
      <w:bodyDiv w:val="1"/>
      <w:marLeft w:val="0"/>
      <w:marRight w:val="0"/>
      <w:marTop w:val="0"/>
      <w:marBottom w:val="0"/>
      <w:divBdr>
        <w:top w:val="none" w:sz="0" w:space="0" w:color="auto"/>
        <w:left w:val="none" w:sz="0" w:space="0" w:color="auto"/>
        <w:bottom w:val="none" w:sz="0" w:space="0" w:color="auto"/>
        <w:right w:val="none" w:sz="0" w:space="0" w:color="auto"/>
      </w:divBdr>
    </w:div>
    <w:div w:id="1027366600">
      <w:bodyDiv w:val="1"/>
      <w:marLeft w:val="0"/>
      <w:marRight w:val="0"/>
      <w:marTop w:val="0"/>
      <w:marBottom w:val="0"/>
      <w:divBdr>
        <w:top w:val="none" w:sz="0" w:space="0" w:color="auto"/>
        <w:left w:val="none" w:sz="0" w:space="0" w:color="auto"/>
        <w:bottom w:val="none" w:sz="0" w:space="0" w:color="auto"/>
        <w:right w:val="none" w:sz="0" w:space="0" w:color="auto"/>
      </w:divBdr>
    </w:div>
    <w:div w:id="1052077906">
      <w:bodyDiv w:val="1"/>
      <w:marLeft w:val="0"/>
      <w:marRight w:val="0"/>
      <w:marTop w:val="0"/>
      <w:marBottom w:val="0"/>
      <w:divBdr>
        <w:top w:val="none" w:sz="0" w:space="0" w:color="auto"/>
        <w:left w:val="none" w:sz="0" w:space="0" w:color="auto"/>
        <w:bottom w:val="none" w:sz="0" w:space="0" w:color="auto"/>
        <w:right w:val="none" w:sz="0" w:space="0" w:color="auto"/>
      </w:divBdr>
    </w:div>
    <w:div w:id="1078019406">
      <w:bodyDiv w:val="1"/>
      <w:marLeft w:val="0"/>
      <w:marRight w:val="0"/>
      <w:marTop w:val="0"/>
      <w:marBottom w:val="0"/>
      <w:divBdr>
        <w:top w:val="none" w:sz="0" w:space="0" w:color="auto"/>
        <w:left w:val="none" w:sz="0" w:space="0" w:color="auto"/>
        <w:bottom w:val="none" w:sz="0" w:space="0" w:color="auto"/>
        <w:right w:val="none" w:sz="0" w:space="0" w:color="auto"/>
      </w:divBdr>
    </w:div>
    <w:div w:id="1102913710">
      <w:bodyDiv w:val="1"/>
      <w:marLeft w:val="0"/>
      <w:marRight w:val="0"/>
      <w:marTop w:val="0"/>
      <w:marBottom w:val="0"/>
      <w:divBdr>
        <w:top w:val="none" w:sz="0" w:space="0" w:color="auto"/>
        <w:left w:val="none" w:sz="0" w:space="0" w:color="auto"/>
        <w:bottom w:val="none" w:sz="0" w:space="0" w:color="auto"/>
        <w:right w:val="none" w:sz="0" w:space="0" w:color="auto"/>
      </w:divBdr>
    </w:div>
    <w:div w:id="1268973650">
      <w:bodyDiv w:val="1"/>
      <w:marLeft w:val="0"/>
      <w:marRight w:val="0"/>
      <w:marTop w:val="0"/>
      <w:marBottom w:val="0"/>
      <w:divBdr>
        <w:top w:val="none" w:sz="0" w:space="0" w:color="auto"/>
        <w:left w:val="none" w:sz="0" w:space="0" w:color="auto"/>
        <w:bottom w:val="none" w:sz="0" w:space="0" w:color="auto"/>
        <w:right w:val="none" w:sz="0" w:space="0" w:color="auto"/>
      </w:divBdr>
    </w:div>
    <w:div w:id="1329603335">
      <w:bodyDiv w:val="1"/>
      <w:marLeft w:val="0"/>
      <w:marRight w:val="0"/>
      <w:marTop w:val="0"/>
      <w:marBottom w:val="0"/>
      <w:divBdr>
        <w:top w:val="none" w:sz="0" w:space="0" w:color="auto"/>
        <w:left w:val="none" w:sz="0" w:space="0" w:color="auto"/>
        <w:bottom w:val="none" w:sz="0" w:space="0" w:color="auto"/>
        <w:right w:val="none" w:sz="0" w:space="0" w:color="auto"/>
      </w:divBdr>
    </w:div>
    <w:div w:id="1427339410">
      <w:bodyDiv w:val="1"/>
      <w:marLeft w:val="0"/>
      <w:marRight w:val="0"/>
      <w:marTop w:val="0"/>
      <w:marBottom w:val="0"/>
      <w:divBdr>
        <w:top w:val="none" w:sz="0" w:space="0" w:color="auto"/>
        <w:left w:val="none" w:sz="0" w:space="0" w:color="auto"/>
        <w:bottom w:val="none" w:sz="0" w:space="0" w:color="auto"/>
        <w:right w:val="none" w:sz="0" w:space="0" w:color="auto"/>
      </w:divBdr>
    </w:div>
    <w:div w:id="1503620080">
      <w:bodyDiv w:val="1"/>
      <w:marLeft w:val="0"/>
      <w:marRight w:val="0"/>
      <w:marTop w:val="0"/>
      <w:marBottom w:val="0"/>
      <w:divBdr>
        <w:top w:val="none" w:sz="0" w:space="0" w:color="auto"/>
        <w:left w:val="none" w:sz="0" w:space="0" w:color="auto"/>
        <w:bottom w:val="none" w:sz="0" w:space="0" w:color="auto"/>
        <w:right w:val="none" w:sz="0" w:space="0" w:color="auto"/>
      </w:divBdr>
    </w:div>
    <w:div w:id="1530222454">
      <w:bodyDiv w:val="1"/>
      <w:marLeft w:val="0"/>
      <w:marRight w:val="0"/>
      <w:marTop w:val="0"/>
      <w:marBottom w:val="0"/>
      <w:divBdr>
        <w:top w:val="none" w:sz="0" w:space="0" w:color="auto"/>
        <w:left w:val="none" w:sz="0" w:space="0" w:color="auto"/>
        <w:bottom w:val="none" w:sz="0" w:space="0" w:color="auto"/>
        <w:right w:val="none" w:sz="0" w:space="0" w:color="auto"/>
      </w:divBdr>
    </w:div>
    <w:div w:id="1559786013">
      <w:bodyDiv w:val="1"/>
      <w:marLeft w:val="0"/>
      <w:marRight w:val="0"/>
      <w:marTop w:val="0"/>
      <w:marBottom w:val="0"/>
      <w:divBdr>
        <w:top w:val="none" w:sz="0" w:space="0" w:color="auto"/>
        <w:left w:val="none" w:sz="0" w:space="0" w:color="auto"/>
        <w:bottom w:val="none" w:sz="0" w:space="0" w:color="auto"/>
        <w:right w:val="none" w:sz="0" w:space="0" w:color="auto"/>
      </w:divBdr>
    </w:div>
    <w:div w:id="1601180190">
      <w:bodyDiv w:val="1"/>
      <w:marLeft w:val="0"/>
      <w:marRight w:val="0"/>
      <w:marTop w:val="0"/>
      <w:marBottom w:val="0"/>
      <w:divBdr>
        <w:top w:val="none" w:sz="0" w:space="0" w:color="auto"/>
        <w:left w:val="none" w:sz="0" w:space="0" w:color="auto"/>
        <w:bottom w:val="none" w:sz="0" w:space="0" w:color="auto"/>
        <w:right w:val="none" w:sz="0" w:space="0" w:color="auto"/>
      </w:divBdr>
    </w:div>
    <w:div w:id="1602953467">
      <w:bodyDiv w:val="1"/>
      <w:marLeft w:val="0"/>
      <w:marRight w:val="0"/>
      <w:marTop w:val="0"/>
      <w:marBottom w:val="0"/>
      <w:divBdr>
        <w:top w:val="none" w:sz="0" w:space="0" w:color="auto"/>
        <w:left w:val="none" w:sz="0" w:space="0" w:color="auto"/>
        <w:bottom w:val="none" w:sz="0" w:space="0" w:color="auto"/>
        <w:right w:val="none" w:sz="0" w:space="0" w:color="auto"/>
      </w:divBdr>
    </w:div>
    <w:div w:id="1741246848">
      <w:bodyDiv w:val="1"/>
      <w:marLeft w:val="0"/>
      <w:marRight w:val="0"/>
      <w:marTop w:val="0"/>
      <w:marBottom w:val="0"/>
      <w:divBdr>
        <w:top w:val="none" w:sz="0" w:space="0" w:color="auto"/>
        <w:left w:val="none" w:sz="0" w:space="0" w:color="auto"/>
        <w:bottom w:val="none" w:sz="0" w:space="0" w:color="auto"/>
        <w:right w:val="none" w:sz="0" w:space="0" w:color="auto"/>
      </w:divBdr>
    </w:div>
    <w:div w:id="1934587820">
      <w:bodyDiv w:val="1"/>
      <w:marLeft w:val="0"/>
      <w:marRight w:val="0"/>
      <w:marTop w:val="0"/>
      <w:marBottom w:val="0"/>
      <w:divBdr>
        <w:top w:val="none" w:sz="0" w:space="0" w:color="auto"/>
        <w:left w:val="none" w:sz="0" w:space="0" w:color="auto"/>
        <w:bottom w:val="none" w:sz="0" w:space="0" w:color="auto"/>
        <w:right w:val="none" w:sz="0" w:space="0" w:color="auto"/>
      </w:divBdr>
    </w:div>
    <w:div w:id="1941912948">
      <w:bodyDiv w:val="1"/>
      <w:marLeft w:val="0"/>
      <w:marRight w:val="0"/>
      <w:marTop w:val="0"/>
      <w:marBottom w:val="0"/>
      <w:divBdr>
        <w:top w:val="none" w:sz="0" w:space="0" w:color="auto"/>
        <w:left w:val="none" w:sz="0" w:space="0" w:color="auto"/>
        <w:bottom w:val="none" w:sz="0" w:space="0" w:color="auto"/>
        <w:right w:val="none" w:sz="0" w:space="0" w:color="auto"/>
      </w:divBdr>
    </w:div>
    <w:div w:id="1984696699">
      <w:bodyDiv w:val="1"/>
      <w:marLeft w:val="0"/>
      <w:marRight w:val="0"/>
      <w:marTop w:val="0"/>
      <w:marBottom w:val="0"/>
      <w:divBdr>
        <w:top w:val="none" w:sz="0" w:space="0" w:color="auto"/>
        <w:left w:val="none" w:sz="0" w:space="0" w:color="auto"/>
        <w:bottom w:val="none" w:sz="0" w:space="0" w:color="auto"/>
        <w:right w:val="none" w:sz="0" w:space="0" w:color="auto"/>
      </w:divBdr>
    </w:div>
    <w:div w:id="204505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03F23-488F-4DF9-8278-C6761592C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3356</Words>
  <Characters>19130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22442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Majel Baker</dc:creator>
  <cp:lastModifiedBy>Deborah Deitz</cp:lastModifiedBy>
  <cp:revision>2</cp:revision>
  <cp:lastPrinted>2013-09-10T18:27:00Z</cp:lastPrinted>
  <dcterms:created xsi:type="dcterms:W3CDTF">2013-12-23T08:14:00Z</dcterms:created>
  <dcterms:modified xsi:type="dcterms:W3CDTF">2013-12-23T08:14:00Z</dcterms:modified>
</cp:coreProperties>
</file>