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EE47A" w14:textId="2F836DFA" w:rsidR="00655DC5" w:rsidRDefault="00655DC5" w:rsidP="001A196B">
      <w:pPr>
        <w:jc w:val="center"/>
        <w:rPr>
          <w:rFonts w:eastAsiaTheme="minorEastAsia"/>
          <w:b/>
          <w:bCs/>
          <w:smallCaps/>
          <w:noProof/>
        </w:rPr>
      </w:pPr>
      <w:r>
        <w:rPr>
          <w:rFonts w:eastAsiaTheme="minorEastAsia"/>
          <w:b/>
          <w:bCs/>
          <w:smallCaps/>
          <w:noProof/>
        </w:rPr>
        <w:t>NATIONAL QUALITY FORM – Evidence Attachment</w:t>
      </w:r>
    </w:p>
    <w:p w14:paraId="601EE490" w14:textId="1C3352DD" w:rsidR="00655DC5" w:rsidRDefault="00655DC5" w:rsidP="001A196B">
      <w:pPr>
        <w:jc w:val="center"/>
        <w:rPr>
          <w:rFonts w:eastAsiaTheme="minorEastAsia"/>
          <w:b/>
          <w:bCs/>
          <w:smallCaps/>
          <w:noProof/>
        </w:rPr>
      </w:pPr>
    </w:p>
    <w:p w14:paraId="2AB14547" w14:textId="012A4F4C" w:rsidR="00655DC5" w:rsidRDefault="00655DC5" w:rsidP="00655DC5">
      <w:pPr>
        <w:ind w:left="0" w:firstLine="0"/>
      </w:pPr>
    </w:p>
    <w:p w14:paraId="4F30B5B4" w14:textId="445E2F73" w:rsidR="00655DC5" w:rsidRDefault="003C510F" w:rsidP="00655DC5">
      <w:pPr>
        <w:ind w:left="0" w:firstLine="0"/>
      </w:pPr>
      <w:r>
        <w:rPr>
          <w:b/>
          <w:bCs/>
        </w:rPr>
        <w:t xml:space="preserve">Submission ID - #3592 </w:t>
      </w:r>
      <w:r w:rsidR="00655DC5">
        <w:rPr>
          <w:b/>
          <w:bCs/>
        </w:rPr>
        <w:t>Global Malnutrition Composite Score</w:t>
      </w:r>
    </w:p>
    <w:p w14:paraId="0D61B945" w14:textId="790D33DA" w:rsidR="00655DC5" w:rsidRDefault="00655DC5" w:rsidP="00655DC5">
      <w:pPr>
        <w:ind w:left="0" w:firstLine="0"/>
      </w:pPr>
    </w:p>
    <w:p w14:paraId="0A8B1D59" w14:textId="13BAB6B0" w:rsidR="00655DC5" w:rsidRDefault="00655DC5" w:rsidP="00655DC5">
      <w:pPr>
        <w:tabs>
          <w:tab w:val="left" w:pos="7920"/>
        </w:tabs>
        <w:ind w:left="0" w:firstLine="0"/>
      </w:pPr>
      <w:r>
        <w:t>Component Measure – Screening for Malnutrition Risk at Admission</w:t>
      </w:r>
      <w:r>
        <w:tab/>
        <w:t>Pg. 2-10</w:t>
      </w:r>
    </w:p>
    <w:p w14:paraId="7CFF3C0D" w14:textId="66AFAED0" w:rsidR="00655DC5" w:rsidRDefault="00655DC5" w:rsidP="00655DC5">
      <w:pPr>
        <w:tabs>
          <w:tab w:val="left" w:pos="7920"/>
        </w:tabs>
        <w:ind w:left="0" w:firstLine="0"/>
      </w:pPr>
    </w:p>
    <w:p w14:paraId="7CD25792" w14:textId="491F2C7A" w:rsidR="00655DC5" w:rsidRDefault="00655DC5" w:rsidP="00655DC5">
      <w:pPr>
        <w:ind w:left="0" w:firstLine="0"/>
      </w:pPr>
      <w:r>
        <w:t xml:space="preserve">Component Measure - </w:t>
      </w:r>
      <w:r w:rsidRPr="00E316C7">
        <w:rPr>
          <w:rFonts w:eastAsiaTheme="minorEastAsia"/>
        </w:rPr>
        <w:t xml:space="preserve">Completion of a Nutrition Assessment for Patients </w:t>
      </w:r>
      <w:r>
        <w:rPr>
          <w:rFonts w:eastAsiaTheme="minorEastAsia"/>
        </w:rPr>
        <w:tab/>
      </w:r>
      <w:r>
        <w:tab/>
        <w:t>Pg. 11-18</w:t>
      </w:r>
    </w:p>
    <w:p w14:paraId="4BFA2102" w14:textId="518537E9" w:rsidR="00655DC5" w:rsidRDefault="00655DC5" w:rsidP="00655DC5">
      <w:pPr>
        <w:ind w:left="0" w:firstLine="0"/>
        <w:rPr>
          <w:rFonts w:eastAsiaTheme="minorEastAsia"/>
        </w:rPr>
      </w:pPr>
      <w:r w:rsidRPr="00E316C7">
        <w:rPr>
          <w:rFonts w:eastAsiaTheme="minorEastAsia"/>
        </w:rPr>
        <w:t>Identified as At-Risk for Malnutrition</w:t>
      </w:r>
    </w:p>
    <w:p w14:paraId="7EBEC21A" w14:textId="77296530" w:rsidR="00655DC5" w:rsidRDefault="00655DC5" w:rsidP="00655DC5">
      <w:pPr>
        <w:ind w:left="0" w:firstLine="0"/>
        <w:rPr>
          <w:rFonts w:eastAsiaTheme="minorEastAsia"/>
        </w:rPr>
      </w:pPr>
    </w:p>
    <w:p w14:paraId="0A1BEB7C" w14:textId="7C81D9A8" w:rsidR="00655DC5" w:rsidRDefault="00655DC5" w:rsidP="00340780">
      <w:pPr>
        <w:tabs>
          <w:tab w:val="left" w:pos="7920"/>
        </w:tabs>
        <w:ind w:left="0" w:firstLine="0"/>
        <w:rPr>
          <w:rFonts w:eastAsiaTheme="minorEastAsia"/>
        </w:rPr>
      </w:pPr>
      <w:r>
        <w:rPr>
          <w:rFonts w:eastAsiaTheme="minorEastAsia"/>
        </w:rPr>
        <w:t xml:space="preserve">Component Measure - </w:t>
      </w:r>
      <w:r w:rsidR="00340780" w:rsidRPr="00340780">
        <w:rPr>
          <w:rFonts w:eastAsiaTheme="minorEastAsia"/>
        </w:rPr>
        <w:t>Appropriate Documentation of a Malnutrition Diagnosis</w:t>
      </w:r>
      <w:r w:rsidR="00340780">
        <w:rPr>
          <w:rFonts w:eastAsiaTheme="minorEastAsia"/>
        </w:rPr>
        <w:tab/>
        <w:t>Pg. 19-28</w:t>
      </w:r>
    </w:p>
    <w:p w14:paraId="1C87F4AD" w14:textId="26C24107" w:rsidR="00340780" w:rsidRDefault="00340780" w:rsidP="00340780">
      <w:pPr>
        <w:tabs>
          <w:tab w:val="left" w:pos="7920"/>
        </w:tabs>
        <w:ind w:left="0" w:firstLine="0"/>
        <w:rPr>
          <w:rFonts w:eastAsiaTheme="minorEastAsia"/>
        </w:rPr>
      </w:pPr>
    </w:p>
    <w:p w14:paraId="05457B85" w14:textId="40089BDD" w:rsidR="00340780" w:rsidRPr="00655DC5" w:rsidRDefault="00340780" w:rsidP="00340780">
      <w:pPr>
        <w:tabs>
          <w:tab w:val="left" w:pos="7920"/>
        </w:tabs>
        <w:ind w:left="0" w:firstLine="0"/>
      </w:pPr>
      <w:r>
        <w:rPr>
          <w:rFonts w:eastAsiaTheme="minorEastAsia"/>
        </w:rPr>
        <w:t xml:space="preserve">Component Measure - </w:t>
      </w:r>
      <w:r w:rsidR="00595D45" w:rsidRPr="00595D45">
        <w:rPr>
          <w:rFonts w:eastAsiaTheme="minorEastAsia"/>
        </w:rPr>
        <w:t>Development of a Nutrition Care Plan for Malnourished</w:t>
      </w:r>
      <w:r w:rsidR="00595D45">
        <w:rPr>
          <w:rFonts w:eastAsiaTheme="minorEastAsia"/>
        </w:rPr>
        <w:tab/>
        <w:t>Pg. 29-37</w:t>
      </w:r>
    </w:p>
    <w:p w14:paraId="146990B1" w14:textId="11589B3D" w:rsidR="00655DC5" w:rsidRDefault="00595D45" w:rsidP="00595D45">
      <w:pPr>
        <w:ind w:left="0" w:firstLine="0"/>
        <w:rPr>
          <w:rFonts w:eastAsiaTheme="minorEastAsia"/>
          <w:b/>
          <w:bCs/>
          <w:smallCaps/>
          <w:noProof/>
        </w:rPr>
      </w:pPr>
      <w:r w:rsidRPr="00595D45">
        <w:rPr>
          <w:rFonts w:eastAsiaTheme="minorEastAsia"/>
        </w:rPr>
        <w:t>Patients</w:t>
      </w:r>
      <w:r>
        <w:rPr>
          <w:rFonts w:eastAsiaTheme="minorEastAsia"/>
          <w:b/>
          <w:bCs/>
          <w:smallCaps/>
          <w:noProof/>
        </w:rPr>
        <w:t xml:space="preserve"> </w:t>
      </w:r>
      <w:r w:rsidR="00655DC5">
        <w:rPr>
          <w:rFonts w:eastAsiaTheme="minorEastAsia"/>
          <w:b/>
          <w:bCs/>
          <w:smallCaps/>
          <w:noProof/>
        </w:rPr>
        <w:br w:type="page"/>
      </w:r>
    </w:p>
    <w:p w14:paraId="520878E2" w14:textId="3C7FF868" w:rsidR="00496AF8" w:rsidRPr="001A6D05" w:rsidRDefault="007C1887" w:rsidP="001A196B">
      <w:pPr>
        <w:jc w:val="center"/>
        <w:rPr>
          <w:b/>
          <w:noProof/>
          <w:sz w:val="24"/>
          <w:szCs w:val="24"/>
        </w:rPr>
      </w:pPr>
      <w:r w:rsidRPr="00E316C7">
        <w:rPr>
          <w:rFonts w:eastAsiaTheme="minorEastAsia"/>
          <w:b/>
          <w:bCs/>
          <w:smallCaps/>
          <w:noProof/>
        </w:rPr>
        <w:lastRenderedPageBreak/>
        <w:t>N</w:t>
      </w:r>
      <w:r w:rsidR="002F20A7" w:rsidRPr="00E316C7">
        <w:rPr>
          <w:rFonts w:eastAsiaTheme="minorEastAsia"/>
          <w:b/>
          <w:bCs/>
          <w:smallCaps/>
          <w:noProof/>
        </w:rPr>
        <w:t>ational Quality Forum</w:t>
      </w:r>
      <w:r w:rsidR="002F20A7" w:rsidRPr="00E316C7">
        <w:rPr>
          <w:rFonts w:eastAsiaTheme="minorEastAsia"/>
          <w:b/>
          <w:bCs/>
          <w:noProof/>
        </w:rPr>
        <w:t>—</w:t>
      </w:r>
      <w:r w:rsidR="00496AF8" w:rsidRPr="00E316C7">
        <w:rPr>
          <w:rFonts w:eastAsiaTheme="minorEastAsia"/>
          <w:b/>
          <w:bCs/>
          <w:noProof/>
        </w:rPr>
        <w:t>Evidence (</w:t>
      </w:r>
      <w:r w:rsidR="00BE2295" w:rsidRPr="00E316C7">
        <w:rPr>
          <w:rFonts w:eastAsiaTheme="minorEastAsia"/>
          <w:b/>
          <w:bCs/>
          <w:noProof/>
        </w:rPr>
        <w:t>subcrite</w:t>
      </w:r>
      <w:r w:rsidR="00617390" w:rsidRPr="00E316C7">
        <w:rPr>
          <w:rFonts w:eastAsiaTheme="minorEastAsia"/>
          <w:b/>
          <w:bCs/>
          <w:noProof/>
        </w:rPr>
        <w:t>r</w:t>
      </w:r>
      <w:r w:rsidR="00BE2295" w:rsidRPr="00E316C7">
        <w:rPr>
          <w:rFonts w:eastAsiaTheme="minorEastAsia"/>
          <w:b/>
          <w:bCs/>
          <w:noProof/>
        </w:rPr>
        <w:t xml:space="preserve">ion </w:t>
      </w:r>
      <w:r w:rsidR="00496AF8" w:rsidRPr="00E316C7">
        <w:rPr>
          <w:rFonts w:eastAsiaTheme="minorEastAsia"/>
          <w:b/>
          <w:bCs/>
          <w:noProof/>
        </w:rPr>
        <w:t>1</w:t>
      </w:r>
      <w:r w:rsidR="00B117D0" w:rsidRPr="00E316C7">
        <w:rPr>
          <w:rFonts w:eastAsiaTheme="minorEastAsia"/>
          <w:b/>
          <w:bCs/>
          <w:noProof/>
        </w:rPr>
        <w:t>a</w:t>
      </w:r>
      <w:r w:rsidR="00496AF8" w:rsidRPr="00E316C7">
        <w:rPr>
          <w:rFonts w:eastAsiaTheme="minorEastAsia"/>
          <w:b/>
          <w:bCs/>
          <w:noProof/>
        </w:rPr>
        <w:t>)</w:t>
      </w:r>
      <w:r w:rsidR="002717C7" w:rsidRPr="00E316C7">
        <w:rPr>
          <w:rFonts w:eastAsiaTheme="minorEastAsia"/>
          <w:b/>
          <w:bCs/>
          <w:noProof/>
        </w:rPr>
        <w:t xml:space="preserve"> </w:t>
      </w:r>
    </w:p>
    <w:p w14:paraId="520878E3" w14:textId="77777777" w:rsidR="00496AF8" w:rsidRPr="00496AF8" w:rsidRDefault="00496AF8" w:rsidP="002E2177">
      <w:pPr>
        <w:ind w:left="0" w:firstLine="0"/>
        <w:rPr>
          <w:noProof/>
        </w:rPr>
      </w:pPr>
    </w:p>
    <w:p w14:paraId="520878E4" w14:textId="77777777" w:rsidR="004F7D7E" w:rsidRPr="003B1CC5" w:rsidRDefault="004F7D7E" w:rsidP="002E2177">
      <w:pPr>
        <w:ind w:left="0" w:firstLine="0"/>
        <w:rPr>
          <w:b/>
          <w:noProof/>
        </w:rPr>
      </w:pPr>
      <w:r w:rsidRPr="00E316C7">
        <w:rPr>
          <w:rFonts w:eastAsiaTheme="minorEastAsia"/>
          <w:b/>
          <w:bCs/>
          <w:noProof/>
        </w:rPr>
        <w:t xml:space="preserve">Measure Number </w:t>
      </w:r>
      <w:r w:rsidRPr="00E316C7">
        <w:rPr>
          <w:rFonts w:eastAsiaTheme="minorEastAsia"/>
          <w:noProof/>
        </w:rPr>
        <w:t>(</w:t>
      </w:r>
      <w:r w:rsidRPr="00E316C7">
        <w:rPr>
          <w:rFonts w:eastAsiaTheme="minorEastAsia"/>
          <w:i/>
          <w:iCs/>
          <w:noProof/>
        </w:rPr>
        <w:t>if previously endorsed</w:t>
      </w:r>
      <w:r w:rsidRPr="00E316C7">
        <w:rPr>
          <w:rFonts w:eastAsiaTheme="minorEastAsia"/>
          <w:noProof/>
        </w:rPr>
        <w:t>)</w:t>
      </w:r>
      <w:r w:rsidRPr="00E316C7">
        <w:rPr>
          <w:rFonts w:eastAsiaTheme="minorEastAsia"/>
          <w:b/>
          <w:bCs/>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4A1E326E" w14:textId="04C32369" w:rsidR="38AF9500" w:rsidRDefault="38AF9500" w:rsidP="38AF9500">
      <w:pPr>
        <w:ind w:left="0" w:firstLine="0"/>
      </w:pPr>
      <w:r w:rsidRPr="00E316C7">
        <w:rPr>
          <w:rFonts w:eastAsiaTheme="minorEastAsia"/>
          <w:b/>
          <w:bCs/>
          <w:noProof/>
        </w:rPr>
        <w:t>Measure Title</w:t>
      </w:r>
      <w:r w:rsidRPr="00E316C7">
        <w:rPr>
          <w:rFonts w:eastAsiaTheme="minorEastAsia"/>
          <w:noProof/>
        </w:rPr>
        <w:t xml:space="preserve">: </w:t>
      </w:r>
      <w:r w:rsidR="006E0071" w:rsidRPr="006E0071">
        <w:rPr>
          <w:rFonts w:eastAsiaTheme="minorEastAsia"/>
        </w:rPr>
        <w:t>Screening for Malnutrition Risk at Admission</w:t>
      </w:r>
    </w:p>
    <w:p w14:paraId="520878E6" w14:textId="5D1DD7B8" w:rsidR="00E97E59" w:rsidRPr="003B1CC5" w:rsidRDefault="00E97E59" w:rsidP="002E2177">
      <w:pPr>
        <w:ind w:left="0" w:firstLine="0"/>
        <w:rPr>
          <w:b/>
          <w:noProof/>
        </w:rPr>
      </w:pPr>
      <w:r w:rsidRPr="00E316C7">
        <w:rPr>
          <w:rFonts w:eastAsiaTheme="minorEastAsia"/>
          <w:i/>
          <w:iCs/>
          <w:noProof/>
        </w:rPr>
        <w:t xml:space="preserve"> </w:t>
      </w:r>
      <w:r w:rsidR="00024526" w:rsidRPr="00E316C7">
        <w:rPr>
          <w:rFonts w:eastAsiaTheme="minorEastAsia"/>
          <w:b/>
          <w:bCs/>
          <w:noProof/>
        </w:rPr>
        <w:t xml:space="preserve">IF </w:t>
      </w:r>
      <w:r w:rsidR="00176E60" w:rsidRPr="00E316C7">
        <w:rPr>
          <w:rFonts w:eastAsiaTheme="minorEastAsia"/>
          <w:b/>
          <w:bCs/>
          <w:noProof/>
        </w:rPr>
        <w:t xml:space="preserve">the measure is </w:t>
      </w:r>
      <w:r w:rsidR="00024526" w:rsidRPr="00E316C7">
        <w:rPr>
          <w:rFonts w:eastAsiaTheme="minorEastAsia"/>
          <w:b/>
          <w:bCs/>
          <w:noProof/>
        </w:rPr>
        <w:t xml:space="preserve">a component in </w:t>
      </w:r>
      <w:r w:rsidR="00176E60" w:rsidRPr="00E316C7">
        <w:rPr>
          <w:rFonts w:eastAsiaTheme="minorEastAsia"/>
          <w:b/>
          <w:bCs/>
          <w:noProof/>
        </w:rPr>
        <w:t>a composite performance measure, provide the</w:t>
      </w:r>
      <w:r w:rsidR="008B652E" w:rsidRPr="00E316C7">
        <w:rPr>
          <w:rFonts w:eastAsiaTheme="minorEastAsia"/>
          <w:b/>
          <w:bCs/>
          <w:noProof/>
        </w:rPr>
        <w:t xml:space="preserve"> </w:t>
      </w:r>
      <w:r w:rsidR="00114848" w:rsidRPr="00E316C7">
        <w:rPr>
          <w:rFonts w:eastAsiaTheme="minorEastAsia"/>
          <w:b/>
          <w:bCs/>
          <w:noProof/>
        </w:rPr>
        <w:t xml:space="preserve">title of the </w:t>
      </w:r>
      <w:r w:rsidRPr="00E316C7">
        <w:rPr>
          <w:rFonts w:eastAsiaTheme="minorEastAsia"/>
          <w:b/>
          <w:bCs/>
          <w:noProof/>
        </w:rPr>
        <w:t>Compo</w:t>
      </w:r>
      <w:r w:rsidR="00736E0F" w:rsidRPr="00E316C7">
        <w:rPr>
          <w:rFonts w:eastAsiaTheme="minorEastAsia"/>
          <w:b/>
          <w:bCs/>
          <w:noProof/>
        </w:rPr>
        <w:t>site</w:t>
      </w:r>
      <w:r w:rsidRPr="00E316C7">
        <w:rPr>
          <w:rFonts w:eastAsiaTheme="minorEastAsia"/>
          <w:b/>
          <w:bCs/>
          <w:noProof/>
        </w:rPr>
        <w:t xml:space="preserve"> Measure </w:t>
      </w:r>
      <w:r w:rsidR="00114848" w:rsidRPr="00E316C7">
        <w:rPr>
          <w:rFonts w:eastAsiaTheme="minorEastAsia"/>
          <w:b/>
          <w:bCs/>
          <w:noProof/>
        </w:rPr>
        <w:t>here</w:t>
      </w:r>
      <w:r w:rsidRPr="00E316C7">
        <w:rPr>
          <w:rFonts w:eastAsiaTheme="minorEastAsia"/>
          <w:b/>
          <w:bCs/>
          <w:noProof/>
        </w:rPr>
        <w:t>:</w:t>
      </w:r>
      <w:r w:rsidRPr="00E316C7">
        <w:rPr>
          <w:rFonts w:eastAsiaTheme="minorEastAsia"/>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6E0071">
            <w:rPr>
              <w:rStyle w:val="Style1"/>
            </w:rPr>
            <w:t>Global Malnutrition Composite Measure</w:t>
          </w:r>
        </w:sdtContent>
      </w:sdt>
    </w:p>
    <w:p w14:paraId="520878E7" w14:textId="77777777" w:rsidR="00114848" w:rsidRPr="003B1CC5" w:rsidRDefault="00114848" w:rsidP="002E2177">
      <w:pPr>
        <w:ind w:left="0" w:firstLine="0"/>
        <w:rPr>
          <w:b/>
          <w:noProof/>
        </w:rPr>
      </w:pPr>
    </w:p>
    <w:p w14:paraId="520878E8" w14:textId="61E26CF3" w:rsidR="00496AF8" w:rsidRPr="003B1CC5" w:rsidRDefault="38AF9500" w:rsidP="002E2177">
      <w:pPr>
        <w:ind w:left="0" w:firstLine="0"/>
        <w:rPr>
          <w:rStyle w:val="Style2"/>
        </w:rPr>
      </w:pPr>
      <w:r w:rsidRPr="00E316C7">
        <w:rPr>
          <w:rFonts w:eastAsiaTheme="minorEastAsia"/>
          <w:b/>
          <w:bCs/>
          <w:noProof/>
        </w:rPr>
        <w:t>Date of Submission</w:t>
      </w:r>
      <w:r w:rsidRPr="00E316C7">
        <w:rPr>
          <w:rFonts w:eastAsiaTheme="minorEastAsia"/>
          <w:noProof/>
        </w:rPr>
        <w:t xml:space="preserve">:  </w:t>
      </w:r>
      <w:r w:rsidR="006E0071">
        <w:rPr>
          <w:rFonts w:eastAsiaTheme="minorEastAsia"/>
          <w:color w:val="4F81BD" w:themeColor="accent1"/>
        </w:rPr>
        <w:t>April 6, 2020</w:t>
      </w:r>
    </w:p>
    <w:p w14:paraId="520878E9"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20878F2" w14:textId="77777777" w:rsidTr="233E403E">
        <w:trPr>
          <w:jc w:val="center"/>
        </w:trPr>
        <w:tc>
          <w:tcPr>
            <w:tcW w:w="9576" w:type="dxa"/>
          </w:tcPr>
          <w:p w14:paraId="520878EA"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20878EB" w14:textId="77777777" w:rsidR="00024526" w:rsidRPr="003B1CC5" w:rsidRDefault="38AF9500" w:rsidP="233E403E">
            <w:pPr>
              <w:pStyle w:val="CommentText"/>
              <w:numPr>
                <w:ilvl w:val="0"/>
                <w:numId w:val="8"/>
              </w:numPr>
              <w:rPr>
                <w:i/>
                <w:iCs/>
                <w:sz w:val="22"/>
                <w:szCs w:val="22"/>
              </w:rPr>
            </w:pPr>
            <w:r w:rsidRPr="00E316C7">
              <w:rPr>
                <w:rFonts w:eastAsiaTheme="minorEastAsia"/>
                <w:i/>
                <w:iCs/>
                <w:sz w:val="22"/>
                <w:szCs w:val="22"/>
              </w:rPr>
              <w:t xml:space="preserve">For composite performance measures:  </w:t>
            </w:r>
          </w:p>
          <w:p w14:paraId="520878EC" w14:textId="77777777" w:rsidR="00024526" w:rsidRPr="003B1CC5" w:rsidRDefault="38AF9500" w:rsidP="233E403E">
            <w:pPr>
              <w:pStyle w:val="CommentText"/>
              <w:numPr>
                <w:ilvl w:val="1"/>
                <w:numId w:val="8"/>
              </w:numPr>
              <w:ind w:left="792"/>
              <w:rPr>
                <w:i/>
                <w:iCs/>
                <w:sz w:val="22"/>
                <w:szCs w:val="22"/>
              </w:rPr>
            </w:pPr>
            <w:r w:rsidRPr="00E316C7">
              <w:rPr>
                <w:rFonts w:eastAsiaTheme="minorEastAsia"/>
                <w:i/>
                <w:iCs/>
                <w:sz w:val="22"/>
                <w:szCs w:val="22"/>
              </w:rPr>
              <w:t xml:space="preserve"> A separate evidence form is required for each component measure unless several components were studied together.</w:t>
            </w:r>
          </w:p>
          <w:p w14:paraId="520878ED" w14:textId="77777777" w:rsidR="00024526" w:rsidRPr="003B1CC5" w:rsidRDefault="38AF9500" w:rsidP="233E403E">
            <w:pPr>
              <w:pStyle w:val="CommentText"/>
              <w:numPr>
                <w:ilvl w:val="1"/>
                <w:numId w:val="8"/>
              </w:numPr>
              <w:ind w:left="792"/>
              <w:rPr>
                <w:i/>
                <w:iCs/>
                <w:sz w:val="22"/>
                <w:szCs w:val="22"/>
              </w:rPr>
            </w:pPr>
            <w:r w:rsidRPr="00E316C7">
              <w:rPr>
                <w:rFonts w:eastAsiaTheme="minorEastAsia"/>
                <w:i/>
                <w:iCs/>
                <w:sz w:val="22"/>
                <w:szCs w:val="22"/>
              </w:rPr>
              <w:t xml:space="preserve"> If a component measure is submitted as an individual performance measure, attach the evidence form to the individual measure submission.</w:t>
            </w:r>
          </w:p>
          <w:p w14:paraId="520878EE" w14:textId="77777777" w:rsidR="002F20A7" w:rsidRPr="003B1CC5" w:rsidRDefault="7F7E0783" w:rsidP="00E316C7">
            <w:pPr>
              <w:pStyle w:val="ListParagraph"/>
              <w:numPr>
                <w:ilvl w:val="0"/>
                <w:numId w:val="8"/>
              </w:numPr>
              <w:spacing w:after="0" w:line="240" w:lineRule="auto"/>
            </w:pPr>
            <w:r w:rsidRPr="233E403E">
              <w:t xml:space="preserve">Respond to </w:t>
            </w:r>
            <w:r w:rsidRPr="233E403E">
              <w:rPr>
                <w:u w:val="single"/>
              </w:rPr>
              <w:t>all</w:t>
            </w:r>
            <w:r w:rsidRPr="233E403E">
              <w:t xml:space="preserve"> questions as instructed with answers immediately following the question. All information needed to demonstrate meeting the evidence </w:t>
            </w:r>
            <w:proofErr w:type="spellStart"/>
            <w:r w:rsidRPr="233E403E">
              <w:t>subcriterion</w:t>
            </w:r>
            <w:proofErr w:type="spellEnd"/>
            <w:r w:rsidRPr="233E403E">
              <w:t xml:space="preserve"> (1a) must be in this form.  An appendix of </w:t>
            </w:r>
            <w:r w:rsidRPr="233E403E">
              <w:rPr>
                <w:i/>
                <w:iCs/>
              </w:rPr>
              <w:t>supplemental</w:t>
            </w:r>
            <w:r w:rsidRPr="233E403E">
              <w:t xml:space="preserve"> materials may be submitted, but there is no guarantee it will be reviewed.</w:t>
            </w:r>
          </w:p>
          <w:p w14:paraId="520878EF" w14:textId="77777777" w:rsidR="0015535B" w:rsidRPr="003B1CC5" w:rsidRDefault="38AF9500" w:rsidP="00E316C7">
            <w:pPr>
              <w:pStyle w:val="ListParagraph"/>
              <w:numPr>
                <w:ilvl w:val="0"/>
                <w:numId w:val="8"/>
              </w:numPr>
              <w:spacing w:after="0" w:line="240" w:lineRule="auto"/>
            </w:pPr>
            <w:r w:rsidRPr="233E403E">
              <w:t>If you are unable to check a box, please highlight or shade the box for your response.</w:t>
            </w:r>
          </w:p>
          <w:p w14:paraId="520878F0" w14:textId="77777777" w:rsidR="00496AF8" w:rsidRPr="003B1CC5" w:rsidRDefault="7F7E0783" w:rsidP="00E316C7">
            <w:pPr>
              <w:pStyle w:val="ListParagraph"/>
              <w:numPr>
                <w:ilvl w:val="0"/>
                <w:numId w:val="8"/>
              </w:numPr>
              <w:spacing w:after="0" w:line="240" w:lineRule="auto"/>
            </w:pPr>
            <w:r w:rsidRPr="233E403E">
              <w:t>Maximum of 10 pages (</w:t>
            </w:r>
            <w:r w:rsidRPr="233E403E">
              <w:rPr>
                <w:i/>
                <w:iCs/>
              </w:rPr>
              <w:t>incudes questions/instructions</w:t>
            </w:r>
            <w:r w:rsidRPr="233E403E">
              <w:t xml:space="preserve">; minimum font size 11 </w:t>
            </w:r>
            <w:proofErr w:type="spellStart"/>
            <w:r w:rsidRPr="233E403E">
              <w:t>pt</w:t>
            </w:r>
            <w:proofErr w:type="spellEnd"/>
            <w:r w:rsidRPr="233E403E">
              <w:t xml:space="preserve">; do not change margins). </w:t>
            </w:r>
            <w:r w:rsidRPr="233E403E">
              <w:rPr>
                <w:b/>
                <w:bCs/>
                <w:i/>
                <w:iCs/>
              </w:rPr>
              <w:t>Contact NQF staff if more pages are needed.</w:t>
            </w:r>
          </w:p>
          <w:p w14:paraId="520878F1" w14:textId="77777777" w:rsidR="00496AF8" w:rsidRPr="003B1CC5" w:rsidRDefault="38AF9500" w:rsidP="00E316C7">
            <w:pPr>
              <w:pStyle w:val="ListParagraph"/>
              <w:numPr>
                <w:ilvl w:val="0"/>
                <w:numId w:val="8"/>
              </w:numPr>
              <w:spacing w:after="0" w:line="240" w:lineRule="auto"/>
              <w:rPr>
                <w:u w:val="single"/>
              </w:rPr>
            </w:pPr>
            <w:r w:rsidRPr="233E403E">
              <w:t xml:space="preserve">Contact NQF staff regarding questions. Check for resources at </w:t>
            </w:r>
            <w:hyperlink r:id="rId12">
              <w:r w:rsidRPr="233E403E">
                <w:rPr>
                  <w:rStyle w:val="Hyperlink"/>
                </w:rPr>
                <w:t>Submitting Standards webpage</w:t>
              </w:r>
            </w:hyperlink>
            <w:r w:rsidRPr="233E403E">
              <w:t>.</w:t>
            </w:r>
          </w:p>
        </w:tc>
      </w:tr>
    </w:tbl>
    <w:p w14:paraId="520878F3"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2087903" w14:textId="77777777" w:rsidTr="233E403E">
        <w:trPr>
          <w:jc w:val="center"/>
        </w:trPr>
        <w:tc>
          <w:tcPr>
            <w:tcW w:w="9576" w:type="dxa"/>
          </w:tcPr>
          <w:p w14:paraId="520878F4" w14:textId="77777777" w:rsidR="008B652E" w:rsidRPr="003B1CC5" w:rsidRDefault="38AF9500" w:rsidP="008B652E">
            <w:pPr>
              <w:ind w:left="0" w:firstLine="0"/>
              <w:rPr>
                <w:sz w:val="20"/>
                <w:szCs w:val="20"/>
              </w:rPr>
            </w:pPr>
            <w:r w:rsidRPr="00E316C7">
              <w:rPr>
                <w:rFonts w:eastAsiaTheme="minorEastAsia"/>
                <w:b/>
                <w:bCs/>
                <w:u w:val="single"/>
              </w:rPr>
              <w:t>Note</w:t>
            </w:r>
            <w:r w:rsidRPr="00E316C7">
              <w:rPr>
                <w:rFonts w:eastAsiaTheme="minorEastAsia"/>
                <w:b/>
                <w:bCs/>
              </w:rPr>
              <w:t>: The information provided in this form is intended to aid the Steering Committee and other stakeholders in understanding to what degree the evidence for this measure meets NQF’s evaluation criteria.</w:t>
            </w:r>
          </w:p>
          <w:p w14:paraId="520878F5" w14:textId="77777777" w:rsidR="008659ED" w:rsidRPr="003B1CC5" w:rsidRDefault="008659ED" w:rsidP="008659ED">
            <w:pPr>
              <w:ind w:left="90" w:hanging="90"/>
              <w:rPr>
                <w:sz w:val="20"/>
                <w:szCs w:val="20"/>
              </w:rPr>
            </w:pPr>
            <w:bookmarkStart w:id="0" w:name="Note2"/>
            <w:bookmarkEnd w:id="0"/>
          </w:p>
          <w:p w14:paraId="6EC33721" w14:textId="77777777" w:rsidR="005B2574" w:rsidRDefault="005B2574" w:rsidP="005B2574">
            <w:pPr>
              <w:spacing w:line="243" w:lineRule="exact"/>
              <w:ind w:left="224"/>
              <w:rPr>
                <w:b/>
                <w:sz w:val="20"/>
              </w:rPr>
            </w:pPr>
            <w:r>
              <w:rPr>
                <w:b/>
                <w:sz w:val="20"/>
              </w:rPr>
              <w:t>1a. Evidence to Support the Measure Focus</w:t>
            </w:r>
          </w:p>
          <w:p w14:paraId="5226F296" w14:textId="77777777" w:rsidR="005B2574" w:rsidRDefault="005B2574" w:rsidP="005B2574">
            <w:pPr>
              <w:pStyle w:val="BodyText"/>
              <w:spacing w:line="243" w:lineRule="exact"/>
              <w:ind w:left="224"/>
            </w:pPr>
            <w:r>
              <w:t>The measure focus is evidence-based, demonstrated as follows:</w:t>
            </w:r>
          </w:p>
          <w:p w14:paraId="3B35393D" w14:textId="774A02C7" w:rsidR="005B2574" w:rsidRDefault="005B2574" w:rsidP="005B2574">
            <w:pPr>
              <w:pStyle w:val="ListParagraph"/>
              <w:widowControl w:val="0"/>
              <w:numPr>
                <w:ilvl w:val="0"/>
                <w:numId w:val="19"/>
              </w:numPr>
              <w:tabs>
                <w:tab w:val="left" w:pos="441"/>
              </w:tabs>
              <w:autoSpaceDE w:val="0"/>
              <w:autoSpaceDN w:val="0"/>
              <w:spacing w:after="0" w:line="240" w:lineRule="auto"/>
              <w:ind w:right="400" w:hanging="216"/>
              <w:contextualSpacing w:val="0"/>
              <w:rPr>
                <w:sz w:val="20"/>
              </w:rPr>
            </w:pPr>
            <w:r>
              <w:rPr>
                <w:noProof/>
              </w:rPr>
              <mc:AlternateContent>
                <mc:Choice Requires="wps">
                  <w:drawing>
                    <wp:anchor distT="0" distB="0" distL="114300" distR="114300" simplePos="0" relativeHeight="251659264" behindDoc="1" locked="0" layoutInCell="1" allowOverlap="1" wp14:anchorId="24AC3B81" wp14:editId="5AA49737">
                      <wp:simplePos x="0" y="0"/>
                      <wp:positionH relativeFrom="page">
                        <wp:posOffset>1367155</wp:posOffset>
                      </wp:positionH>
                      <wp:positionV relativeFrom="paragraph">
                        <wp:posOffset>92710</wp:posOffset>
                      </wp:positionV>
                      <wp:extent cx="41275" cy="6350"/>
                      <wp:effectExtent l="0" t="0" r="1270" b="317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6C2DE" id="Rectangle 18" o:spid="_x0000_s1026" style="position:absolute;margin-left:107.65pt;margin-top:7.3pt;width:3.2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" fillcolor="blue" stroked="f">
                      <w10:wrap anchorx="page"/>
                    </v:rect>
                  </w:pict>
                </mc:Fallback>
              </mc:AlternateContent>
            </w:r>
            <w:r>
              <w:rPr>
                <w:sz w:val="20"/>
                <w:u w:val="single"/>
              </w:rPr>
              <w:t>Outcome</w:t>
            </w:r>
            <w:r>
              <w:rPr>
                <w:color w:val="0000FF"/>
                <w:sz w:val="20"/>
              </w:rPr>
              <w:t xml:space="preserve">: </w:t>
            </w:r>
            <w:hyperlink w:anchor="_bookmark0" w:history="1">
              <w:r>
                <w:rPr>
                  <w:b/>
                  <w:color w:val="0000FF"/>
                  <w:sz w:val="20"/>
                  <w:vertAlign w:val="superscript"/>
                </w:rPr>
                <w:t>3</w:t>
              </w:r>
              <w:r>
                <w:rPr>
                  <w:b/>
                  <w:color w:val="0000FF"/>
                  <w:sz w:val="20"/>
                </w:rPr>
                <w:t xml:space="preserve"> </w:t>
              </w:r>
            </w:hyperlink>
            <w:r>
              <w:rPr>
                <w:sz w:val="20"/>
              </w:rPr>
              <w:t>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w:t>
            </w:r>
            <w:r>
              <w:rPr>
                <w:spacing w:val="-13"/>
                <w:sz w:val="20"/>
              </w:rPr>
              <w:t xml:space="preserve"> </w:t>
            </w:r>
            <w:r>
              <w:rPr>
                <w:sz w:val="20"/>
              </w:rPr>
              <w:t>bias.</w:t>
            </w:r>
          </w:p>
          <w:p w14:paraId="03E19D59" w14:textId="1DA53961" w:rsidR="005B2574" w:rsidRDefault="005B2574" w:rsidP="005B2574">
            <w:pPr>
              <w:pStyle w:val="ListParagraph"/>
              <w:widowControl w:val="0"/>
              <w:numPr>
                <w:ilvl w:val="0"/>
                <w:numId w:val="19"/>
              </w:numPr>
              <w:tabs>
                <w:tab w:val="left" w:pos="441"/>
              </w:tabs>
              <w:autoSpaceDE w:val="0"/>
              <w:autoSpaceDN w:val="0"/>
              <w:spacing w:before="1" w:after="0" w:line="240" w:lineRule="auto"/>
              <w:ind w:right="267" w:hanging="216"/>
              <w:contextualSpacing w:val="0"/>
              <w:rPr>
                <w:sz w:val="20"/>
              </w:rPr>
            </w:pPr>
            <w:r>
              <w:rPr>
                <w:noProof/>
              </w:rPr>
              <mc:AlternateContent>
                <mc:Choice Requires="wps">
                  <w:drawing>
                    <wp:anchor distT="0" distB="0" distL="114300" distR="114300" simplePos="0" relativeHeight="251660288" behindDoc="1" locked="0" layoutInCell="1" allowOverlap="1" wp14:anchorId="7E73807A" wp14:editId="0E20DC04">
                      <wp:simplePos x="0" y="0"/>
                      <wp:positionH relativeFrom="page">
                        <wp:posOffset>1450975</wp:posOffset>
                      </wp:positionH>
                      <wp:positionV relativeFrom="paragraph">
                        <wp:posOffset>248920</wp:posOffset>
                      </wp:positionV>
                      <wp:extent cx="42545" cy="6350"/>
                      <wp:effectExtent l="3175" t="0" r="1905" b="381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282EF" id="Rectangle 17" o:spid="_x0000_s1026" style="position:absolute;margin-left:114.25pt;margin-top:19.6pt;width:3.3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" fillcolor="blue" stroked="f">
                      <w10:wrap anchorx="page"/>
                    </v:rect>
                  </w:pict>
                </mc:Fallback>
              </mc:AlternateContent>
            </w:r>
            <w:r>
              <w:rPr>
                <w:sz w:val="20"/>
                <w:u w:val="single"/>
              </w:rPr>
              <w:t>Intermediate clinical outcome</w:t>
            </w:r>
            <w:r>
              <w:rPr>
                <w:sz w:val="20"/>
              </w:rPr>
              <w:t xml:space="preserve">: 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intermediate clinical outcome leads to a desired health</w:t>
            </w:r>
            <w:r>
              <w:rPr>
                <w:spacing w:val="-28"/>
                <w:sz w:val="20"/>
              </w:rPr>
              <w:t xml:space="preserve"> </w:t>
            </w:r>
            <w:r>
              <w:rPr>
                <w:sz w:val="20"/>
              </w:rPr>
              <w:t>outcome.</w:t>
            </w:r>
          </w:p>
          <w:p w14:paraId="015E1E0D" w14:textId="28AE191A" w:rsidR="005B2574" w:rsidRDefault="005B2574" w:rsidP="005B2574">
            <w:pPr>
              <w:pStyle w:val="ListParagraph"/>
              <w:widowControl w:val="0"/>
              <w:numPr>
                <w:ilvl w:val="0"/>
                <w:numId w:val="19"/>
              </w:numPr>
              <w:tabs>
                <w:tab w:val="left" w:pos="441"/>
              </w:tabs>
              <w:autoSpaceDE w:val="0"/>
              <w:autoSpaceDN w:val="0"/>
              <w:spacing w:after="0" w:line="240" w:lineRule="auto"/>
              <w:ind w:right="496" w:hanging="216"/>
              <w:contextualSpacing w:val="0"/>
              <w:rPr>
                <w:sz w:val="20"/>
              </w:rPr>
            </w:pPr>
            <w:r>
              <w:rPr>
                <w:noProof/>
              </w:rPr>
              <mc:AlternateContent>
                <mc:Choice Requires="wps">
                  <w:drawing>
                    <wp:anchor distT="0" distB="0" distL="114300" distR="114300" simplePos="0" relativeHeight="251661312" behindDoc="1" locked="0" layoutInCell="1" allowOverlap="1" wp14:anchorId="3014C680" wp14:editId="0C4E08A3">
                      <wp:simplePos x="0" y="0"/>
                      <wp:positionH relativeFrom="page">
                        <wp:posOffset>1281430</wp:posOffset>
                      </wp:positionH>
                      <wp:positionV relativeFrom="paragraph">
                        <wp:posOffset>92710</wp:posOffset>
                      </wp:positionV>
                      <wp:extent cx="41275" cy="6350"/>
                      <wp:effectExtent l="0" t="0" r="1270" b="444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1634F" id="Rectangle 16" o:spid="_x0000_s1026" style="position:absolute;margin-left:100.9pt;margin-top:7.3pt;width:3.25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" fillcolor="blue" stroked="f">
                      <w10:wrap anchorx="page"/>
                    </v:rect>
                  </w:pict>
                </mc:Fallback>
              </mc:AlternateContent>
            </w:r>
            <w:r>
              <w:rPr>
                <w:noProof/>
              </w:rPr>
              <mc:AlternateContent>
                <mc:Choice Requires="wps">
                  <w:drawing>
                    <wp:anchor distT="0" distB="0" distL="114300" distR="114300" simplePos="0" relativeHeight="251662336" behindDoc="1" locked="0" layoutInCell="1" allowOverlap="1" wp14:anchorId="280FF1D8" wp14:editId="39764C6C">
                      <wp:simplePos x="0" y="0"/>
                      <wp:positionH relativeFrom="page">
                        <wp:posOffset>6626225</wp:posOffset>
                      </wp:positionH>
                      <wp:positionV relativeFrom="paragraph">
                        <wp:posOffset>92710</wp:posOffset>
                      </wp:positionV>
                      <wp:extent cx="41275" cy="6350"/>
                      <wp:effectExtent l="0" t="0" r="0" b="444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6733C" id="Rectangle 15" o:spid="_x0000_s1026" style="position:absolute;margin-left:521.75pt;margin-top:7.3pt;width:3.25pt;height:.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" fillcolor="blue" stroked="f">
                      <w10:wrap anchorx="page"/>
                    </v:rect>
                  </w:pict>
                </mc:Fallback>
              </mc:AlternateContent>
            </w:r>
            <w:r>
              <w:rPr>
                <w:sz w:val="20"/>
                <w:u w:val="single"/>
              </w:rPr>
              <w:t>Process</w:t>
            </w:r>
            <w:r>
              <w:rPr>
                <w:sz w:val="20"/>
              </w:rPr>
              <w:t xml:space="preserve">: </w:t>
            </w:r>
            <w:hyperlink w:anchor="_bookmark2" w:history="1">
              <w:r>
                <w:rPr>
                  <w:b/>
                  <w:color w:val="0000FF"/>
                  <w:sz w:val="20"/>
                  <w:vertAlign w:val="superscript"/>
                </w:rPr>
                <w:t>5</w:t>
              </w:r>
              <w:r>
                <w:rPr>
                  <w:b/>
                  <w:color w:val="0000FF"/>
                  <w:sz w:val="20"/>
                </w:rPr>
                <w:t xml:space="preserve"> </w:t>
              </w:r>
            </w:hyperlink>
            <w:r>
              <w:rPr>
                <w:sz w:val="20"/>
              </w:rPr>
              <w:t xml:space="preserve">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process leads to a desired health</w:t>
            </w:r>
            <w:r>
              <w:rPr>
                <w:spacing w:val="-2"/>
                <w:sz w:val="20"/>
              </w:rPr>
              <w:t xml:space="preserve"> </w:t>
            </w:r>
            <w:r>
              <w:rPr>
                <w:sz w:val="20"/>
              </w:rPr>
              <w:t>outcome.</w:t>
            </w:r>
          </w:p>
          <w:p w14:paraId="12B38D7A" w14:textId="538A0C0B" w:rsidR="005B2574" w:rsidRDefault="005B2574" w:rsidP="005B2574">
            <w:pPr>
              <w:pStyle w:val="ListParagraph"/>
              <w:widowControl w:val="0"/>
              <w:numPr>
                <w:ilvl w:val="0"/>
                <w:numId w:val="19"/>
              </w:numPr>
              <w:tabs>
                <w:tab w:val="left" w:pos="441"/>
              </w:tabs>
              <w:autoSpaceDE w:val="0"/>
              <w:autoSpaceDN w:val="0"/>
              <w:spacing w:after="0" w:line="240" w:lineRule="auto"/>
              <w:ind w:right="439" w:hanging="216"/>
              <w:contextualSpacing w:val="0"/>
              <w:rPr>
                <w:sz w:val="20"/>
              </w:rPr>
            </w:pPr>
            <w:r>
              <w:rPr>
                <w:noProof/>
              </w:rPr>
              <mc:AlternateContent>
                <mc:Choice Requires="wps">
                  <w:drawing>
                    <wp:anchor distT="0" distB="0" distL="114300" distR="114300" simplePos="0" relativeHeight="251663360" behindDoc="1" locked="0" layoutInCell="1" allowOverlap="1" wp14:anchorId="06BDC10A" wp14:editId="6E692A56">
                      <wp:simplePos x="0" y="0"/>
                      <wp:positionH relativeFrom="page">
                        <wp:posOffset>6644640</wp:posOffset>
                      </wp:positionH>
                      <wp:positionV relativeFrom="paragraph">
                        <wp:posOffset>92710</wp:posOffset>
                      </wp:positionV>
                      <wp:extent cx="41275" cy="6350"/>
                      <wp:effectExtent l="0" t="635" r="635" b="254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4CCC2" id="Rectangle 14" o:spid="_x0000_s1026" style="position:absolute;margin-left:523.2pt;margin-top:7.3pt;width:3.25pt;height:.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" fillcolor="blue" stroked="f">
                      <w10:wrap anchorx="page"/>
                    </v:rect>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sz w:val="20"/>
                  <w:vertAlign w:val="superscript"/>
                </w:rPr>
                <w:t>4</w:t>
              </w:r>
            </w:hyperlink>
            <w:r>
              <w:rPr>
                <w:b/>
                <w:color w:val="0000FF"/>
                <w:sz w:val="20"/>
              </w:rPr>
              <w:t xml:space="preserve"> </w:t>
            </w:r>
            <w:r>
              <w:rPr>
                <w:sz w:val="20"/>
              </w:rPr>
              <w:t>that the measured structure leads to a desired health</w:t>
            </w:r>
            <w:r>
              <w:rPr>
                <w:spacing w:val="-2"/>
                <w:sz w:val="20"/>
              </w:rPr>
              <w:t xml:space="preserve"> </w:t>
            </w:r>
            <w:r>
              <w:rPr>
                <w:sz w:val="20"/>
              </w:rPr>
              <w:t>outcome.</w:t>
            </w:r>
          </w:p>
          <w:p w14:paraId="0D473001" w14:textId="7D1AEEF7" w:rsidR="005B2574" w:rsidRDefault="005B2574" w:rsidP="005B2574">
            <w:pPr>
              <w:pStyle w:val="ListParagraph"/>
              <w:widowControl w:val="0"/>
              <w:numPr>
                <w:ilvl w:val="0"/>
                <w:numId w:val="19"/>
              </w:numPr>
              <w:tabs>
                <w:tab w:val="left" w:pos="441"/>
              </w:tabs>
              <w:autoSpaceDE w:val="0"/>
              <w:autoSpaceDN w:val="0"/>
              <w:spacing w:after="0" w:line="255" w:lineRule="exact"/>
              <w:ind w:left="441"/>
              <w:contextualSpacing w:val="0"/>
              <w:rPr>
                <w:sz w:val="20"/>
              </w:rPr>
            </w:pPr>
            <w:r>
              <w:rPr>
                <w:noProof/>
              </w:rPr>
              <mc:AlternateContent>
                <mc:Choice Requires="wps">
                  <w:drawing>
                    <wp:anchor distT="0" distB="0" distL="114300" distR="114300" simplePos="0" relativeHeight="251664384" behindDoc="1" locked="0" layoutInCell="1" allowOverlap="1" wp14:anchorId="38A360BE" wp14:editId="2CACD2AD">
                      <wp:simplePos x="0" y="0"/>
                      <wp:positionH relativeFrom="page">
                        <wp:posOffset>1380490</wp:posOffset>
                      </wp:positionH>
                      <wp:positionV relativeFrom="paragraph">
                        <wp:posOffset>92710</wp:posOffset>
                      </wp:positionV>
                      <wp:extent cx="41275" cy="6350"/>
                      <wp:effectExtent l="0" t="3175"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07D3B" id="Rectangle 13" o:spid="_x0000_s1026" style="position:absolute;margin-left:108.7pt;margin-top:7.3pt;width:3.25pt;height:.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" fillcolor="blue" stroked="f">
                      <w10:wrap anchorx="page"/>
                    </v:rect>
                  </w:pict>
                </mc:Fallback>
              </mc:AlternateContent>
            </w:r>
            <w:r>
              <w:rPr>
                <w:sz w:val="20"/>
                <w:u w:val="single"/>
              </w:rPr>
              <w:t>Efficiency</w:t>
            </w:r>
            <w:r>
              <w:rPr>
                <w:sz w:val="20"/>
              </w:rPr>
              <w:t xml:space="preserve">: </w:t>
            </w:r>
            <w:hyperlink w:anchor="_bookmark3" w:history="1">
              <w:r>
                <w:rPr>
                  <w:b/>
                  <w:color w:val="0000FF"/>
                  <w:sz w:val="20"/>
                  <w:vertAlign w:val="superscript"/>
                </w:rPr>
                <w:t>6</w:t>
              </w:r>
              <w:r>
                <w:rPr>
                  <w:b/>
                  <w:color w:val="0000FF"/>
                  <w:sz w:val="20"/>
                </w:rPr>
                <w:t xml:space="preserve"> </w:t>
              </w:r>
            </w:hyperlink>
            <w:r>
              <w:rPr>
                <w:sz w:val="20"/>
              </w:rPr>
              <w:t>evidence not required for the resource use</w:t>
            </w:r>
            <w:r>
              <w:rPr>
                <w:spacing w:val="-8"/>
                <w:sz w:val="20"/>
              </w:rPr>
              <w:t xml:space="preserve"> </w:t>
            </w:r>
            <w:r>
              <w:rPr>
                <w:sz w:val="20"/>
              </w:rPr>
              <w:t>component.</w:t>
            </w:r>
          </w:p>
          <w:p w14:paraId="7F095B8E" w14:textId="77777777" w:rsidR="005B2574" w:rsidRDefault="005B2574" w:rsidP="005B2574">
            <w:pPr>
              <w:pStyle w:val="ListParagraph"/>
              <w:widowControl w:val="0"/>
              <w:numPr>
                <w:ilvl w:val="0"/>
                <w:numId w:val="19"/>
              </w:numPr>
              <w:tabs>
                <w:tab w:val="left" w:pos="441"/>
              </w:tabs>
              <w:autoSpaceDE w:val="0"/>
              <w:autoSpaceDN w:val="0"/>
              <w:spacing w:after="0" w:line="240" w:lineRule="auto"/>
              <w:ind w:right="1052" w:hanging="216"/>
              <w:contextualSpacing w:val="0"/>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 it</w:t>
            </w:r>
            <w:r>
              <w:rPr>
                <w:spacing w:val="-2"/>
                <w:sz w:val="20"/>
              </w:rPr>
              <w:t xml:space="preserve"> </w:t>
            </w:r>
            <w:r>
              <w:rPr>
                <w:sz w:val="20"/>
              </w:rPr>
              <w:t>meaningful.</w:t>
            </w:r>
          </w:p>
          <w:p w14:paraId="250A6032" w14:textId="77777777" w:rsidR="005B2574" w:rsidRDefault="005B2574" w:rsidP="005B2574">
            <w:pPr>
              <w:pStyle w:val="ListParagraph"/>
              <w:widowControl w:val="0"/>
              <w:numPr>
                <w:ilvl w:val="0"/>
                <w:numId w:val="19"/>
              </w:numPr>
              <w:tabs>
                <w:tab w:val="left" w:pos="441"/>
              </w:tabs>
              <w:autoSpaceDE w:val="0"/>
              <w:autoSpaceDN w:val="0"/>
              <w:spacing w:before="1" w:after="0" w:line="240" w:lineRule="auto"/>
              <w:ind w:right="634" w:hanging="216"/>
              <w:contextualSpacing w:val="0"/>
              <w:rPr>
                <w:sz w:val="20"/>
              </w:rPr>
            </w:pPr>
            <w:r>
              <w:rPr>
                <w:sz w:val="20"/>
                <w:u w:val="single"/>
              </w:rPr>
              <w:t>Process measures incorporating Appropriate Use Criteria:</w:t>
            </w:r>
            <w:r>
              <w:rPr>
                <w:sz w:val="20"/>
              </w:rPr>
              <w:t xml:space="preserve"> See NQF’s guidance for evidence for measures, in general; guidance for measures specifically based on clinical practice guidelines apply as</w:t>
            </w:r>
            <w:r>
              <w:rPr>
                <w:spacing w:val="-7"/>
                <w:sz w:val="20"/>
              </w:rPr>
              <w:t xml:space="preserve"> </w:t>
            </w:r>
            <w:r>
              <w:rPr>
                <w:sz w:val="20"/>
              </w:rPr>
              <w:t>well.</w:t>
            </w:r>
          </w:p>
          <w:p w14:paraId="1A1914F0" w14:textId="77777777" w:rsidR="005B2574" w:rsidRDefault="005B2574" w:rsidP="005B2574">
            <w:pPr>
              <w:pStyle w:val="BodyText"/>
              <w:spacing w:before="12"/>
              <w:rPr>
                <w:sz w:val="17"/>
              </w:rPr>
            </w:pPr>
          </w:p>
          <w:p w14:paraId="4F450C8F" w14:textId="77777777" w:rsidR="005B2574" w:rsidRDefault="005B2574" w:rsidP="005B2574">
            <w:pPr>
              <w:pStyle w:val="Heading3"/>
            </w:pPr>
            <w:r>
              <w:t>Notes</w:t>
            </w:r>
          </w:p>
          <w:p w14:paraId="26FFADD5" w14:textId="77777777" w:rsidR="005B2574" w:rsidRDefault="005B2574" w:rsidP="005B2574">
            <w:pPr>
              <w:pStyle w:val="ListParagraph"/>
              <w:widowControl w:val="0"/>
              <w:numPr>
                <w:ilvl w:val="0"/>
                <w:numId w:val="18"/>
              </w:numPr>
              <w:tabs>
                <w:tab w:val="left" w:pos="424"/>
              </w:tabs>
              <w:autoSpaceDE w:val="0"/>
              <w:autoSpaceDN w:val="0"/>
              <w:spacing w:after="0" w:line="240" w:lineRule="auto"/>
              <w:ind w:right="736" w:firstLine="0"/>
              <w:contextualSpacing w:val="0"/>
              <w:rPr>
                <w:sz w:val="20"/>
              </w:rPr>
            </w:pPr>
            <w:bookmarkStart w:id="1" w:name="_bookmark0"/>
            <w:bookmarkEnd w:id="1"/>
            <w:r>
              <w:rPr>
                <w:sz w:val="20"/>
              </w:rPr>
              <w:t>Generally,</w:t>
            </w:r>
            <w:r>
              <w:rPr>
                <w:spacing w:val="-4"/>
                <w:sz w:val="20"/>
              </w:rPr>
              <w:t xml:space="preserve"> </w:t>
            </w:r>
            <w:r>
              <w:rPr>
                <w:sz w:val="20"/>
              </w:rPr>
              <w:t>rare</w:t>
            </w:r>
            <w:r>
              <w:rPr>
                <w:spacing w:val="-5"/>
                <w:sz w:val="20"/>
              </w:rPr>
              <w:t xml:space="preserve"> </w:t>
            </w:r>
            <w:r>
              <w:rPr>
                <w:sz w:val="20"/>
              </w:rPr>
              <w:t>event</w:t>
            </w:r>
            <w:r>
              <w:rPr>
                <w:spacing w:val="-4"/>
                <w:sz w:val="20"/>
              </w:rPr>
              <w:t xml:space="preserve"> </w:t>
            </w:r>
            <w:r>
              <w:rPr>
                <w:sz w:val="20"/>
              </w:rPr>
              <w:t>outcomes</w:t>
            </w:r>
            <w:r>
              <w:rPr>
                <w:spacing w:val="-5"/>
                <w:sz w:val="20"/>
              </w:rPr>
              <w:t xml:space="preserve"> </w:t>
            </w:r>
            <w:r>
              <w:rPr>
                <w:sz w:val="20"/>
              </w:rPr>
              <w:t>do</w:t>
            </w:r>
            <w:r>
              <w:rPr>
                <w:spacing w:val="-4"/>
                <w:sz w:val="20"/>
              </w:rPr>
              <w:t xml:space="preserve"> </w:t>
            </w:r>
            <w:r>
              <w:rPr>
                <w:sz w:val="20"/>
              </w:rPr>
              <w:t>not</w:t>
            </w:r>
            <w:r>
              <w:rPr>
                <w:spacing w:val="-4"/>
                <w:sz w:val="20"/>
              </w:rPr>
              <w:t xml:space="preserve"> </w:t>
            </w:r>
            <w:r>
              <w:rPr>
                <w:sz w:val="20"/>
              </w:rPr>
              <w:t>provide</w:t>
            </w:r>
            <w:r>
              <w:rPr>
                <w:spacing w:val="-5"/>
                <w:sz w:val="20"/>
              </w:rPr>
              <w:t xml:space="preserve"> </w:t>
            </w:r>
            <w:r>
              <w:rPr>
                <w:sz w:val="20"/>
              </w:rPr>
              <w:t>adequate</w:t>
            </w:r>
            <w:r>
              <w:rPr>
                <w:spacing w:val="-5"/>
                <w:sz w:val="20"/>
              </w:rPr>
              <w:t xml:space="preserve"> </w:t>
            </w:r>
            <w:r>
              <w:rPr>
                <w:sz w:val="20"/>
              </w:rPr>
              <w:t>information</w:t>
            </w:r>
            <w:r>
              <w:rPr>
                <w:spacing w:val="-3"/>
                <w:sz w:val="20"/>
              </w:rPr>
              <w:t xml:space="preserve"> </w:t>
            </w:r>
            <w:r>
              <w:rPr>
                <w:sz w:val="20"/>
              </w:rPr>
              <w:t>for</w:t>
            </w:r>
            <w:r>
              <w:rPr>
                <w:spacing w:val="-5"/>
                <w:sz w:val="20"/>
              </w:rPr>
              <w:t xml:space="preserve"> </w:t>
            </w:r>
            <w:r>
              <w:rPr>
                <w:sz w:val="20"/>
              </w:rPr>
              <w:t>improvement</w:t>
            </w:r>
            <w:r>
              <w:rPr>
                <w:spacing w:val="-1"/>
                <w:sz w:val="20"/>
              </w:rPr>
              <w:t xml:space="preserve"> </w:t>
            </w:r>
            <w:r>
              <w:rPr>
                <w:sz w:val="20"/>
              </w:rPr>
              <w:t>or</w:t>
            </w:r>
            <w:r>
              <w:rPr>
                <w:spacing w:val="-4"/>
                <w:sz w:val="20"/>
              </w:rPr>
              <w:t xml:space="preserve"> </w:t>
            </w:r>
            <w:r>
              <w:rPr>
                <w:sz w:val="20"/>
              </w:rPr>
              <w:t>discrimination;</w:t>
            </w:r>
            <w:r>
              <w:rPr>
                <w:spacing w:val="-5"/>
                <w:sz w:val="20"/>
              </w:rPr>
              <w:t xml:space="preserve"> </w:t>
            </w:r>
            <w:r>
              <w:rPr>
                <w:sz w:val="20"/>
              </w:rPr>
              <w:t>however, serious reportable events that are compared to zero are appropriate outcomes for public reporting and quality improvement.</w:t>
            </w:r>
          </w:p>
          <w:p w14:paraId="39BC7CBA" w14:textId="77777777" w:rsidR="005B2574" w:rsidRDefault="005B2574" w:rsidP="005B2574">
            <w:pPr>
              <w:pStyle w:val="ListParagraph"/>
              <w:widowControl w:val="0"/>
              <w:numPr>
                <w:ilvl w:val="0"/>
                <w:numId w:val="18"/>
              </w:numPr>
              <w:tabs>
                <w:tab w:val="left" w:pos="424"/>
              </w:tabs>
              <w:autoSpaceDE w:val="0"/>
              <w:autoSpaceDN w:val="0"/>
              <w:spacing w:after="0" w:line="240" w:lineRule="auto"/>
              <w:ind w:right="547" w:firstLine="0"/>
              <w:contextualSpacing w:val="0"/>
              <w:rPr>
                <w:sz w:val="20"/>
              </w:rPr>
            </w:pPr>
            <w:bookmarkStart w:id="2" w:name="_bookmark1"/>
            <w:bookmarkEnd w:id="2"/>
            <w:r>
              <w:rPr>
                <w:sz w:val="20"/>
              </w:rPr>
              <w:t>The</w:t>
            </w:r>
            <w:r>
              <w:rPr>
                <w:spacing w:val="-5"/>
                <w:sz w:val="20"/>
              </w:rPr>
              <w:t xml:space="preserve"> </w:t>
            </w:r>
            <w:r>
              <w:rPr>
                <w:sz w:val="20"/>
              </w:rPr>
              <w:t>preferred</w:t>
            </w:r>
            <w:r>
              <w:rPr>
                <w:spacing w:val="-2"/>
                <w:sz w:val="20"/>
              </w:rPr>
              <w:t xml:space="preserve"> </w:t>
            </w:r>
            <w:r>
              <w:rPr>
                <w:sz w:val="20"/>
              </w:rPr>
              <w:t>systems</w:t>
            </w:r>
            <w:r>
              <w:rPr>
                <w:spacing w:val="-4"/>
                <w:sz w:val="20"/>
              </w:rPr>
              <w:t xml:space="preserve"> </w:t>
            </w:r>
            <w:r>
              <w:rPr>
                <w:sz w:val="20"/>
              </w:rPr>
              <w:t>for</w:t>
            </w:r>
            <w:r>
              <w:rPr>
                <w:spacing w:val="-4"/>
                <w:sz w:val="20"/>
              </w:rPr>
              <w:t xml:space="preserve"> </w:t>
            </w:r>
            <w:r>
              <w:rPr>
                <w:sz w:val="20"/>
              </w:rPr>
              <w:t>grading</w:t>
            </w:r>
            <w:r>
              <w:rPr>
                <w:spacing w:val="-3"/>
                <w:sz w:val="20"/>
              </w:rPr>
              <w:t xml:space="preserve"> </w:t>
            </w:r>
            <w:r>
              <w:rPr>
                <w:sz w:val="20"/>
              </w:rPr>
              <w:t>the</w:t>
            </w:r>
            <w:r>
              <w:rPr>
                <w:spacing w:val="-4"/>
                <w:sz w:val="20"/>
              </w:rPr>
              <w:t xml:space="preserve"> </w:t>
            </w:r>
            <w:r>
              <w:rPr>
                <w:sz w:val="20"/>
              </w:rPr>
              <w:t>evidence</w:t>
            </w:r>
            <w:r>
              <w:rPr>
                <w:spacing w:val="-4"/>
                <w:sz w:val="20"/>
              </w:rPr>
              <w:t xml:space="preserve"> </w:t>
            </w:r>
            <w:r>
              <w:rPr>
                <w:sz w:val="20"/>
              </w:rPr>
              <w:t>are</w:t>
            </w:r>
            <w:r>
              <w:rPr>
                <w:spacing w:val="-4"/>
                <w:sz w:val="20"/>
              </w:rPr>
              <w:t xml:space="preserve"> </w:t>
            </w:r>
            <w:r>
              <w:rPr>
                <w:sz w:val="20"/>
              </w:rPr>
              <w:t>the</w:t>
            </w:r>
            <w:r>
              <w:rPr>
                <w:spacing w:val="-5"/>
                <w:sz w:val="20"/>
              </w:rPr>
              <w:t xml:space="preserve"> </w:t>
            </w:r>
            <w:r>
              <w:rPr>
                <w:sz w:val="20"/>
              </w:rPr>
              <w:t>Grading</w:t>
            </w:r>
            <w:r>
              <w:rPr>
                <w:spacing w:val="-3"/>
                <w:sz w:val="20"/>
              </w:rPr>
              <w:t xml:space="preserve"> </w:t>
            </w:r>
            <w:r>
              <w:rPr>
                <w:sz w:val="20"/>
              </w:rPr>
              <w:t>of</w:t>
            </w:r>
            <w:r>
              <w:rPr>
                <w:spacing w:val="-4"/>
                <w:sz w:val="20"/>
              </w:rPr>
              <w:t xml:space="preserve"> </w:t>
            </w:r>
            <w:r>
              <w:rPr>
                <w:sz w:val="20"/>
              </w:rPr>
              <w:t>Recommendations,</w:t>
            </w:r>
            <w:r>
              <w:rPr>
                <w:spacing w:val="-1"/>
                <w:sz w:val="20"/>
              </w:rPr>
              <w:t xml:space="preserve"> </w:t>
            </w:r>
            <w:r>
              <w:rPr>
                <w:sz w:val="20"/>
              </w:rPr>
              <w:t>Assessment,</w:t>
            </w:r>
            <w:r>
              <w:rPr>
                <w:spacing w:val="-2"/>
                <w:sz w:val="20"/>
              </w:rPr>
              <w:t xml:space="preserve"> </w:t>
            </w:r>
            <w:r>
              <w:rPr>
                <w:sz w:val="20"/>
              </w:rPr>
              <w:lastRenderedPageBreak/>
              <w:t>Development</w:t>
            </w:r>
            <w:r>
              <w:rPr>
                <w:spacing w:val="-3"/>
                <w:sz w:val="20"/>
              </w:rPr>
              <w:t xml:space="preserve"> </w:t>
            </w:r>
            <w:r>
              <w:rPr>
                <w:sz w:val="20"/>
              </w:rPr>
              <w:t>and</w:t>
            </w:r>
            <w:bookmarkStart w:id="3" w:name="_bookmark2"/>
            <w:bookmarkEnd w:id="3"/>
            <w:r>
              <w:rPr>
                <w:sz w:val="20"/>
              </w:rPr>
              <w:t xml:space="preserve"> Evaluation</w:t>
            </w:r>
            <w:r>
              <w:rPr>
                <w:color w:val="0000FF"/>
                <w:sz w:val="20"/>
              </w:rPr>
              <w:t xml:space="preserve"> </w:t>
            </w:r>
            <w:hyperlink r:id="rId13">
              <w:r>
                <w:rPr>
                  <w:color w:val="0000FF"/>
                  <w:sz w:val="20"/>
                  <w:u w:val="single" w:color="0000FF"/>
                </w:rPr>
                <w:t>(GRADE) guidelines</w:t>
              </w:r>
              <w:r>
                <w:rPr>
                  <w:color w:val="0000FF"/>
                  <w:sz w:val="20"/>
                </w:rPr>
                <w:t xml:space="preserve"> </w:t>
              </w:r>
            </w:hyperlink>
            <w:r>
              <w:rPr>
                <w:sz w:val="20"/>
              </w:rPr>
              <w:t>and/or modified</w:t>
            </w:r>
            <w:r>
              <w:rPr>
                <w:spacing w:val="1"/>
                <w:sz w:val="20"/>
              </w:rPr>
              <w:t xml:space="preserve"> </w:t>
            </w:r>
            <w:r>
              <w:rPr>
                <w:sz w:val="20"/>
              </w:rPr>
              <w:t>GRADE.</w:t>
            </w:r>
          </w:p>
          <w:p w14:paraId="52087902" w14:textId="3A35E07E" w:rsidR="008659ED" w:rsidRPr="005B2574" w:rsidRDefault="005B2574" w:rsidP="005B2574">
            <w:pPr>
              <w:pStyle w:val="ListParagraph"/>
              <w:widowControl w:val="0"/>
              <w:numPr>
                <w:ilvl w:val="0"/>
                <w:numId w:val="18"/>
              </w:numPr>
              <w:tabs>
                <w:tab w:val="left" w:pos="424"/>
              </w:tabs>
              <w:autoSpaceDE w:val="0"/>
              <w:autoSpaceDN w:val="0"/>
              <w:spacing w:after="0" w:line="240" w:lineRule="auto"/>
              <w:ind w:right="468" w:firstLine="0"/>
              <w:contextualSpacing w:val="0"/>
              <w:rPr>
                <w:sz w:val="20"/>
              </w:rPr>
            </w:pPr>
            <w:r>
              <w:rPr>
                <w:sz w:val="20"/>
              </w:rPr>
              <w:t xml:space="preserve">Clinical care processes typically include multiple steps: assess </w:t>
            </w:r>
            <w:r>
              <w:rPr>
                <w:rFonts w:ascii="Symbol" w:hAnsi="Symbol"/>
                <w:sz w:val="20"/>
              </w:rPr>
              <w:t></w:t>
            </w:r>
            <w:r>
              <w:rPr>
                <w:rFonts w:ascii="Times New Roman" w:hAnsi="Times New Roman"/>
                <w:sz w:val="20"/>
              </w:rPr>
              <w:t xml:space="preserve"> </w:t>
            </w:r>
            <w:r>
              <w:rPr>
                <w:sz w:val="20"/>
              </w:rPr>
              <w:t xml:space="preserve">identify problem/potential problem </w:t>
            </w:r>
            <w:r>
              <w:rPr>
                <w:rFonts w:ascii="Symbol" w:hAnsi="Symbol"/>
                <w:sz w:val="20"/>
              </w:rPr>
              <w:t></w:t>
            </w:r>
            <w:r>
              <w:rPr>
                <w:rFonts w:ascii="Times New Roman" w:hAnsi="Times New Roman"/>
                <w:sz w:val="20"/>
              </w:rPr>
              <w:t xml:space="preserve"> </w:t>
            </w:r>
            <w:r>
              <w:rPr>
                <w:sz w:val="20"/>
              </w:rPr>
              <w:t>choose/plan intervention</w:t>
            </w:r>
            <w:r>
              <w:rPr>
                <w:spacing w:val="-3"/>
                <w:sz w:val="20"/>
              </w:rPr>
              <w:t xml:space="preserve"> </w:t>
            </w:r>
            <w:r>
              <w:rPr>
                <w:sz w:val="20"/>
              </w:rPr>
              <w:t>(with</w:t>
            </w:r>
            <w:r>
              <w:rPr>
                <w:spacing w:val="-2"/>
                <w:sz w:val="20"/>
              </w:rPr>
              <w:t xml:space="preserve"> </w:t>
            </w:r>
            <w:r>
              <w:rPr>
                <w:sz w:val="20"/>
              </w:rPr>
              <w:t>patient</w:t>
            </w:r>
            <w:r>
              <w:rPr>
                <w:spacing w:val="-3"/>
                <w:sz w:val="20"/>
              </w:rPr>
              <w:t xml:space="preserve"> </w:t>
            </w:r>
            <w:r>
              <w:rPr>
                <w:sz w:val="20"/>
              </w:rPr>
              <w:t>input)</w:t>
            </w:r>
            <w:r>
              <w:rPr>
                <w:spacing w:val="-4"/>
                <w:sz w:val="20"/>
              </w:rPr>
              <w:t xml:space="preserve"> </w:t>
            </w:r>
            <w:r>
              <w:rPr>
                <w:rFonts w:ascii="Symbol" w:hAnsi="Symbol"/>
                <w:sz w:val="20"/>
              </w:rPr>
              <w:t></w:t>
            </w:r>
            <w:r>
              <w:rPr>
                <w:rFonts w:ascii="Times New Roman" w:hAnsi="Times New Roman"/>
                <w:spacing w:val="-8"/>
                <w:sz w:val="20"/>
              </w:rPr>
              <w:t xml:space="preserve"> </w:t>
            </w:r>
            <w:r>
              <w:rPr>
                <w:sz w:val="20"/>
              </w:rPr>
              <w:t>provide</w:t>
            </w:r>
            <w:r>
              <w:rPr>
                <w:spacing w:val="-4"/>
                <w:sz w:val="20"/>
              </w:rPr>
              <w:t xml:space="preserve"> </w:t>
            </w:r>
            <w:r>
              <w:rPr>
                <w:sz w:val="20"/>
              </w:rPr>
              <w:t>intervention</w:t>
            </w:r>
            <w:r>
              <w:rPr>
                <w:spacing w:val="-2"/>
                <w:sz w:val="20"/>
              </w:rPr>
              <w:t xml:space="preserve"> </w:t>
            </w:r>
            <w:r>
              <w:rPr>
                <w:rFonts w:ascii="Symbol" w:hAnsi="Symbol"/>
                <w:sz w:val="20"/>
              </w:rPr>
              <w:t></w:t>
            </w:r>
            <w:r>
              <w:rPr>
                <w:rFonts w:ascii="Times New Roman" w:hAnsi="Times New Roman"/>
                <w:spacing w:val="-6"/>
                <w:sz w:val="20"/>
              </w:rPr>
              <w:t xml:space="preserve"> </w:t>
            </w:r>
            <w:r>
              <w:rPr>
                <w:sz w:val="20"/>
              </w:rPr>
              <w:t>evaluate</w:t>
            </w:r>
            <w:r>
              <w:rPr>
                <w:spacing w:val="-4"/>
                <w:sz w:val="20"/>
              </w:rPr>
              <w:t xml:space="preserve"> </w:t>
            </w:r>
            <w:r>
              <w:rPr>
                <w:sz w:val="20"/>
              </w:rPr>
              <w:t>impact</w:t>
            </w:r>
            <w:r>
              <w:rPr>
                <w:spacing w:val="-3"/>
                <w:sz w:val="20"/>
              </w:rPr>
              <w:t xml:space="preserve"> </w:t>
            </w:r>
            <w:r>
              <w:rPr>
                <w:sz w:val="20"/>
              </w:rPr>
              <w:t>on</w:t>
            </w:r>
            <w:r>
              <w:rPr>
                <w:spacing w:val="-2"/>
                <w:sz w:val="20"/>
              </w:rPr>
              <w:t xml:space="preserve"> </w:t>
            </w:r>
            <w:r>
              <w:rPr>
                <w:sz w:val="20"/>
              </w:rPr>
              <w:t>health</w:t>
            </w:r>
            <w:r>
              <w:rPr>
                <w:spacing w:val="-3"/>
                <w:sz w:val="20"/>
              </w:rPr>
              <w:t xml:space="preserve"> </w:t>
            </w:r>
            <w:r>
              <w:rPr>
                <w:sz w:val="20"/>
              </w:rPr>
              <w:t>status.</w:t>
            </w:r>
            <w:r>
              <w:rPr>
                <w:spacing w:val="-3"/>
                <w:sz w:val="20"/>
              </w:rPr>
              <w:t xml:space="preserve"> </w:t>
            </w:r>
            <w:r>
              <w:rPr>
                <w:sz w:val="20"/>
              </w:rPr>
              <w:t>If</w:t>
            </w:r>
            <w:r>
              <w:rPr>
                <w:spacing w:val="-4"/>
                <w:sz w:val="20"/>
              </w:rPr>
              <w:t xml:space="preserve"> </w:t>
            </w:r>
            <w:r>
              <w:rPr>
                <w:sz w:val="20"/>
              </w:rPr>
              <w:t>the</w:t>
            </w:r>
            <w:r>
              <w:rPr>
                <w:spacing w:val="-4"/>
                <w:sz w:val="20"/>
              </w:rPr>
              <w:t xml:space="preserve"> </w:t>
            </w:r>
            <w:r>
              <w:rPr>
                <w:sz w:val="20"/>
              </w:rPr>
              <w:t>measure</w:t>
            </w:r>
            <w:r>
              <w:rPr>
                <w:spacing w:val="-2"/>
                <w:sz w:val="20"/>
              </w:rPr>
              <w:t xml:space="preserve"> </w:t>
            </w:r>
            <w:r>
              <w:rPr>
                <w:sz w:val="20"/>
              </w:rPr>
              <w:t>focus</w:t>
            </w:r>
            <w:r>
              <w:rPr>
                <w:spacing w:val="-4"/>
                <w:sz w:val="20"/>
              </w:rPr>
              <w:t xml:space="preserve"> </w:t>
            </w:r>
            <w:r>
              <w:rPr>
                <w:sz w:val="20"/>
              </w:rPr>
              <w:t>is</w:t>
            </w:r>
            <w:r>
              <w:rPr>
                <w:spacing w:val="-4"/>
                <w:sz w:val="20"/>
              </w:rPr>
              <w:t xml:space="preserve"> </w:t>
            </w:r>
            <w:r>
              <w:rPr>
                <w:sz w:val="20"/>
              </w:rPr>
              <w:t>one</w:t>
            </w:r>
          </w:p>
        </w:tc>
      </w:tr>
    </w:tbl>
    <w:p w14:paraId="474ADA00" w14:textId="77777777" w:rsidR="005B2574" w:rsidRDefault="005B2574" w:rsidP="002E2177">
      <w:pPr>
        <w:ind w:left="0" w:firstLine="0"/>
        <w:rPr>
          <w:rFonts w:eastAsiaTheme="minorEastAsia"/>
          <w:b/>
          <w:bCs/>
          <w:color w:val="0000FF"/>
        </w:rPr>
      </w:pPr>
    </w:p>
    <w:p w14:paraId="52087904" w14:textId="3FF2238E" w:rsidR="00A67EB1" w:rsidRPr="003B1CC5" w:rsidRDefault="38AF9500" w:rsidP="002E2177">
      <w:pPr>
        <w:ind w:left="0" w:firstLine="0"/>
        <w:rPr>
          <w:bCs/>
          <w:i/>
        </w:rPr>
      </w:pPr>
      <w:r w:rsidRPr="00E316C7">
        <w:rPr>
          <w:rFonts w:eastAsiaTheme="minorEastAsia"/>
          <w:b/>
          <w:bCs/>
          <w:color w:val="0000FF"/>
        </w:rPr>
        <w:t>1a.1.</w:t>
      </w:r>
      <w:r w:rsidRPr="00E316C7">
        <w:rPr>
          <w:rFonts w:eastAsiaTheme="minorEastAsia"/>
          <w:b/>
          <w:bCs/>
        </w:rPr>
        <w:t>This is a measure of</w:t>
      </w:r>
      <w:r w:rsidRPr="00E316C7">
        <w:rPr>
          <w:rFonts w:eastAsiaTheme="minorEastAsia"/>
        </w:rPr>
        <w:t>: (</w:t>
      </w:r>
      <w:r w:rsidRPr="00E316C7">
        <w:rPr>
          <w:rFonts w:eastAsiaTheme="minorEastAsia"/>
          <w:i/>
          <w:iCs/>
        </w:rPr>
        <w:t>should be consistent with type of measure entered in De.1</w:t>
      </w:r>
      <w:r w:rsidRPr="00E316C7">
        <w:rPr>
          <w:rFonts w:eastAsiaTheme="minorEastAsia"/>
        </w:rPr>
        <w:t xml:space="preserve">) </w:t>
      </w:r>
    </w:p>
    <w:p w14:paraId="52087905" w14:textId="77777777" w:rsidR="00496AF8" w:rsidRPr="003B1CC5" w:rsidRDefault="38AF9500" w:rsidP="00015986">
      <w:pPr>
        <w:ind w:left="432" w:hanging="432"/>
        <w:rPr>
          <w:rFonts w:cs="Calibri"/>
          <w:bCs/>
        </w:rPr>
      </w:pPr>
      <w:r w:rsidRPr="00E316C7">
        <w:rPr>
          <w:rFonts w:eastAsiaTheme="minorEastAsia"/>
        </w:rPr>
        <w:t>Outcome</w:t>
      </w:r>
    </w:p>
    <w:p w14:paraId="52087906" w14:textId="77777777" w:rsidR="00496AF8" w:rsidRPr="003B1CC5" w:rsidRDefault="00F86A6A"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Content>
          <w:r w:rsidR="00236F87" w:rsidRPr="003B1CC5">
            <w:rPr>
              <w:rFonts w:ascii="MS Gothic" w:eastAsia="MS Gothic" w:hAnsi="MS Gothic" w:cs="MS Gothic" w:hint="eastAsia"/>
              <w:bCs/>
              <w:color w:val="0000FF"/>
            </w:rPr>
            <w:t>☐</w:t>
          </w:r>
        </w:sdtContent>
      </w:sdt>
      <w:r w:rsidR="0015535B" w:rsidRPr="00E316C7">
        <w:rPr>
          <w:rFonts w:eastAsiaTheme="minorEastAsia"/>
          <w:color w:val="0000FF"/>
        </w:rPr>
        <w:t xml:space="preserve"> </w:t>
      </w:r>
      <w:r w:rsidR="00E41417" w:rsidRPr="00E316C7">
        <w:rPr>
          <w:rFonts w:eastAsiaTheme="minorEastAsia"/>
        </w:rPr>
        <w:t>H</w:t>
      </w:r>
      <w:r w:rsidR="00BE6373" w:rsidRPr="00E316C7">
        <w:rPr>
          <w:rFonts w:eastAsiaTheme="minorEastAsia"/>
        </w:rPr>
        <w:t>ealth outc</w:t>
      </w:r>
      <w:r w:rsidR="00496AF8" w:rsidRPr="00E316C7">
        <w:rPr>
          <w:rFonts w:eastAsiaTheme="minorEastAsia"/>
        </w:rPr>
        <w:t>ome</w:t>
      </w:r>
      <w:r w:rsidR="00B117D0" w:rsidRPr="00E316C7">
        <w:rPr>
          <w:rFonts w:eastAsiaTheme="minorEastAsia"/>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2087907" w14:textId="77777777" w:rsidR="00236F87" w:rsidRPr="003B1CC5" w:rsidRDefault="00F86A6A" w:rsidP="005857F8">
      <w:pPr>
        <w:ind w:left="720" w:hanging="432"/>
        <w:rPr>
          <w:b/>
          <w:bCs/>
        </w:rPr>
      </w:pPr>
      <w:sdt>
        <w:sdtPr>
          <w:rPr>
            <w:bCs/>
            <w:color w:val="0000FF"/>
          </w:rPr>
          <w:id w:val="-1541041819"/>
          <w14:checkbox>
            <w14:checked w14:val="0"/>
            <w14:checkedState w14:val="2612" w14:font="MS Gothic"/>
            <w14:uncheckedState w14:val="2610" w14:font="MS Gothic"/>
          </w14:checkbox>
        </w:sdtPr>
        <w:sdtContent>
          <w:r w:rsidR="00236F87" w:rsidRPr="003B1CC5">
            <w:rPr>
              <w:rFonts w:ascii="MS Gothic" w:eastAsia="MS Gothic" w:hAnsi="MS Gothic" w:cs="MS Gothic" w:hint="eastAsia"/>
              <w:bCs/>
              <w:color w:val="0000FF"/>
            </w:rPr>
            <w:t>☐</w:t>
          </w:r>
        </w:sdtContent>
      </w:sdt>
      <w:r w:rsidR="00236F87" w:rsidRPr="00E316C7">
        <w:rPr>
          <w:rFonts w:eastAsiaTheme="minorEastAsia"/>
        </w:rPr>
        <w:t>Patient-reported outc</w:t>
      </w:r>
      <w:r w:rsidR="00C613EB" w:rsidRPr="00E316C7">
        <w:rPr>
          <w:rFonts w:eastAsiaTheme="minorEastAsia"/>
        </w:rPr>
        <w:t>o</w:t>
      </w:r>
      <w:r w:rsidR="00236F87" w:rsidRPr="00E316C7">
        <w:rPr>
          <w:rFonts w:eastAsiaTheme="minorEastAsia"/>
        </w:rPr>
        <w:t>me</w:t>
      </w:r>
      <w:r w:rsidR="009C291F" w:rsidRPr="00E316C7">
        <w:rPr>
          <w:rFonts w:eastAsiaTheme="minorEastAsia"/>
        </w:rPr>
        <w:t xml:space="preserve"> (PRO)</w:t>
      </w:r>
      <w:r w:rsidR="00236F87" w:rsidRPr="00E316C7">
        <w:rPr>
          <w:rFonts w:eastAsiaTheme="minorEastAsia"/>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6EA0E1DF" w14:textId="77777777" w:rsidR="00815622" w:rsidRDefault="00815622" w:rsidP="00815622">
      <w:pPr>
        <w:ind w:left="720" w:firstLine="0"/>
        <w:rPr>
          <w:rFonts w:eastAsiaTheme="minorEastAsia"/>
          <w:i/>
          <w:iCs/>
        </w:rPr>
      </w:pPr>
      <w:r w:rsidRPr="00815622">
        <w:rPr>
          <w:rFonts w:eastAsiaTheme="minorEastAsia"/>
          <w:i/>
          <w:iCs/>
        </w:rPr>
        <w:t xml:space="preserve">PROs include </w:t>
      </w:r>
      <w:proofErr w:type="spellStart"/>
      <w:r w:rsidRPr="00815622">
        <w:rPr>
          <w:rFonts w:eastAsiaTheme="minorEastAsia"/>
          <w:i/>
          <w:iCs/>
        </w:rPr>
        <w:t>HRQoL</w:t>
      </w:r>
      <w:proofErr w:type="spellEnd"/>
      <w:r w:rsidRPr="00815622">
        <w:rPr>
          <w:rFonts w:eastAsiaTheme="minorEastAsia"/>
          <w:i/>
          <w:iCs/>
        </w:rPr>
        <w:t>/functional status, symptom/symptom burden, experience with care, health-related behaviors. (A PRO-based performance measure is not a survey instrument. Data may be collected using a survey instrument to construct a PRO measure.)</w:t>
      </w:r>
    </w:p>
    <w:p w14:paraId="52087909" w14:textId="62EE0E98" w:rsidR="00496AF8" w:rsidRPr="003B1CC5" w:rsidRDefault="00F86A6A" w:rsidP="00815622">
      <w:pPr>
        <w:rPr>
          <w:bCs/>
        </w:rPr>
      </w:pPr>
      <w:sdt>
        <w:sdtPr>
          <w:rPr>
            <w:bCs/>
            <w:color w:val="0000FF"/>
          </w:rPr>
          <w:id w:val="1309518776"/>
          <w14:checkbox>
            <w14:checked w14:val="0"/>
            <w14:checkedState w14:val="2612" w14:font="MS Gothic"/>
            <w14:uncheckedState w14:val="2610" w14:font="MS Gothic"/>
          </w14:checkbox>
        </w:sdtPr>
        <w:sdtContent>
          <w:r w:rsidR="00815622">
            <w:rPr>
              <w:rFonts w:ascii="MS Gothic" w:eastAsia="MS Gothic" w:hAnsi="MS Gothic" w:hint="eastAsia"/>
              <w:bCs/>
              <w:color w:val="0000FF"/>
            </w:rPr>
            <w:t>☐</w:t>
          </w:r>
        </w:sdtContent>
      </w:sdt>
      <w:r w:rsidR="0015535B" w:rsidRPr="00E316C7">
        <w:rPr>
          <w:rFonts w:eastAsiaTheme="minorEastAsia"/>
        </w:rPr>
        <w:t xml:space="preserve"> </w:t>
      </w:r>
      <w:r w:rsidR="00E41417" w:rsidRPr="00E316C7">
        <w:rPr>
          <w:rFonts w:eastAsiaTheme="minorEastAsia"/>
        </w:rPr>
        <w:t>I</w:t>
      </w:r>
      <w:r w:rsidR="00496AF8" w:rsidRPr="00E316C7">
        <w:rPr>
          <w:rFonts w:eastAsiaTheme="minorEastAsia"/>
        </w:rPr>
        <w:t>ntermediate clinical outcome</w:t>
      </w:r>
      <w:r w:rsidR="00851466" w:rsidRPr="00E316C7">
        <w:rPr>
          <w:rFonts w:eastAsiaTheme="minorEastAsia"/>
        </w:rPr>
        <w:t xml:space="preserve"> (</w:t>
      </w:r>
      <w:r w:rsidR="00851466" w:rsidRPr="00E316C7">
        <w:rPr>
          <w:rFonts w:eastAsiaTheme="minorEastAsia"/>
          <w:i/>
          <w:iCs/>
        </w:rPr>
        <w:t>e.g., lab value</w:t>
      </w:r>
      <w:r w:rsidR="00851466" w:rsidRPr="00E316C7">
        <w:rPr>
          <w:rFonts w:eastAsiaTheme="minorEastAsia"/>
        </w:rPr>
        <w:t>)</w:t>
      </w:r>
      <w:r w:rsidR="00496AF8" w:rsidRPr="00E316C7">
        <w:rPr>
          <w:rFonts w:eastAsiaTheme="minorEastAsia"/>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208790A" w14:textId="0C83506D" w:rsidR="00496AF8" w:rsidRPr="003B1CC5" w:rsidRDefault="00F86A6A" w:rsidP="00015986">
      <w:pPr>
        <w:ind w:left="432" w:hanging="432"/>
        <w:rPr>
          <w:bCs/>
        </w:rPr>
      </w:pPr>
      <w:sdt>
        <w:sdtPr>
          <w:rPr>
            <w:bCs/>
            <w:color w:val="0000FF"/>
          </w:rPr>
          <w:id w:val="-1535727686"/>
          <w14:checkbox>
            <w14:checked w14:val="1"/>
            <w14:checkedState w14:val="2612" w14:font="MS Gothic"/>
            <w14:uncheckedState w14:val="2610" w14:font="MS Gothic"/>
          </w14:checkbox>
        </w:sdtPr>
        <w:sdtContent>
          <w:r w:rsidR="007738E0">
            <w:rPr>
              <w:rFonts w:ascii="MS Gothic" w:eastAsia="MS Gothic" w:hAnsi="MS Gothic" w:hint="eastAsia"/>
              <w:bCs/>
              <w:color w:val="0000FF"/>
            </w:rPr>
            <w:t>☒</w:t>
          </w:r>
        </w:sdtContent>
      </w:sdt>
      <w:r w:rsidR="0015535B" w:rsidRPr="00E316C7">
        <w:rPr>
          <w:rFonts w:eastAsiaTheme="minorEastAsia"/>
        </w:rPr>
        <w:t xml:space="preserve"> </w:t>
      </w:r>
      <w:r w:rsidR="00E41417" w:rsidRPr="00E316C7">
        <w:rPr>
          <w:rFonts w:eastAsiaTheme="minorEastAsia"/>
        </w:rPr>
        <w:t>P</w:t>
      </w:r>
      <w:r w:rsidR="00496AF8" w:rsidRPr="00E316C7">
        <w:rPr>
          <w:rFonts w:eastAsiaTheme="minorEastAsia"/>
        </w:rPr>
        <w:t xml:space="preserve">rocess:  </w:t>
      </w:r>
      <w:sdt>
        <w:sdtPr>
          <w:rPr>
            <w:rStyle w:val="Style2"/>
            <w:rFonts w:cstheme="minorHAnsi"/>
          </w:rPr>
          <w:id w:val="321244333"/>
        </w:sdtPr>
        <w:sdtEndPr>
          <w:rPr>
            <w:rStyle w:val="DefaultParagraphFont"/>
            <w:rFonts w:cstheme="minorBidi"/>
            <w:bCs/>
            <w:color w:val="auto"/>
            <w:u w:val="none"/>
          </w:rPr>
        </w:sdtEndPr>
        <w:sdtContent>
          <w:r w:rsidR="00130D48">
            <w:rPr>
              <w:rStyle w:val="Style2"/>
              <w:rFonts w:cstheme="minorHAnsi"/>
            </w:rPr>
            <w:t xml:space="preserve">Completion of a </w:t>
          </w:r>
          <w:r w:rsidR="00F32BFC">
            <w:rPr>
              <w:rStyle w:val="Style2"/>
              <w:rFonts w:cstheme="minorHAnsi"/>
            </w:rPr>
            <w:t>malnutrition</w:t>
          </w:r>
          <w:r w:rsidR="00130D48">
            <w:rPr>
              <w:rStyle w:val="Style2"/>
              <w:rFonts w:cstheme="minorHAnsi"/>
            </w:rPr>
            <w:t xml:space="preserve"> screening within 24 hours of hospital admission</w:t>
          </w:r>
        </w:sdtContent>
      </w:sdt>
    </w:p>
    <w:p w14:paraId="1CC346AD" w14:textId="2EC4C0A5" w:rsidR="00CE5C45" w:rsidRPr="003B1CC5" w:rsidRDefault="00F86A6A" w:rsidP="00CE5C45">
      <w:pPr>
        <w:ind w:left="432" w:firstLine="288"/>
        <w:rPr>
          <w:bCs/>
        </w:rPr>
      </w:pPr>
      <w:sdt>
        <w:sdtPr>
          <w:rPr>
            <w:bCs/>
            <w:color w:val="0000FF"/>
          </w:rPr>
          <w:id w:val="1248229274"/>
          <w14:checkbox>
            <w14:checked w14:val="0"/>
            <w14:checkedState w14:val="2612" w14:font="MS Gothic"/>
            <w14:uncheckedState w14:val="2610" w14:font="MS Gothic"/>
          </w14:checkbox>
        </w:sdtPr>
        <w:sdtContent>
          <w:r w:rsidR="00CE5C45">
            <w:rPr>
              <w:rFonts w:ascii="MS Gothic" w:eastAsia="MS Gothic" w:hAnsi="MS Gothic" w:hint="eastAsia"/>
              <w:bCs/>
              <w:color w:val="0000FF"/>
            </w:rPr>
            <w:t>☐</w:t>
          </w:r>
        </w:sdtContent>
      </w:sdt>
      <w:r w:rsidR="00CE5C45" w:rsidRPr="00E316C7">
        <w:rPr>
          <w:rFonts w:eastAsiaTheme="minorEastAsia"/>
        </w:rPr>
        <w:t xml:space="preserve"> </w:t>
      </w:r>
      <w:r w:rsidR="00CE5C45">
        <w:rPr>
          <w:rFonts w:eastAsiaTheme="minorEastAsia"/>
        </w:rPr>
        <w:t>Appropriate Use Measure</w:t>
      </w:r>
      <w:r w:rsidR="00CE5C45" w:rsidRPr="00E316C7">
        <w:rPr>
          <w:rFonts w:eastAsiaTheme="minorEastAsia"/>
        </w:rPr>
        <w:t xml:space="preserve">:  </w:t>
      </w:r>
      <w:sdt>
        <w:sdtPr>
          <w:rPr>
            <w:rStyle w:val="Style2"/>
            <w:rFonts w:cstheme="minorHAnsi"/>
          </w:rPr>
          <w:id w:val="-1681649710"/>
          <w:showingPlcHdr/>
        </w:sdtPr>
        <w:sdtEndPr>
          <w:rPr>
            <w:rStyle w:val="DefaultParagraphFont"/>
            <w:rFonts w:cstheme="minorBidi"/>
            <w:bCs/>
            <w:color w:val="auto"/>
            <w:u w:val="none"/>
          </w:rPr>
        </w:sdtEndPr>
        <w:sdtContent>
          <w:r w:rsidR="00CE5C45" w:rsidRPr="003B1CC5">
            <w:rPr>
              <w:rStyle w:val="PlaceholderText"/>
              <w:rFonts w:cstheme="minorHAnsi"/>
              <w:color w:val="A6A6A6" w:themeColor="background1" w:themeShade="A6"/>
            </w:rPr>
            <w:t>Click here to name what is being measured</w:t>
          </w:r>
        </w:sdtContent>
      </w:sdt>
    </w:p>
    <w:p w14:paraId="5208790B" w14:textId="3B47F735" w:rsidR="00496AF8" w:rsidRPr="003B1CC5" w:rsidRDefault="00F86A6A" w:rsidP="00CE5C45">
      <w:pPr>
        <w:rPr>
          <w:bCs/>
        </w:rPr>
      </w:pPr>
      <w:sdt>
        <w:sdtPr>
          <w:rPr>
            <w:bCs/>
            <w:color w:val="0000FF"/>
          </w:rPr>
          <w:id w:val="1676770628"/>
          <w14:checkbox>
            <w14:checked w14:val="0"/>
            <w14:checkedState w14:val="2612" w14:font="MS Gothic"/>
            <w14:uncheckedState w14:val="2610" w14:font="MS Gothic"/>
          </w14:checkbox>
        </w:sdtPr>
        <w:sdtContent>
          <w:r w:rsidR="003237F0">
            <w:rPr>
              <w:rFonts w:ascii="MS Gothic" w:eastAsia="MS Gothic" w:hAnsi="MS Gothic" w:hint="eastAsia"/>
              <w:bCs/>
              <w:color w:val="0000FF"/>
            </w:rPr>
            <w:t>☐</w:t>
          </w:r>
        </w:sdtContent>
      </w:sdt>
      <w:r w:rsidR="0015535B" w:rsidRPr="00E316C7">
        <w:rPr>
          <w:rFonts w:eastAsiaTheme="minorEastAsia"/>
        </w:rPr>
        <w:t xml:space="preserve"> </w:t>
      </w:r>
      <w:r w:rsidR="00E41417" w:rsidRPr="00E316C7">
        <w:rPr>
          <w:rFonts w:eastAsiaTheme="minorEastAsia"/>
        </w:rPr>
        <w:t>S</w:t>
      </w:r>
      <w:r w:rsidR="00496AF8" w:rsidRPr="00E316C7">
        <w:rPr>
          <w:rFonts w:eastAsiaTheme="minorEastAsia"/>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208790C" w14:textId="783BB0C3" w:rsidR="00496AF8" w:rsidRPr="003B1CC5" w:rsidRDefault="00F86A6A" w:rsidP="00015986">
      <w:pPr>
        <w:ind w:left="432" w:hanging="432"/>
        <w:rPr>
          <w:bCs/>
        </w:rPr>
      </w:pPr>
      <w:sdt>
        <w:sdtPr>
          <w:rPr>
            <w:bCs/>
            <w:color w:val="0000FF"/>
          </w:rPr>
          <w:id w:val="1719405626"/>
          <w14:checkbox>
            <w14:checked w14:val="0"/>
            <w14:checkedState w14:val="2612" w14:font="MS Gothic"/>
            <w14:uncheckedState w14:val="2610" w14:font="MS Gothic"/>
          </w14:checkbox>
        </w:sdtPr>
        <w:sdtContent>
          <w:r w:rsidR="003237F0">
            <w:rPr>
              <w:rFonts w:ascii="MS Gothic" w:eastAsia="MS Gothic" w:hAnsi="MS Gothic" w:hint="eastAsia"/>
              <w:bCs/>
              <w:color w:val="0000FF"/>
            </w:rPr>
            <w:t>☐</w:t>
          </w:r>
        </w:sdtContent>
      </w:sdt>
      <w:r w:rsidR="0015535B" w:rsidRPr="00E316C7">
        <w:rPr>
          <w:rFonts w:eastAsiaTheme="minorEastAsia"/>
        </w:rPr>
        <w:t xml:space="preserve"> </w:t>
      </w:r>
      <w:r w:rsidR="003237F0">
        <w:rPr>
          <w:rFonts w:eastAsiaTheme="minorEastAsia"/>
        </w:rPr>
        <w:t>Composite</w:t>
      </w:r>
      <w:r w:rsidR="00496AF8" w:rsidRPr="00E316C7">
        <w:rPr>
          <w:rFonts w:eastAsiaTheme="minorEastAsia"/>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067D359A" w14:textId="77777777" w:rsidR="00420D62" w:rsidRDefault="00420D62" w:rsidP="002E2177">
      <w:pPr>
        <w:ind w:left="0" w:firstLine="0"/>
        <w:rPr>
          <w:rFonts w:eastAsiaTheme="minorEastAsia"/>
          <w:b/>
          <w:bCs/>
          <w:caps/>
        </w:rPr>
      </w:pPr>
    </w:p>
    <w:p w14:paraId="5A4933B0" w14:textId="03B19D0C" w:rsidR="007738E0" w:rsidRPr="00107596" w:rsidRDefault="38AF9500" w:rsidP="004A7315">
      <w:pPr>
        <w:ind w:left="432" w:hanging="432"/>
        <w:rPr>
          <w:iCs/>
        </w:rPr>
      </w:pPr>
      <w:r w:rsidRPr="00E316C7">
        <w:rPr>
          <w:rFonts w:eastAsiaTheme="minorEastAsia"/>
          <w:b/>
          <w:bCs/>
          <w:color w:val="0000FF"/>
        </w:rPr>
        <w:t>1a.2.</w:t>
      </w:r>
      <w:r w:rsidR="005912BF">
        <w:rPr>
          <w:rFonts w:eastAsiaTheme="minorEastAsia"/>
        </w:rPr>
        <w:t xml:space="preserve"> </w:t>
      </w:r>
      <w:r w:rsidR="005912BF">
        <w:rPr>
          <w:rFonts w:eastAsiaTheme="minorEastAsia"/>
          <w:b/>
          <w:bCs/>
        </w:rPr>
        <w:t xml:space="preserve">LOGIC </w:t>
      </w:r>
      <w:r w:rsidR="004A7315">
        <w:rPr>
          <w:rFonts w:eastAsiaTheme="minorEastAsia"/>
          <w:b/>
          <w:bCs/>
        </w:rPr>
        <w:t xml:space="preserve">MODEL: </w:t>
      </w:r>
      <w:r w:rsidR="004A7315" w:rsidRPr="004A7315">
        <w:rPr>
          <w:rFonts w:eastAsiaTheme="minorEastAsia"/>
        </w:rPr>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r w:rsidR="007738E0" w:rsidRPr="004A7315">
        <w:rPr>
          <w:iCs/>
          <w:noProof/>
        </w:rPr>
        <w:drawing>
          <wp:inline distT="0" distB="0" distL="0" distR="0" wp14:anchorId="45F2049D" wp14:editId="53D961FF">
            <wp:extent cx="5876925" cy="1333500"/>
            <wp:effectExtent l="38100" t="0" r="6667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F2D008F" w14:textId="6E7FF6C6" w:rsidR="004E1065" w:rsidRDefault="004E1065" w:rsidP="002E2177">
      <w:pPr>
        <w:ind w:left="432" w:hanging="432"/>
        <w:rPr>
          <w:iCs/>
        </w:rPr>
      </w:pPr>
    </w:p>
    <w:p w14:paraId="24F1D17C" w14:textId="2F378F19" w:rsidR="004E1065" w:rsidRPr="003B1CC5" w:rsidRDefault="004E1065" w:rsidP="004E1065">
      <w:pPr>
        <w:ind w:left="0" w:firstLine="0"/>
      </w:pPr>
      <w:r w:rsidRPr="00E316C7">
        <w:rPr>
          <w:rFonts w:eastAsiaTheme="minorEastAsia"/>
        </w:rPr>
        <w:t xml:space="preserve">Nutrition screening completed at admission can identify patients at risk of malnutrition early in the patient stay. Those patients who are identified are then assessed by a </w:t>
      </w:r>
      <w:r w:rsidR="008221EB" w:rsidRPr="00E316C7">
        <w:rPr>
          <w:rFonts w:eastAsiaTheme="minorEastAsia"/>
        </w:rPr>
        <w:t xml:space="preserve">registered </w:t>
      </w:r>
      <w:r w:rsidRPr="00E316C7">
        <w:rPr>
          <w:rFonts w:eastAsiaTheme="minorEastAsia"/>
        </w:rPr>
        <w:t>dietitian who, if appropriate, may recommend a specific nutrition intervention to address the patient’s malnutrition, which if addressed early can reduce risk of mortality and post-operative complications and possibly reduce length of stay.</w:t>
      </w:r>
    </w:p>
    <w:p w14:paraId="52087913" w14:textId="0090B431" w:rsidR="00D14F0B" w:rsidRDefault="00D14F0B" w:rsidP="002E2177">
      <w:pPr>
        <w:ind w:left="0" w:firstLine="0"/>
        <w:rPr>
          <w:iCs/>
        </w:rPr>
      </w:pPr>
    </w:p>
    <w:p w14:paraId="30D7CE00" w14:textId="77777777" w:rsidR="000F167D" w:rsidRDefault="000F167D" w:rsidP="000F167D">
      <w:pPr>
        <w:ind w:right="738"/>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09C15349" w14:textId="77777777" w:rsidR="00130D48" w:rsidRPr="003B1CC5" w:rsidRDefault="00130D48" w:rsidP="002E2177">
      <w:pPr>
        <w:ind w:left="0" w:firstLine="0"/>
        <w:rPr>
          <w:iCs/>
        </w:rPr>
      </w:pPr>
    </w:p>
    <w:p w14:paraId="56EF4FEB" w14:textId="77777777" w:rsidR="00C06ABD" w:rsidRPr="00C06ABD" w:rsidRDefault="00C06ABD" w:rsidP="00C06ABD">
      <w:pPr>
        <w:widowControl w:val="0"/>
        <w:autoSpaceDE w:val="0"/>
        <w:autoSpaceDN w:val="0"/>
        <w:outlineLvl w:val="0"/>
        <w:rPr>
          <w:rFonts w:ascii="Calibri" w:eastAsia="Calibri" w:hAnsi="Calibri" w:cs="Calibri"/>
          <w:b/>
          <w:bCs/>
          <w:lang w:bidi="en-US"/>
        </w:rPr>
      </w:pPr>
      <w:r w:rsidRPr="00C06ABD">
        <w:rPr>
          <w:rFonts w:ascii="Calibri" w:eastAsia="Calibri" w:hAnsi="Calibri" w:cs="Calibri"/>
          <w:b/>
          <w:bCs/>
          <w:lang w:bidi="en-US"/>
        </w:rPr>
        <w:t>**RESPOND TO ONLY ONE SECTION BELOW -EITHER 1a.2, 1a.3 or 1a.4) **</w:t>
      </w:r>
    </w:p>
    <w:p w14:paraId="35D9CB7B" w14:textId="77777777" w:rsidR="00C06ABD" w:rsidRPr="00C06ABD" w:rsidRDefault="00C06ABD" w:rsidP="00C06ABD">
      <w:pPr>
        <w:widowControl w:val="0"/>
        <w:autoSpaceDE w:val="0"/>
        <w:autoSpaceDN w:val="0"/>
        <w:ind w:left="0" w:firstLine="0"/>
        <w:rPr>
          <w:rFonts w:ascii="Calibri" w:eastAsia="Calibri" w:hAnsi="Calibri" w:cs="Calibri"/>
          <w:b/>
          <w:szCs w:val="20"/>
          <w:lang w:bidi="en-US"/>
        </w:rPr>
      </w:pPr>
    </w:p>
    <w:p w14:paraId="7F5FF0BE" w14:textId="77777777" w:rsidR="00C06ABD" w:rsidRPr="00C06ABD" w:rsidRDefault="00C06ABD" w:rsidP="00C06ABD">
      <w:pPr>
        <w:widowControl w:val="0"/>
        <w:autoSpaceDE w:val="0"/>
        <w:autoSpaceDN w:val="0"/>
        <w:spacing w:before="1"/>
        <w:ind w:right="945"/>
        <w:rPr>
          <w:rFonts w:ascii="Calibri" w:eastAsia="Calibri" w:hAnsi="Calibri" w:cs="Calibri"/>
          <w:b/>
          <w:lang w:bidi="en-US"/>
        </w:rPr>
      </w:pPr>
      <w:r w:rsidRPr="00C06ABD">
        <w:rPr>
          <w:rFonts w:ascii="Calibri" w:eastAsia="Calibri" w:hAnsi="Calibri" w:cs="Calibri"/>
          <w:b/>
          <w:lang w:bidi="en-US"/>
        </w:rPr>
        <w:t>1a.2 FOR OUTCOME MEASURES including PATIENT REPORTED OUTCOMES - Provide empirical data demonstrating the relationship between the outcome (or PRO) to at least one healthcare structure, process, intervention, or service.</w:t>
      </w:r>
    </w:p>
    <w:p w14:paraId="1EA398AB" w14:textId="77777777" w:rsidR="00C06ABD" w:rsidRPr="00C06ABD" w:rsidRDefault="00C06ABD" w:rsidP="00C06ABD">
      <w:pPr>
        <w:widowControl w:val="0"/>
        <w:autoSpaceDE w:val="0"/>
        <w:autoSpaceDN w:val="0"/>
        <w:ind w:left="0" w:firstLine="0"/>
        <w:rPr>
          <w:rFonts w:ascii="Calibri" w:eastAsia="Calibri" w:hAnsi="Calibri" w:cs="Calibri"/>
          <w:b/>
          <w:szCs w:val="20"/>
          <w:lang w:bidi="en-US"/>
        </w:rPr>
      </w:pPr>
    </w:p>
    <w:p w14:paraId="0524A47A" w14:textId="77777777" w:rsidR="00C06ABD" w:rsidRPr="00C06ABD" w:rsidRDefault="00C06ABD" w:rsidP="00C06ABD">
      <w:pPr>
        <w:widowControl w:val="0"/>
        <w:autoSpaceDE w:val="0"/>
        <w:autoSpaceDN w:val="0"/>
        <w:spacing w:before="10"/>
        <w:ind w:left="0" w:firstLine="0"/>
        <w:rPr>
          <w:rFonts w:ascii="Calibri" w:eastAsia="Calibri" w:hAnsi="Calibri" w:cs="Calibri"/>
          <w:b/>
          <w:sz w:val="21"/>
          <w:szCs w:val="20"/>
          <w:lang w:bidi="en-US"/>
        </w:rPr>
      </w:pPr>
    </w:p>
    <w:p w14:paraId="020E70B5" w14:textId="38AA9481" w:rsidR="00C06ABD" w:rsidRPr="00C06ABD" w:rsidRDefault="00C06ABD" w:rsidP="00C06ABD">
      <w:pPr>
        <w:widowControl w:val="0"/>
        <w:autoSpaceDE w:val="0"/>
        <w:autoSpaceDN w:val="0"/>
        <w:ind w:left="0" w:right="991" w:firstLine="0"/>
        <w:rPr>
          <w:rFonts w:ascii="Calibri" w:eastAsia="Calibri" w:hAnsi="Calibri" w:cs="Calibri"/>
          <w:b/>
          <w:lang w:bidi="en-US"/>
        </w:rPr>
      </w:pPr>
      <w:r w:rsidRPr="00C06ABD">
        <w:rPr>
          <w:rFonts w:ascii="Calibri" w:eastAsia="Calibri" w:hAnsi="Calibri" w:cs="Calibri"/>
          <w:b/>
          <w:lang w:bidi="en-US"/>
        </w:rPr>
        <w:lastRenderedPageBreak/>
        <w:t>1a.3. SYSTEMATIC REVIEW(SR) OF THE EVIDENCE (for INTERMEDIATE OUTCOME, PROCESS, OR STRUCTURE PERFORMANCE MEASURES, INCLUDING THOSE THAT ARE INSTRUMENT-BASED) If the</w:t>
      </w:r>
      <w:r>
        <w:rPr>
          <w:rFonts w:ascii="Calibri" w:eastAsia="Calibri" w:hAnsi="Calibri" w:cs="Calibri"/>
          <w:b/>
          <w:lang w:bidi="en-US"/>
        </w:rPr>
        <w:t xml:space="preserve"> </w:t>
      </w:r>
      <w:r w:rsidRPr="00C06ABD">
        <w:rPr>
          <w:rFonts w:ascii="Calibri" w:eastAsia="Calibri" w:hAnsi="Calibri" w:cs="Calibri"/>
          <w:b/>
          <w:lang w:bidi="en-US"/>
        </w:rPr>
        <w:t>evidence is not based on a systematic review go to section 1a.4) If you wish to include more than one systematic review, add additional tables.</w:t>
      </w:r>
    </w:p>
    <w:p w14:paraId="7F0680E7" w14:textId="77777777" w:rsidR="00C06ABD" w:rsidRPr="00C06ABD" w:rsidRDefault="00C06ABD" w:rsidP="00C06ABD">
      <w:pPr>
        <w:widowControl w:val="0"/>
        <w:autoSpaceDE w:val="0"/>
        <w:autoSpaceDN w:val="0"/>
        <w:spacing w:before="2"/>
        <w:ind w:left="0" w:firstLine="0"/>
        <w:rPr>
          <w:rFonts w:ascii="Calibri" w:eastAsia="Calibri" w:hAnsi="Calibri" w:cs="Calibri"/>
          <w:b/>
          <w:szCs w:val="20"/>
          <w:lang w:bidi="en-US"/>
        </w:rPr>
      </w:pPr>
    </w:p>
    <w:p w14:paraId="378C241E" w14:textId="77777777" w:rsidR="00C06ABD" w:rsidRPr="00C06ABD" w:rsidRDefault="00C06ABD" w:rsidP="00C06ABD">
      <w:pPr>
        <w:widowControl w:val="0"/>
        <w:autoSpaceDE w:val="0"/>
        <w:autoSpaceDN w:val="0"/>
        <w:ind w:left="0" w:right="597" w:firstLine="0"/>
        <w:rPr>
          <w:rFonts w:ascii="Calibri" w:eastAsia="Calibri" w:hAnsi="Calibri" w:cs="Calibri"/>
          <w:b/>
          <w:lang w:bidi="en-US"/>
        </w:rPr>
      </w:pPr>
      <w:r w:rsidRPr="00C06ABD">
        <w:rPr>
          <w:rFonts w:ascii="Calibri" w:eastAsia="Calibri" w:hAnsi="Calibri" w:cs="Calibri"/>
          <w:b/>
          <w:lang w:bidi="en-US"/>
        </w:rPr>
        <w:t xml:space="preserve">What is the source of the </w:t>
      </w:r>
      <w:r w:rsidRPr="00C06ABD">
        <w:rPr>
          <w:rFonts w:ascii="Calibri" w:eastAsia="Calibri" w:hAnsi="Calibri" w:cs="Calibri"/>
          <w:b/>
          <w:u w:val="single"/>
          <w:lang w:bidi="en-US"/>
        </w:rPr>
        <w:t>systematic review of the body of evidence</w:t>
      </w:r>
      <w:r w:rsidRPr="00C06ABD">
        <w:rPr>
          <w:rFonts w:ascii="Calibri" w:eastAsia="Calibri" w:hAnsi="Calibri" w:cs="Calibri"/>
          <w:b/>
          <w:lang w:bidi="en-US"/>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2087918" w14:textId="77777777" w:rsidR="007C1887" w:rsidRPr="003B1CC5" w:rsidRDefault="007C1887" w:rsidP="002E2177">
      <w:pPr>
        <w:ind w:left="0" w:firstLine="0"/>
      </w:pPr>
    </w:p>
    <w:p w14:paraId="5208791A" w14:textId="1C7091BE" w:rsidR="00FD4D82" w:rsidRPr="003B1CC5" w:rsidRDefault="00F86A6A" w:rsidP="002E2177">
      <w:pPr>
        <w:ind w:left="0" w:firstLine="0"/>
      </w:pPr>
      <w:sdt>
        <w:sdtPr>
          <w:rPr>
            <w:bCs/>
            <w:color w:val="0000FF"/>
          </w:rPr>
          <w:id w:val="-468508862"/>
          <w14:checkbox>
            <w14:checked w14:val="1"/>
            <w14:checkedState w14:val="2612" w14:font="MS Gothic"/>
            <w14:uncheckedState w14:val="2610" w14:font="MS Gothic"/>
          </w14:checkbox>
        </w:sdtPr>
        <w:sdtContent>
          <w:r w:rsidR="007738E0">
            <w:rPr>
              <w:rFonts w:ascii="MS Gothic" w:eastAsia="MS Gothic" w:hAnsi="MS Gothic" w:hint="eastAsia"/>
              <w:bCs/>
              <w:color w:val="0000FF"/>
            </w:rPr>
            <w:t>☒</w:t>
          </w:r>
        </w:sdtContent>
      </w:sdt>
      <w:r w:rsidR="001B38BF" w:rsidRPr="00E316C7">
        <w:rPr>
          <w:rFonts w:eastAsiaTheme="minorEastAsia"/>
        </w:rPr>
        <w:t xml:space="preserve"> Clinical Practice </w:t>
      </w:r>
      <w:r w:rsidR="00AA5587" w:rsidRPr="00E316C7">
        <w:rPr>
          <w:rFonts w:eastAsiaTheme="minorEastAsia"/>
        </w:rPr>
        <w:t>G</w:t>
      </w:r>
      <w:r w:rsidR="001B38BF" w:rsidRPr="00E316C7">
        <w:rPr>
          <w:rFonts w:eastAsiaTheme="minorEastAsia"/>
        </w:rPr>
        <w:t>uideline</w:t>
      </w:r>
      <w:r w:rsidR="00E746A2" w:rsidRPr="00E316C7">
        <w:rPr>
          <w:rFonts w:eastAsiaTheme="minorEastAsia"/>
        </w:rPr>
        <w:t xml:space="preserve"> recommendation</w:t>
      </w:r>
      <w:r w:rsidR="001B38BF" w:rsidRPr="00E316C7">
        <w:rPr>
          <w:rFonts w:eastAsiaTheme="minorEastAsia"/>
        </w:rPr>
        <w:t xml:space="preserve"> </w:t>
      </w:r>
    </w:p>
    <w:p w14:paraId="5208791B" w14:textId="2593DE39" w:rsidR="00FD4D82" w:rsidRPr="003B1CC5" w:rsidRDefault="00F86A6A" w:rsidP="002E2177">
      <w:pPr>
        <w:ind w:left="0" w:firstLine="0"/>
        <w:rPr>
          <w:b/>
          <w:i/>
        </w:rPr>
      </w:pPr>
      <w:sdt>
        <w:sdtPr>
          <w:rPr>
            <w:bCs/>
            <w:color w:val="0000FF"/>
          </w:rPr>
          <w:id w:val="-411317169"/>
          <w14:checkbox>
            <w14:checked w14:val="0"/>
            <w14:checkedState w14:val="2612" w14:font="MS Gothic"/>
            <w14:uncheckedState w14:val="2610" w14:font="MS Gothic"/>
          </w14:checkbox>
        </w:sdtPr>
        <w:sdtContent>
          <w:r w:rsidR="0015535B" w:rsidRPr="003B1CC5">
            <w:rPr>
              <w:rFonts w:ascii="MS Gothic" w:eastAsia="MS Gothic" w:hAnsi="MS Gothic" w:cs="MS Gothic" w:hint="eastAsia"/>
              <w:bCs/>
              <w:color w:val="0000FF"/>
            </w:rPr>
            <w:t>☐</w:t>
          </w:r>
        </w:sdtContent>
      </w:sdt>
      <w:r w:rsidR="00FD4D82" w:rsidRPr="00E316C7">
        <w:rPr>
          <w:rFonts w:eastAsiaTheme="minorEastAsia"/>
        </w:rPr>
        <w:t xml:space="preserve"> US Preventive Services Task Force Recommendation </w:t>
      </w:r>
    </w:p>
    <w:p w14:paraId="5208791C" w14:textId="5C206071" w:rsidR="007573F0" w:rsidRPr="003B1CC5" w:rsidRDefault="00F86A6A" w:rsidP="002E2177">
      <w:pPr>
        <w:ind w:left="0" w:firstLine="0"/>
      </w:pPr>
      <w:sdt>
        <w:sdtPr>
          <w:rPr>
            <w:bCs/>
            <w:color w:val="0000FF"/>
          </w:rPr>
          <w:id w:val="1199589694"/>
          <w14:checkbox>
            <w14:checked w14:val="1"/>
            <w14:checkedState w14:val="2612" w14:font="MS Gothic"/>
            <w14:uncheckedState w14:val="2610" w14:font="MS Gothic"/>
          </w14:checkbox>
        </w:sdtPr>
        <w:sdtContent>
          <w:r w:rsidR="007738E0">
            <w:rPr>
              <w:rFonts w:ascii="MS Gothic" w:eastAsia="MS Gothic" w:hAnsi="MS Gothic" w:hint="eastAsia"/>
              <w:bCs/>
              <w:color w:val="0000FF"/>
            </w:rPr>
            <w:t>☒</w:t>
          </w:r>
        </w:sdtContent>
      </w:sdt>
      <w:r w:rsidR="007573F0" w:rsidRPr="00E316C7">
        <w:rPr>
          <w:rFonts w:eastAsiaTheme="minorEastAsia"/>
        </w:rPr>
        <w:t xml:space="preserve"> Other systematic review and grading of the body of evidence (</w:t>
      </w:r>
      <w:r w:rsidR="007573F0" w:rsidRPr="00E316C7">
        <w:rPr>
          <w:rFonts w:eastAsiaTheme="minorEastAsia"/>
          <w:i/>
          <w:iCs/>
        </w:rPr>
        <w:t>e.g., Cochrane Collaboration, AHRQ Evidence Practice Center</w:t>
      </w:r>
      <w:r w:rsidR="007573F0" w:rsidRPr="00E316C7">
        <w:rPr>
          <w:rFonts w:eastAsiaTheme="minorEastAsia"/>
        </w:rPr>
        <w:t xml:space="preserve">) </w:t>
      </w:r>
    </w:p>
    <w:p w14:paraId="5208791D" w14:textId="284437E0" w:rsidR="00FD4D82" w:rsidRPr="003B1CC5" w:rsidRDefault="00F86A6A" w:rsidP="002E2177">
      <w:pPr>
        <w:ind w:left="0" w:firstLine="0"/>
      </w:pPr>
      <w:sdt>
        <w:sdtPr>
          <w:rPr>
            <w:bCs/>
            <w:color w:val="0000FF"/>
          </w:rPr>
          <w:id w:val="302275832"/>
          <w14:checkbox>
            <w14:checked w14:val="0"/>
            <w14:checkedState w14:val="2612" w14:font="MS Gothic"/>
            <w14:uncheckedState w14:val="2610" w14:font="MS Gothic"/>
          </w14:checkbox>
        </w:sdtPr>
        <w:sdtContent>
          <w:r w:rsidR="0015535B" w:rsidRPr="003B1CC5">
            <w:rPr>
              <w:rFonts w:ascii="MS Gothic" w:eastAsia="MS Gothic" w:hAnsi="MS Gothic" w:cs="MS Gothic" w:hint="eastAsia"/>
              <w:bCs/>
              <w:color w:val="0000FF"/>
            </w:rPr>
            <w:t>☐</w:t>
          </w:r>
        </w:sdtContent>
      </w:sdt>
      <w:r w:rsidR="00FD4D82" w:rsidRPr="00E316C7">
        <w:rPr>
          <w:rFonts w:eastAsiaTheme="minorEastAsia"/>
        </w:rPr>
        <w:t xml:space="preserve"> Other </w:t>
      </w:r>
    </w:p>
    <w:p w14:paraId="5208791E" w14:textId="77777777" w:rsidR="00FD4D82" w:rsidRPr="003B1CC5" w:rsidRDefault="00FD4D82" w:rsidP="002E2177">
      <w:pPr>
        <w:ind w:left="0" w:firstLine="0"/>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F96A03" w14:paraId="6EDAA77E" w14:textId="77777777" w:rsidTr="00340780">
        <w:trPr>
          <w:trHeight w:val="2073"/>
        </w:trPr>
        <w:tc>
          <w:tcPr>
            <w:tcW w:w="4068" w:type="dxa"/>
          </w:tcPr>
          <w:p w14:paraId="361BDA7D" w14:textId="77777777" w:rsidR="00F96A03" w:rsidRDefault="00F96A03" w:rsidP="00340780">
            <w:pPr>
              <w:pStyle w:val="TableParagraph"/>
              <w:spacing w:before="1"/>
              <w:rPr>
                <w:b/>
              </w:rPr>
            </w:pPr>
            <w:bookmarkStart w:id="4" w:name="_Hlk36538526"/>
            <w:r>
              <w:rPr>
                <w:b/>
              </w:rPr>
              <w:t>Source of Systematic Review:</w:t>
            </w:r>
          </w:p>
          <w:p w14:paraId="6599B0FE" w14:textId="77777777" w:rsidR="00F96A03" w:rsidRDefault="00F96A03" w:rsidP="00F96A03">
            <w:pPr>
              <w:pStyle w:val="TableParagraph"/>
              <w:numPr>
                <w:ilvl w:val="0"/>
                <w:numId w:val="17"/>
              </w:numPr>
              <w:tabs>
                <w:tab w:val="left" w:pos="827"/>
                <w:tab w:val="left" w:pos="828"/>
              </w:tabs>
              <w:spacing w:before="1"/>
              <w:rPr>
                <w:b/>
              </w:rPr>
            </w:pPr>
            <w:r>
              <w:rPr>
                <w:b/>
              </w:rPr>
              <w:t>Title</w:t>
            </w:r>
          </w:p>
          <w:p w14:paraId="5427FA55" w14:textId="77777777" w:rsidR="00F96A03" w:rsidRDefault="00F96A03" w:rsidP="00F96A03">
            <w:pPr>
              <w:pStyle w:val="TableParagraph"/>
              <w:numPr>
                <w:ilvl w:val="0"/>
                <w:numId w:val="17"/>
              </w:numPr>
              <w:tabs>
                <w:tab w:val="left" w:pos="827"/>
                <w:tab w:val="left" w:pos="828"/>
              </w:tabs>
              <w:spacing w:before="39"/>
              <w:rPr>
                <w:b/>
              </w:rPr>
            </w:pPr>
            <w:r>
              <w:rPr>
                <w:b/>
              </w:rPr>
              <w:t>Author</w:t>
            </w:r>
          </w:p>
          <w:p w14:paraId="1CBB6499" w14:textId="77777777" w:rsidR="00F96A03" w:rsidRDefault="00F96A03" w:rsidP="00F96A03">
            <w:pPr>
              <w:pStyle w:val="TableParagraph"/>
              <w:numPr>
                <w:ilvl w:val="0"/>
                <w:numId w:val="17"/>
              </w:numPr>
              <w:tabs>
                <w:tab w:val="left" w:pos="827"/>
                <w:tab w:val="left" w:pos="828"/>
              </w:tabs>
              <w:spacing w:before="41"/>
              <w:rPr>
                <w:b/>
              </w:rPr>
            </w:pPr>
            <w:r>
              <w:rPr>
                <w:b/>
              </w:rPr>
              <w:t>Date</w:t>
            </w:r>
          </w:p>
          <w:p w14:paraId="5C0F13A1" w14:textId="77777777" w:rsidR="00F96A03" w:rsidRDefault="00F96A03" w:rsidP="00F96A03">
            <w:pPr>
              <w:pStyle w:val="TableParagraph"/>
              <w:numPr>
                <w:ilvl w:val="0"/>
                <w:numId w:val="17"/>
              </w:numPr>
              <w:tabs>
                <w:tab w:val="left" w:pos="827"/>
                <w:tab w:val="left" w:pos="828"/>
              </w:tabs>
              <w:spacing w:before="39"/>
              <w:rPr>
                <w:b/>
              </w:rPr>
            </w:pPr>
            <w:r>
              <w:rPr>
                <w:b/>
              </w:rPr>
              <w:t>Citation, including page</w:t>
            </w:r>
            <w:r>
              <w:rPr>
                <w:b/>
                <w:spacing w:val="-4"/>
              </w:rPr>
              <w:t xml:space="preserve"> </w:t>
            </w:r>
            <w:r>
              <w:rPr>
                <w:b/>
              </w:rPr>
              <w:t>number</w:t>
            </w:r>
          </w:p>
          <w:p w14:paraId="4970DD5B" w14:textId="77777777" w:rsidR="00F96A03" w:rsidRDefault="00F96A03" w:rsidP="00F96A03">
            <w:pPr>
              <w:pStyle w:val="TableParagraph"/>
              <w:numPr>
                <w:ilvl w:val="0"/>
                <w:numId w:val="17"/>
              </w:numPr>
              <w:tabs>
                <w:tab w:val="left" w:pos="827"/>
                <w:tab w:val="left" w:pos="828"/>
              </w:tabs>
              <w:spacing w:before="42"/>
              <w:rPr>
                <w:b/>
              </w:rPr>
            </w:pPr>
            <w:r>
              <w:rPr>
                <w:b/>
              </w:rPr>
              <w:t>URL</w:t>
            </w:r>
          </w:p>
        </w:tc>
        <w:tc>
          <w:tcPr>
            <w:tcW w:w="5131" w:type="dxa"/>
          </w:tcPr>
          <w:p w14:paraId="09E8CC0C" w14:textId="77777777" w:rsidR="00F96A03" w:rsidRPr="003B73E6" w:rsidRDefault="00F96A03" w:rsidP="00340780">
            <w:pPr>
              <w:pStyle w:val="TableParagraph"/>
              <w:rPr>
                <w:rFonts w:asciiTheme="minorHAnsi" w:hAnsiTheme="minorHAnsi" w:cstheme="minorHAnsi"/>
              </w:rPr>
            </w:pPr>
            <w:r w:rsidRPr="003B73E6">
              <w:rPr>
                <w:rFonts w:asciiTheme="minorHAnsi" w:hAnsiTheme="minorHAnsi" w:cstheme="minorHAnsi"/>
              </w:rPr>
              <w:t xml:space="preserve">Mueller C, </w:t>
            </w:r>
            <w:proofErr w:type="spellStart"/>
            <w:r w:rsidRPr="003B73E6">
              <w:rPr>
                <w:rFonts w:asciiTheme="minorHAnsi" w:hAnsiTheme="minorHAnsi" w:cstheme="minorHAnsi"/>
              </w:rPr>
              <w:t>Compher</w:t>
            </w:r>
            <w:proofErr w:type="spellEnd"/>
            <w:r w:rsidRPr="003B73E6">
              <w:rPr>
                <w:rFonts w:asciiTheme="minorHAnsi" w:hAnsiTheme="minorHAnsi" w:cstheme="minorHAnsi"/>
              </w:rPr>
              <w:t xml:space="preserve"> C &amp; </w:t>
            </w:r>
            <w:proofErr w:type="spellStart"/>
            <w:r w:rsidRPr="003B73E6">
              <w:rPr>
                <w:rFonts w:asciiTheme="minorHAnsi" w:hAnsiTheme="minorHAnsi" w:cstheme="minorHAnsi"/>
              </w:rPr>
              <w:t>Druyan</w:t>
            </w:r>
            <w:proofErr w:type="spellEnd"/>
            <w:r w:rsidRPr="003B73E6">
              <w:rPr>
                <w:rFonts w:asciiTheme="minorHAnsi" w:hAnsiTheme="minorHAnsi" w:cstheme="minorHAnsi"/>
              </w:rPr>
              <w:t xml:space="preserve"> ME and the American Society for Parenteral and Enteral Nutrition (A.S.P.E.N.) Board of Directors. A.S.P.E.N. Clinical Guidelines: Nutrition Screening, Assessment, and Intervention in Adults. J </w:t>
            </w:r>
            <w:proofErr w:type="spellStart"/>
            <w:r w:rsidRPr="003B73E6">
              <w:rPr>
                <w:rFonts w:asciiTheme="minorHAnsi" w:hAnsiTheme="minorHAnsi" w:cstheme="minorHAnsi"/>
              </w:rPr>
              <w:t>Parenter</w:t>
            </w:r>
            <w:proofErr w:type="spellEnd"/>
            <w:r w:rsidRPr="003B73E6">
              <w:rPr>
                <w:rFonts w:asciiTheme="minorHAnsi" w:hAnsiTheme="minorHAnsi" w:cstheme="minorHAnsi"/>
              </w:rPr>
              <w:t xml:space="preserve"> Enteral </w:t>
            </w:r>
            <w:proofErr w:type="spellStart"/>
            <w:r w:rsidRPr="003B73E6">
              <w:rPr>
                <w:rFonts w:asciiTheme="minorHAnsi" w:hAnsiTheme="minorHAnsi" w:cstheme="minorHAnsi"/>
              </w:rPr>
              <w:t>Nutr</w:t>
            </w:r>
            <w:proofErr w:type="spellEnd"/>
            <w:r w:rsidRPr="003B73E6">
              <w:rPr>
                <w:rFonts w:asciiTheme="minorHAnsi" w:hAnsiTheme="minorHAnsi" w:cstheme="minorHAnsi"/>
              </w:rPr>
              <w:t>. 2011;35: 16-24.</w:t>
            </w:r>
          </w:p>
          <w:bookmarkStart w:id="5" w:name="_Hlk36729095"/>
          <w:p w14:paraId="786D2EE3" w14:textId="0EC3C46B" w:rsidR="009B4E4F" w:rsidRDefault="00447713" w:rsidP="00340780">
            <w:pPr>
              <w:pStyle w:val="TableParagraph"/>
            </w:pPr>
            <w:r>
              <w:fldChar w:fldCharType="begin"/>
            </w:r>
            <w:r>
              <w:instrText xml:space="preserve"> HYPERLINK "</w:instrText>
            </w:r>
            <w:r w:rsidRPr="00447713">
              <w:instrText>https://onlinelibrary.wiley.com/doi/epdf/10.1177/0148607110389335</w:instrText>
            </w:r>
            <w:r>
              <w:instrText xml:space="preserve">" </w:instrText>
            </w:r>
            <w:r>
              <w:fldChar w:fldCharType="separate"/>
            </w:r>
            <w:r w:rsidRPr="00CA1423">
              <w:rPr>
                <w:rStyle w:val="Hyperlink"/>
              </w:rPr>
              <w:t>https://onlinelibrary.wiley.com/doi/epdf/10.1177/0148607110389335</w:t>
            </w:r>
            <w:r>
              <w:fldChar w:fldCharType="end"/>
            </w:r>
            <w:bookmarkEnd w:id="5"/>
            <w:r>
              <w:t xml:space="preserve"> </w:t>
            </w:r>
            <w:r w:rsidRPr="00447713">
              <w:t xml:space="preserve"> </w:t>
            </w:r>
            <w:r>
              <w:t xml:space="preserve"> </w:t>
            </w:r>
          </w:p>
          <w:p w14:paraId="42E88F9F" w14:textId="3F2371DC" w:rsidR="009B4E4F" w:rsidRPr="003B73E6" w:rsidRDefault="009B4E4F" w:rsidP="00085FF0">
            <w:pPr>
              <w:pStyle w:val="TableParagraph"/>
              <w:ind w:left="0"/>
              <w:rPr>
                <w:rFonts w:asciiTheme="minorHAnsi" w:hAnsiTheme="minorHAnsi" w:cstheme="minorHAnsi"/>
              </w:rPr>
            </w:pPr>
          </w:p>
        </w:tc>
      </w:tr>
      <w:tr w:rsidR="00F96A03" w14:paraId="59B8675F" w14:textId="77777777" w:rsidTr="00340780">
        <w:trPr>
          <w:trHeight w:val="1341"/>
        </w:trPr>
        <w:tc>
          <w:tcPr>
            <w:tcW w:w="4068" w:type="dxa"/>
          </w:tcPr>
          <w:p w14:paraId="555879B8" w14:textId="77777777" w:rsidR="00F96A03" w:rsidRDefault="00F96A03" w:rsidP="00340780">
            <w:pPr>
              <w:pStyle w:val="TableParagraph"/>
              <w:ind w:right="200"/>
            </w:pPr>
            <w:r>
              <w:t>Quote the guideline or recommendation verbatim about the process, structure or intermediate outcome being measured. If not a guideline, summarize the</w:t>
            </w:r>
          </w:p>
          <w:p w14:paraId="3E4265E1" w14:textId="77777777" w:rsidR="00F96A03" w:rsidRDefault="00F96A03" w:rsidP="00340780">
            <w:pPr>
              <w:pStyle w:val="TableParagraph"/>
              <w:spacing w:line="248" w:lineRule="exact"/>
            </w:pPr>
            <w:r>
              <w:t>conclusions from the SR.</w:t>
            </w:r>
          </w:p>
        </w:tc>
        <w:tc>
          <w:tcPr>
            <w:tcW w:w="5131" w:type="dxa"/>
          </w:tcPr>
          <w:p w14:paraId="158BE955" w14:textId="6013A1C7" w:rsidR="00447713" w:rsidRPr="009B4E4F" w:rsidRDefault="00447713" w:rsidP="002F67A0">
            <w:pPr>
              <w:pStyle w:val="TableParagraph"/>
              <w:ind w:left="0"/>
              <w:rPr>
                <w:rFonts w:asciiTheme="minorHAnsi" w:hAnsiTheme="minorHAnsi" w:cstheme="minorHAnsi"/>
              </w:rPr>
            </w:pPr>
            <w:r>
              <w:rPr>
                <w:rFonts w:asciiTheme="minorHAnsi" w:hAnsiTheme="minorHAnsi" w:cstheme="minorHAnsi"/>
              </w:rPr>
              <w:t>“</w:t>
            </w:r>
            <w:r w:rsidRPr="002E5AE0">
              <w:rPr>
                <w:rFonts w:asciiTheme="minorHAnsi" w:hAnsiTheme="minorHAnsi" w:cstheme="minorHAnsi"/>
              </w:rPr>
              <w:t>Screening for nutrition risk is suggested for hospitalized patients</w:t>
            </w:r>
            <w:r>
              <w:rPr>
                <w:rFonts w:asciiTheme="minorHAnsi" w:hAnsiTheme="minorHAnsi" w:cstheme="minorHAnsi"/>
              </w:rPr>
              <w:t>” (</w:t>
            </w:r>
            <w:proofErr w:type="spellStart"/>
            <w:r>
              <w:rPr>
                <w:rFonts w:asciiTheme="minorHAnsi" w:hAnsiTheme="minorHAnsi" w:cstheme="minorHAnsi"/>
              </w:rPr>
              <w:t>p.g.</w:t>
            </w:r>
            <w:proofErr w:type="spellEnd"/>
            <w:r>
              <w:rPr>
                <w:rFonts w:asciiTheme="minorHAnsi" w:hAnsiTheme="minorHAnsi" w:cstheme="minorHAnsi"/>
              </w:rPr>
              <w:t xml:space="preserve"> 19)</w:t>
            </w:r>
          </w:p>
          <w:p w14:paraId="612D5AF6" w14:textId="77777777" w:rsidR="00447713" w:rsidRDefault="00447713" w:rsidP="009B4E4F">
            <w:pPr>
              <w:pStyle w:val="TableParagraph"/>
              <w:rPr>
                <w:rFonts w:asciiTheme="minorHAnsi" w:hAnsiTheme="minorHAnsi" w:cstheme="minorHAnsi"/>
              </w:rPr>
            </w:pPr>
          </w:p>
          <w:p w14:paraId="6B1F5DC1" w14:textId="767D6745" w:rsidR="002E5AE0" w:rsidRDefault="00447713" w:rsidP="00447713">
            <w:pPr>
              <w:pStyle w:val="TableParagraph"/>
              <w:ind w:left="0"/>
              <w:rPr>
                <w:rFonts w:asciiTheme="minorHAnsi" w:hAnsiTheme="minorHAnsi" w:cstheme="minorHAnsi"/>
              </w:rPr>
            </w:pPr>
            <w:r>
              <w:rPr>
                <w:rFonts w:asciiTheme="minorHAnsi" w:hAnsiTheme="minorHAnsi" w:cstheme="minorHAnsi"/>
              </w:rPr>
              <w:t>“</w:t>
            </w:r>
            <w:r w:rsidRPr="00447713">
              <w:rPr>
                <w:rFonts w:asciiTheme="minorHAnsi" w:hAnsiTheme="minorHAnsi" w:cstheme="minorHAnsi"/>
              </w:rPr>
              <w:t>Nutrition risk, identified by nutrition screening, is associated with longer length of hospital stay, complications, and mortality. In varied adult populations, patients who are identified as malnourished by various screening tools have longer length of hospital stay, and complications. Mortality risk is also predicted by malnutrition screening. Screening those individuals at risk of malnutrition is the first step in nutrition care.</w:t>
            </w:r>
            <w:r>
              <w:rPr>
                <w:rFonts w:asciiTheme="minorHAnsi" w:hAnsiTheme="minorHAnsi" w:cstheme="minorHAnsi"/>
              </w:rPr>
              <w:t>” (</w:t>
            </w:r>
            <w:proofErr w:type="spellStart"/>
            <w:r>
              <w:rPr>
                <w:rFonts w:asciiTheme="minorHAnsi" w:hAnsiTheme="minorHAnsi" w:cstheme="minorHAnsi"/>
              </w:rPr>
              <w:t>p.g.</w:t>
            </w:r>
            <w:proofErr w:type="spellEnd"/>
            <w:r>
              <w:rPr>
                <w:rFonts w:asciiTheme="minorHAnsi" w:hAnsiTheme="minorHAnsi" w:cstheme="minorHAnsi"/>
              </w:rPr>
              <w:t xml:space="preserve"> 19-20)</w:t>
            </w:r>
          </w:p>
          <w:p w14:paraId="26099C28" w14:textId="79F2C0C6" w:rsidR="00F96A03" w:rsidRPr="003B73E6" w:rsidRDefault="00F96A03" w:rsidP="00447713">
            <w:pPr>
              <w:pStyle w:val="TableParagraph"/>
              <w:rPr>
                <w:rFonts w:asciiTheme="minorHAnsi" w:hAnsiTheme="minorHAnsi" w:cstheme="minorHAnsi"/>
              </w:rPr>
            </w:pPr>
          </w:p>
        </w:tc>
      </w:tr>
      <w:tr w:rsidR="00F96A03" w14:paraId="3B750588" w14:textId="77777777" w:rsidTr="00340780">
        <w:trPr>
          <w:trHeight w:val="806"/>
        </w:trPr>
        <w:tc>
          <w:tcPr>
            <w:tcW w:w="4068" w:type="dxa"/>
          </w:tcPr>
          <w:p w14:paraId="1262943C" w14:textId="77777777" w:rsidR="00F96A03" w:rsidRDefault="00F96A03" w:rsidP="00340780">
            <w:pPr>
              <w:pStyle w:val="TableParagraph"/>
              <w:ind w:right="116"/>
            </w:pPr>
            <w:r>
              <w:t xml:space="preserve">Grade assigned to the </w:t>
            </w:r>
            <w:r>
              <w:rPr>
                <w:b/>
              </w:rPr>
              <w:t xml:space="preserve">evidence </w:t>
            </w:r>
            <w:r>
              <w:t>associated with the recommendation with the</w:t>
            </w:r>
          </w:p>
          <w:p w14:paraId="6ADD8AC6" w14:textId="77777777" w:rsidR="00F96A03" w:rsidRDefault="00F96A03" w:rsidP="00340780">
            <w:pPr>
              <w:pStyle w:val="TableParagraph"/>
              <w:spacing w:line="249" w:lineRule="exact"/>
            </w:pPr>
            <w:r>
              <w:t>definition of the grade</w:t>
            </w:r>
          </w:p>
        </w:tc>
        <w:tc>
          <w:tcPr>
            <w:tcW w:w="5131" w:type="dxa"/>
          </w:tcPr>
          <w:p w14:paraId="3749ECD5" w14:textId="77777777" w:rsidR="002E5AE0" w:rsidRDefault="002E5AE0" w:rsidP="002F67A0">
            <w:pPr>
              <w:pStyle w:val="TableParagraph"/>
              <w:ind w:left="0"/>
              <w:rPr>
                <w:rFonts w:asciiTheme="minorHAnsi" w:hAnsiTheme="minorHAnsi" w:cstheme="minorHAnsi"/>
              </w:rPr>
            </w:pPr>
            <w:r>
              <w:rPr>
                <w:rFonts w:asciiTheme="minorHAnsi" w:hAnsiTheme="minorHAnsi" w:cstheme="minorHAnsi"/>
              </w:rPr>
              <w:t xml:space="preserve">Grade </w:t>
            </w:r>
            <w:r w:rsidRPr="002E5AE0">
              <w:rPr>
                <w:rFonts w:asciiTheme="minorHAnsi" w:hAnsiTheme="minorHAnsi" w:cstheme="minorHAnsi"/>
              </w:rPr>
              <w:t xml:space="preserve">E - Supported by </w:t>
            </w:r>
            <w:r>
              <w:rPr>
                <w:rFonts w:asciiTheme="minorHAnsi" w:hAnsiTheme="minorHAnsi" w:cstheme="minorHAnsi"/>
              </w:rPr>
              <w:t>L</w:t>
            </w:r>
            <w:r w:rsidRPr="002E5AE0">
              <w:rPr>
                <w:rFonts w:asciiTheme="minorHAnsi" w:hAnsiTheme="minorHAnsi" w:cstheme="minorHAnsi"/>
              </w:rPr>
              <w:t>evel IV or V evidence</w:t>
            </w:r>
            <w:r>
              <w:rPr>
                <w:rFonts w:asciiTheme="minorHAnsi" w:hAnsiTheme="minorHAnsi" w:cstheme="minorHAnsi"/>
              </w:rPr>
              <w:t xml:space="preserve"> </w:t>
            </w:r>
          </w:p>
          <w:p w14:paraId="2CCF3632" w14:textId="77777777" w:rsidR="002E5AE0" w:rsidRDefault="002E5AE0" w:rsidP="00241283">
            <w:pPr>
              <w:pStyle w:val="TableParagraph"/>
              <w:rPr>
                <w:rFonts w:asciiTheme="minorHAnsi" w:hAnsiTheme="minorHAnsi" w:cstheme="minorHAnsi"/>
              </w:rPr>
            </w:pPr>
          </w:p>
          <w:p w14:paraId="50049F4C" w14:textId="12A4E5F9" w:rsidR="002E5AE0" w:rsidRDefault="002E5AE0" w:rsidP="002F67A0">
            <w:pPr>
              <w:pStyle w:val="TableParagraph"/>
              <w:ind w:left="0"/>
              <w:rPr>
                <w:rFonts w:asciiTheme="minorHAnsi" w:hAnsiTheme="minorHAnsi" w:cstheme="minorHAnsi"/>
              </w:rPr>
            </w:pPr>
            <w:r w:rsidRPr="002F67A0">
              <w:rPr>
                <w:rFonts w:asciiTheme="minorHAnsi" w:hAnsiTheme="minorHAnsi" w:cstheme="minorHAnsi"/>
              </w:rPr>
              <w:t>Level IV Evidence:</w:t>
            </w:r>
            <w:r w:rsidRPr="002E5AE0">
              <w:rPr>
                <w:rFonts w:asciiTheme="minorHAnsi" w:hAnsiTheme="minorHAnsi" w:cstheme="minorHAnsi"/>
              </w:rPr>
              <w:t xml:space="preserve"> Nonrandomized cohort with historical controls</w:t>
            </w:r>
          </w:p>
          <w:p w14:paraId="5B174B8F" w14:textId="77777777" w:rsidR="002F67A0" w:rsidRDefault="002F67A0" w:rsidP="002F67A0">
            <w:pPr>
              <w:pStyle w:val="TableParagraph"/>
              <w:ind w:left="0"/>
              <w:rPr>
                <w:rFonts w:asciiTheme="minorHAnsi" w:hAnsiTheme="minorHAnsi" w:cstheme="minorHAnsi"/>
              </w:rPr>
            </w:pPr>
          </w:p>
          <w:p w14:paraId="5021CAFC" w14:textId="2C15810D" w:rsidR="00F96A03" w:rsidRPr="003B73E6" w:rsidRDefault="002E5AE0" w:rsidP="002F67A0">
            <w:pPr>
              <w:pStyle w:val="TableParagraph"/>
              <w:ind w:left="0"/>
              <w:rPr>
                <w:rFonts w:asciiTheme="minorHAnsi" w:hAnsiTheme="minorHAnsi" w:cstheme="minorHAnsi"/>
              </w:rPr>
            </w:pPr>
            <w:r w:rsidRPr="002F67A0">
              <w:rPr>
                <w:rFonts w:asciiTheme="minorHAnsi" w:hAnsiTheme="minorHAnsi" w:cstheme="minorHAnsi"/>
              </w:rPr>
              <w:t>Level V Evidence:</w:t>
            </w:r>
            <w:r w:rsidRPr="002E5AE0">
              <w:rPr>
                <w:rFonts w:asciiTheme="minorHAnsi" w:hAnsiTheme="minorHAnsi" w:cstheme="minorHAnsi"/>
              </w:rPr>
              <w:t xml:space="preserve"> Case series, uncontrolled studies, and expert opinion</w:t>
            </w:r>
          </w:p>
        </w:tc>
      </w:tr>
      <w:tr w:rsidR="00F96A03" w14:paraId="444865D1" w14:textId="77777777" w:rsidTr="00340780">
        <w:trPr>
          <w:trHeight w:val="537"/>
        </w:trPr>
        <w:tc>
          <w:tcPr>
            <w:tcW w:w="4068" w:type="dxa"/>
          </w:tcPr>
          <w:p w14:paraId="13620009" w14:textId="77777777" w:rsidR="00F96A03" w:rsidRPr="003B73E6" w:rsidRDefault="00F96A03" w:rsidP="00340780">
            <w:pPr>
              <w:pStyle w:val="TableParagraph"/>
              <w:spacing w:line="268" w:lineRule="exact"/>
              <w:rPr>
                <w:rFonts w:asciiTheme="minorHAnsi" w:hAnsiTheme="minorHAnsi" w:cstheme="minorHAnsi"/>
              </w:rPr>
            </w:pPr>
            <w:r w:rsidRPr="003B73E6">
              <w:rPr>
                <w:rFonts w:asciiTheme="minorHAnsi" w:hAnsiTheme="minorHAnsi" w:cstheme="minorHAnsi"/>
              </w:rPr>
              <w:t>Provide all other grades and definitions</w:t>
            </w:r>
          </w:p>
          <w:p w14:paraId="31A813A4" w14:textId="77777777" w:rsidR="00F96A03" w:rsidRPr="003B73E6" w:rsidRDefault="00F96A03" w:rsidP="00340780">
            <w:pPr>
              <w:pStyle w:val="TableParagraph"/>
              <w:spacing w:line="249" w:lineRule="exact"/>
              <w:rPr>
                <w:rFonts w:asciiTheme="minorHAnsi" w:hAnsiTheme="minorHAnsi" w:cstheme="minorHAnsi"/>
              </w:rPr>
            </w:pPr>
            <w:r w:rsidRPr="003B73E6">
              <w:rPr>
                <w:rFonts w:asciiTheme="minorHAnsi" w:hAnsiTheme="minorHAnsi" w:cstheme="minorHAnsi"/>
              </w:rPr>
              <w:t>from the evidence grading system</w:t>
            </w:r>
          </w:p>
        </w:tc>
        <w:tc>
          <w:tcPr>
            <w:tcW w:w="5131" w:type="dxa"/>
          </w:tcPr>
          <w:p w14:paraId="1806412A" w14:textId="3E85E50F" w:rsidR="00F96A03" w:rsidRDefault="00F96A03" w:rsidP="005C674F">
            <w:pPr>
              <w:pStyle w:val="TableParagraph"/>
              <w:ind w:left="0"/>
              <w:rPr>
                <w:rFonts w:asciiTheme="minorHAnsi" w:hAnsiTheme="minorHAnsi" w:cstheme="minorHAnsi"/>
              </w:rPr>
            </w:pPr>
            <w:r w:rsidRPr="002F67A0">
              <w:rPr>
                <w:rFonts w:asciiTheme="minorHAnsi" w:hAnsiTheme="minorHAnsi" w:cstheme="minorHAnsi"/>
              </w:rPr>
              <w:t xml:space="preserve">Level I </w:t>
            </w:r>
            <w:r w:rsidR="002E5AE0" w:rsidRPr="002F67A0">
              <w:rPr>
                <w:rFonts w:asciiTheme="minorHAnsi" w:hAnsiTheme="minorHAnsi" w:cstheme="minorHAnsi"/>
              </w:rPr>
              <w:t>E</w:t>
            </w:r>
            <w:r w:rsidRPr="002F67A0">
              <w:rPr>
                <w:rFonts w:asciiTheme="minorHAnsi" w:hAnsiTheme="minorHAnsi" w:cstheme="minorHAnsi"/>
              </w:rPr>
              <w:t>vidence</w:t>
            </w:r>
            <w:r w:rsidR="002E5AE0" w:rsidRPr="002F67A0">
              <w:rPr>
                <w:rFonts w:asciiTheme="minorHAnsi" w:hAnsiTheme="minorHAnsi" w:cstheme="minorHAnsi"/>
              </w:rPr>
              <w:t>:</w:t>
            </w:r>
            <w:r w:rsidR="002E5AE0">
              <w:rPr>
                <w:rFonts w:asciiTheme="minorHAnsi" w:hAnsiTheme="minorHAnsi" w:cstheme="minorHAnsi"/>
              </w:rPr>
              <w:t xml:space="preserve"> </w:t>
            </w:r>
            <w:r w:rsidRPr="00CE4EFB">
              <w:rPr>
                <w:rFonts w:asciiTheme="minorHAnsi" w:hAnsiTheme="minorHAnsi" w:cstheme="minorHAnsi"/>
              </w:rPr>
              <w:t>Large randomized trials with clear‐cut results; low risk of false‐positive (α) and/or false‐</w:t>
            </w:r>
            <w:r w:rsidRPr="00CE4EFB">
              <w:rPr>
                <w:rFonts w:asciiTheme="minorHAnsi" w:hAnsiTheme="minorHAnsi" w:cstheme="minorHAnsi"/>
              </w:rPr>
              <w:lastRenderedPageBreak/>
              <w:t>negative (β) error</w:t>
            </w:r>
          </w:p>
          <w:p w14:paraId="42FE9FC8" w14:textId="77777777" w:rsidR="00F96A03" w:rsidRDefault="00F96A03" w:rsidP="00340780">
            <w:pPr>
              <w:pStyle w:val="TableParagraph"/>
              <w:rPr>
                <w:rFonts w:asciiTheme="minorHAnsi" w:hAnsiTheme="minorHAnsi" w:cstheme="minorHAnsi"/>
              </w:rPr>
            </w:pPr>
          </w:p>
          <w:p w14:paraId="3D4485FC" w14:textId="780BDB1B" w:rsidR="00F96A03" w:rsidRDefault="00F96A03" w:rsidP="005C674F">
            <w:pPr>
              <w:pStyle w:val="TableParagraph"/>
              <w:ind w:left="0"/>
              <w:rPr>
                <w:rFonts w:asciiTheme="minorHAnsi" w:hAnsiTheme="minorHAnsi" w:cstheme="minorHAnsi"/>
              </w:rPr>
            </w:pPr>
            <w:r w:rsidRPr="002F67A0">
              <w:rPr>
                <w:rFonts w:asciiTheme="minorHAnsi" w:hAnsiTheme="minorHAnsi" w:cstheme="minorHAnsi"/>
              </w:rPr>
              <w:t xml:space="preserve">Level II </w:t>
            </w:r>
            <w:r w:rsidR="002E5AE0" w:rsidRPr="002F67A0">
              <w:rPr>
                <w:rFonts w:asciiTheme="minorHAnsi" w:hAnsiTheme="minorHAnsi" w:cstheme="minorHAnsi"/>
              </w:rPr>
              <w:t>E</w:t>
            </w:r>
            <w:r w:rsidRPr="002F67A0">
              <w:rPr>
                <w:rFonts w:asciiTheme="minorHAnsi" w:hAnsiTheme="minorHAnsi" w:cstheme="minorHAnsi"/>
              </w:rPr>
              <w:t>vidence</w:t>
            </w:r>
            <w:r w:rsidR="002E5AE0" w:rsidRPr="002F67A0">
              <w:rPr>
                <w:rFonts w:asciiTheme="minorHAnsi" w:hAnsiTheme="minorHAnsi" w:cstheme="minorHAnsi"/>
              </w:rPr>
              <w:t>:</w:t>
            </w:r>
            <w:r>
              <w:rPr>
                <w:rFonts w:asciiTheme="minorHAnsi" w:hAnsiTheme="minorHAnsi" w:cstheme="minorHAnsi"/>
              </w:rPr>
              <w:t xml:space="preserve"> </w:t>
            </w:r>
            <w:r w:rsidRPr="00CE4EFB">
              <w:rPr>
                <w:rFonts w:asciiTheme="minorHAnsi" w:hAnsiTheme="minorHAnsi" w:cstheme="minorHAnsi"/>
              </w:rPr>
              <w:t>Small, randomized trials with uncertain results; moderate to high risk of false‐positive (α) and/or false‐negative (β) error</w:t>
            </w:r>
          </w:p>
          <w:p w14:paraId="08D4F595" w14:textId="77777777" w:rsidR="00F96A03" w:rsidRDefault="00F96A03" w:rsidP="00340780">
            <w:pPr>
              <w:pStyle w:val="TableParagraph"/>
              <w:rPr>
                <w:rFonts w:asciiTheme="minorHAnsi" w:hAnsiTheme="minorHAnsi" w:cstheme="minorHAnsi"/>
              </w:rPr>
            </w:pPr>
          </w:p>
          <w:p w14:paraId="38CA4F13" w14:textId="4ECC6816" w:rsidR="00F96A03" w:rsidRPr="003B73E6" w:rsidRDefault="002E5AE0" w:rsidP="005C674F">
            <w:pPr>
              <w:pStyle w:val="TableParagraph"/>
              <w:ind w:left="0"/>
              <w:rPr>
                <w:rFonts w:asciiTheme="minorHAnsi" w:hAnsiTheme="minorHAnsi" w:cstheme="minorHAnsi"/>
              </w:rPr>
            </w:pPr>
            <w:r w:rsidRPr="002F67A0">
              <w:rPr>
                <w:rFonts w:asciiTheme="minorHAnsi" w:hAnsiTheme="minorHAnsi" w:cstheme="minorHAnsi"/>
              </w:rPr>
              <w:t>Level II Evidence:</w:t>
            </w:r>
            <w:r>
              <w:rPr>
                <w:rFonts w:asciiTheme="minorHAnsi" w:hAnsiTheme="minorHAnsi" w:cstheme="minorHAnsi"/>
              </w:rPr>
              <w:t xml:space="preserve"> </w:t>
            </w:r>
            <w:r w:rsidRPr="002E5AE0">
              <w:rPr>
                <w:rFonts w:asciiTheme="minorHAnsi" w:hAnsiTheme="minorHAnsi" w:cstheme="minorHAnsi"/>
              </w:rPr>
              <w:t>Nonrandomized cohort with contemporaneous</w:t>
            </w:r>
            <w:r w:rsidR="002F67A0">
              <w:rPr>
                <w:rFonts w:asciiTheme="minorHAnsi" w:hAnsiTheme="minorHAnsi" w:cstheme="minorHAnsi"/>
              </w:rPr>
              <w:t xml:space="preserve"> c</w:t>
            </w:r>
            <w:r w:rsidRPr="002E5AE0">
              <w:rPr>
                <w:rFonts w:asciiTheme="minorHAnsi" w:hAnsiTheme="minorHAnsi" w:cstheme="minorHAnsi"/>
              </w:rPr>
              <w:t>ontrols</w:t>
            </w:r>
          </w:p>
        </w:tc>
      </w:tr>
      <w:tr w:rsidR="00F96A03" w14:paraId="6DBFA842" w14:textId="77777777" w:rsidTr="00340780">
        <w:trPr>
          <w:trHeight w:val="537"/>
        </w:trPr>
        <w:tc>
          <w:tcPr>
            <w:tcW w:w="4068" w:type="dxa"/>
          </w:tcPr>
          <w:p w14:paraId="2876DB91" w14:textId="77777777" w:rsidR="00F96A03" w:rsidRDefault="00F96A03" w:rsidP="00340780">
            <w:pPr>
              <w:pStyle w:val="TableParagraph"/>
              <w:spacing w:line="268" w:lineRule="exact"/>
              <w:rPr>
                <w:b/>
              </w:rPr>
            </w:pPr>
            <w:r>
              <w:lastRenderedPageBreak/>
              <w:t xml:space="preserve">Grade assigned to the </w:t>
            </w:r>
            <w:r>
              <w:rPr>
                <w:b/>
              </w:rPr>
              <w:t>recommendation</w:t>
            </w:r>
          </w:p>
          <w:p w14:paraId="72D21EF1" w14:textId="77777777" w:rsidR="00F96A03" w:rsidRDefault="00F96A03" w:rsidP="00340780">
            <w:pPr>
              <w:pStyle w:val="TableParagraph"/>
              <w:spacing w:line="249" w:lineRule="exact"/>
            </w:pPr>
            <w:r>
              <w:t>with definition of the grade</w:t>
            </w:r>
          </w:p>
        </w:tc>
        <w:tc>
          <w:tcPr>
            <w:tcW w:w="5131" w:type="dxa"/>
          </w:tcPr>
          <w:p w14:paraId="01F9F885" w14:textId="74522451" w:rsidR="009B4E4F" w:rsidRDefault="002E5AE0" w:rsidP="002E5AE0">
            <w:pPr>
              <w:pStyle w:val="TableParagraph"/>
              <w:ind w:left="0"/>
              <w:rPr>
                <w:rFonts w:ascii="Times New Roman"/>
              </w:rPr>
            </w:pPr>
            <w:r w:rsidRPr="003B73E6">
              <w:rPr>
                <w:rFonts w:asciiTheme="minorHAnsi" w:hAnsiTheme="minorHAnsi" w:cstheme="minorHAnsi"/>
              </w:rPr>
              <w:t>E – Supported by level IV or V evidence</w:t>
            </w:r>
          </w:p>
        </w:tc>
      </w:tr>
      <w:tr w:rsidR="00F96A03" w14:paraId="72D5569A" w14:textId="77777777" w:rsidTr="00340780">
        <w:trPr>
          <w:trHeight w:val="537"/>
        </w:trPr>
        <w:tc>
          <w:tcPr>
            <w:tcW w:w="4068" w:type="dxa"/>
          </w:tcPr>
          <w:p w14:paraId="6CA6D0AE" w14:textId="77777777" w:rsidR="00F96A03" w:rsidRDefault="00F96A03" w:rsidP="00340780">
            <w:pPr>
              <w:pStyle w:val="TableParagraph"/>
              <w:spacing w:line="268" w:lineRule="exact"/>
            </w:pPr>
            <w:r>
              <w:t>Provide all other grades and definitions</w:t>
            </w:r>
          </w:p>
          <w:p w14:paraId="56A098EC" w14:textId="77777777" w:rsidR="00F96A03" w:rsidRDefault="00F96A03" w:rsidP="00340780">
            <w:pPr>
              <w:pStyle w:val="TableParagraph"/>
              <w:spacing w:line="249" w:lineRule="exact"/>
            </w:pPr>
            <w:r>
              <w:t>from the recommendation grading system</w:t>
            </w:r>
          </w:p>
        </w:tc>
        <w:tc>
          <w:tcPr>
            <w:tcW w:w="5131" w:type="dxa"/>
          </w:tcPr>
          <w:p w14:paraId="6A177D5C" w14:textId="77777777" w:rsidR="00F96A03" w:rsidRPr="003B73E6" w:rsidRDefault="00F96A03" w:rsidP="00340780">
            <w:pPr>
              <w:pStyle w:val="TableParagraph"/>
              <w:ind w:left="0"/>
              <w:rPr>
                <w:rFonts w:asciiTheme="minorHAnsi" w:hAnsiTheme="minorHAnsi" w:cstheme="minorHAnsi"/>
              </w:rPr>
            </w:pPr>
            <w:r w:rsidRPr="003B73E6">
              <w:rPr>
                <w:rFonts w:asciiTheme="minorHAnsi" w:hAnsiTheme="minorHAnsi" w:cstheme="minorHAnsi"/>
              </w:rPr>
              <w:t>A- Supported by at least 2 level I investigations</w:t>
            </w:r>
          </w:p>
          <w:p w14:paraId="22311448" w14:textId="2EB94960" w:rsidR="00F96A03" w:rsidRPr="003B73E6" w:rsidRDefault="00F96A03" w:rsidP="00340780">
            <w:pPr>
              <w:pStyle w:val="TableParagraph"/>
              <w:ind w:left="0"/>
              <w:rPr>
                <w:rFonts w:asciiTheme="minorHAnsi" w:hAnsiTheme="minorHAnsi" w:cstheme="minorHAnsi"/>
              </w:rPr>
            </w:pPr>
            <w:r w:rsidRPr="003B73E6">
              <w:rPr>
                <w:rFonts w:asciiTheme="minorHAnsi" w:hAnsiTheme="minorHAnsi" w:cstheme="minorHAnsi"/>
              </w:rPr>
              <w:t xml:space="preserve">B- Supported by 1 level </w:t>
            </w:r>
            <w:r w:rsidR="00447713">
              <w:rPr>
                <w:rFonts w:asciiTheme="minorHAnsi" w:hAnsiTheme="minorHAnsi" w:cstheme="minorHAnsi"/>
              </w:rPr>
              <w:t>1</w:t>
            </w:r>
            <w:r w:rsidRPr="003B73E6">
              <w:rPr>
                <w:rFonts w:asciiTheme="minorHAnsi" w:hAnsiTheme="minorHAnsi" w:cstheme="minorHAnsi"/>
              </w:rPr>
              <w:t xml:space="preserve"> investigation</w:t>
            </w:r>
          </w:p>
          <w:p w14:paraId="22A6AF45" w14:textId="77777777" w:rsidR="002E5AE0" w:rsidRPr="003B73E6" w:rsidRDefault="002E5AE0" w:rsidP="002E5AE0">
            <w:pPr>
              <w:pStyle w:val="TableParagraph"/>
              <w:ind w:left="0"/>
              <w:rPr>
                <w:rFonts w:asciiTheme="minorHAnsi" w:hAnsiTheme="minorHAnsi" w:cstheme="minorHAnsi"/>
              </w:rPr>
            </w:pPr>
            <w:r w:rsidRPr="003B73E6">
              <w:rPr>
                <w:rFonts w:asciiTheme="minorHAnsi" w:hAnsiTheme="minorHAnsi" w:cstheme="minorHAnsi"/>
              </w:rPr>
              <w:t>C- Supported by at least 1 level III investigation</w:t>
            </w:r>
          </w:p>
          <w:p w14:paraId="63B9B6CC" w14:textId="77777777" w:rsidR="00F96A03" w:rsidRDefault="00F96A03" w:rsidP="00340780">
            <w:pPr>
              <w:pStyle w:val="TableParagraph"/>
              <w:ind w:left="0"/>
              <w:rPr>
                <w:rFonts w:asciiTheme="minorHAnsi" w:hAnsiTheme="minorHAnsi" w:cstheme="minorHAnsi"/>
              </w:rPr>
            </w:pPr>
            <w:r w:rsidRPr="003B73E6">
              <w:rPr>
                <w:rFonts w:asciiTheme="minorHAnsi" w:hAnsiTheme="minorHAnsi" w:cstheme="minorHAnsi"/>
              </w:rPr>
              <w:t>D- Supported by at least 1 level III investigation</w:t>
            </w:r>
          </w:p>
          <w:p w14:paraId="70CFE6C7" w14:textId="2AC7E24F" w:rsidR="009B4E4F" w:rsidRPr="009B4E4F" w:rsidRDefault="009B4E4F" w:rsidP="00340780">
            <w:pPr>
              <w:pStyle w:val="TableParagraph"/>
              <w:ind w:left="0"/>
              <w:rPr>
                <w:rFonts w:asciiTheme="minorHAnsi" w:hAnsiTheme="minorHAnsi" w:cstheme="minorHAnsi"/>
              </w:rPr>
            </w:pPr>
          </w:p>
        </w:tc>
      </w:tr>
      <w:tr w:rsidR="00F96A03" w14:paraId="588EA08A" w14:textId="77777777" w:rsidTr="00340780">
        <w:trPr>
          <w:trHeight w:val="1110"/>
        </w:trPr>
        <w:tc>
          <w:tcPr>
            <w:tcW w:w="4068" w:type="dxa"/>
          </w:tcPr>
          <w:p w14:paraId="7D684AF3" w14:textId="77777777" w:rsidR="00F96A03" w:rsidRDefault="00F96A03" w:rsidP="00340780">
            <w:pPr>
              <w:pStyle w:val="TableParagraph"/>
              <w:spacing w:line="268" w:lineRule="exact"/>
            </w:pPr>
            <w:r>
              <w:t>Body of evidence:</w:t>
            </w:r>
          </w:p>
          <w:p w14:paraId="251059F8" w14:textId="77777777" w:rsidR="00F96A03" w:rsidRDefault="00F96A03" w:rsidP="00F96A03">
            <w:pPr>
              <w:pStyle w:val="TableParagraph"/>
              <w:numPr>
                <w:ilvl w:val="0"/>
                <w:numId w:val="16"/>
              </w:numPr>
              <w:tabs>
                <w:tab w:val="left" w:pos="827"/>
                <w:tab w:val="left" w:pos="828"/>
              </w:tabs>
            </w:pPr>
            <w:r>
              <w:t>Quantity – how many</w:t>
            </w:r>
            <w:r>
              <w:rPr>
                <w:spacing w:val="-7"/>
              </w:rPr>
              <w:t xml:space="preserve"> </w:t>
            </w:r>
            <w:r>
              <w:t>studies?</w:t>
            </w:r>
          </w:p>
          <w:p w14:paraId="7F584526" w14:textId="77777777" w:rsidR="00F96A03" w:rsidRDefault="00F96A03" w:rsidP="00F96A03">
            <w:pPr>
              <w:pStyle w:val="TableParagraph"/>
              <w:numPr>
                <w:ilvl w:val="0"/>
                <w:numId w:val="16"/>
              </w:numPr>
              <w:tabs>
                <w:tab w:val="left" w:pos="827"/>
                <w:tab w:val="left" w:pos="828"/>
              </w:tabs>
              <w:spacing w:before="42"/>
            </w:pPr>
            <w:r>
              <w:t>Quality – what type of</w:t>
            </w:r>
            <w:r>
              <w:rPr>
                <w:spacing w:val="-8"/>
              </w:rPr>
              <w:t xml:space="preserve"> </w:t>
            </w:r>
            <w:r>
              <w:t>studies?</w:t>
            </w:r>
          </w:p>
        </w:tc>
        <w:tc>
          <w:tcPr>
            <w:tcW w:w="5131" w:type="dxa"/>
          </w:tcPr>
          <w:p w14:paraId="7861BCA3" w14:textId="17BE69AD" w:rsidR="00F96A03" w:rsidRPr="00CE4EFB" w:rsidRDefault="00C926B2" w:rsidP="00340780">
            <w:pPr>
              <w:pStyle w:val="TableParagraph"/>
              <w:ind w:left="0"/>
              <w:rPr>
                <w:rFonts w:asciiTheme="minorHAnsi" w:hAnsiTheme="minorHAnsi" w:cstheme="minorHAnsi"/>
              </w:rPr>
            </w:pPr>
            <w:r w:rsidRPr="00C926B2">
              <w:rPr>
                <w:rFonts w:asciiTheme="minorHAnsi" w:hAnsiTheme="minorHAnsi" w:cstheme="minorHAnsi"/>
              </w:rPr>
              <w:t>9 observational studies (descriptive cohorts)</w:t>
            </w:r>
            <w:r>
              <w:rPr>
                <w:rFonts w:asciiTheme="minorHAnsi" w:hAnsiTheme="minorHAnsi" w:cstheme="minorHAnsi"/>
              </w:rPr>
              <w:br/>
            </w:r>
            <w:r w:rsidRPr="00C926B2">
              <w:rPr>
                <w:rFonts w:asciiTheme="minorHAnsi" w:hAnsiTheme="minorHAnsi" w:cstheme="minorHAnsi"/>
              </w:rPr>
              <w:t>1 nonrandomized cohort with contemporaneous controls</w:t>
            </w:r>
          </w:p>
        </w:tc>
      </w:tr>
      <w:tr w:rsidR="00F96A03" w14:paraId="2F0E7D7E" w14:textId="77777777" w:rsidTr="00340780">
        <w:trPr>
          <w:trHeight w:val="537"/>
        </w:trPr>
        <w:tc>
          <w:tcPr>
            <w:tcW w:w="4068" w:type="dxa"/>
          </w:tcPr>
          <w:p w14:paraId="72B1BA8D" w14:textId="77777777" w:rsidR="00F96A03" w:rsidRDefault="00F96A03" w:rsidP="00340780">
            <w:pPr>
              <w:pStyle w:val="TableParagraph"/>
              <w:spacing w:line="268" w:lineRule="exact"/>
            </w:pPr>
            <w:r>
              <w:t>Estimates of benefit and consistency</w:t>
            </w:r>
          </w:p>
          <w:p w14:paraId="274EAD0F" w14:textId="77777777" w:rsidR="00F96A03" w:rsidRDefault="00F96A03" w:rsidP="00340780">
            <w:pPr>
              <w:pStyle w:val="TableParagraph"/>
              <w:spacing w:line="249" w:lineRule="exact"/>
            </w:pPr>
            <w:r>
              <w:t>across studies</w:t>
            </w:r>
          </w:p>
        </w:tc>
        <w:tc>
          <w:tcPr>
            <w:tcW w:w="5131" w:type="dxa"/>
          </w:tcPr>
          <w:p w14:paraId="1051D96A" w14:textId="04DAB31F" w:rsidR="00F96A03" w:rsidRPr="00085FF0" w:rsidRDefault="00085FF0" w:rsidP="00340780">
            <w:pPr>
              <w:pStyle w:val="TableParagraph"/>
              <w:ind w:left="0"/>
              <w:rPr>
                <w:rFonts w:asciiTheme="minorHAnsi" w:hAnsiTheme="minorHAnsi" w:cstheme="minorHAnsi"/>
              </w:rPr>
            </w:pPr>
            <w:r w:rsidRPr="00085FF0">
              <w:rPr>
                <w:rFonts w:asciiTheme="minorHAnsi" w:hAnsiTheme="minorHAnsi" w:cstheme="minorHAnsi"/>
              </w:rPr>
              <w:t xml:space="preserve">Screening for malnutrition risk is a non-intensive and low-burden process for identifying patients in need of further assessment of nutritional status. Nutrition risk as identified by screening can be a strong predictor of hospital length of stay, risk of 30-day readmission, and complications. </w:t>
            </w:r>
            <w:r>
              <w:rPr>
                <w:rFonts w:asciiTheme="minorHAnsi" w:hAnsiTheme="minorHAnsi" w:cstheme="minorHAnsi"/>
              </w:rPr>
              <w:t>Some studies also showed a weak association with mortality, but generally the evidence is inconsistent on that outcome.</w:t>
            </w:r>
          </w:p>
        </w:tc>
      </w:tr>
      <w:tr w:rsidR="00F96A03" w14:paraId="315F949B" w14:textId="77777777" w:rsidTr="00340780">
        <w:trPr>
          <w:trHeight w:val="268"/>
        </w:trPr>
        <w:tc>
          <w:tcPr>
            <w:tcW w:w="4068" w:type="dxa"/>
          </w:tcPr>
          <w:p w14:paraId="59F11746" w14:textId="77777777" w:rsidR="00F96A03" w:rsidRDefault="00F96A03" w:rsidP="00340780">
            <w:pPr>
              <w:pStyle w:val="TableParagraph"/>
              <w:spacing w:line="248" w:lineRule="exact"/>
            </w:pPr>
            <w:r>
              <w:t>What harms were identified?</w:t>
            </w:r>
          </w:p>
        </w:tc>
        <w:tc>
          <w:tcPr>
            <w:tcW w:w="5131" w:type="dxa"/>
          </w:tcPr>
          <w:p w14:paraId="1116C3BB" w14:textId="097D4ED9" w:rsidR="00F96A03" w:rsidRPr="002E5AE0" w:rsidRDefault="009A7134" w:rsidP="00340780">
            <w:pPr>
              <w:pStyle w:val="TableParagraph"/>
              <w:ind w:left="0"/>
              <w:rPr>
                <w:rFonts w:asciiTheme="minorHAnsi" w:hAnsiTheme="minorHAnsi" w:cstheme="minorHAnsi"/>
              </w:rPr>
            </w:pPr>
            <w:r w:rsidRPr="002E5AE0">
              <w:rPr>
                <w:rFonts w:asciiTheme="minorHAnsi" w:hAnsiTheme="minorHAnsi" w:cstheme="minorHAnsi"/>
              </w:rPr>
              <w:t>No adverse events were identified</w:t>
            </w:r>
          </w:p>
        </w:tc>
      </w:tr>
      <w:tr w:rsidR="00F96A03" w14:paraId="6F429015" w14:textId="77777777" w:rsidTr="00340780">
        <w:trPr>
          <w:trHeight w:val="805"/>
        </w:trPr>
        <w:tc>
          <w:tcPr>
            <w:tcW w:w="4068" w:type="dxa"/>
          </w:tcPr>
          <w:p w14:paraId="3AD4D693" w14:textId="77777777" w:rsidR="00F96A03" w:rsidRDefault="00F96A03" w:rsidP="00340780">
            <w:pPr>
              <w:pStyle w:val="TableParagraph"/>
              <w:spacing w:line="268" w:lineRule="exact"/>
            </w:pPr>
            <w:r>
              <w:t>Identify any new studies conducted since</w:t>
            </w:r>
          </w:p>
          <w:p w14:paraId="12389E32" w14:textId="77777777" w:rsidR="00F96A03" w:rsidRDefault="00F96A03" w:rsidP="00340780">
            <w:pPr>
              <w:pStyle w:val="TableParagraph"/>
              <w:spacing w:line="270" w:lineRule="atLeast"/>
              <w:ind w:right="497"/>
            </w:pPr>
            <w:r>
              <w:t>the SR. Do the new studies change the conclusions from the SR?</w:t>
            </w:r>
          </w:p>
        </w:tc>
        <w:tc>
          <w:tcPr>
            <w:tcW w:w="5131" w:type="dxa"/>
          </w:tcPr>
          <w:p w14:paraId="2119A102" w14:textId="01B9FFDF" w:rsidR="00F96A03" w:rsidRPr="00085FF0" w:rsidRDefault="00085FF0" w:rsidP="00340780">
            <w:pPr>
              <w:pStyle w:val="TableParagraph"/>
              <w:ind w:left="0"/>
              <w:rPr>
                <w:rFonts w:asciiTheme="minorHAnsi" w:hAnsiTheme="minorHAnsi" w:cstheme="minorHAnsi"/>
              </w:rPr>
            </w:pPr>
            <w:r w:rsidRPr="00085FF0">
              <w:rPr>
                <w:rFonts w:asciiTheme="minorHAnsi" w:hAnsiTheme="minorHAnsi" w:cstheme="minorHAnsi"/>
              </w:rPr>
              <w:t>Yes</w:t>
            </w:r>
            <w:r>
              <w:rPr>
                <w:rFonts w:asciiTheme="minorHAnsi" w:hAnsiTheme="minorHAnsi" w:cstheme="minorHAnsi"/>
              </w:rPr>
              <w:t xml:space="preserve"> several new studies have been completed and published since the SR (see below), but results do not contradict earlier findings and reiterate what was reported in the initial SR.</w:t>
            </w:r>
          </w:p>
        </w:tc>
      </w:tr>
      <w:bookmarkEnd w:id="4"/>
    </w:tbl>
    <w:p w14:paraId="5208794E" w14:textId="77777777" w:rsidR="00CB1E41" w:rsidRPr="003B1CC5" w:rsidRDefault="00CB1E41" w:rsidP="00EE5AF6">
      <w:pPr>
        <w:ind w:left="0" w:firstLine="0"/>
        <w:rPr>
          <w:b/>
          <w:color w:val="0000FF"/>
        </w:rPr>
      </w:pPr>
    </w:p>
    <w:p w14:paraId="405DC6B4" w14:textId="0C8A5FD2" w:rsidR="7F7E0783" w:rsidRDefault="7F7E0783" w:rsidP="7F7E0783"/>
    <w:p w14:paraId="5208795E" w14:textId="77777777" w:rsidR="00496AF8" w:rsidRPr="003B1CC5" w:rsidRDefault="38AF9500" w:rsidP="002E2177">
      <w:pPr>
        <w:ind w:left="0" w:firstLine="0"/>
        <w:rPr>
          <w:b/>
        </w:rPr>
      </w:pPr>
      <w:r w:rsidRPr="38AF9500">
        <w:rPr>
          <w:b/>
          <w:bCs/>
        </w:rPr>
        <w:t>ESTIMATES OF BENEFIT AND CONSISTENCY ACROSS STUDIES IN BODY OF EVIDENCE</w:t>
      </w:r>
    </w:p>
    <w:p w14:paraId="5208795F" w14:textId="4FBA0BBD" w:rsidR="00496AF8" w:rsidRDefault="38AF9500" w:rsidP="002E2177">
      <w:pPr>
        <w:ind w:left="432" w:hanging="432"/>
      </w:pPr>
      <w:r w:rsidRPr="38AF9500">
        <w:rPr>
          <w:b/>
          <w:bCs/>
        </w:rPr>
        <w:t xml:space="preserve">What are the estimates of benefit—magnitude and direction of effect on outcome(s) </w:t>
      </w:r>
      <w:r w:rsidRPr="38AF9500">
        <w:rPr>
          <w:b/>
          <w:bCs/>
          <w:u w:val="single"/>
        </w:rPr>
        <w:t>across studies</w:t>
      </w:r>
      <w:r w:rsidRPr="38AF9500">
        <w:rPr>
          <w:b/>
          <w:bCs/>
        </w:rPr>
        <w:t xml:space="preserve"> in the body of evidence</w:t>
      </w:r>
      <w:r>
        <w:t>? (</w:t>
      </w:r>
      <w:r w:rsidRPr="38AF9500">
        <w:rPr>
          <w:i/>
          <w:iCs/>
        </w:rPr>
        <w:t>e.g., ranges of percentages or odds ratios for improvement/ decline across studies, results of meta-analysis, and statistical significance</w:t>
      </w:r>
      <w:r>
        <w:t xml:space="preserve">)  </w:t>
      </w:r>
    </w:p>
    <w:p w14:paraId="54D42252" w14:textId="6DD00C00" w:rsidR="004A402C" w:rsidRDefault="004A402C" w:rsidP="002E2177">
      <w:pPr>
        <w:ind w:left="0" w:firstLine="0"/>
        <w:rPr>
          <w:rFonts w:eastAsiaTheme="minorEastAsia" w:cstheme="minorEastAsia"/>
          <w:b/>
          <w:bCs/>
        </w:rPr>
      </w:pPr>
    </w:p>
    <w:p w14:paraId="1EB30EB7" w14:textId="77777777" w:rsidR="00447713" w:rsidRDefault="00447713" w:rsidP="00447713">
      <w:pPr>
        <w:ind w:left="0" w:firstLine="0"/>
      </w:pPr>
      <w:r>
        <w:t>Outcomes from 1a.4: Malnutrition risk identified in patients through nutrition screening was able to predict outcomes including:</w:t>
      </w:r>
    </w:p>
    <w:p w14:paraId="56484FF5" w14:textId="77777777" w:rsidR="00447713" w:rsidRDefault="00447713" w:rsidP="00447713">
      <w:pPr>
        <w:ind w:left="0" w:firstLine="0"/>
      </w:pPr>
    </w:p>
    <w:tbl>
      <w:tblPr>
        <w:tblStyle w:val="TableGrid"/>
        <w:tblW w:w="0" w:type="auto"/>
        <w:tblLook w:val="04A0" w:firstRow="1" w:lastRow="0" w:firstColumn="1" w:lastColumn="0" w:noHBand="0" w:noVBand="1"/>
      </w:tblPr>
      <w:tblGrid>
        <w:gridCol w:w="2155"/>
        <w:gridCol w:w="7195"/>
      </w:tblGrid>
      <w:tr w:rsidR="00447713" w14:paraId="5D1D67BE" w14:textId="77777777" w:rsidTr="00340780">
        <w:tc>
          <w:tcPr>
            <w:tcW w:w="2155" w:type="dxa"/>
          </w:tcPr>
          <w:p w14:paraId="2F303CCD" w14:textId="77777777" w:rsidR="00447713" w:rsidRDefault="00447713" w:rsidP="00340780">
            <w:pPr>
              <w:ind w:left="0" w:firstLine="0"/>
              <w:rPr>
                <w:rFonts w:eastAsiaTheme="minorEastAsia"/>
                <w:b/>
              </w:rPr>
            </w:pPr>
            <w:r w:rsidRPr="003D0077">
              <w:rPr>
                <w:rFonts w:eastAsiaTheme="minorEastAsia"/>
                <w:b/>
              </w:rPr>
              <w:t>Outcome of Interest</w:t>
            </w:r>
          </w:p>
        </w:tc>
        <w:tc>
          <w:tcPr>
            <w:tcW w:w="7195" w:type="dxa"/>
          </w:tcPr>
          <w:p w14:paraId="6899534C" w14:textId="77777777" w:rsidR="00447713" w:rsidRDefault="00447713" w:rsidP="00340780">
            <w:pPr>
              <w:ind w:left="0" w:firstLine="0"/>
              <w:rPr>
                <w:rFonts w:eastAsiaTheme="minorEastAsia"/>
                <w:b/>
              </w:rPr>
            </w:pPr>
            <w:r w:rsidRPr="003D0077">
              <w:rPr>
                <w:rFonts w:eastAsiaTheme="minorEastAsia"/>
                <w:b/>
              </w:rPr>
              <w:t>Study Findings from Review</w:t>
            </w:r>
          </w:p>
        </w:tc>
      </w:tr>
      <w:tr w:rsidR="00447713" w14:paraId="1213E75B" w14:textId="77777777" w:rsidTr="00340780">
        <w:tc>
          <w:tcPr>
            <w:tcW w:w="2155" w:type="dxa"/>
          </w:tcPr>
          <w:p w14:paraId="4C21DBC2" w14:textId="77777777" w:rsidR="00447713" w:rsidRPr="00014D48" w:rsidRDefault="00447713" w:rsidP="00340780">
            <w:pPr>
              <w:ind w:left="0" w:firstLine="0"/>
              <w:rPr>
                <w:rFonts w:eastAsiaTheme="minorEastAsia" w:cstheme="minorHAnsi"/>
              </w:rPr>
            </w:pPr>
            <w:r w:rsidRPr="00014D48">
              <w:rPr>
                <w:rFonts w:eastAsiaTheme="minorEastAsia" w:cstheme="minorHAnsi"/>
              </w:rPr>
              <w:t>Length of Stay (LOS)</w:t>
            </w:r>
          </w:p>
        </w:tc>
        <w:tc>
          <w:tcPr>
            <w:tcW w:w="7195" w:type="dxa"/>
          </w:tcPr>
          <w:p w14:paraId="49F8855B" w14:textId="77777777" w:rsidR="00447713" w:rsidRDefault="00447713" w:rsidP="00340780">
            <w:pPr>
              <w:ind w:left="0" w:firstLine="0"/>
            </w:pPr>
            <w:r>
              <w:t xml:space="preserve">There were 2 studies (Kyle, 2006 &amp; Amaral, 2008) that reported predicting OR for increased LOS based off nutrition screening scores from the MUST (OR:3.1-3.24) and 1 study (Kyle, 2006) reported the NRS 2002 (OR:2.9), 1 </w:t>
            </w:r>
            <w:r>
              <w:lastRenderedPageBreak/>
              <w:t>study reported a decrease in LOS in patients who were identified as at risk for malnutrition and were treated early (9.5 days vs 13 days, P=0.02)</w:t>
            </w:r>
          </w:p>
          <w:p w14:paraId="5E20D2C4" w14:textId="77777777" w:rsidR="00447713" w:rsidRDefault="00447713" w:rsidP="00340780"/>
          <w:p w14:paraId="2C4299D2" w14:textId="77777777" w:rsidR="00447713" w:rsidRPr="00681D96" w:rsidRDefault="00447713" w:rsidP="00340780">
            <w:pPr>
              <w:ind w:left="0" w:firstLine="0"/>
            </w:pPr>
            <w:r>
              <w:t>There were 3 studies that reported nutrition screen score predicted patient LOS (P &lt;.001 - 0.022) (</w:t>
            </w:r>
            <w:proofErr w:type="spellStart"/>
            <w:r>
              <w:t>Kruizenga</w:t>
            </w:r>
            <w:proofErr w:type="spellEnd"/>
            <w:r>
              <w:t xml:space="preserve">, 2005; Stratton, 2006; </w:t>
            </w:r>
            <w:proofErr w:type="spellStart"/>
            <w:r>
              <w:t>Scheisser</w:t>
            </w:r>
            <w:proofErr w:type="spellEnd"/>
            <w:r>
              <w:t xml:space="preserve">, 2008; </w:t>
            </w:r>
          </w:p>
        </w:tc>
      </w:tr>
      <w:tr w:rsidR="00447713" w14:paraId="533A77DA" w14:textId="77777777" w:rsidTr="00340780">
        <w:tc>
          <w:tcPr>
            <w:tcW w:w="2155" w:type="dxa"/>
          </w:tcPr>
          <w:p w14:paraId="209F4E46" w14:textId="77777777" w:rsidR="00447713" w:rsidRPr="00681D96" w:rsidRDefault="00447713" w:rsidP="00340780">
            <w:pPr>
              <w:ind w:left="0" w:firstLine="0"/>
            </w:pPr>
            <w:r w:rsidRPr="003D0077">
              <w:lastRenderedPageBreak/>
              <w:t>Mortality</w:t>
            </w:r>
          </w:p>
        </w:tc>
        <w:tc>
          <w:tcPr>
            <w:tcW w:w="7195" w:type="dxa"/>
          </w:tcPr>
          <w:p w14:paraId="1A8AA075" w14:textId="77777777" w:rsidR="00447713" w:rsidRPr="00681D96" w:rsidRDefault="00447713" w:rsidP="00340780">
            <w:pPr>
              <w:ind w:left="0" w:firstLine="0"/>
            </w:pPr>
            <w:r>
              <w:t>In one study (Yang, 2007), the screening score using the Subjective Global Assessment (SGA) predicted mortality (R2=0.2). However, one other study (</w:t>
            </w:r>
            <w:proofErr w:type="spellStart"/>
            <w:r>
              <w:t>Atalay</w:t>
            </w:r>
            <w:proofErr w:type="spellEnd"/>
            <w:r>
              <w:t>, 2008) reported no difference in mortality incidence with increasing malnutrition risk using the SGA (P=0.86).</w:t>
            </w:r>
          </w:p>
        </w:tc>
      </w:tr>
      <w:tr w:rsidR="00447713" w14:paraId="3A22A9A6" w14:textId="77777777" w:rsidTr="00340780">
        <w:tc>
          <w:tcPr>
            <w:tcW w:w="2155" w:type="dxa"/>
          </w:tcPr>
          <w:p w14:paraId="0514CDC0" w14:textId="77777777" w:rsidR="00447713" w:rsidRPr="00681D96" w:rsidRDefault="00447713" w:rsidP="00340780">
            <w:pPr>
              <w:ind w:left="0" w:firstLine="0"/>
              <w:rPr>
                <w:rFonts w:eastAsiaTheme="minorEastAsia"/>
              </w:rPr>
            </w:pPr>
            <w:r w:rsidRPr="003D0077">
              <w:t>Post-Operative Complications</w:t>
            </w:r>
          </w:p>
        </w:tc>
        <w:tc>
          <w:tcPr>
            <w:tcW w:w="7195" w:type="dxa"/>
          </w:tcPr>
          <w:p w14:paraId="0A25F347" w14:textId="77777777" w:rsidR="00447713" w:rsidRDefault="00447713" w:rsidP="00340780">
            <w:pPr>
              <w:ind w:left="0" w:firstLine="0"/>
            </w:pPr>
            <w:r>
              <w:t>The guideline reported 1 study (</w:t>
            </w:r>
            <w:proofErr w:type="spellStart"/>
            <w:r>
              <w:t>Putwatana</w:t>
            </w:r>
            <w:proofErr w:type="spellEnd"/>
            <w:r>
              <w:t xml:space="preserve">, 2005) reported that the NRC predicted post-operative complications, (OR: 2.92), </w:t>
            </w:r>
            <w:proofErr w:type="spellStart"/>
            <w:r>
              <w:t>Scheisser</w:t>
            </w:r>
            <w:proofErr w:type="spellEnd"/>
            <w:r>
              <w:t xml:space="preserve"> (2008) reported that the NRS 2002 predicted the complication rate in at-risk patients, P&lt;0.001 and severe complications in at-risk patients, P&lt;0.001; OR:2.8.</w:t>
            </w:r>
          </w:p>
          <w:p w14:paraId="6CF2AAEE" w14:textId="77777777" w:rsidR="00447713" w:rsidRDefault="00447713" w:rsidP="00340780">
            <w:pPr>
              <w:ind w:left="0" w:firstLine="0"/>
            </w:pPr>
          </w:p>
          <w:p w14:paraId="349458E2" w14:textId="77777777" w:rsidR="00447713" w:rsidRPr="00681D96" w:rsidRDefault="00447713" w:rsidP="00340780">
            <w:pPr>
              <w:ind w:left="0" w:firstLine="0"/>
            </w:pPr>
            <w:r>
              <w:t>Finally, one study (</w:t>
            </w:r>
            <w:proofErr w:type="spellStart"/>
            <w:r>
              <w:t>Scheisser</w:t>
            </w:r>
            <w:proofErr w:type="spellEnd"/>
            <w:r>
              <w:t>, 2009) reported that the NRS predicted the postsurgical complications, (OR: 4.2).</w:t>
            </w:r>
          </w:p>
        </w:tc>
      </w:tr>
    </w:tbl>
    <w:p w14:paraId="61A9DF47" w14:textId="77777777" w:rsidR="00447713" w:rsidRDefault="00447713" w:rsidP="00447713">
      <w:pPr>
        <w:ind w:left="0" w:firstLine="0"/>
      </w:pPr>
    </w:p>
    <w:p w14:paraId="4FA29A6C" w14:textId="3BB263B7" w:rsidR="7F7E0783" w:rsidRDefault="7F7E0783" w:rsidP="00447713">
      <w:pPr>
        <w:ind w:left="0" w:firstLine="0"/>
      </w:pPr>
    </w:p>
    <w:p w14:paraId="52087962" w14:textId="503A6861" w:rsidR="00496AF8" w:rsidRPr="003B1CC5" w:rsidRDefault="38AF9500" w:rsidP="002E2177">
      <w:pPr>
        <w:ind w:left="0" w:firstLine="0"/>
      </w:pPr>
      <w:r w:rsidRPr="38AF9500">
        <w:rPr>
          <w:b/>
          <w:bCs/>
        </w:rPr>
        <w:t>What harms were studied and how do they affect the net benefit (benefits over harms)?</w:t>
      </w:r>
      <w:r>
        <w:t xml:space="preserve"> </w:t>
      </w:r>
    </w:p>
    <w:p w14:paraId="52087963" w14:textId="77777777" w:rsidR="00496AF8" w:rsidRDefault="00496AF8" w:rsidP="002E2177">
      <w:pPr>
        <w:ind w:left="0" w:firstLine="0"/>
      </w:pPr>
    </w:p>
    <w:p w14:paraId="324F0DC5" w14:textId="1BB17345" w:rsidR="0092787A" w:rsidRPr="003B1CC5" w:rsidRDefault="0092787A" w:rsidP="002E2177">
      <w:pPr>
        <w:ind w:left="0" w:firstLine="0"/>
      </w:pPr>
      <w:r>
        <w:t>Harms and adverse events to patients were not reported in either the clinical practice guideline or systematic review.</w:t>
      </w:r>
      <w:r w:rsidR="0083235F">
        <w:t xml:space="preserve"> Evidence of harm / risk to patient from malnutrition screening was not reported in any of the incremental studies since the publication of the systematic review.</w:t>
      </w:r>
    </w:p>
    <w:p w14:paraId="52087964" w14:textId="77777777" w:rsidR="00496AF8" w:rsidRPr="003B1CC5" w:rsidRDefault="00496AF8" w:rsidP="002E2177">
      <w:pPr>
        <w:ind w:left="0" w:firstLine="0"/>
      </w:pPr>
    </w:p>
    <w:p w14:paraId="52087965" w14:textId="19197242" w:rsidR="00496AF8" w:rsidRDefault="00C5180E" w:rsidP="002E2177">
      <w:pPr>
        <w:ind w:left="0" w:firstLine="0"/>
        <w:rPr>
          <w:b/>
          <w:noProof/>
        </w:rPr>
      </w:pPr>
      <w:r w:rsidRPr="003B1CC5">
        <w:rPr>
          <w:b/>
          <w:noProof/>
        </w:rPr>
        <w:t>UPDATE TO THE SYSTEMATIC REVIEW(S) OF THE BODY OF EVIDENCE</w:t>
      </w:r>
    </w:p>
    <w:p w14:paraId="0041080D" w14:textId="77777777" w:rsidR="00160EB4" w:rsidRPr="003B1CC5" w:rsidRDefault="00160EB4" w:rsidP="002E2177">
      <w:pPr>
        <w:ind w:left="0" w:firstLine="0"/>
        <w:rPr>
          <w:b/>
          <w:noProof/>
        </w:rPr>
      </w:pPr>
    </w:p>
    <w:p w14:paraId="61E83362" w14:textId="77777777" w:rsidR="00271788" w:rsidRDefault="00271788" w:rsidP="00271788">
      <w:pPr>
        <w:ind w:left="0" w:firstLine="0"/>
        <w:rPr>
          <w:rFonts w:eastAsiaTheme="minorEastAsia"/>
          <w:b/>
        </w:rPr>
      </w:pPr>
      <w:r w:rsidRPr="00DD3A26">
        <w:rPr>
          <w:rFonts w:eastAsiaTheme="minorEastAsia"/>
          <w:b/>
        </w:rPr>
        <w:t xml:space="preserve">Valladares AF, Kilgore KM, Partridge J, Sulo S, Kerr KW, McCauley S. How a malnutrition quality improvement initiative furthers malnutrition measurement and care: results from a hospital learning collaborative. JPEN J </w:t>
      </w:r>
      <w:proofErr w:type="spellStart"/>
      <w:r w:rsidRPr="00DD3A26">
        <w:rPr>
          <w:rFonts w:eastAsiaTheme="minorEastAsia"/>
          <w:b/>
        </w:rPr>
        <w:t>Parenter</w:t>
      </w:r>
      <w:proofErr w:type="spellEnd"/>
      <w:r w:rsidRPr="00DD3A26">
        <w:rPr>
          <w:rFonts w:eastAsiaTheme="minorEastAsia"/>
          <w:b/>
        </w:rPr>
        <w:t xml:space="preserve"> Enteral </w:t>
      </w:r>
      <w:proofErr w:type="spellStart"/>
      <w:r w:rsidRPr="00DD3A26">
        <w:rPr>
          <w:rFonts w:eastAsiaTheme="minorEastAsia"/>
          <w:b/>
        </w:rPr>
        <w:t>Nutr</w:t>
      </w:r>
      <w:proofErr w:type="spellEnd"/>
      <w:r w:rsidRPr="00DD3A26">
        <w:rPr>
          <w:rFonts w:eastAsiaTheme="minorEastAsia"/>
          <w:b/>
        </w:rPr>
        <w:t>. Published online April 13, 2020.</w:t>
      </w:r>
    </w:p>
    <w:p w14:paraId="240831A3" w14:textId="77777777" w:rsidR="00271788" w:rsidRDefault="00271788" w:rsidP="00271788">
      <w:pPr>
        <w:ind w:left="0" w:firstLine="0"/>
        <w:rPr>
          <w:rFonts w:eastAsiaTheme="minorEastAsia"/>
          <w:b/>
        </w:rPr>
      </w:pPr>
    </w:p>
    <w:p w14:paraId="6964F76E" w14:textId="77777777" w:rsidR="00271788" w:rsidRDefault="00271788" w:rsidP="00271788">
      <w:pPr>
        <w:ind w:left="0" w:firstLine="0"/>
        <w:rPr>
          <w:rFonts w:eastAsiaTheme="minorEastAsia"/>
          <w:b/>
        </w:rPr>
      </w:pPr>
      <w:r>
        <w:rPr>
          <w:rFonts w:ascii="Segoe UI" w:hAnsi="Segoe UI" w:cs="Segoe UI"/>
          <w:color w:val="212121"/>
          <w:shd w:val="clear" w:color="auto" w:fill="FFFFFF"/>
        </w:rPr>
        <w:t xml:space="preserve">In this study, the implementation of malnutrition-focused quality improvement practices significantly improved the identification of malnutrition. The prompt identification and treatment of patients at malnutrition risk can improve patient care and health, as well as reduce costly readmissions. </w:t>
      </w:r>
      <w:r>
        <w:rPr>
          <w:rStyle w:val="Strong"/>
          <w:rFonts w:ascii="Segoe UI" w:hAnsi="Segoe UI" w:cs="Segoe UI"/>
          <w:color w:val="212121"/>
          <w:shd w:val="clear" w:color="auto" w:fill="FFFFFF"/>
        </w:rPr>
        <w:t> </w:t>
      </w:r>
      <w:r>
        <w:rPr>
          <w:rFonts w:ascii="Segoe UI" w:hAnsi="Segoe UI" w:cs="Segoe UI"/>
          <w:color w:val="212121"/>
          <w:shd w:val="clear" w:color="auto" w:fill="FFFFFF"/>
        </w:rPr>
        <w:t>Improvements were observed for all 4 malnutrition quality measures. The greatest improvements were achieved as a result of timely nutrition assessment (P = .06) and malnutrition diagnosis (P = .02). Patients ≥65 years with a malnutrition diagnosis and nutrition care plan had a 24% lower likelihood of 30-day readmission but a longer mean LOS than did those without a care plan.</w:t>
      </w:r>
    </w:p>
    <w:p w14:paraId="655F9FA1" w14:textId="77777777" w:rsidR="00271788" w:rsidRDefault="00271788" w:rsidP="00F86A6A">
      <w:pPr>
        <w:ind w:left="0" w:firstLine="0"/>
        <w:rPr>
          <w:rFonts w:ascii="Calibri" w:eastAsia="Calibri" w:hAnsi="Calibri" w:cs="Calibri"/>
          <w:b/>
          <w:bCs/>
        </w:rPr>
      </w:pPr>
    </w:p>
    <w:p w14:paraId="7E373E7E" w14:textId="61752029" w:rsidR="00F86A6A" w:rsidRPr="00F86A6A" w:rsidRDefault="00F86A6A" w:rsidP="00F86A6A">
      <w:pPr>
        <w:ind w:left="0" w:firstLine="0"/>
        <w:rPr>
          <w:rFonts w:ascii="Calibri" w:eastAsia="Calibri" w:hAnsi="Calibri" w:cs="Calibri"/>
          <w:b/>
          <w:bCs/>
        </w:rPr>
      </w:pPr>
      <w:proofErr w:type="spellStart"/>
      <w:r w:rsidRPr="00F86A6A">
        <w:rPr>
          <w:rFonts w:ascii="Calibri" w:eastAsia="Calibri" w:hAnsi="Calibri" w:cs="Calibri"/>
          <w:b/>
          <w:bCs/>
        </w:rPr>
        <w:t>Eglseer</w:t>
      </w:r>
      <w:proofErr w:type="spellEnd"/>
      <w:r w:rsidRPr="00F86A6A">
        <w:rPr>
          <w:rFonts w:ascii="Calibri" w:eastAsia="Calibri" w:hAnsi="Calibri" w:cs="Calibri"/>
          <w:b/>
          <w:bCs/>
        </w:rPr>
        <w:t xml:space="preserve"> D, et al. The impact of using a malnutrition screening tool in a hospital</w:t>
      </w:r>
      <w:r>
        <w:rPr>
          <w:rFonts w:ascii="Calibri" w:eastAsia="Calibri" w:hAnsi="Calibri" w:cs="Calibri"/>
          <w:b/>
          <w:bCs/>
        </w:rPr>
        <w:t xml:space="preserve"> </w:t>
      </w:r>
      <w:r w:rsidRPr="00F86A6A">
        <w:rPr>
          <w:rFonts w:ascii="Calibri" w:eastAsia="Calibri" w:hAnsi="Calibri" w:cs="Calibri"/>
          <w:b/>
          <w:bCs/>
        </w:rPr>
        <w:t xml:space="preserve">setting: a mixed methods study. Eur J Clin </w:t>
      </w:r>
      <w:proofErr w:type="spellStart"/>
      <w:r w:rsidRPr="00F86A6A">
        <w:rPr>
          <w:rFonts w:ascii="Calibri" w:eastAsia="Calibri" w:hAnsi="Calibri" w:cs="Calibri"/>
          <w:b/>
          <w:bCs/>
        </w:rPr>
        <w:t>Nutr</w:t>
      </w:r>
      <w:proofErr w:type="spellEnd"/>
      <w:r w:rsidRPr="00F86A6A">
        <w:rPr>
          <w:rFonts w:ascii="Calibri" w:eastAsia="Calibri" w:hAnsi="Calibri" w:cs="Calibri"/>
          <w:b/>
          <w:bCs/>
        </w:rPr>
        <w:t>. 2019;73(2):284-292.</w:t>
      </w:r>
    </w:p>
    <w:p w14:paraId="527B745C" w14:textId="77777777" w:rsidR="00F86A6A" w:rsidRDefault="00F86A6A" w:rsidP="00F86A6A">
      <w:pPr>
        <w:ind w:left="0" w:firstLine="0"/>
        <w:rPr>
          <w:rFonts w:ascii="Calibri" w:eastAsia="Calibri" w:hAnsi="Calibri" w:cs="Calibri"/>
        </w:rPr>
      </w:pPr>
    </w:p>
    <w:p w14:paraId="591FF266" w14:textId="28655505" w:rsidR="00F86A6A" w:rsidRPr="00F86A6A" w:rsidRDefault="00F86A6A" w:rsidP="00F86A6A">
      <w:pPr>
        <w:ind w:left="0" w:firstLine="0"/>
        <w:rPr>
          <w:rFonts w:ascii="Calibri" w:eastAsia="Calibri" w:hAnsi="Calibri" w:cs="Calibri"/>
        </w:rPr>
      </w:pPr>
      <w:r w:rsidRPr="00F86A6A">
        <w:rPr>
          <w:rFonts w:ascii="Calibri" w:eastAsia="Calibri" w:hAnsi="Calibri" w:cs="Calibri"/>
        </w:rPr>
        <w:t>The use of the screening tool positively correlated with significant improvements in the process indicators of</w:t>
      </w:r>
      <w:r>
        <w:rPr>
          <w:rFonts w:ascii="Calibri" w:eastAsia="Calibri" w:hAnsi="Calibri" w:cs="Calibri"/>
        </w:rPr>
        <w:t xml:space="preserve"> </w:t>
      </w:r>
      <w:r w:rsidRPr="00F86A6A">
        <w:rPr>
          <w:rFonts w:ascii="Calibri" w:eastAsia="Calibri" w:hAnsi="Calibri" w:cs="Calibri"/>
        </w:rPr>
        <w:t>nutritional care after 1 month, in terms of the number of nutritional interventions and the frequency of documentation of the</w:t>
      </w:r>
      <w:r>
        <w:rPr>
          <w:rFonts w:ascii="Calibri" w:eastAsia="Calibri" w:hAnsi="Calibri" w:cs="Calibri"/>
        </w:rPr>
        <w:t xml:space="preserve"> </w:t>
      </w:r>
      <w:r w:rsidRPr="00F86A6A">
        <w:rPr>
          <w:rFonts w:ascii="Calibri" w:eastAsia="Calibri" w:hAnsi="Calibri" w:cs="Calibri"/>
        </w:rPr>
        <w:t>diagnosis and the patient’s weight and height.</w:t>
      </w:r>
    </w:p>
    <w:p w14:paraId="3F0D208B" w14:textId="77777777" w:rsidR="00F86A6A" w:rsidRPr="00F86A6A" w:rsidRDefault="00F86A6A" w:rsidP="00123FDE">
      <w:pPr>
        <w:ind w:left="0" w:firstLine="0"/>
        <w:rPr>
          <w:rFonts w:ascii="Calibri" w:eastAsia="Calibri" w:hAnsi="Calibri" w:cs="Calibri"/>
          <w:b/>
          <w:bCs/>
        </w:rPr>
      </w:pPr>
    </w:p>
    <w:p w14:paraId="004C24FF" w14:textId="39A30BEC" w:rsidR="00123FDE" w:rsidRDefault="00123FDE" w:rsidP="00123FDE">
      <w:pPr>
        <w:ind w:left="0" w:firstLine="0"/>
        <w:rPr>
          <w:rFonts w:ascii="Calibri" w:eastAsia="Calibri" w:hAnsi="Calibri" w:cs="Calibri"/>
          <w:b/>
          <w:bCs/>
        </w:rPr>
      </w:pPr>
      <w:r w:rsidRPr="00655DC5">
        <w:rPr>
          <w:rFonts w:ascii="Calibri" w:eastAsia="Calibri" w:hAnsi="Calibri" w:cs="Calibri"/>
          <w:b/>
          <w:bCs/>
          <w:lang w:val="es-US"/>
        </w:rPr>
        <w:lastRenderedPageBreak/>
        <w:t xml:space="preserve">Martín-Sánchez FJ, et al. </w:t>
      </w:r>
      <w:r w:rsidRPr="00836DFF">
        <w:rPr>
          <w:rFonts w:ascii="Calibri" w:eastAsia="Calibri" w:hAnsi="Calibri" w:cs="Calibri"/>
          <w:b/>
          <w:bCs/>
        </w:rPr>
        <w:t>Effect of risk of malnutrition on 30-day mortality among older patients with acute heart failure in Emergency Departments. Eur J Intern Med. 2019;65:69-77.</w:t>
      </w:r>
    </w:p>
    <w:p w14:paraId="043403A9" w14:textId="77777777" w:rsidR="00123FDE" w:rsidRDefault="00123FDE" w:rsidP="00123FDE">
      <w:pPr>
        <w:rPr>
          <w:rFonts w:ascii="Calibri" w:eastAsia="Calibri" w:hAnsi="Calibri" w:cs="Calibri"/>
          <w:b/>
          <w:bCs/>
        </w:rPr>
      </w:pPr>
    </w:p>
    <w:p w14:paraId="5A7D26A3" w14:textId="77777777" w:rsidR="00123FDE" w:rsidRDefault="00123FDE" w:rsidP="00123FDE">
      <w:pPr>
        <w:rPr>
          <w:rFonts w:cstheme="minorHAnsi"/>
          <w:color w:val="000000"/>
          <w:shd w:val="clear" w:color="auto" w:fill="FFFFFF"/>
        </w:rPr>
      </w:pPr>
      <w:r>
        <w:rPr>
          <w:rFonts w:cstheme="minorHAnsi"/>
          <w:color w:val="000000"/>
          <w:shd w:val="clear" w:color="auto" w:fill="FFFFFF"/>
        </w:rPr>
        <w:t>S</w:t>
      </w:r>
      <w:r w:rsidRPr="00836DFF">
        <w:rPr>
          <w:rFonts w:cstheme="minorHAnsi"/>
          <w:color w:val="000000"/>
          <w:shd w:val="clear" w:color="auto" w:fill="FFFFFF"/>
        </w:rPr>
        <w:t>econdary analysis of the OAK-3 Registry including all consecutive patients ≥65 years</w:t>
      </w:r>
      <w:r>
        <w:rPr>
          <w:rFonts w:cstheme="minorHAnsi"/>
          <w:color w:val="000000"/>
          <w:shd w:val="clear" w:color="auto" w:fill="FFFFFF"/>
        </w:rPr>
        <w:t xml:space="preserve"> in 749 patients. </w:t>
      </w:r>
    </w:p>
    <w:p w14:paraId="0E4024EE" w14:textId="77777777" w:rsidR="00123FDE" w:rsidRDefault="00123FDE" w:rsidP="00123FDE">
      <w:pPr>
        <w:ind w:left="0" w:firstLine="0"/>
        <w:rPr>
          <w:rFonts w:eastAsia="Calibri" w:cstheme="minorHAnsi"/>
        </w:rPr>
      </w:pPr>
      <w:r w:rsidRPr="00836DFF">
        <w:rPr>
          <w:rFonts w:eastAsia="Calibri" w:cstheme="minorHAnsi"/>
        </w:rPr>
        <w:t>Risk of malnutrition was observed in 594 (79.3%) patients. The rate of 30-day mortality was 8.8%. After adjusting for MEESSI-AHF risk score clinical categories (model 1) and after adding all variables showing a significantly different distribution among groups (model 2), the risk of malnutrition was an independent factor associated with 30-day mortality compared to normal nutritional status.</w:t>
      </w:r>
      <w:r>
        <w:rPr>
          <w:rFonts w:eastAsia="Calibri" w:cstheme="minorHAnsi"/>
        </w:rPr>
        <w:t xml:space="preserve">  </w:t>
      </w:r>
    </w:p>
    <w:p w14:paraId="4DD56666" w14:textId="77777777" w:rsidR="00123FDE" w:rsidRDefault="00123FDE" w:rsidP="00123FDE">
      <w:pPr>
        <w:ind w:left="0" w:firstLine="0"/>
        <w:rPr>
          <w:rFonts w:eastAsia="Calibri" w:cstheme="minorHAnsi"/>
        </w:rPr>
      </w:pPr>
    </w:p>
    <w:p w14:paraId="0EC629C7" w14:textId="77777777" w:rsidR="00123FDE" w:rsidRPr="00717F1A" w:rsidRDefault="00123FDE" w:rsidP="00123FDE">
      <w:pPr>
        <w:ind w:left="0" w:firstLine="0"/>
        <w:rPr>
          <w:rFonts w:eastAsia="Calibri" w:cstheme="minorHAnsi"/>
        </w:rPr>
      </w:pPr>
      <w:r>
        <w:rPr>
          <w:rFonts w:eastAsia="Calibri" w:cstheme="minorHAnsi"/>
        </w:rPr>
        <w:t>This study reinforces that m</w:t>
      </w:r>
      <w:r w:rsidRPr="00836DFF">
        <w:rPr>
          <w:rFonts w:eastAsia="Calibri" w:cstheme="minorHAnsi"/>
        </w:rPr>
        <w:t>alnutrition screening detects malnutrition risk in older adults</w:t>
      </w:r>
      <w:r>
        <w:rPr>
          <w:rFonts w:eastAsia="Calibri" w:cstheme="minorHAnsi"/>
        </w:rPr>
        <w:t xml:space="preserve"> and that </w:t>
      </w:r>
      <w:r w:rsidRPr="00836DFF">
        <w:rPr>
          <w:rFonts w:eastAsia="Calibri" w:cstheme="minorHAnsi"/>
        </w:rPr>
        <w:t>Routine screening of risk of malnutrition may help emergency physicians in decision-making and establishing a care plan.</w:t>
      </w:r>
    </w:p>
    <w:p w14:paraId="4943B610" w14:textId="77777777" w:rsidR="00123FDE" w:rsidRDefault="00123FDE" w:rsidP="00014D48">
      <w:pPr>
        <w:ind w:left="0" w:firstLine="0"/>
        <w:rPr>
          <w:rFonts w:ascii="Calibri" w:eastAsia="Calibri" w:hAnsi="Calibri" w:cs="Calibri"/>
          <w:b/>
          <w:bCs/>
        </w:rPr>
      </w:pPr>
    </w:p>
    <w:p w14:paraId="76E38E03" w14:textId="633D7F26" w:rsidR="00243DE1" w:rsidRDefault="00243DE1" w:rsidP="00014D48">
      <w:pPr>
        <w:ind w:left="0" w:firstLine="0"/>
        <w:rPr>
          <w:rFonts w:ascii="Calibri" w:eastAsia="Calibri" w:hAnsi="Calibri" w:cs="Calibri"/>
          <w:b/>
          <w:bCs/>
        </w:rPr>
      </w:pPr>
      <w:r w:rsidRPr="00243DE1">
        <w:rPr>
          <w:rFonts w:ascii="Calibri" w:eastAsia="Calibri" w:hAnsi="Calibri" w:cs="Calibri"/>
          <w:b/>
          <w:bCs/>
        </w:rPr>
        <w:t xml:space="preserve">Sauer AC, et al. Prevalence of Malnutrition Risk and the Impact of Nutrition Risk on Hospital Outcomes: Results From </w:t>
      </w:r>
      <w:proofErr w:type="spellStart"/>
      <w:r w:rsidRPr="00243DE1">
        <w:rPr>
          <w:rFonts w:ascii="Calibri" w:eastAsia="Calibri" w:hAnsi="Calibri" w:cs="Calibri"/>
          <w:b/>
          <w:bCs/>
        </w:rPr>
        <w:t>nutritionDay</w:t>
      </w:r>
      <w:proofErr w:type="spellEnd"/>
      <w:r w:rsidRPr="00243DE1">
        <w:rPr>
          <w:rFonts w:ascii="Calibri" w:eastAsia="Calibri" w:hAnsi="Calibri" w:cs="Calibri"/>
          <w:b/>
          <w:bCs/>
        </w:rPr>
        <w:t xml:space="preserve"> in the U.S. JPEN. 2019;43(7):918-926.</w:t>
      </w:r>
    </w:p>
    <w:p w14:paraId="321B6A9B" w14:textId="60D57A93" w:rsidR="00243DE1" w:rsidRDefault="00243DE1" w:rsidP="00160EB4">
      <w:pPr>
        <w:rPr>
          <w:rFonts w:ascii="Calibri" w:eastAsia="Calibri" w:hAnsi="Calibri" w:cs="Calibri"/>
          <w:b/>
          <w:bCs/>
        </w:rPr>
      </w:pPr>
    </w:p>
    <w:p w14:paraId="76041611" w14:textId="2186165C" w:rsidR="00243DE1" w:rsidRDefault="00243DE1" w:rsidP="00243DE1">
      <w:pPr>
        <w:ind w:left="0" w:firstLine="0"/>
        <w:rPr>
          <w:rFonts w:ascii="Calibri" w:eastAsia="Calibri" w:hAnsi="Calibri" w:cs="Calibri"/>
        </w:rPr>
      </w:pPr>
      <w:r w:rsidRPr="00243DE1">
        <w:rPr>
          <w:rFonts w:ascii="Calibri" w:eastAsia="Calibri" w:hAnsi="Calibri" w:cs="Calibri"/>
        </w:rPr>
        <w:t xml:space="preserve">This study analyzed data from 2009 to 2015 for all adult patients from participating hospitals. </w:t>
      </w:r>
      <w:r>
        <w:rPr>
          <w:rFonts w:ascii="Calibri" w:eastAsia="Calibri" w:hAnsi="Calibri" w:cs="Calibri"/>
        </w:rPr>
        <w:t xml:space="preserve">Data was analyzed for </w:t>
      </w:r>
      <w:r w:rsidRPr="00243DE1">
        <w:rPr>
          <w:rFonts w:ascii="Calibri" w:eastAsia="Calibri" w:hAnsi="Calibri" w:cs="Calibri"/>
        </w:rPr>
        <w:t>9</w:t>
      </w:r>
      <w:r w:rsidR="006A3504">
        <w:rPr>
          <w:rFonts w:ascii="Calibri" w:eastAsia="Calibri" w:hAnsi="Calibri" w:cs="Calibri"/>
        </w:rPr>
        <w:t>,</w:t>
      </w:r>
      <w:r w:rsidRPr="00243DE1">
        <w:rPr>
          <w:rFonts w:ascii="Calibri" w:eastAsia="Calibri" w:hAnsi="Calibri" w:cs="Calibri"/>
        </w:rPr>
        <w:t xml:space="preserve">959 adult patients from 601 wards. The overall prevalence of malnutrition risk (MST score  2) was 32.7%. On </w:t>
      </w:r>
      <w:proofErr w:type="spellStart"/>
      <w:r w:rsidRPr="00243DE1">
        <w:rPr>
          <w:rFonts w:ascii="Calibri" w:eastAsia="Calibri" w:hAnsi="Calibri" w:cs="Calibri"/>
        </w:rPr>
        <w:t>nutritionDay</w:t>
      </w:r>
      <w:proofErr w:type="spellEnd"/>
      <w:r w:rsidRPr="00243DE1">
        <w:rPr>
          <w:rFonts w:ascii="Calibri" w:eastAsia="Calibri" w:hAnsi="Calibri" w:cs="Calibri"/>
        </w:rPr>
        <w:t>, 32.1% of patients ate a quarter of their meal or less. Hospital mortality hazard ratio was 3.24 (95% CI: [1.73, 6.07]; P-value &lt; 0.001) for patients eating a quarter compared with those who ate all their meal and increased to 5.99 (95% CI: [3.03, 11.84]; P-value &lt; 0.0001) for patients eating nothing despite being allowed to eat.</w:t>
      </w:r>
    </w:p>
    <w:p w14:paraId="6CEBD8ED" w14:textId="77777777" w:rsidR="00243DE1" w:rsidRDefault="00243DE1" w:rsidP="00243DE1">
      <w:pPr>
        <w:ind w:left="0" w:firstLine="0"/>
        <w:rPr>
          <w:rFonts w:ascii="Calibri" w:eastAsia="Calibri" w:hAnsi="Calibri" w:cs="Calibri"/>
        </w:rPr>
      </w:pPr>
    </w:p>
    <w:p w14:paraId="78CC3111" w14:textId="70A62C83" w:rsidR="00243DE1" w:rsidRDefault="00243DE1" w:rsidP="00243DE1">
      <w:pPr>
        <w:ind w:left="0" w:firstLine="0"/>
        <w:rPr>
          <w:rFonts w:ascii="Calibri" w:eastAsia="Calibri" w:hAnsi="Calibri" w:cs="Calibri"/>
        </w:rPr>
      </w:pPr>
      <w:r w:rsidRPr="00243DE1">
        <w:rPr>
          <w:rFonts w:ascii="Calibri" w:eastAsia="Calibri" w:hAnsi="Calibri" w:cs="Calibri"/>
        </w:rPr>
        <w:t>This study provides the most robust estimate of malnutrition risk in U.S. hospitalized patients to date, finding that approximately 1 in 3 are at risk. Additionally, patients who have diminished meal intake experience increased mortality risk. These results highlight the ongoing issue of malnutrition in the hospital setting.</w:t>
      </w:r>
    </w:p>
    <w:p w14:paraId="32068A89" w14:textId="3FFD87CE" w:rsidR="00014D48" w:rsidRDefault="00014D48" w:rsidP="00243DE1">
      <w:pPr>
        <w:ind w:left="0" w:firstLine="0"/>
        <w:rPr>
          <w:rFonts w:ascii="Calibri" w:eastAsia="Calibri" w:hAnsi="Calibri" w:cs="Calibri"/>
        </w:rPr>
      </w:pPr>
    </w:p>
    <w:p w14:paraId="1AD6383D" w14:textId="42F540B4" w:rsidR="00014D48" w:rsidRDefault="00014D48" w:rsidP="00014D48">
      <w:pPr>
        <w:ind w:left="0" w:firstLine="0"/>
        <w:rPr>
          <w:rFonts w:ascii="Calibri" w:eastAsia="Calibri" w:hAnsi="Calibri" w:cs="Calibri"/>
          <w:b/>
          <w:bCs/>
        </w:rPr>
      </w:pPr>
      <w:proofErr w:type="spellStart"/>
      <w:r w:rsidRPr="00836DFF">
        <w:rPr>
          <w:rFonts w:ascii="Calibri" w:eastAsia="Calibri" w:hAnsi="Calibri" w:cs="Calibri"/>
          <w:b/>
          <w:bCs/>
        </w:rPr>
        <w:t>Sanson</w:t>
      </w:r>
      <w:proofErr w:type="spellEnd"/>
      <w:r w:rsidRPr="00836DFF">
        <w:rPr>
          <w:rFonts w:ascii="Calibri" w:eastAsia="Calibri" w:hAnsi="Calibri" w:cs="Calibri"/>
          <w:b/>
          <w:bCs/>
        </w:rPr>
        <w:t xml:space="preserve"> G, et al. Prediction of early- and long-term mortality in adult patients acutely admitted to internal medicine: NRS-2002 and beyond. Clin </w:t>
      </w:r>
      <w:proofErr w:type="spellStart"/>
      <w:r w:rsidRPr="00836DFF">
        <w:rPr>
          <w:rFonts w:ascii="Calibri" w:eastAsia="Calibri" w:hAnsi="Calibri" w:cs="Calibri"/>
          <w:b/>
          <w:bCs/>
        </w:rPr>
        <w:t>Nutr</w:t>
      </w:r>
      <w:proofErr w:type="spellEnd"/>
      <w:r w:rsidRPr="00836DFF">
        <w:rPr>
          <w:rFonts w:ascii="Calibri" w:eastAsia="Calibri" w:hAnsi="Calibri" w:cs="Calibri"/>
          <w:b/>
          <w:bCs/>
        </w:rPr>
        <w:t xml:space="preserve">. 2019. </w:t>
      </w:r>
      <w:proofErr w:type="spellStart"/>
      <w:r w:rsidRPr="00836DFF">
        <w:rPr>
          <w:rFonts w:ascii="Calibri" w:eastAsia="Calibri" w:hAnsi="Calibri" w:cs="Calibri"/>
          <w:b/>
          <w:bCs/>
        </w:rPr>
        <w:t>pii</w:t>
      </w:r>
      <w:proofErr w:type="spellEnd"/>
      <w:r w:rsidRPr="00836DFF">
        <w:rPr>
          <w:rFonts w:ascii="Calibri" w:eastAsia="Calibri" w:hAnsi="Calibri" w:cs="Calibri"/>
          <w:b/>
          <w:bCs/>
        </w:rPr>
        <w:t xml:space="preserve">: S0261-5614(19)30184-0. </w:t>
      </w:r>
    </w:p>
    <w:p w14:paraId="27383914" w14:textId="77777777" w:rsidR="00014D48" w:rsidRDefault="00014D48" w:rsidP="00014D48">
      <w:pPr>
        <w:rPr>
          <w:rFonts w:ascii="Calibri" w:eastAsia="Calibri" w:hAnsi="Calibri" w:cs="Calibri"/>
          <w:b/>
          <w:bCs/>
        </w:rPr>
      </w:pPr>
    </w:p>
    <w:p w14:paraId="32F28198" w14:textId="77777777" w:rsidR="00014D48" w:rsidRDefault="00014D48" w:rsidP="00014D48">
      <w:pPr>
        <w:ind w:left="0" w:firstLine="0"/>
        <w:rPr>
          <w:rFonts w:ascii="Calibri" w:eastAsia="Calibri" w:hAnsi="Calibri" w:cs="Calibri"/>
        </w:rPr>
      </w:pPr>
      <w:r>
        <w:rPr>
          <w:rFonts w:ascii="Calibri" w:eastAsia="Calibri" w:hAnsi="Calibri" w:cs="Calibri"/>
        </w:rPr>
        <w:t>A r</w:t>
      </w:r>
      <w:r w:rsidRPr="00836DFF">
        <w:rPr>
          <w:rFonts w:ascii="Calibri" w:eastAsia="Calibri" w:hAnsi="Calibri" w:cs="Calibri"/>
        </w:rPr>
        <w:t>etrospective observational study including 5</w:t>
      </w:r>
      <w:r>
        <w:rPr>
          <w:rFonts w:ascii="Calibri" w:eastAsia="Calibri" w:hAnsi="Calibri" w:cs="Calibri"/>
        </w:rPr>
        <w:t>,</w:t>
      </w:r>
      <w:r w:rsidRPr="00836DFF">
        <w:rPr>
          <w:rFonts w:ascii="Calibri" w:eastAsia="Calibri" w:hAnsi="Calibri" w:cs="Calibri"/>
        </w:rPr>
        <w:t>698 consecutive patients acutely admitted</w:t>
      </w:r>
      <w:r>
        <w:rPr>
          <w:rFonts w:ascii="Calibri" w:eastAsia="Calibri" w:hAnsi="Calibri" w:cs="Calibri"/>
        </w:rPr>
        <w:t xml:space="preserve"> to the internal medicine department</w:t>
      </w:r>
      <w:r w:rsidRPr="00836DFF">
        <w:rPr>
          <w:rFonts w:ascii="Calibri" w:eastAsia="Calibri" w:hAnsi="Calibri" w:cs="Calibri"/>
        </w:rPr>
        <w:t>. 37.2% of patients were categorized as high risk for malnutrition according to the NRS-2002. Patients classified at high malnutrition risk (NRS-2002 ≥ 3) showed a higher and earlier mortality (Log-rank test: p &lt; 0.001) compared to subjects in the NRS-2002 "low-risk" group. NRS-2002 ≥ 3 was an independent significant (p &lt; 0.01) predictor of mortality in logistic regression at every time interval.</w:t>
      </w:r>
    </w:p>
    <w:p w14:paraId="1C626915" w14:textId="77777777" w:rsidR="00014D48" w:rsidRDefault="00014D48" w:rsidP="00014D48">
      <w:pPr>
        <w:ind w:left="0" w:firstLine="0"/>
        <w:rPr>
          <w:rFonts w:ascii="Calibri" w:eastAsia="Calibri" w:hAnsi="Calibri" w:cs="Calibri"/>
        </w:rPr>
      </w:pPr>
    </w:p>
    <w:p w14:paraId="0665FB56" w14:textId="6572C870" w:rsidR="00014D48" w:rsidRDefault="00014D48" w:rsidP="00014D48">
      <w:pPr>
        <w:ind w:left="0" w:firstLine="0"/>
        <w:rPr>
          <w:rFonts w:ascii="Calibri" w:eastAsia="Calibri" w:hAnsi="Calibri" w:cs="Calibri"/>
        </w:rPr>
      </w:pPr>
      <w:r>
        <w:rPr>
          <w:rFonts w:ascii="Calibri" w:eastAsia="Calibri" w:hAnsi="Calibri" w:cs="Calibri"/>
        </w:rPr>
        <w:t>This study showed that m</w:t>
      </w:r>
      <w:r w:rsidRPr="00836DFF">
        <w:rPr>
          <w:rFonts w:ascii="Calibri" w:eastAsia="Calibri" w:hAnsi="Calibri" w:cs="Calibri"/>
        </w:rPr>
        <w:t xml:space="preserve">alnutrition risk identified upon hospital admission by NRS-2002 independently contributes to early and late mortality in a population including a majority of elderly. </w:t>
      </w:r>
    </w:p>
    <w:p w14:paraId="7F804F52" w14:textId="786FE66F" w:rsidR="00123FDE" w:rsidRDefault="00123FDE" w:rsidP="00014D48">
      <w:pPr>
        <w:ind w:left="0" w:firstLine="0"/>
        <w:rPr>
          <w:rFonts w:ascii="Calibri" w:eastAsia="Calibri" w:hAnsi="Calibri" w:cs="Calibri"/>
        </w:rPr>
      </w:pPr>
    </w:p>
    <w:p w14:paraId="2246F508" w14:textId="77777777" w:rsidR="00123FDE" w:rsidRDefault="00123FDE" w:rsidP="00123FDE">
      <w:pPr>
        <w:ind w:left="0" w:firstLine="0"/>
        <w:rPr>
          <w:rFonts w:ascii="Calibri" w:eastAsia="Calibri" w:hAnsi="Calibri" w:cs="Calibri"/>
          <w:b/>
          <w:bCs/>
        </w:rPr>
      </w:pPr>
      <w:r w:rsidRPr="00C170B8">
        <w:rPr>
          <w:rFonts w:ascii="Calibri" w:eastAsia="Calibri" w:hAnsi="Calibri" w:cs="Calibri"/>
          <w:b/>
          <w:bCs/>
        </w:rPr>
        <w:t xml:space="preserve">Siegel S, et al. Impact of a Nutrition-Focused Quality Improvement Intervention on Hospital Length of Stay. J </w:t>
      </w:r>
      <w:proofErr w:type="spellStart"/>
      <w:r w:rsidRPr="00C170B8">
        <w:rPr>
          <w:rFonts w:ascii="Calibri" w:eastAsia="Calibri" w:hAnsi="Calibri" w:cs="Calibri"/>
          <w:b/>
          <w:bCs/>
        </w:rPr>
        <w:t>Nurs</w:t>
      </w:r>
      <w:proofErr w:type="spellEnd"/>
      <w:r w:rsidRPr="00C170B8">
        <w:rPr>
          <w:rFonts w:ascii="Calibri" w:eastAsia="Calibri" w:hAnsi="Calibri" w:cs="Calibri"/>
          <w:b/>
          <w:bCs/>
        </w:rPr>
        <w:t xml:space="preserve"> Care Qual. 2018;34(3):203–209.</w:t>
      </w:r>
    </w:p>
    <w:p w14:paraId="17330342" w14:textId="77777777" w:rsidR="00123FDE" w:rsidRDefault="00123FDE" w:rsidP="00123FDE">
      <w:pPr>
        <w:rPr>
          <w:rFonts w:ascii="Calibri" w:eastAsia="Calibri" w:hAnsi="Calibri" w:cs="Calibri"/>
          <w:b/>
          <w:bCs/>
        </w:rPr>
      </w:pPr>
    </w:p>
    <w:p w14:paraId="1B10BC2B" w14:textId="77777777" w:rsidR="00123FDE" w:rsidRPr="00C170B8" w:rsidRDefault="00123FDE" w:rsidP="00123FDE">
      <w:pPr>
        <w:ind w:left="0" w:firstLine="0"/>
        <w:rPr>
          <w:rFonts w:cstheme="minorHAnsi"/>
          <w:color w:val="000000"/>
          <w:shd w:val="clear" w:color="auto" w:fill="FFFFFF"/>
        </w:rPr>
      </w:pPr>
      <w:r w:rsidRPr="00C170B8">
        <w:rPr>
          <w:rFonts w:cstheme="minorHAnsi"/>
          <w:color w:val="000000"/>
          <w:shd w:val="clear" w:color="auto" w:fill="FFFFFF"/>
        </w:rPr>
        <w:t xml:space="preserve">Retrospective study that reviewed the medical records of 20,697 adult patients to determine whether early initiation of nutrition therapy had reduced hospital length of stay and 30-day readmission rates. Researchers found that the average time from hospital admission to oral nutrition supplement initiation was reduced by 20 hours (20.8%) after the quality improvement initiative was introduced (P &lt; .01). </w:t>
      </w:r>
      <w:r w:rsidRPr="00C170B8">
        <w:rPr>
          <w:rFonts w:cstheme="minorHAnsi"/>
          <w:color w:val="000000"/>
          <w:shd w:val="clear" w:color="auto" w:fill="FFFFFF"/>
        </w:rPr>
        <w:lastRenderedPageBreak/>
        <w:t xml:space="preserve">Length of stay decreased 0.88 days (P &lt; .05) more for patients at nutritional risk than patients not at nutritional risk; the probability of 30-day hospital readmission did not differ between groups. </w:t>
      </w:r>
    </w:p>
    <w:p w14:paraId="6C0F7225" w14:textId="77777777" w:rsidR="00123FDE" w:rsidRPr="00C170B8" w:rsidRDefault="00123FDE" w:rsidP="00123FDE">
      <w:pPr>
        <w:ind w:left="0" w:firstLine="0"/>
        <w:rPr>
          <w:rFonts w:cstheme="minorHAnsi"/>
          <w:color w:val="000000"/>
          <w:shd w:val="clear" w:color="auto" w:fill="FFFFFF"/>
        </w:rPr>
      </w:pPr>
    </w:p>
    <w:p w14:paraId="279ADBF2" w14:textId="77777777" w:rsidR="00123FDE" w:rsidRDefault="00123FDE" w:rsidP="00123FDE">
      <w:pPr>
        <w:ind w:left="0" w:firstLine="0"/>
        <w:rPr>
          <w:rFonts w:cstheme="minorHAnsi"/>
          <w:color w:val="000000"/>
          <w:shd w:val="clear" w:color="auto" w:fill="FFFFFF"/>
        </w:rPr>
      </w:pPr>
      <w:r w:rsidRPr="00C170B8">
        <w:rPr>
          <w:rFonts w:cstheme="minorHAnsi"/>
          <w:color w:val="000000"/>
          <w:shd w:val="clear" w:color="auto" w:fill="FFFFFF"/>
        </w:rPr>
        <w:t>The study highlights the importance of adequate nutrition screening, diagnosis, and treatment for hospitalized patients.</w:t>
      </w:r>
    </w:p>
    <w:p w14:paraId="1167C845" w14:textId="77777777" w:rsidR="00014D48" w:rsidRPr="001A3B8F" w:rsidRDefault="00014D48" w:rsidP="00014D48">
      <w:pPr>
        <w:ind w:left="0" w:firstLine="0"/>
        <w:rPr>
          <w:rFonts w:ascii="Calibri" w:eastAsia="Calibri" w:hAnsi="Calibri" w:cs="Calibri"/>
        </w:rPr>
      </w:pPr>
    </w:p>
    <w:p w14:paraId="3B144B73" w14:textId="77777777" w:rsidR="00BF39CA" w:rsidRPr="00BF39CA" w:rsidRDefault="00BF39CA" w:rsidP="00014D48">
      <w:pPr>
        <w:ind w:left="0" w:firstLine="0"/>
        <w:rPr>
          <w:rFonts w:cstheme="minorHAnsi"/>
          <w:b/>
          <w:bCs/>
          <w:color w:val="000000"/>
          <w:shd w:val="clear" w:color="auto" w:fill="FFFFFF"/>
        </w:rPr>
      </w:pPr>
      <w:r w:rsidRPr="00BF39CA">
        <w:rPr>
          <w:rFonts w:cstheme="minorHAnsi"/>
          <w:b/>
          <w:bCs/>
          <w:color w:val="000000"/>
          <w:shd w:val="clear" w:color="auto" w:fill="FFFFFF"/>
        </w:rPr>
        <w:t xml:space="preserve">Goldfarb M et al. Malnutrition and mortality in frail and non-frail older adults undergoing aortic value replacement.  Circulation 2018 Jul 5. </w:t>
      </w:r>
      <w:proofErr w:type="spellStart"/>
      <w:r w:rsidRPr="00BF39CA">
        <w:rPr>
          <w:rFonts w:cstheme="minorHAnsi"/>
          <w:b/>
          <w:bCs/>
          <w:color w:val="000000"/>
          <w:shd w:val="clear" w:color="auto" w:fill="FFFFFF"/>
        </w:rPr>
        <w:t>pii</w:t>
      </w:r>
      <w:proofErr w:type="spellEnd"/>
      <w:r w:rsidRPr="00BF39CA">
        <w:rPr>
          <w:rFonts w:cstheme="minorHAnsi"/>
          <w:b/>
          <w:bCs/>
          <w:color w:val="000000"/>
          <w:shd w:val="clear" w:color="auto" w:fill="FFFFFF"/>
        </w:rPr>
        <w:t>: CIRCULATIONAHA.118.033887.</w:t>
      </w:r>
    </w:p>
    <w:p w14:paraId="41584DBB" w14:textId="77777777" w:rsidR="00BF39CA" w:rsidRDefault="00BF39CA" w:rsidP="00EF0124">
      <w:pPr>
        <w:ind w:left="0" w:firstLine="0"/>
        <w:rPr>
          <w:rFonts w:cstheme="minorHAnsi"/>
          <w:color w:val="000000"/>
          <w:shd w:val="clear" w:color="auto" w:fill="FFFFFF"/>
        </w:rPr>
      </w:pPr>
    </w:p>
    <w:p w14:paraId="3CA23FF6" w14:textId="0C89FDD6" w:rsidR="00BF39CA" w:rsidRDefault="004661C7" w:rsidP="00EF0124">
      <w:pPr>
        <w:ind w:left="0" w:firstLine="0"/>
        <w:rPr>
          <w:rFonts w:cstheme="minorHAnsi"/>
          <w:color w:val="000000"/>
          <w:shd w:val="clear" w:color="auto" w:fill="FFFFFF"/>
        </w:rPr>
      </w:pPr>
      <w:r w:rsidRPr="00BF39CA">
        <w:rPr>
          <w:rFonts w:cstheme="minorHAnsi"/>
          <w:color w:val="000000"/>
          <w:shd w:val="clear" w:color="auto" w:fill="FFFFFF"/>
        </w:rPr>
        <w:t xml:space="preserve">Prospective multicenter cohort study was conducted between 2012 and 2017 in 14 centers in 3 countries. Patients ≥70 years of age who underwent transcatheter or surgical </w:t>
      </w:r>
      <w:r w:rsidR="00BF39CA" w:rsidRPr="00BF39CA">
        <w:rPr>
          <w:rFonts w:cstheme="minorHAnsi"/>
          <w:color w:val="000000"/>
          <w:shd w:val="clear" w:color="auto" w:fill="FFFFFF"/>
        </w:rPr>
        <w:t xml:space="preserve">aortic valve replacement </w:t>
      </w:r>
      <w:r w:rsidRPr="00BF39CA">
        <w:rPr>
          <w:rFonts w:cstheme="minorHAnsi"/>
          <w:color w:val="000000"/>
          <w:shd w:val="clear" w:color="auto" w:fill="FFFFFF"/>
        </w:rPr>
        <w:t xml:space="preserve">were eligible. </w:t>
      </w:r>
      <w:r w:rsidR="00BF39CA" w:rsidRPr="00BF39CA">
        <w:rPr>
          <w:rFonts w:cstheme="minorHAnsi"/>
          <w:color w:val="000000"/>
          <w:shd w:val="clear" w:color="auto" w:fill="FFFFFF"/>
        </w:rPr>
        <w:t>Overall, 8.7% of patients were classified as malnourished and 32.8% were at-risk for malnutrition. MNA-SF scores were moderately correlated with SPPB scores (Spearman R=0.31, P&lt;0.001). There were 126 deaths in the TAVR group (19.1 per 100 patient-years) and 30 deaths in the SAVR group (7.5 per 100 patient-years). Malnourished patients had a nearly 3-fold higher crude risk of 1-year mortality compared with those with normal nutritional status (28% vs 10%, P&lt;0.001). After adjustment for frailty, STS-PROM, and procedure type, pre-procedural nutritional status was a significant predictor of 1-year mortality (OR 1.08 per MNA-SF point, 95% CI 1.01-1.16) and of the 30-day composite safety endpoint (OR 1.06 per MNA-SF point, 95% CI 1.00 to 1.12).</w:t>
      </w:r>
    </w:p>
    <w:p w14:paraId="40111D9A" w14:textId="77777777" w:rsidR="00BF39CA" w:rsidRDefault="00BF39CA" w:rsidP="00EF0124">
      <w:pPr>
        <w:ind w:left="0" w:firstLine="0"/>
        <w:rPr>
          <w:rFonts w:cstheme="minorHAnsi"/>
          <w:color w:val="000000"/>
          <w:shd w:val="clear" w:color="auto" w:fill="FFFFFF"/>
        </w:rPr>
      </w:pPr>
    </w:p>
    <w:p w14:paraId="68DC18F1" w14:textId="32BD04A3" w:rsidR="00123FDE" w:rsidRDefault="004661C7" w:rsidP="00EF0124">
      <w:pPr>
        <w:ind w:left="0" w:firstLine="0"/>
        <w:rPr>
          <w:rFonts w:cstheme="minorHAnsi"/>
          <w:color w:val="000000"/>
          <w:shd w:val="clear" w:color="auto" w:fill="FFFFFF"/>
        </w:rPr>
      </w:pPr>
      <w:r w:rsidRPr="00BF39CA">
        <w:rPr>
          <w:rFonts w:cstheme="minorHAnsi"/>
          <w:color w:val="000000"/>
          <w:shd w:val="clear" w:color="auto" w:fill="FFFFFF"/>
        </w:rPr>
        <w:t xml:space="preserve">The study found that preprocedural nutritional status is associated with mortality in older adults undergoing aortic valve replacement. </w:t>
      </w:r>
    </w:p>
    <w:p w14:paraId="1867A255" w14:textId="77777777" w:rsidR="005E472C" w:rsidRDefault="005E472C" w:rsidP="00EF0124">
      <w:pPr>
        <w:ind w:left="0" w:firstLine="0"/>
        <w:rPr>
          <w:rFonts w:cstheme="minorHAnsi"/>
          <w:color w:val="000000"/>
          <w:shd w:val="clear" w:color="auto" w:fill="FFFFFF"/>
        </w:rPr>
      </w:pPr>
    </w:p>
    <w:p w14:paraId="019FF2C7" w14:textId="77777777" w:rsidR="00123FDE" w:rsidRPr="00243DE1" w:rsidRDefault="00123FDE" w:rsidP="00123FDE">
      <w:pPr>
        <w:ind w:left="0" w:firstLine="0"/>
        <w:rPr>
          <w:rFonts w:ascii="Calibri" w:eastAsia="Calibri" w:hAnsi="Calibri" w:cs="Calibri"/>
          <w:b/>
          <w:bCs/>
        </w:rPr>
      </w:pPr>
      <w:proofErr w:type="spellStart"/>
      <w:r w:rsidRPr="00243DE1">
        <w:rPr>
          <w:rFonts w:ascii="Calibri" w:eastAsia="Calibri" w:hAnsi="Calibri" w:cs="Calibri"/>
          <w:b/>
          <w:bCs/>
        </w:rPr>
        <w:t>Eglseer</w:t>
      </w:r>
      <w:proofErr w:type="spellEnd"/>
      <w:r w:rsidRPr="00243DE1">
        <w:rPr>
          <w:rFonts w:ascii="Calibri" w:eastAsia="Calibri" w:hAnsi="Calibri" w:cs="Calibri"/>
          <w:b/>
          <w:bCs/>
        </w:rPr>
        <w:t xml:space="preserve"> D et al. Is the presence of a validated malnutrition screening tool associated with better nutritional care in hospitalized patients? Nutrition 2017 May;37:104-111.</w:t>
      </w:r>
    </w:p>
    <w:p w14:paraId="70316D71" w14:textId="77777777" w:rsidR="00123FDE" w:rsidRDefault="00123FDE" w:rsidP="00123FDE">
      <w:pPr>
        <w:ind w:left="0" w:firstLine="0"/>
        <w:rPr>
          <w:rFonts w:ascii="Calibri" w:eastAsia="Calibri" w:hAnsi="Calibri" w:cs="Calibri"/>
        </w:rPr>
      </w:pPr>
    </w:p>
    <w:p w14:paraId="33408E40" w14:textId="77777777" w:rsidR="00123FDE" w:rsidRDefault="00123FDE" w:rsidP="00123FDE">
      <w:pPr>
        <w:ind w:left="0" w:firstLine="0"/>
        <w:rPr>
          <w:rFonts w:ascii="Calibri" w:eastAsia="Calibri" w:hAnsi="Calibri" w:cs="Calibri"/>
        </w:rPr>
      </w:pPr>
      <w:r w:rsidRPr="00243DE1">
        <w:rPr>
          <w:rFonts w:ascii="Calibri" w:eastAsia="Calibri" w:hAnsi="Calibri" w:cs="Calibri"/>
        </w:rPr>
        <w:t>This was a cross-sectional, multicenter study</w:t>
      </w:r>
      <w:r>
        <w:rPr>
          <w:rFonts w:ascii="Calibri" w:eastAsia="Calibri" w:hAnsi="Calibri" w:cs="Calibri"/>
        </w:rPr>
        <w:t xml:space="preserve"> that collected data </w:t>
      </w:r>
      <w:r w:rsidRPr="00243DE1">
        <w:rPr>
          <w:rFonts w:ascii="Calibri" w:eastAsia="Calibri" w:hAnsi="Calibri" w:cs="Calibri"/>
        </w:rPr>
        <w:t>using a standardized questionnaire on three levels: institution (presence of a guideline for malnutrition), department (use of a validated screening tool), and patient (e.g., malnutrition prevalence).</w:t>
      </w:r>
      <w:r>
        <w:rPr>
          <w:rFonts w:ascii="Calibri" w:eastAsia="Calibri" w:hAnsi="Calibri" w:cs="Calibri"/>
        </w:rPr>
        <w:t xml:space="preserve"> </w:t>
      </w:r>
      <w:r w:rsidRPr="00243DE1">
        <w:rPr>
          <w:rFonts w:ascii="Calibri" w:eastAsia="Calibri" w:hAnsi="Calibri" w:cs="Calibri"/>
        </w:rPr>
        <w:t>In all, 53 hospitals with 5255 patients participated. About 45% of the hospitals indicated that they have guidelines for malnutrition. Of the departments surveyed, 38.6% used validated screening tools as part of a standard procedure. The nutritional status of 74.5% of the patients was screened during admission, mostly on the basis of clinical observation and patient weight. A validated screening tool was used for 21.2% of the patients. Significant differences between wards with and without validated screening tools were found with regard to malnutrition prevalence (P = 0.002) and the following interventions: referral to a dietitian (P &lt; 0.001), provision of energy-enriched snacks (P = 0.038), adjustment of consistency (food/drinks; P = 0.004), monitoring of the nutritional intake (P = 0.001), and adjustment of the meal ambiance (P &lt; 0.001).</w:t>
      </w:r>
    </w:p>
    <w:p w14:paraId="4E9DF88D" w14:textId="77777777" w:rsidR="00123FDE" w:rsidRDefault="00123FDE" w:rsidP="00123FDE">
      <w:pPr>
        <w:ind w:left="0" w:firstLine="0"/>
        <w:rPr>
          <w:rFonts w:ascii="Calibri" w:eastAsia="Calibri" w:hAnsi="Calibri" w:cs="Calibri"/>
        </w:rPr>
      </w:pPr>
    </w:p>
    <w:p w14:paraId="1D55281E" w14:textId="77777777" w:rsidR="00123FDE" w:rsidRDefault="00123FDE" w:rsidP="00123FDE">
      <w:pPr>
        <w:ind w:left="0" w:firstLine="0"/>
        <w:rPr>
          <w:rFonts w:ascii="Calibri" w:eastAsia="Calibri" w:hAnsi="Calibri" w:cs="Calibri"/>
        </w:rPr>
      </w:pPr>
      <w:r>
        <w:rPr>
          <w:rFonts w:ascii="Calibri" w:eastAsia="Calibri" w:hAnsi="Calibri" w:cs="Calibri"/>
        </w:rPr>
        <w:t>The study found that n</w:t>
      </w:r>
      <w:r w:rsidRPr="00243DE1">
        <w:rPr>
          <w:rFonts w:ascii="Calibri" w:eastAsia="Calibri" w:hAnsi="Calibri" w:cs="Calibri"/>
        </w:rPr>
        <w:t>utritional screening with validated tools in hospitalized patients remains poor. Generally, the nutritional status of patients is screened with unreliable parameters such as clinical observation and body mass index. The results of the present study suggest that the use of validated malnutrition screening tools is associated with better nutritional care and lower malnutrition prevalence rates in hospitalized patients.</w:t>
      </w:r>
    </w:p>
    <w:p w14:paraId="40ED8FB7" w14:textId="77777777" w:rsidR="00123FDE" w:rsidRDefault="00123FDE" w:rsidP="00717F1A">
      <w:pPr>
        <w:ind w:left="0" w:firstLine="0"/>
        <w:rPr>
          <w:b/>
          <w:bCs/>
        </w:rPr>
      </w:pPr>
    </w:p>
    <w:p w14:paraId="4B0757AC" w14:textId="66F0DA24" w:rsidR="00717F1A" w:rsidRPr="003419EA" w:rsidRDefault="00717F1A" w:rsidP="00717F1A">
      <w:pPr>
        <w:ind w:left="0" w:firstLine="0"/>
      </w:pPr>
      <w:r w:rsidRPr="003D0077">
        <w:rPr>
          <w:b/>
          <w:bCs/>
          <w:lang w:val="es-US"/>
        </w:rPr>
        <w:t xml:space="preserve">Guerra RS, Sousa AS, Fonseca I, et al. </w:t>
      </w:r>
      <w:r w:rsidRPr="003D0077">
        <w:rPr>
          <w:b/>
          <w:bCs/>
        </w:rPr>
        <w:t xml:space="preserve">Comparative analysis of undernutrition screening and diagnostic tools as predictors of </w:t>
      </w:r>
      <w:proofErr w:type="spellStart"/>
      <w:r w:rsidRPr="003D0077">
        <w:rPr>
          <w:b/>
          <w:bCs/>
        </w:rPr>
        <w:t>hospitalisation</w:t>
      </w:r>
      <w:proofErr w:type="spellEnd"/>
      <w:r w:rsidRPr="003D0077">
        <w:rPr>
          <w:b/>
          <w:bCs/>
        </w:rPr>
        <w:t xml:space="preserve"> costs. J Hum </w:t>
      </w:r>
      <w:proofErr w:type="spellStart"/>
      <w:r w:rsidRPr="003D0077">
        <w:rPr>
          <w:b/>
          <w:bCs/>
        </w:rPr>
        <w:t>Nutr</w:t>
      </w:r>
      <w:proofErr w:type="spellEnd"/>
      <w:r w:rsidRPr="003D0077">
        <w:rPr>
          <w:b/>
          <w:bCs/>
        </w:rPr>
        <w:t xml:space="preserve"> Diet. 2016;29(2):165-73.</w:t>
      </w:r>
    </w:p>
    <w:p w14:paraId="73BB3254" w14:textId="77777777" w:rsidR="00717F1A" w:rsidRDefault="00717F1A" w:rsidP="00717F1A">
      <w:pPr>
        <w:ind w:left="0" w:firstLine="0"/>
      </w:pPr>
      <w:r w:rsidRPr="003419EA">
        <w:lastRenderedPageBreak/>
        <w:t>Study aims (</w:t>
      </w:r>
      <w:proofErr w:type="spellStart"/>
      <w:r w:rsidRPr="003419EA">
        <w:t>i</w:t>
      </w:r>
      <w:proofErr w:type="spellEnd"/>
      <w:r w:rsidRPr="003419EA">
        <w:t xml:space="preserve">) to explore whether undernutrition status at hospital admission, as evaluated by different screening and diagnostic tools, can predict patient's </w:t>
      </w:r>
      <w:proofErr w:type="spellStart"/>
      <w:r w:rsidRPr="003419EA">
        <w:t>hospitalisation</w:t>
      </w:r>
      <w:proofErr w:type="spellEnd"/>
      <w:r w:rsidRPr="003419EA">
        <w:t xml:space="preserve"> costs and (ii) to provide an updated economic analysis of undernutrition burden.</w:t>
      </w:r>
    </w:p>
    <w:p w14:paraId="6F86C057" w14:textId="77777777" w:rsidR="00717F1A" w:rsidRPr="003419EA" w:rsidRDefault="00717F1A" w:rsidP="00717F1A">
      <w:pPr>
        <w:ind w:left="0" w:firstLine="0"/>
      </w:pPr>
    </w:p>
    <w:p w14:paraId="1F8DC550" w14:textId="77777777" w:rsidR="00717F1A" w:rsidRDefault="00717F1A" w:rsidP="00717F1A">
      <w:pPr>
        <w:ind w:left="0" w:firstLine="0"/>
      </w:pPr>
      <w:r w:rsidRPr="003419EA">
        <w:t>Undernutrition risk according to NRS-2002 and high undernutrition risk according to 'MUST' increased patient's costs, respectively, by 21.1% [95% confidence interval (CI) = 9.0-33.2%] and 28.8% (95% CI = 13.7-39.9%). The cost of a nutritionally-at-risk or undernourished patient is between €416 (95% CI = €156-675) and €617 (95% CI = €293-855) higher than the average of the respective diagnosis-related group.</w:t>
      </w:r>
    </w:p>
    <w:p w14:paraId="1CD763B5" w14:textId="77777777" w:rsidR="00717F1A" w:rsidRPr="003419EA" w:rsidRDefault="00717F1A" w:rsidP="00717F1A">
      <w:pPr>
        <w:ind w:left="0" w:firstLine="0"/>
      </w:pPr>
    </w:p>
    <w:p w14:paraId="0E18E1D6" w14:textId="77777777" w:rsidR="00717F1A" w:rsidRPr="003419EA" w:rsidRDefault="00717F1A" w:rsidP="00717F1A">
      <w:pPr>
        <w:ind w:left="0" w:firstLine="0"/>
      </w:pPr>
      <w:r w:rsidRPr="003419EA">
        <w:t>The study associated malnutrition risk with increased patient costs which was identified using screening tools (NRS-2002 and MUST) which predict risk of malnutrition (termed as undernutrition in this article).</w:t>
      </w:r>
    </w:p>
    <w:p w14:paraId="4DC2F394" w14:textId="77777777" w:rsidR="00717F1A" w:rsidRDefault="00717F1A" w:rsidP="00014D48">
      <w:pPr>
        <w:ind w:left="0" w:firstLine="0"/>
        <w:rPr>
          <w:rFonts w:ascii="Calibri" w:eastAsia="Calibri" w:hAnsi="Calibri" w:cs="Calibri"/>
          <w:b/>
          <w:bCs/>
        </w:rPr>
      </w:pPr>
    </w:p>
    <w:p w14:paraId="64911620" w14:textId="2607726D" w:rsidR="00014D48" w:rsidRPr="003419EA" w:rsidRDefault="00014D48" w:rsidP="00014D48">
      <w:pPr>
        <w:ind w:left="0" w:firstLine="0"/>
        <w:rPr>
          <w:rFonts w:eastAsia="Calibri" w:cs="Calibri"/>
        </w:rPr>
      </w:pPr>
      <w:proofErr w:type="spellStart"/>
      <w:r w:rsidRPr="003D0077">
        <w:rPr>
          <w:rFonts w:ascii="Calibri" w:eastAsia="Calibri" w:hAnsi="Calibri" w:cs="Calibri"/>
          <w:b/>
          <w:bCs/>
        </w:rPr>
        <w:t>Khalatbari-soltani</w:t>
      </w:r>
      <w:proofErr w:type="spellEnd"/>
      <w:r w:rsidRPr="003D0077">
        <w:rPr>
          <w:rFonts w:ascii="Calibri" w:eastAsia="Calibri" w:hAnsi="Calibri" w:cs="Calibri"/>
          <w:b/>
          <w:bCs/>
        </w:rPr>
        <w:t xml:space="preserve"> S, Marques-</w:t>
      </w:r>
      <w:proofErr w:type="spellStart"/>
      <w:r w:rsidRPr="003D0077">
        <w:rPr>
          <w:rFonts w:ascii="Calibri" w:eastAsia="Calibri" w:hAnsi="Calibri" w:cs="Calibri"/>
          <w:b/>
          <w:bCs/>
        </w:rPr>
        <w:t>vidal</w:t>
      </w:r>
      <w:proofErr w:type="spellEnd"/>
      <w:r w:rsidRPr="003D0077">
        <w:rPr>
          <w:rFonts w:ascii="Calibri" w:eastAsia="Calibri" w:hAnsi="Calibri" w:cs="Calibri"/>
          <w:b/>
          <w:bCs/>
        </w:rPr>
        <w:t xml:space="preserve"> P. Impact of nutritional risk screening in hospitalized patients on management, outcome and costs: A retrospective study. Clin </w:t>
      </w:r>
      <w:proofErr w:type="spellStart"/>
      <w:r w:rsidRPr="003D0077">
        <w:rPr>
          <w:rFonts w:ascii="Calibri" w:eastAsia="Calibri" w:hAnsi="Calibri" w:cs="Calibri"/>
          <w:b/>
          <w:bCs/>
        </w:rPr>
        <w:t>Nutr</w:t>
      </w:r>
      <w:proofErr w:type="spellEnd"/>
      <w:r w:rsidRPr="003D0077">
        <w:rPr>
          <w:rFonts w:ascii="Calibri" w:eastAsia="Calibri" w:hAnsi="Calibri" w:cs="Calibri"/>
          <w:b/>
          <w:bCs/>
        </w:rPr>
        <w:t>. 2016;</w:t>
      </w:r>
    </w:p>
    <w:p w14:paraId="2D0AC855" w14:textId="77777777" w:rsidR="00014D48" w:rsidRDefault="00014D48" w:rsidP="00014D48">
      <w:pPr>
        <w:ind w:left="0" w:firstLine="0"/>
        <w:rPr>
          <w:rFonts w:eastAsia="Calibri" w:cs="Calibri"/>
        </w:rPr>
      </w:pPr>
      <w:r>
        <w:rPr>
          <w:rFonts w:ascii="Calibri" w:eastAsia="Calibri" w:hAnsi="Calibri" w:cs="Calibri"/>
        </w:rPr>
        <w:br/>
      </w:r>
      <w:r w:rsidRPr="003D0077">
        <w:rPr>
          <w:rFonts w:ascii="Calibri" w:eastAsia="Calibri" w:hAnsi="Calibri" w:cs="Calibri"/>
        </w:rPr>
        <w:t>Retrospective analysis of administrative data for years 2013 and 2014 from the department of internal medicine of the Lausanne university hospital (8541 hospitalizations, mean age 72.8 ± 16.5 years, 50.4% women). Being nutritionally 'at-risk' was defined as a Nutritional risk screening-2002 score ≥ 3 and nutritional managements were collected from medical records.</w:t>
      </w:r>
    </w:p>
    <w:p w14:paraId="11B41E47" w14:textId="77777777" w:rsidR="00014D48" w:rsidRPr="003419EA" w:rsidRDefault="00014D48" w:rsidP="00014D48">
      <w:pPr>
        <w:ind w:left="0" w:firstLine="0"/>
        <w:rPr>
          <w:rFonts w:eastAsiaTheme="minorEastAsia" w:cstheme="minorEastAsia"/>
        </w:rPr>
      </w:pPr>
    </w:p>
    <w:p w14:paraId="45FA4283" w14:textId="77777777" w:rsidR="00014D48" w:rsidRPr="00C170B8" w:rsidRDefault="00014D48" w:rsidP="00014D48">
      <w:pPr>
        <w:ind w:left="0" w:firstLine="0"/>
        <w:rPr>
          <w:rFonts w:eastAsiaTheme="minorEastAsia" w:cstheme="minorHAnsi"/>
        </w:rPr>
      </w:pPr>
      <w:r w:rsidRPr="00C170B8">
        <w:rPr>
          <w:rFonts w:eastAsiaTheme="minorEastAsia" w:cstheme="minorHAnsi"/>
        </w:rPr>
        <w:t>Less than half of patients 'at-risk' received any nutritional management, and this value decreased between 2013 and 2014 (46.9% vs. 40.3%, p &lt; 0.05). After multivariate adjustment, 'at-risk' patients had a 3.7-fold (95% confidence interval: 1.91; 7.03) higher in-hospital mortality and higher costs (excess 5642.25 ± 1479.80 CHF in 2013 and 5529.52 ± 847.02 CHF in 2014, p &lt; 0.001) than 'not at-risk' patients, while no difference was found for LOS.</w:t>
      </w:r>
    </w:p>
    <w:p w14:paraId="2CD688B0" w14:textId="77777777" w:rsidR="00014D48" w:rsidRPr="00C170B8" w:rsidRDefault="00014D48" w:rsidP="00014D48">
      <w:pPr>
        <w:ind w:left="0" w:firstLine="0"/>
        <w:rPr>
          <w:rFonts w:eastAsiaTheme="minorEastAsia" w:cstheme="minorHAnsi"/>
        </w:rPr>
      </w:pPr>
    </w:p>
    <w:p w14:paraId="2AA57DA3" w14:textId="6DD232D9" w:rsidR="00160EB4" w:rsidRDefault="00014D48" w:rsidP="00717F1A">
      <w:pPr>
        <w:ind w:left="0" w:firstLine="0"/>
        <w:rPr>
          <w:rFonts w:eastAsiaTheme="minorEastAsia" w:cstheme="minorHAnsi"/>
        </w:rPr>
      </w:pPr>
      <w:r w:rsidRPr="00C170B8">
        <w:rPr>
          <w:rFonts w:eastAsiaTheme="minorEastAsia" w:cstheme="minorHAnsi"/>
        </w:rPr>
        <w:t>This study reinforces the association between risk of malnutrition and mortality (risk ratio: 3.7, p&lt;0.001) as well as with higher cost of care (p&lt;0.001), and a non-significant higher risk of length of stay, p=0.50)</w:t>
      </w:r>
    </w:p>
    <w:p w14:paraId="33F5AC57" w14:textId="77777777" w:rsidR="00717F1A" w:rsidRPr="00C170B8" w:rsidRDefault="00717F1A" w:rsidP="00717F1A">
      <w:pPr>
        <w:ind w:left="0" w:firstLine="0"/>
        <w:rPr>
          <w:rFonts w:eastAsiaTheme="minorEastAsia" w:cstheme="minorHAnsi"/>
        </w:rPr>
      </w:pPr>
    </w:p>
    <w:p w14:paraId="29D19DC6" w14:textId="77777777" w:rsidR="00160EB4" w:rsidRPr="003419EA" w:rsidRDefault="00160EB4" w:rsidP="00014D48">
      <w:pPr>
        <w:ind w:left="0" w:firstLine="0"/>
        <w:rPr>
          <w:rFonts w:eastAsiaTheme="minorEastAsia" w:cstheme="minorEastAsia"/>
        </w:rPr>
      </w:pPr>
      <w:r w:rsidRPr="003D0077">
        <w:rPr>
          <w:b/>
          <w:bCs/>
        </w:rPr>
        <w:t xml:space="preserve">Gomes F, Emery PW, Weekes CE. Risk of Malnutrition Is an Independent Predictor of Mortality, Length of Hospital Stay, and Hospitalization Costs in Stroke Patients. J Stroke </w:t>
      </w:r>
      <w:proofErr w:type="spellStart"/>
      <w:r w:rsidRPr="003D0077">
        <w:rPr>
          <w:b/>
          <w:bCs/>
        </w:rPr>
        <w:t>Cerebrovasc</w:t>
      </w:r>
      <w:proofErr w:type="spellEnd"/>
      <w:r w:rsidRPr="003D0077">
        <w:rPr>
          <w:b/>
          <w:bCs/>
        </w:rPr>
        <w:t xml:space="preserve"> Dis. 2016;25(4):799-806.</w:t>
      </w:r>
    </w:p>
    <w:p w14:paraId="312BFC4B" w14:textId="77777777" w:rsidR="00243DE1" w:rsidRDefault="00243DE1" w:rsidP="00160EB4">
      <w:pPr>
        <w:ind w:left="0" w:firstLine="0"/>
        <w:rPr>
          <w:rFonts w:asciiTheme="minorEastAsia" w:eastAsiaTheme="minorEastAsia" w:hAnsiTheme="minorEastAsia" w:cstheme="minorEastAsia"/>
        </w:rPr>
      </w:pPr>
    </w:p>
    <w:p w14:paraId="699E7A50" w14:textId="55EAF0FD" w:rsidR="00160EB4" w:rsidRPr="00243DE1" w:rsidRDefault="00160EB4" w:rsidP="00160EB4">
      <w:pPr>
        <w:ind w:left="0" w:firstLine="0"/>
        <w:rPr>
          <w:rFonts w:eastAsiaTheme="minorEastAsia" w:cstheme="minorHAnsi"/>
        </w:rPr>
      </w:pPr>
      <w:r w:rsidRPr="00243DE1">
        <w:rPr>
          <w:rFonts w:eastAsiaTheme="minorEastAsia" w:cstheme="minorHAnsi"/>
        </w:rPr>
        <w:t>543 patients were recruited from consecutive admissions at 2 hyperacute stroke units in London and were screened for risk of malnutrition (low, medium, and high) according to MUST. Six-month outcomes were obtained for each patient through a national database.</w:t>
      </w:r>
    </w:p>
    <w:p w14:paraId="7FC7308A" w14:textId="77777777" w:rsidR="00160EB4" w:rsidRPr="00243DE1" w:rsidRDefault="00160EB4" w:rsidP="00160EB4">
      <w:pPr>
        <w:ind w:left="0" w:firstLine="0"/>
        <w:rPr>
          <w:rFonts w:eastAsiaTheme="minorEastAsia" w:cstheme="minorHAnsi"/>
        </w:rPr>
      </w:pPr>
    </w:p>
    <w:p w14:paraId="179E2A67" w14:textId="77777777" w:rsidR="00160EB4" w:rsidRPr="00243DE1" w:rsidRDefault="00160EB4" w:rsidP="00160EB4">
      <w:pPr>
        <w:ind w:left="0" w:firstLine="0"/>
        <w:rPr>
          <w:rFonts w:eastAsiaTheme="minorEastAsia" w:cstheme="minorHAnsi"/>
        </w:rPr>
      </w:pPr>
      <w:r w:rsidRPr="00243DE1">
        <w:rPr>
          <w:rFonts w:eastAsiaTheme="minorEastAsia" w:cstheme="minorHAnsi"/>
        </w:rPr>
        <w:t xml:space="preserve">Results showed a highly significant increase in mortality with increasing risk of malnutrition (P &lt; .001). This association remained significant after adjusting for age, severity of stroke, and a range of stroke risk factors. For those patients who survived, the LOS and hospitalization costs increased with increasing risk of malnutrition. </w:t>
      </w:r>
    </w:p>
    <w:p w14:paraId="29CD6618" w14:textId="77777777" w:rsidR="00160EB4" w:rsidRPr="00243DE1" w:rsidRDefault="00160EB4" w:rsidP="00160EB4">
      <w:pPr>
        <w:ind w:left="0" w:firstLine="0"/>
        <w:rPr>
          <w:rFonts w:eastAsiaTheme="minorEastAsia" w:cstheme="minorHAnsi"/>
        </w:rPr>
      </w:pPr>
    </w:p>
    <w:p w14:paraId="47D274CB" w14:textId="77777777" w:rsidR="00160EB4" w:rsidRPr="00243DE1" w:rsidRDefault="00160EB4" w:rsidP="00160EB4">
      <w:pPr>
        <w:ind w:left="0" w:firstLine="0"/>
        <w:rPr>
          <w:rFonts w:eastAsiaTheme="minorEastAsia" w:cstheme="minorHAnsi"/>
        </w:rPr>
      </w:pPr>
      <w:r w:rsidRPr="00243DE1">
        <w:rPr>
          <w:rFonts w:eastAsiaTheme="minorEastAsia" w:cstheme="minorHAnsi"/>
        </w:rPr>
        <w:t>This study showed a statistically significant association between mortality and increasing risk of malnutrition (P&lt;0.001). Increasing risk of malnutrition was associated with longer LOS and increased hospitalization costs (P&lt;.001 and P=0.001, respectively)</w:t>
      </w:r>
    </w:p>
    <w:p w14:paraId="7C625821" w14:textId="77777777" w:rsidR="00160EB4" w:rsidRDefault="00160EB4" w:rsidP="003525D4">
      <w:pPr>
        <w:ind w:left="0" w:firstLine="0"/>
        <w:rPr>
          <w:rFonts w:eastAsia="Calibri" w:cs="Calibri"/>
        </w:rPr>
      </w:pPr>
    </w:p>
    <w:p w14:paraId="2BB000F9" w14:textId="77777777" w:rsidR="00160EB4" w:rsidRPr="00243DE1" w:rsidRDefault="00160EB4" w:rsidP="00014D48">
      <w:pPr>
        <w:ind w:left="0" w:firstLine="0"/>
        <w:rPr>
          <w:b/>
          <w:bCs/>
        </w:rPr>
      </w:pPr>
      <w:r w:rsidRPr="00243DE1">
        <w:rPr>
          <w:b/>
          <w:bCs/>
        </w:rPr>
        <w:lastRenderedPageBreak/>
        <w:t xml:space="preserve">Lew CC, </w:t>
      </w:r>
      <w:proofErr w:type="spellStart"/>
      <w:r w:rsidRPr="00243DE1">
        <w:rPr>
          <w:b/>
          <w:bCs/>
        </w:rPr>
        <w:t>Yandell</w:t>
      </w:r>
      <w:proofErr w:type="spellEnd"/>
      <w:r w:rsidRPr="00243DE1">
        <w:rPr>
          <w:b/>
          <w:bCs/>
        </w:rPr>
        <w:t xml:space="preserve"> R, Fraser RJ, Chua AP, Chong MF, Miller M. Association Between Malnutrition and Clinical Outcomes in the Intensive Care Unit: A Systematic Review. JPEN. Journal of parenteral and enteral nutrition. 2016.</w:t>
      </w:r>
    </w:p>
    <w:p w14:paraId="1A2213D2" w14:textId="59A8231F" w:rsidR="00160EB4" w:rsidRDefault="00160EB4" w:rsidP="00160EB4">
      <w:pPr>
        <w:ind w:left="0" w:firstLine="0"/>
      </w:pPr>
      <w:r>
        <w:t xml:space="preserve">This systematic review aims to identify the link between malnutrition and poor clinical outcomes in the intensive care unit (ICU). After reviewing 20 out of an original search that included 1168 studies, authors found that the prevalence of malnutrition ranged from 38% to 78%. Malnutrition, as diagnosed by nutrition assessments, was found to be independently associated with increased ICU length of stay, ICU readmission, incidence of infection, and risk of mortality. </w:t>
      </w:r>
    </w:p>
    <w:p w14:paraId="22585426" w14:textId="31A10142" w:rsidR="00123FDE" w:rsidRDefault="00123FDE" w:rsidP="00160EB4">
      <w:pPr>
        <w:ind w:left="0" w:firstLine="0"/>
      </w:pPr>
    </w:p>
    <w:p w14:paraId="66223B6A" w14:textId="77777777" w:rsidR="00123FDE" w:rsidRPr="003419EA" w:rsidRDefault="00123FDE" w:rsidP="00123FDE">
      <w:pPr>
        <w:ind w:left="0" w:firstLine="0"/>
        <w:rPr>
          <w:rFonts w:eastAsia="Calibri" w:cs="Calibri"/>
        </w:rPr>
      </w:pPr>
      <w:proofErr w:type="spellStart"/>
      <w:r w:rsidRPr="003D0077">
        <w:rPr>
          <w:b/>
          <w:bCs/>
          <w:lang w:val="es-US"/>
        </w:rPr>
        <w:t>Cereda</w:t>
      </w:r>
      <w:proofErr w:type="spellEnd"/>
      <w:r w:rsidRPr="003D0077">
        <w:rPr>
          <w:b/>
          <w:bCs/>
          <w:lang w:val="es-US"/>
        </w:rPr>
        <w:t xml:space="preserve"> E, </w:t>
      </w:r>
      <w:proofErr w:type="spellStart"/>
      <w:r w:rsidRPr="003D0077">
        <w:rPr>
          <w:b/>
          <w:bCs/>
          <w:lang w:val="es-US"/>
        </w:rPr>
        <w:t>Klersy</w:t>
      </w:r>
      <w:proofErr w:type="spellEnd"/>
      <w:r w:rsidRPr="003D0077">
        <w:rPr>
          <w:b/>
          <w:bCs/>
          <w:lang w:val="es-US"/>
        </w:rPr>
        <w:t xml:space="preserve"> C, </w:t>
      </w:r>
      <w:proofErr w:type="spellStart"/>
      <w:r w:rsidRPr="003D0077">
        <w:rPr>
          <w:b/>
          <w:bCs/>
          <w:lang w:val="es-US"/>
        </w:rPr>
        <w:t>Pedrolli</w:t>
      </w:r>
      <w:proofErr w:type="spellEnd"/>
      <w:r w:rsidRPr="003D0077">
        <w:rPr>
          <w:b/>
          <w:bCs/>
          <w:lang w:val="es-US"/>
        </w:rPr>
        <w:t xml:space="preserve"> C, et al. </w:t>
      </w:r>
      <w:r w:rsidRPr="003D0077">
        <w:rPr>
          <w:b/>
          <w:bCs/>
        </w:rPr>
        <w:t xml:space="preserve">The Geriatric Nutritional Risk Index predicts hospital length of stay and in-hospital weight loss in elderly patients. Clin </w:t>
      </w:r>
      <w:proofErr w:type="spellStart"/>
      <w:r w:rsidRPr="003D0077">
        <w:rPr>
          <w:b/>
          <w:bCs/>
        </w:rPr>
        <w:t>Nutr</w:t>
      </w:r>
      <w:proofErr w:type="spellEnd"/>
      <w:r w:rsidRPr="003D0077">
        <w:rPr>
          <w:b/>
          <w:bCs/>
        </w:rPr>
        <w:t>. 2015;34(1):74-8.</w:t>
      </w:r>
      <w:r>
        <w:rPr>
          <w:b/>
          <w:bCs/>
        </w:rPr>
        <w:br/>
      </w:r>
    </w:p>
    <w:p w14:paraId="4A4E4AE4" w14:textId="77777777" w:rsidR="00123FDE" w:rsidRPr="00243DE1" w:rsidRDefault="00123FDE" w:rsidP="00123FDE">
      <w:pPr>
        <w:ind w:left="0" w:firstLine="0"/>
        <w:rPr>
          <w:rFonts w:eastAsia="Calibri" w:cstheme="minorHAnsi"/>
        </w:rPr>
      </w:pPr>
      <w:r w:rsidRPr="00243DE1">
        <w:rPr>
          <w:rFonts w:eastAsiaTheme="minorEastAsia" w:cstheme="minorHAnsi"/>
        </w:rPr>
        <w:t xml:space="preserve">Nutritional risk was assessed by the Geriatric Nutritional Risk Index (GNRI) in a prospective </w:t>
      </w:r>
      <w:proofErr w:type="spellStart"/>
      <w:r w:rsidRPr="00243DE1">
        <w:rPr>
          <w:rFonts w:eastAsiaTheme="minorEastAsia" w:cstheme="minorHAnsi"/>
        </w:rPr>
        <w:t>multicentre</w:t>
      </w:r>
      <w:proofErr w:type="spellEnd"/>
      <w:r w:rsidRPr="00243DE1">
        <w:rPr>
          <w:rFonts w:eastAsiaTheme="minorEastAsia" w:cstheme="minorHAnsi"/>
        </w:rPr>
        <w:t xml:space="preserve"> hospital-based cohort study on a sample of 667 patients. The outcomes were LOS and in-hospital WL.</w:t>
      </w:r>
    </w:p>
    <w:p w14:paraId="389BF08F" w14:textId="77777777" w:rsidR="00123FDE" w:rsidRPr="00243DE1" w:rsidRDefault="00123FDE" w:rsidP="00123FDE">
      <w:pPr>
        <w:ind w:left="0" w:firstLine="0"/>
        <w:rPr>
          <w:rFonts w:eastAsiaTheme="minorEastAsia" w:cstheme="minorHAnsi"/>
        </w:rPr>
      </w:pPr>
      <w:r w:rsidRPr="00243DE1">
        <w:rPr>
          <w:rFonts w:eastAsiaTheme="minorEastAsia" w:cstheme="minorHAnsi"/>
        </w:rPr>
        <w:t xml:space="preserve">Patients with a high nutritional risk were more likely (OR = 1.89; 95%CI: 1.22-2.92) to stay longer in hospital (fourth quartile, LOS ≥ 20 days) compared to those without. </w:t>
      </w:r>
    </w:p>
    <w:p w14:paraId="51686EB9" w14:textId="77777777" w:rsidR="00123FDE" w:rsidRPr="00243DE1" w:rsidRDefault="00123FDE" w:rsidP="00123FDE">
      <w:pPr>
        <w:ind w:left="0" w:firstLine="0"/>
        <w:rPr>
          <w:rFonts w:eastAsiaTheme="minorEastAsia" w:cstheme="minorHAnsi"/>
        </w:rPr>
      </w:pPr>
    </w:p>
    <w:p w14:paraId="4C12D203" w14:textId="13B8AFB5" w:rsidR="00F21E28" w:rsidRPr="00123FDE" w:rsidRDefault="00123FDE" w:rsidP="007F450D">
      <w:pPr>
        <w:ind w:left="0" w:firstLine="0"/>
        <w:rPr>
          <w:rStyle w:val="apple-converted-space"/>
          <w:rFonts w:eastAsia="Calibri" w:cstheme="minorHAnsi"/>
        </w:rPr>
      </w:pPr>
      <w:r w:rsidRPr="00243DE1">
        <w:rPr>
          <w:rFonts w:eastAsiaTheme="minorEastAsia" w:cstheme="minorHAnsi"/>
        </w:rPr>
        <w:t>Study supports association with nutritional risk identified from nutrition screening with increased LOS (OR=1.89)</w:t>
      </w:r>
    </w:p>
    <w:p w14:paraId="52087968" w14:textId="77777777" w:rsidR="0094689F" w:rsidRPr="003B1CC5" w:rsidRDefault="00925F11" w:rsidP="002E2177">
      <w:pPr>
        <w:ind w:left="0" w:firstLine="0"/>
        <w:rPr>
          <w:b/>
          <w:color w:val="0070C0"/>
        </w:rPr>
      </w:pPr>
      <w:r w:rsidRPr="4E1B4D23">
        <w:rPr>
          <w:b/>
          <w:bCs/>
          <w:caps/>
        </w:rPr>
        <w:t>_________________________</w:t>
      </w:r>
    </w:p>
    <w:p w14:paraId="24107EAF" w14:textId="77777777" w:rsidR="004619D6" w:rsidRPr="004619D6" w:rsidRDefault="004619D6" w:rsidP="004619D6">
      <w:pPr>
        <w:ind w:left="0" w:firstLine="0"/>
        <w:rPr>
          <w:b/>
          <w:bCs/>
        </w:rPr>
      </w:pPr>
      <w:bookmarkStart w:id="6" w:name="Section1a8"/>
      <w:bookmarkEnd w:id="6"/>
      <w:r w:rsidRPr="004619D6">
        <w:rPr>
          <w:b/>
          <w:bCs/>
        </w:rPr>
        <w:t>1a.4 OTHER SOURCE OF EVIDENCE</w:t>
      </w:r>
    </w:p>
    <w:p w14:paraId="27D8D31F" w14:textId="77777777" w:rsidR="004619D6" w:rsidRPr="004619D6" w:rsidRDefault="004619D6" w:rsidP="004619D6">
      <w:pPr>
        <w:ind w:left="0" w:firstLine="0"/>
      </w:pPr>
      <w:r w:rsidRPr="004619D6">
        <w:t>If source of evidence is NOT from a clinical practice guideline, USPSTF, or systematic review, please describe the evidence on which you are basing the performance measure.</w:t>
      </w:r>
    </w:p>
    <w:p w14:paraId="4428140B" w14:textId="77777777" w:rsidR="004619D6" w:rsidRPr="004619D6" w:rsidRDefault="004619D6" w:rsidP="004619D6">
      <w:pPr>
        <w:ind w:left="0" w:firstLine="0"/>
        <w:rPr>
          <w:b/>
          <w:bCs/>
        </w:rPr>
      </w:pPr>
    </w:p>
    <w:p w14:paraId="5095C449" w14:textId="77777777" w:rsidR="004619D6" w:rsidRPr="004619D6" w:rsidRDefault="004619D6" w:rsidP="004619D6">
      <w:pPr>
        <w:ind w:left="0" w:firstLine="0"/>
        <w:rPr>
          <w:b/>
          <w:bCs/>
        </w:rPr>
      </w:pPr>
      <w:r w:rsidRPr="004619D6">
        <w:rPr>
          <w:b/>
          <w:bCs/>
        </w:rPr>
        <w:t xml:space="preserve">1a.4.1 Briefly SYNTHESIZE the evidence that supports the measure. </w:t>
      </w:r>
      <w:r w:rsidRPr="004619D6">
        <w:t>A list of references without a summary is not acceptable.</w:t>
      </w:r>
    </w:p>
    <w:p w14:paraId="1C97F9A4" w14:textId="77777777" w:rsidR="004619D6" w:rsidRPr="004619D6" w:rsidRDefault="004619D6" w:rsidP="004619D6">
      <w:pPr>
        <w:ind w:left="0" w:firstLine="0"/>
        <w:rPr>
          <w:b/>
          <w:bCs/>
        </w:rPr>
      </w:pPr>
    </w:p>
    <w:p w14:paraId="41FFA664" w14:textId="77777777" w:rsidR="004619D6" w:rsidRPr="004619D6" w:rsidRDefault="004619D6" w:rsidP="004619D6">
      <w:pPr>
        <w:ind w:left="0" w:firstLine="0"/>
        <w:rPr>
          <w:b/>
          <w:bCs/>
        </w:rPr>
      </w:pPr>
      <w:r w:rsidRPr="004619D6">
        <w:rPr>
          <w:b/>
          <w:bCs/>
        </w:rPr>
        <w:t xml:space="preserve">1a.4.2 What process was used to identify the evidence? </w:t>
      </w:r>
    </w:p>
    <w:p w14:paraId="7D7DCB56" w14:textId="77777777" w:rsidR="004619D6" w:rsidRPr="004619D6" w:rsidRDefault="004619D6" w:rsidP="004619D6">
      <w:pPr>
        <w:ind w:left="0" w:firstLine="0"/>
        <w:rPr>
          <w:b/>
          <w:bCs/>
        </w:rPr>
      </w:pPr>
    </w:p>
    <w:p w14:paraId="1B2B7C47" w14:textId="050CCE04" w:rsidR="00655DC5" w:rsidRDefault="004619D6" w:rsidP="007147D3">
      <w:pPr>
        <w:ind w:left="0" w:firstLine="0"/>
      </w:pPr>
      <w:r w:rsidRPr="004619D6">
        <w:rPr>
          <w:b/>
          <w:bCs/>
        </w:rPr>
        <w:t>1a.4.3. Provide the citation(s) for the evidence.</w:t>
      </w:r>
      <w:r w:rsidR="007147D3" w:rsidRPr="001B772D">
        <w:t xml:space="preserve"> </w:t>
      </w:r>
    </w:p>
    <w:p w14:paraId="57481E22" w14:textId="77777777" w:rsidR="00655DC5" w:rsidRDefault="00655DC5">
      <w:r>
        <w:br w:type="page"/>
      </w:r>
    </w:p>
    <w:p w14:paraId="4276A8D7" w14:textId="77777777" w:rsidR="00655DC5" w:rsidRPr="001A6D05" w:rsidRDefault="00655DC5" w:rsidP="00655DC5">
      <w:pPr>
        <w:jc w:val="center"/>
        <w:rPr>
          <w:b/>
          <w:noProof/>
          <w:sz w:val="24"/>
          <w:szCs w:val="24"/>
        </w:rPr>
      </w:pPr>
      <w:r w:rsidRPr="00E316C7">
        <w:rPr>
          <w:rFonts w:eastAsiaTheme="minorEastAsia"/>
          <w:b/>
          <w:bCs/>
          <w:smallCaps/>
          <w:noProof/>
        </w:rPr>
        <w:lastRenderedPageBreak/>
        <w:t>National Quality Forum</w:t>
      </w:r>
      <w:r w:rsidRPr="00E316C7">
        <w:rPr>
          <w:rFonts w:eastAsiaTheme="minorEastAsia"/>
          <w:b/>
          <w:bCs/>
          <w:noProof/>
        </w:rPr>
        <w:t xml:space="preserve">—Evidence (subcriterion 1a) </w:t>
      </w:r>
    </w:p>
    <w:p w14:paraId="5D381DD7" w14:textId="77777777" w:rsidR="00655DC5" w:rsidRPr="00496AF8" w:rsidRDefault="00655DC5" w:rsidP="00655DC5">
      <w:pPr>
        <w:ind w:left="0" w:firstLine="0"/>
        <w:rPr>
          <w:noProof/>
        </w:rPr>
      </w:pPr>
    </w:p>
    <w:p w14:paraId="4CDDA3DC" w14:textId="77777777" w:rsidR="00655DC5" w:rsidRPr="003B1CC5" w:rsidRDefault="00655DC5" w:rsidP="00655DC5">
      <w:pPr>
        <w:ind w:left="0" w:firstLine="0"/>
        <w:rPr>
          <w:b/>
          <w:noProof/>
        </w:rPr>
      </w:pPr>
      <w:r w:rsidRPr="00E316C7">
        <w:rPr>
          <w:rFonts w:eastAsiaTheme="minorEastAsia"/>
          <w:b/>
          <w:bCs/>
          <w:noProof/>
        </w:rPr>
        <w:t xml:space="preserve">Measure Number </w:t>
      </w:r>
      <w:r w:rsidRPr="00E316C7">
        <w:rPr>
          <w:rFonts w:eastAsiaTheme="minorEastAsia"/>
          <w:noProof/>
        </w:rPr>
        <w:t>(</w:t>
      </w:r>
      <w:r w:rsidRPr="00E316C7">
        <w:rPr>
          <w:rFonts w:eastAsiaTheme="minorEastAsia"/>
          <w:i/>
          <w:iCs/>
          <w:noProof/>
        </w:rPr>
        <w:t>if previously endorsed</w:t>
      </w:r>
      <w:r w:rsidRPr="00E316C7">
        <w:rPr>
          <w:rFonts w:eastAsiaTheme="minorEastAsia"/>
          <w:noProof/>
        </w:rPr>
        <w:t>)</w:t>
      </w:r>
      <w:r w:rsidRPr="00E316C7">
        <w:rPr>
          <w:rFonts w:eastAsiaTheme="minorEastAsia"/>
          <w:b/>
          <w:bCs/>
          <w:noProof/>
        </w:rPr>
        <w:t xml:space="preserve">: </w:t>
      </w:r>
      <w:sdt>
        <w:sdtPr>
          <w:rPr>
            <w:rStyle w:val="Style1"/>
          </w:rPr>
          <w:id w:val="158434929"/>
          <w:placeholder>
            <w:docPart w:val="D6E3AD41DCB14038848D243B4D05DBC8"/>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6DE41832" w14:textId="77777777" w:rsidR="00655DC5" w:rsidRDefault="00655DC5" w:rsidP="00655DC5">
      <w:pPr>
        <w:ind w:left="0" w:firstLine="0"/>
      </w:pPr>
      <w:r w:rsidRPr="00E316C7">
        <w:rPr>
          <w:rFonts w:eastAsiaTheme="minorEastAsia"/>
          <w:b/>
          <w:bCs/>
          <w:noProof/>
        </w:rPr>
        <w:t>Measure Title</w:t>
      </w:r>
      <w:r w:rsidRPr="00E316C7">
        <w:rPr>
          <w:rFonts w:eastAsiaTheme="minorEastAsia"/>
          <w:noProof/>
        </w:rPr>
        <w:t xml:space="preserve">: </w:t>
      </w:r>
      <w:r w:rsidRPr="00E316C7">
        <w:rPr>
          <w:rFonts w:eastAsiaTheme="minorEastAsia"/>
        </w:rPr>
        <w:t>Completion of a Nutrition Assessment for Patients Identified as At-Risk for Malnutrition</w:t>
      </w:r>
    </w:p>
    <w:p w14:paraId="628117DE" w14:textId="77777777" w:rsidR="00655DC5" w:rsidRPr="003B1CC5" w:rsidRDefault="00655DC5" w:rsidP="00655DC5">
      <w:pPr>
        <w:ind w:left="0" w:firstLine="0"/>
        <w:rPr>
          <w:b/>
          <w:noProof/>
        </w:rPr>
      </w:pPr>
      <w:r w:rsidRPr="00E316C7">
        <w:rPr>
          <w:rFonts w:eastAsiaTheme="minorEastAsia"/>
          <w:i/>
          <w:iCs/>
          <w:noProof/>
        </w:rPr>
        <w:t xml:space="preserve"> </w:t>
      </w:r>
      <w:r w:rsidRPr="00E316C7">
        <w:rPr>
          <w:rFonts w:eastAsiaTheme="minorEastAsia"/>
          <w:b/>
          <w:bCs/>
          <w:noProof/>
        </w:rPr>
        <w:t>IF the measure is a component in a composite performance measure, provide the title of the Composite Measure here:</w:t>
      </w:r>
      <w:r w:rsidRPr="00E316C7">
        <w:rPr>
          <w:rFonts w:eastAsiaTheme="minorEastAsia"/>
          <w:noProof/>
        </w:rPr>
        <w:t xml:space="preserve"> </w:t>
      </w:r>
      <w:sdt>
        <w:sdtPr>
          <w:rPr>
            <w:rStyle w:val="Style1"/>
          </w:rPr>
          <w:id w:val="166447520"/>
          <w:placeholder>
            <w:docPart w:val="84F81CCE6AE5405ABDA2E3DDEB4119F0"/>
          </w:placeholder>
        </w:sdtPr>
        <w:sdtEndPr>
          <w:rPr>
            <w:rStyle w:val="DefaultParagraphFont"/>
            <w:noProof/>
            <w:color w:val="auto"/>
          </w:rPr>
        </w:sdtEndPr>
        <w:sdtContent>
          <w:sdt>
            <w:sdtPr>
              <w:rPr>
                <w:rStyle w:val="Style1"/>
              </w:rPr>
              <w:id w:val="582501036"/>
              <w:placeholder>
                <w:docPart w:val="3B8571C7466246A9BA2F40DE31A34BEE"/>
              </w:placeholder>
            </w:sdtPr>
            <w:sdtEndPr>
              <w:rPr>
                <w:rStyle w:val="DefaultParagraphFont"/>
                <w:noProof/>
                <w:color w:val="auto"/>
              </w:rPr>
            </w:sdtEndPr>
            <w:sdtContent>
              <w:r>
                <w:rPr>
                  <w:rStyle w:val="Style1"/>
                </w:rPr>
                <w:t>Global Malnutrition Composite Measure</w:t>
              </w:r>
            </w:sdtContent>
          </w:sdt>
        </w:sdtContent>
      </w:sdt>
    </w:p>
    <w:p w14:paraId="0D7D9A76" w14:textId="77777777" w:rsidR="00655DC5" w:rsidRPr="003B1CC5" w:rsidRDefault="00655DC5" w:rsidP="00655DC5">
      <w:pPr>
        <w:ind w:left="0" w:firstLine="0"/>
        <w:rPr>
          <w:b/>
          <w:noProof/>
        </w:rPr>
      </w:pPr>
    </w:p>
    <w:p w14:paraId="269B492E" w14:textId="77777777" w:rsidR="00655DC5" w:rsidRPr="003B1CC5" w:rsidRDefault="00655DC5" w:rsidP="00655DC5">
      <w:pPr>
        <w:ind w:left="0" w:firstLine="0"/>
        <w:rPr>
          <w:rStyle w:val="Style2"/>
        </w:rPr>
      </w:pPr>
      <w:r w:rsidRPr="00E316C7">
        <w:rPr>
          <w:rFonts w:eastAsiaTheme="minorEastAsia"/>
          <w:b/>
          <w:bCs/>
          <w:noProof/>
        </w:rPr>
        <w:t>Date of Submission</w:t>
      </w:r>
      <w:r w:rsidRPr="00E316C7">
        <w:rPr>
          <w:rFonts w:eastAsiaTheme="minorEastAsia"/>
          <w:noProof/>
        </w:rPr>
        <w:t xml:space="preserve">:  </w:t>
      </w:r>
      <w:r>
        <w:rPr>
          <w:rFonts w:eastAsiaTheme="minorEastAsia"/>
          <w:color w:val="4F81BD" w:themeColor="accent1"/>
        </w:rPr>
        <w:t>N/A</w:t>
      </w:r>
    </w:p>
    <w:p w14:paraId="2E5338E9" w14:textId="77777777" w:rsidR="00655DC5" w:rsidRPr="003B1CC5" w:rsidRDefault="00655DC5" w:rsidP="00655DC5">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655DC5" w:rsidRPr="003B1CC5" w14:paraId="3D0C06E8" w14:textId="77777777" w:rsidTr="00340780">
        <w:trPr>
          <w:jc w:val="center"/>
        </w:trPr>
        <w:tc>
          <w:tcPr>
            <w:tcW w:w="9576" w:type="dxa"/>
          </w:tcPr>
          <w:p w14:paraId="49BB1C42" w14:textId="77777777" w:rsidR="00655DC5" w:rsidRPr="003B1CC5" w:rsidRDefault="00655DC5" w:rsidP="00340780">
            <w:pPr>
              <w:pStyle w:val="CommentText"/>
              <w:ind w:left="0" w:firstLine="0"/>
              <w:rPr>
                <w:b/>
                <w:i/>
                <w:sz w:val="22"/>
                <w:szCs w:val="22"/>
              </w:rPr>
            </w:pPr>
            <w:r w:rsidRPr="003B1CC5">
              <w:rPr>
                <w:rFonts w:cstheme="minorHAnsi"/>
                <w:b/>
                <w:noProof/>
                <w:sz w:val="22"/>
                <w:szCs w:val="22"/>
              </w:rPr>
              <w:t>Instructions</w:t>
            </w:r>
          </w:p>
          <w:p w14:paraId="2A37F31C" w14:textId="77777777" w:rsidR="00655DC5" w:rsidRPr="003B1CC5" w:rsidRDefault="00655DC5" w:rsidP="00340780">
            <w:pPr>
              <w:pStyle w:val="CommentText"/>
              <w:numPr>
                <w:ilvl w:val="0"/>
                <w:numId w:val="8"/>
              </w:numPr>
              <w:rPr>
                <w:i/>
                <w:iCs/>
                <w:sz w:val="22"/>
                <w:szCs w:val="22"/>
              </w:rPr>
            </w:pPr>
            <w:r w:rsidRPr="00E316C7">
              <w:rPr>
                <w:rFonts w:eastAsiaTheme="minorEastAsia"/>
                <w:i/>
                <w:iCs/>
                <w:sz w:val="22"/>
                <w:szCs w:val="22"/>
              </w:rPr>
              <w:t xml:space="preserve">For composite performance measures:  </w:t>
            </w:r>
          </w:p>
          <w:p w14:paraId="3F763890" w14:textId="77777777" w:rsidR="00655DC5" w:rsidRPr="003B1CC5" w:rsidRDefault="00655DC5" w:rsidP="00340780">
            <w:pPr>
              <w:pStyle w:val="CommentText"/>
              <w:numPr>
                <w:ilvl w:val="1"/>
                <w:numId w:val="8"/>
              </w:numPr>
              <w:ind w:left="792"/>
              <w:rPr>
                <w:i/>
                <w:iCs/>
                <w:sz w:val="22"/>
                <w:szCs w:val="22"/>
              </w:rPr>
            </w:pPr>
            <w:r w:rsidRPr="00E316C7">
              <w:rPr>
                <w:rFonts w:eastAsiaTheme="minorEastAsia"/>
                <w:i/>
                <w:iCs/>
                <w:sz w:val="22"/>
                <w:szCs w:val="22"/>
              </w:rPr>
              <w:t xml:space="preserve"> A separate evidence form is required for each component measure unless several components were studied together.</w:t>
            </w:r>
          </w:p>
          <w:p w14:paraId="3564B96A" w14:textId="77777777" w:rsidR="00655DC5" w:rsidRPr="003B1CC5" w:rsidRDefault="00655DC5" w:rsidP="00340780">
            <w:pPr>
              <w:pStyle w:val="CommentText"/>
              <w:numPr>
                <w:ilvl w:val="1"/>
                <w:numId w:val="8"/>
              </w:numPr>
              <w:ind w:left="792"/>
              <w:rPr>
                <w:i/>
                <w:iCs/>
                <w:sz w:val="22"/>
                <w:szCs w:val="22"/>
              </w:rPr>
            </w:pPr>
            <w:r w:rsidRPr="00E316C7">
              <w:rPr>
                <w:rFonts w:eastAsiaTheme="minorEastAsia"/>
                <w:i/>
                <w:iCs/>
                <w:sz w:val="22"/>
                <w:szCs w:val="22"/>
              </w:rPr>
              <w:t xml:space="preserve"> If a component measure is submitted as an individual performance measure, attach the evidence form to the individual measure submission.</w:t>
            </w:r>
          </w:p>
          <w:p w14:paraId="7429EDD3" w14:textId="77777777" w:rsidR="00655DC5" w:rsidRPr="003B1CC5" w:rsidRDefault="00655DC5" w:rsidP="00340780">
            <w:pPr>
              <w:pStyle w:val="ListParagraph"/>
              <w:numPr>
                <w:ilvl w:val="0"/>
                <w:numId w:val="8"/>
              </w:numPr>
              <w:spacing w:after="0" w:line="240" w:lineRule="auto"/>
            </w:pPr>
            <w:r w:rsidRPr="233E403E">
              <w:t xml:space="preserve">Respond to </w:t>
            </w:r>
            <w:r w:rsidRPr="233E403E">
              <w:rPr>
                <w:u w:val="single"/>
              </w:rPr>
              <w:t>all</w:t>
            </w:r>
            <w:r w:rsidRPr="233E403E">
              <w:t xml:space="preserve"> questions as instructed with answers immediately following the question. All information needed to demonstrate meeting the evidence </w:t>
            </w:r>
            <w:proofErr w:type="spellStart"/>
            <w:r w:rsidRPr="233E403E">
              <w:t>subcriterion</w:t>
            </w:r>
            <w:proofErr w:type="spellEnd"/>
            <w:r w:rsidRPr="233E403E">
              <w:t xml:space="preserve"> (1a) must be in this form.  An appendix of </w:t>
            </w:r>
            <w:r w:rsidRPr="233E403E">
              <w:rPr>
                <w:i/>
                <w:iCs/>
              </w:rPr>
              <w:t>supplemental</w:t>
            </w:r>
            <w:r w:rsidRPr="233E403E">
              <w:t xml:space="preserve"> materials may be submitted, but there is no guarantee it will be reviewed.</w:t>
            </w:r>
          </w:p>
          <w:p w14:paraId="07959B16" w14:textId="77777777" w:rsidR="00655DC5" w:rsidRPr="003B1CC5" w:rsidRDefault="00655DC5" w:rsidP="00340780">
            <w:pPr>
              <w:pStyle w:val="ListParagraph"/>
              <w:numPr>
                <w:ilvl w:val="0"/>
                <w:numId w:val="8"/>
              </w:numPr>
              <w:spacing w:after="0" w:line="240" w:lineRule="auto"/>
            </w:pPr>
            <w:r w:rsidRPr="233E403E">
              <w:t>If you are unable to check a box, please highlight or shade the box for your response.</w:t>
            </w:r>
          </w:p>
          <w:p w14:paraId="116B4FF8" w14:textId="77777777" w:rsidR="00655DC5" w:rsidRPr="003B1CC5" w:rsidRDefault="00655DC5" w:rsidP="00340780">
            <w:pPr>
              <w:pStyle w:val="ListParagraph"/>
              <w:numPr>
                <w:ilvl w:val="0"/>
                <w:numId w:val="8"/>
              </w:numPr>
              <w:spacing w:after="0" w:line="240" w:lineRule="auto"/>
            </w:pPr>
            <w:r w:rsidRPr="233E403E">
              <w:t>Maximum of 10 pages (</w:t>
            </w:r>
            <w:r w:rsidRPr="233E403E">
              <w:rPr>
                <w:i/>
                <w:iCs/>
              </w:rPr>
              <w:t>incudes questions/instructions</w:t>
            </w:r>
            <w:r w:rsidRPr="233E403E">
              <w:t xml:space="preserve">; minimum font size 11 </w:t>
            </w:r>
            <w:proofErr w:type="spellStart"/>
            <w:r w:rsidRPr="233E403E">
              <w:t>pt</w:t>
            </w:r>
            <w:proofErr w:type="spellEnd"/>
            <w:r w:rsidRPr="233E403E">
              <w:t xml:space="preserve">; do not change margins). </w:t>
            </w:r>
            <w:r w:rsidRPr="233E403E">
              <w:rPr>
                <w:b/>
                <w:bCs/>
                <w:i/>
                <w:iCs/>
              </w:rPr>
              <w:t>Contact NQF staff if more pages are needed.</w:t>
            </w:r>
          </w:p>
          <w:p w14:paraId="5CE7A0AD" w14:textId="77777777" w:rsidR="00655DC5" w:rsidRPr="003B1CC5" w:rsidRDefault="00655DC5" w:rsidP="00340780">
            <w:pPr>
              <w:pStyle w:val="ListParagraph"/>
              <w:numPr>
                <w:ilvl w:val="0"/>
                <w:numId w:val="8"/>
              </w:numPr>
              <w:spacing w:after="0" w:line="240" w:lineRule="auto"/>
              <w:rPr>
                <w:u w:val="single"/>
              </w:rPr>
            </w:pPr>
            <w:r w:rsidRPr="233E403E">
              <w:t xml:space="preserve">Contact NQF staff regarding questions. Check for resources at </w:t>
            </w:r>
            <w:hyperlink r:id="rId19">
              <w:r w:rsidRPr="233E403E">
                <w:rPr>
                  <w:rStyle w:val="Hyperlink"/>
                </w:rPr>
                <w:t>Submitting Standards webpage</w:t>
              </w:r>
            </w:hyperlink>
            <w:r w:rsidRPr="233E403E">
              <w:t>.</w:t>
            </w:r>
          </w:p>
        </w:tc>
      </w:tr>
    </w:tbl>
    <w:p w14:paraId="1171C801" w14:textId="77777777" w:rsidR="00655DC5" w:rsidRPr="003B1CC5" w:rsidRDefault="00655DC5" w:rsidP="00655DC5">
      <w:pPr>
        <w:ind w:left="0" w:firstLine="0"/>
      </w:pPr>
    </w:p>
    <w:tbl>
      <w:tblPr>
        <w:tblStyle w:val="TableGrid"/>
        <w:tblW w:w="5500" w:type="pct"/>
        <w:jc w:val="center"/>
        <w:tblLook w:val="04A0" w:firstRow="1" w:lastRow="0" w:firstColumn="1" w:lastColumn="0" w:noHBand="0" w:noVBand="1"/>
      </w:tblPr>
      <w:tblGrid>
        <w:gridCol w:w="10285"/>
      </w:tblGrid>
      <w:tr w:rsidR="00655DC5" w:rsidRPr="003B1CC5" w14:paraId="7E934A04" w14:textId="77777777" w:rsidTr="00340780">
        <w:trPr>
          <w:jc w:val="center"/>
        </w:trPr>
        <w:tc>
          <w:tcPr>
            <w:tcW w:w="9576" w:type="dxa"/>
          </w:tcPr>
          <w:p w14:paraId="55127A0C" w14:textId="77777777" w:rsidR="00655DC5" w:rsidRPr="003B1CC5" w:rsidRDefault="00655DC5" w:rsidP="00340780">
            <w:pPr>
              <w:ind w:left="0" w:firstLine="0"/>
              <w:rPr>
                <w:sz w:val="20"/>
                <w:szCs w:val="20"/>
              </w:rPr>
            </w:pPr>
            <w:r w:rsidRPr="00E316C7">
              <w:rPr>
                <w:rFonts w:eastAsiaTheme="minorEastAsia"/>
                <w:b/>
                <w:bCs/>
                <w:u w:val="single"/>
              </w:rPr>
              <w:t>Note</w:t>
            </w:r>
            <w:r w:rsidRPr="00E316C7">
              <w:rPr>
                <w:rFonts w:eastAsiaTheme="minorEastAsia"/>
                <w:b/>
                <w:bCs/>
              </w:rPr>
              <w:t>: The information provided in this form is intended to aid the Steering Committee and other stakeholders in understanding to what degree the evidence for this measure meets NQF’s evaluation criteria.</w:t>
            </w:r>
          </w:p>
          <w:p w14:paraId="40E0F43A" w14:textId="77777777" w:rsidR="00655DC5" w:rsidRPr="003B1CC5" w:rsidRDefault="00655DC5" w:rsidP="00340780">
            <w:pPr>
              <w:ind w:left="90" w:hanging="90"/>
              <w:rPr>
                <w:sz w:val="20"/>
                <w:szCs w:val="20"/>
              </w:rPr>
            </w:pPr>
          </w:p>
          <w:p w14:paraId="1106350F" w14:textId="77777777" w:rsidR="00655DC5" w:rsidRDefault="00655DC5" w:rsidP="00340780">
            <w:pPr>
              <w:spacing w:line="243" w:lineRule="exact"/>
              <w:ind w:left="224"/>
              <w:rPr>
                <w:b/>
                <w:sz w:val="20"/>
              </w:rPr>
            </w:pPr>
            <w:r>
              <w:rPr>
                <w:b/>
                <w:sz w:val="20"/>
              </w:rPr>
              <w:t>1a. Evidence to Support the Measure Focus</w:t>
            </w:r>
          </w:p>
          <w:p w14:paraId="362E27B6" w14:textId="77777777" w:rsidR="00655DC5" w:rsidRDefault="00655DC5" w:rsidP="00340780">
            <w:pPr>
              <w:pStyle w:val="BodyText"/>
              <w:spacing w:line="243" w:lineRule="exact"/>
              <w:ind w:left="224"/>
            </w:pPr>
            <w:r>
              <w:t>The measure focus is evidence-based, demonstrated as follows:</w:t>
            </w:r>
          </w:p>
          <w:p w14:paraId="23B651DA" w14:textId="77777777" w:rsidR="00655DC5" w:rsidRDefault="00655DC5" w:rsidP="00340780">
            <w:pPr>
              <w:pStyle w:val="ListParagraph"/>
              <w:widowControl w:val="0"/>
              <w:numPr>
                <w:ilvl w:val="0"/>
                <w:numId w:val="19"/>
              </w:numPr>
              <w:tabs>
                <w:tab w:val="left" w:pos="441"/>
              </w:tabs>
              <w:autoSpaceDE w:val="0"/>
              <w:autoSpaceDN w:val="0"/>
              <w:spacing w:after="0" w:line="240" w:lineRule="auto"/>
              <w:ind w:right="400" w:hanging="216"/>
              <w:contextualSpacing w:val="0"/>
              <w:rPr>
                <w:sz w:val="20"/>
              </w:rPr>
            </w:pPr>
            <w:r>
              <w:rPr>
                <w:noProof/>
              </w:rPr>
              <mc:AlternateContent>
                <mc:Choice Requires="wps">
                  <w:drawing>
                    <wp:anchor distT="0" distB="0" distL="114300" distR="114300" simplePos="0" relativeHeight="251666432" behindDoc="1" locked="0" layoutInCell="1" allowOverlap="1" wp14:anchorId="3E7C45A7" wp14:editId="4088DA94">
                      <wp:simplePos x="0" y="0"/>
                      <wp:positionH relativeFrom="page">
                        <wp:posOffset>1367155</wp:posOffset>
                      </wp:positionH>
                      <wp:positionV relativeFrom="paragraph">
                        <wp:posOffset>92710</wp:posOffset>
                      </wp:positionV>
                      <wp:extent cx="41275" cy="6350"/>
                      <wp:effectExtent l="0" t="0" r="127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783F5" id="Rectangle 2" o:spid="_x0000_s1026" style="position:absolute;margin-left:107.65pt;margin-top:7.3pt;width:3.25pt;height:.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" fillcolor="blue" stroked="f">
                      <w10:wrap anchorx="page"/>
                    </v:rect>
                  </w:pict>
                </mc:Fallback>
              </mc:AlternateContent>
            </w:r>
            <w:r>
              <w:rPr>
                <w:sz w:val="20"/>
                <w:u w:val="single"/>
              </w:rPr>
              <w:t>Outcome</w:t>
            </w:r>
            <w:r>
              <w:rPr>
                <w:color w:val="0000FF"/>
                <w:sz w:val="20"/>
              </w:rPr>
              <w:t xml:space="preserve">: </w:t>
            </w:r>
            <w:hyperlink w:anchor="_bookmark0" w:history="1">
              <w:r>
                <w:rPr>
                  <w:b/>
                  <w:color w:val="0000FF"/>
                  <w:sz w:val="20"/>
                  <w:vertAlign w:val="superscript"/>
                </w:rPr>
                <w:t>3</w:t>
              </w:r>
              <w:r>
                <w:rPr>
                  <w:b/>
                  <w:color w:val="0000FF"/>
                  <w:sz w:val="20"/>
                </w:rPr>
                <w:t xml:space="preserve"> </w:t>
              </w:r>
            </w:hyperlink>
            <w:r>
              <w:rPr>
                <w:sz w:val="20"/>
              </w:rPr>
              <w:t>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w:t>
            </w:r>
            <w:r>
              <w:rPr>
                <w:spacing w:val="-13"/>
                <w:sz w:val="20"/>
              </w:rPr>
              <w:t xml:space="preserve"> </w:t>
            </w:r>
            <w:r>
              <w:rPr>
                <w:sz w:val="20"/>
              </w:rPr>
              <w:t>bias.</w:t>
            </w:r>
          </w:p>
          <w:p w14:paraId="246EDEC8" w14:textId="77777777" w:rsidR="00655DC5" w:rsidRDefault="00655DC5" w:rsidP="00340780">
            <w:pPr>
              <w:pStyle w:val="ListParagraph"/>
              <w:widowControl w:val="0"/>
              <w:numPr>
                <w:ilvl w:val="0"/>
                <w:numId w:val="19"/>
              </w:numPr>
              <w:tabs>
                <w:tab w:val="left" w:pos="441"/>
              </w:tabs>
              <w:autoSpaceDE w:val="0"/>
              <w:autoSpaceDN w:val="0"/>
              <w:spacing w:before="1" w:after="0" w:line="240" w:lineRule="auto"/>
              <w:ind w:right="267" w:hanging="216"/>
              <w:contextualSpacing w:val="0"/>
              <w:rPr>
                <w:sz w:val="20"/>
              </w:rPr>
            </w:pPr>
            <w:r>
              <w:rPr>
                <w:noProof/>
              </w:rPr>
              <mc:AlternateContent>
                <mc:Choice Requires="wps">
                  <w:drawing>
                    <wp:anchor distT="0" distB="0" distL="114300" distR="114300" simplePos="0" relativeHeight="251667456" behindDoc="1" locked="0" layoutInCell="1" allowOverlap="1" wp14:anchorId="5D364178" wp14:editId="057A9368">
                      <wp:simplePos x="0" y="0"/>
                      <wp:positionH relativeFrom="page">
                        <wp:posOffset>1450975</wp:posOffset>
                      </wp:positionH>
                      <wp:positionV relativeFrom="paragraph">
                        <wp:posOffset>248920</wp:posOffset>
                      </wp:positionV>
                      <wp:extent cx="42545" cy="6350"/>
                      <wp:effectExtent l="3175" t="0" r="1905" b="38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786B9" id="Rectangle 3" o:spid="_x0000_s1026" style="position:absolute;margin-left:114.25pt;margin-top:19.6pt;width:3.35pt;height:.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" fillcolor="blue" stroked="f">
                      <w10:wrap anchorx="page"/>
                    </v:rect>
                  </w:pict>
                </mc:Fallback>
              </mc:AlternateContent>
            </w:r>
            <w:r>
              <w:rPr>
                <w:sz w:val="20"/>
                <w:u w:val="single"/>
              </w:rPr>
              <w:t>Intermediate clinical outcome</w:t>
            </w:r>
            <w:r>
              <w:rPr>
                <w:sz w:val="20"/>
              </w:rPr>
              <w:t xml:space="preserve">: 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intermediate clinical outcome leads to a desired health</w:t>
            </w:r>
            <w:r>
              <w:rPr>
                <w:spacing w:val="-28"/>
                <w:sz w:val="20"/>
              </w:rPr>
              <w:t xml:space="preserve"> </w:t>
            </w:r>
            <w:r>
              <w:rPr>
                <w:sz w:val="20"/>
              </w:rPr>
              <w:t>outcome.</w:t>
            </w:r>
          </w:p>
          <w:p w14:paraId="4C65562D" w14:textId="77777777" w:rsidR="00655DC5" w:rsidRDefault="00655DC5" w:rsidP="00340780">
            <w:pPr>
              <w:pStyle w:val="ListParagraph"/>
              <w:widowControl w:val="0"/>
              <w:numPr>
                <w:ilvl w:val="0"/>
                <w:numId w:val="19"/>
              </w:numPr>
              <w:tabs>
                <w:tab w:val="left" w:pos="441"/>
              </w:tabs>
              <w:autoSpaceDE w:val="0"/>
              <w:autoSpaceDN w:val="0"/>
              <w:spacing w:after="0" w:line="240" w:lineRule="auto"/>
              <w:ind w:right="496" w:hanging="216"/>
              <w:contextualSpacing w:val="0"/>
              <w:rPr>
                <w:sz w:val="20"/>
              </w:rPr>
            </w:pPr>
            <w:r>
              <w:rPr>
                <w:noProof/>
              </w:rPr>
              <mc:AlternateContent>
                <mc:Choice Requires="wps">
                  <w:drawing>
                    <wp:anchor distT="0" distB="0" distL="114300" distR="114300" simplePos="0" relativeHeight="251668480" behindDoc="1" locked="0" layoutInCell="1" allowOverlap="1" wp14:anchorId="4A75A518" wp14:editId="1E4B58EC">
                      <wp:simplePos x="0" y="0"/>
                      <wp:positionH relativeFrom="page">
                        <wp:posOffset>1281430</wp:posOffset>
                      </wp:positionH>
                      <wp:positionV relativeFrom="paragraph">
                        <wp:posOffset>92710</wp:posOffset>
                      </wp:positionV>
                      <wp:extent cx="41275" cy="6350"/>
                      <wp:effectExtent l="0" t="0" r="1270" b="444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8A6BB" id="Rectangle 4" o:spid="_x0000_s1026" style="position:absolute;margin-left:100.9pt;margin-top:7.3pt;width:3.25pt;height:.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" fillcolor="blue" stroked="f">
                      <w10:wrap anchorx="page"/>
                    </v:rect>
                  </w:pict>
                </mc:Fallback>
              </mc:AlternateContent>
            </w:r>
            <w:r>
              <w:rPr>
                <w:noProof/>
              </w:rPr>
              <mc:AlternateContent>
                <mc:Choice Requires="wps">
                  <w:drawing>
                    <wp:anchor distT="0" distB="0" distL="114300" distR="114300" simplePos="0" relativeHeight="251669504" behindDoc="1" locked="0" layoutInCell="1" allowOverlap="1" wp14:anchorId="4B9F08FC" wp14:editId="2F288EAE">
                      <wp:simplePos x="0" y="0"/>
                      <wp:positionH relativeFrom="page">
                        <wp:posOffset>6626225</wp:posOffset>
                      </wp:positionH>
                      <wp:positionV relativeFrom="paragraph">
                        <wp:posOffset>92710</wp:posOffset>
                      </wp:positionV>
                      <wp:extent cx="41275" cy="6350"/>
                      <wp:effectExtent l="0" t="0" r="0" b="444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74E2B" id="Rectangle 5" o:spid="_x0000_s1026" style="position:absolute;margin-left:521.75pt;margin-top:7.3pt;width:3.25pt;height:.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" fillcolor="blue" stroked="f">
                      <w10:wrap anchorx="page"/>
                    </v:rect>
                  </w:pict>
                </mc:Fallback>
              </mc:AlternateContent>
            </w:r>
            <w:r>
              <w:rPr>
                <w:sz w:val="20"/>
                <w:u w:val="single"/>
              </w:rPr>
              <w:t>Process</w:t>
            </w:r>
            <w:r>
              <w:rPr>
                <w:sz w:val="20"/>
              </w:rPr>
              <w:t xml:space="preserve">: </w:t>
            </w:r>
            <w:hyperlink w:anchor="_bookmark2" w:history="1">
              <w:r>
                <w:rPr>
                  <w:b/>
                  <w:color w:val="0000FF"/>
                  <w:sz w:val="20"/>
                  <w:vertAlign w:val="superscript"/>
                </w:rPr>
                <w:t>5</w:t>
              </w:r>
              <w:r>
                <w:rPr>
                  <w:b/>
                  <w:color w:val="0000FF"/>
                  <w:sz w:val="20"/>
                </w:rPr>
                <w:t xml:space="preserve"> </w:t>
              </w:r>
            </w:hyperlink>
            <w:r>
              <w:rPr>
                <w:sz w:val="20"/>
              </w:rPr>
              <w:t xml:space="preserve">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process leads to a desired health</w:t>
            </w:r>
            <w:r>
              <w:rPr>
                <w:spacing w:val="-2"/>
                <w:sz w:val="20"/>
              </w:rPr>
              <w:t xml:space="preserve"> </w:t>
            </w:r>
            <w:r>
              <w:rPr>
                <w:sz w:val="20"/>
              </w:rPr>
              <w:t>outcome.</w:t>
            </w:r>
          </w:p>
          <w:p w14:paraId="66A7ED0A" w14:textId="77777777" w:rsidR="00655DC5" w:rsidRDefault="00655DC5" w:rsidP="00340780">
            <w:pPr>
              <w:pStyle w:val="ListParagraph"/>
              <w:widowControl w:val="0"/>
              <w:numPr>
                <w:ilvl w:val="0"/>
                <w:numId w:val="19"/>
              </w:numPr>
              <w:tabs>
                <w:tab w:val="left" w:pos="441"/>
              </w:tabs>
              <w:autoSpaceDE w:val="0"/>
              <w:autoSpaceDN w:val="0"/>
              <w:spacing w:after="0" w:line="240" w:lineRule="auto"/>
              <w:ind w:right="439" w:hanging="216"/>
              <w:contextualSpacing w:val="0"/>
              <w:rPr>
                <w:sz w:val="20"/>
              </w:rPr>
            </w:pPr>
            <w:r>
              <w:rPr>
                <w:noProof/>
              </w:rPr>
              <mc:AlternateContent>
                <mc:Choice Requires="wps">
                  <w:drawing>
                    <wp:anchor distT="0" distB="0" distL="114300" distR="114300" simplePos="0" relativeHeight="251670528" behindDoc="1" locked="0" layoutInCell="1" allowOverlap="1" wp14:anchorId="41F6689A" wp14:editId="2517A90C">
                      <wp:simplePos x="0" y="0"/>
                      <wp:positionH relativeFrom="page">
                        <wp:posOffset>6644640</wp:posOffset>
                      </wp:positionH>
                      <wp:positionV relativeFrom="paragraph">
                        <wp:posOffset>92710</wp:posOffset>
                      </wp:positionV>
                      <wp:extent cx="41275" cy="6350"/>
                      <wp:effectExtent l="0" t="635" r="635" b="254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49485" id="Rectangle 6" o:spid="_x0000_s1026" style="position:absolute;margin-left:523.2pt;margin-top:7.3pt;width:3.25pt;height:.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" fillcolor="blue" stroked="f">
                      <w10:wrap anchorx="page"/>
                    </v:rect>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sz w:val="20"/>
                  <w:vertAlign w:val="superscript"/>
                </w:rPr>
                <w:t>4</w:t>
              </w:r>
            </w:hyperlink>
            <w:r>
              <w:rPr>
                <w:b/>
                <w:color w:val="0000FF"/>
                <w:sz w:val="20"/>
              </w:rPr>
              <w:t xml:space="preserve"> </w:t>
            </w:r>
            <w:r>
              <w:rPr>
                <w:sz w:val="20"/>
              </w:rPr>
              <w:t>that the measured structure leads to a desired health</w:t>
            </w:r>
            <w:r>
              <w:rPr>
                <w:spacing w:val="-2"/>
                <w:sz w:val="20"/>
              </w:rPr>
              <w:t xml:space="preserve"> </w:t>
            </w:r>
            <w:r>
              <w:rPr>
                <w:sz w:val="20"/>
              </w:rPr>
              <w:t>outcome.</w:t>
            </w:r>
          </w:p>
          <w:p w14:paraId="533D79AA" w14:textId="77777777" w:rsidR="00655DC5" w:rsidRDefault="00655DC5" w:rsidP="00340780">
            <w:pPr>
              <w:pStyle w:val="ListParagraph"/>
              <w:widowControl w:val="0"/>
              <w:numPr>
                <w:ilvl w:val="0"/>
                <w:numId w:val="19"/>
              </w:numPr>
              <w:tabs>
                <w:tab w:val="left" w:pos="441"/>
              </w:tabs>
              <w:autoSpaceDE w:val="0"/>
              <w:autoSpaceDN w:val="0"/>
              <w:spacing w:after="0" w:line="255" w:lineRule="exact"/>
              <w:ind w:left="441"/>
              <w:contextualSpacing w:val="0"/>
              <w:rPr>
                <w:sz w:val="20"/>
              </w:rPr>
            </w:pPr>
            <w:r>
              <w:rPr>
                <w:noProof/>
              </w:rPr>
              <mc:AlternateContent>
                <mc:Choice Requires="wps">
                  <w:drawing>
                    <wp:anchor distT="0" distB="0" distL="114300" distR="114300" simplePos="0" relativeHeight="251671552" behindDoc="1" locked="0" layoutInCell="1" allowOverlap="1" wp14:anchorId="17BD07AE" wp14:editId="49DC5B47">
                      <wp:simplePos x="0" y="0"/>
                      <wp:positionH relativeFrom="page">
                        <wp:posOffset>1380490</wp:posOffset>
                      </wp:positionH>
                      <wp:positionV relativeFrom="paragraph">
                        <wp:posOffset>92710</wp:posOffset>
                      </wp:positionV>
                      <wp:extent cx="41275" cy="6350"/>
                      <wp:effectExtent l="0" t="3175"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067A8" id="Rectangle 7" o:spid="_x0000_s1026" style="position:absolute;margin-left:108.7pt;margin-top:7.3pt;width:3.25pt;height:.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" fillcolor="blue" stroked="f">
                      <w10:wrap anchorx="page"/>
                    </v:rect>
                  </w:pict>
                </mc:Fallback>
              </mc:AlternateContent>
            </w:r>
            <w:r>
              <w:rPr>
                <w:sz w:val="20"/>
                <w:u w:val="single"/>
              </w:rPr>
              <w:t>Efficiency</w:t>
            </w:r>
            <w:r>
              <w:rPr>
                <w:sz w:val="20"/>
              </w:rPr>
              <w:t xml:space="preserve">: </w:t>
            </w:r>
            <w:hyperlink w:anchor="_bookmark3" w:history="1">
              <w:r>
                <w:rPr>
                  <w:b/>
                  <w:color w:val="0000FF"/>
                  <w:sz w:val="20"/>
                  <w:vertAlign w:val="superscript"/>
                </w:rPr>
                <w:t>6</w:t>
              </w:r>
              <w:r>
                <w:rPr>
                  <w:b/>
                  <w:color w:val="0000FF"/>
                  <w:sz w:val="20"/>
                </w:rPr>
                <w:t xml:space="preserve"> </w:t>
              </w:r>
            </w:hyperlink>
            <w:r>
              <w:rPr>
                <w:sz w:val="20"/>
              </w:rPr>
              <w:t>evidence not required for the resource use</w:t>
            </w:r>
            <w:r>
              <w:rPr>
                <w:spacing w:val="-8"/>
                <w:sz w:val="20"/>
              </w:rPr>
              <w:t xml:space="preserve"> </w:t>
            </w:r>
            <w:r>
              <w:rPr>
                <w:sz w:val="20"/>
              </w:rPr>
              <w:t>component.</w:t>
            </w:r>
          </w:p>
          <w:p w14:paraId="78715136" w14:textId="77777777" w:rsidR="00655DC5" w:rsidRDefault="00655DC5" w:rsidP="00340780">
            <w:pPr>
              <w:pStyle w:val="ListParagraph"/>
              <w:widowControl w:val="0"/>
              <w:numPr>
                <w:ilvl w:val="0"/>
                <w:numId w:val="19"/>
              </w:numPr>
              <w:tabs>
                <w:tab w:val="left" w:pos="441"/>
              </w:tabs>
              <w:autoSpaceDE w:val="0"/>
              <w:autoSpaceDN w:val="0"/>
              <w:spacing w:after="0" w:line="240" w:lineRule="auto"/>
              <w:ind w:right="1052" w:hanging="216"/>
              <w:contextualSpacing w:val="0"/>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 it</w:t>
            </w:r>
            <w:r>
              <w:rPr>
                <w:spacing w:val="-2"/>
                <w:sz w:val="20"/>
              </w:rPr>
              <w:t xml:space="preserve"> </w:t>
            </w:r>
            <w:r>
              <w:rPr>
                <w:sz w:val="20"/>
              </w:rPr>
              <w:t>meaningful.</w:t>
            </w:r>
          </w:p>
          <w:p w14:paraId="2E457862" w14:textId="77777777" w:rsidR="00655DC5" w:rsidRDefault="00655DC5" w:rsidP="00340780">
            <w:pPr>
              <w:pStyle w:val="ListParagraph"/>
              <w:widowControl w:val="0"/>
              <w:numPr>
                <w:ilvl w:val="0"/>
                <w:numId w:val="19"/>
              </w:numPr>
              <w:tabs>
                <w:tab w:val="left" w:pos="441"/>
              </w:tabs>
              <w:autoSpaceDE w:val="0"/>
              <w:autoSpaceDN w:val="0"/>
              <w:spacing w:before="1" w:after="0" w:line="240" w:lineRule="auto"/>
              <w:ind w:right="634" w:hanging="216"/>
              <w:contextualSpacing w:val="0"/>
              <w:rPr>
                <w:sz w:val="20"/>
              </w:rPr>
            </w:pPr>
            <w:r>
              <w:rPr>
                <w:sz w:val="20"/>
                <w:u w:val="single"/>
              </w:rPr>
              <w:t>Process measures incorporating Appropriate Use Criteria:</w:t>
            </w:r>
            <w:r>
              <w:rPr>
                <w:sz w:val="20"/>
              </w:rPr>
              <w:t xml:space="preserve"> See NQF’s guidance for evidence for measures, in general; guidance for measures specifically based on clinical practice guidelines apply as</w:t>
            </w:r>
            <w:r>
              <w:rPr>
                <w:spacing w:val="-7"/>
                <w:sz w:val="20"/>
              </w:rPr>
              <w:t xml:space="preserve"> </w:t>
            </w:r>
            <w:r>
              <w:rPr>
                <w:sz w:val="20"/>
              </w:rPr>
              <w:t>well.</w:t>
            </w:r>
          </w:p>
          <w:p w14:paraId="3A281381" w14:textId="77777777" w:rsidR="00655DC5" w:rsidRDefault="00655DC5" w:rsidP="00340780">
            <w:pPr>
              <w:pStyle w:val="BodyText"/>
              <w:spacing w:before="12"/>
              <w:rPr>
                <w:sz w:val="17"/>
              </w:rPr>
            </w:pPr>
          </w:p>
          <w:p w14:paraId="2E8115C7" w14:textId="77777777" w:rsidR="00655DC5" w:rsidRDefault="00655DC5" w:rsidP="00340780">
            <w:pPr>
              <w:pStyle w:val="Heading3"/>
            </w:pPr>
            <w:r>
              <w:t>Notes</w:t>
            </w:r>
          </w:p>
          <w:p w14:paraId="292D4BEF" w14:textId="77777777" w:rsidR="00655DC5" w:rsidRDefault="00655DC5" w:rsidP="00340780">
            <w:pPr>
              <w:pStyle w:val="ListParagraph"/>
              <w:widowControl w:val="0"/>
              <w:numPr>
                <w:ilvl w:val="0"/>
                <w:numId w:val="18"/>
              </w:numPr>
              <w:tabs>
                <w:tab w:val="left" w:pos="424"/>
              </w:tabs>
              <w:autoSpaceDE w:val="0"/>
              <w:autoSpaceDN w:val="0"/>
              <w:spacing w:after="0" w:line="240" w:lineRule="auto"/>
              <w:ind w:right="736" w:firstLine="0"/>
              <w:contextualSpacing w:val="0"/>
              <w:rPr>
                <w:sz w:val="20"/>
              </w:rPr>
            </w:pPr>
            <w:r>
              <w:rPr>
                <w:sz w:val="20"/>
              </w:rPr>
              <w:t>Generally,</w:t>
            </w:r>
            <w:r>
              <w:rPr>
                <w:spacing w:val="-4"/>
                <w:sz w:val="20"/>
              </w:rPr>
              <w:t xml:space="preserve"> </w:t>
            </w:r>
            <w:r>
              <w:rPr>
                <w:sz w:val="20"/>
              </w:rPr>
              <w:t>rare</w:t>
            </w:r>
            <w:r>
              <w:rPr>
                <w:spacing w:val="-5"/>
                <w:sz w:val="20"/>
              </w:rPr>
              <w:t xml:space="preserve"> </w:t>
            </w:r>
            <w:r>
              <w:rPr>
                <w:sz w:val="20"/>
              </w:rPr>
              <w:t>event</w:t>
            </w:r>
            <w:r>
              <w:rPr>
                <w:spacing w:val="-4"/>
                <w:sz w:val="20"/>
              </w:rPr>
              <w:t xml:space="preserve"> </w:t>
            </w:r>
            <w:r>
              <w:rPr>
                <w:sz w:val="20"/>
              </w:rPr>
              <w:t>outcomes</w:t>
            </w:r>
            <w:r>
              <w:rPr>
                <w:spacing w:val="-5"/>
                <w:sz w:val="20"/>
              </w:rPr>
              <w:t xml:space="preserve"> </w:t>
            </w:r>
            <w:r>
              <w:rPr>
                <w:sz w:val="20"/>
              </w:rPr>
              <w:t>do</w:t>
            </w:r>
            <w:r>
              <w:rPr>
                <w:spacing w:val="-4"/>
                <w:sz w:val="20"/>
              </w:rPr>
              <w:t xml:space="preserve"> </w:t>
            </w:r>
            <w:r>
              <w:rPr>
                <w:sz w:val="20"/>
              </w:rPr>
              <w:t>not</w:t>
            </w:r>
            <w:r>
              <w:rPr>
                <w:spacing w:val="-4"/>
                <w:sz w:val="20"/>
              </w:rPr>
              <w:t xml:space="preserve"> </w:t>
            </w:r>
            <w:r>
              <w:rPr>
                <w:sz w:val="20"/>
              </w:rPr>
              <w:t>provide</w:t>
            </w:r>
            <w:r>
              <w:rPr>
                <w:spacing w:val="-5"/>
                <w:sz w:val="20"/>
              </w:rPr>
              <w:t xml:space="preserve"> </w:t>
            </w:r>
            <w:r>
              <w:rPr>
                <w:sz w:val="20"/>
              </w:rPr>
              <w:t>adequate</w:t>
            </w:r>
            <w:r>
              <w:rPr>
                <w:spacing w:val="-5"/>
                <w:sz w:val="20"/>
              </w:rPr>
              <w:t xml:space="preserve"> </w:t>
            </w:r>
            <w:r>
              <w:rPr>
                <w:sz w:val="20"/>
              </w:rPr>
              <w:t>information</w:t>
            </w:r>
            <w:r>
              <w:rPr>
                <w:spacing w:val="-3"/>
                <w:sz w:val="20"/>
              </w:rPr>
              <w:t xml:space="preserve"> </w:t>
            </w:r>
            <w:r>
              <w:rPr>
                <w:sz w:val="20"/>
              </w:rPr>
              <w:t>for</w:t>
            </w:r>
            <w:r>
              <w:rPr>
                <w:spacing w:val="-5"/>
                <w:sz w:val="20"/>
              </w:rPr>
              <w:t xml:space="preserve"> </w:t>
            </w:r>
            <w:r>
              <w:rPr>
                <w:sz w:val="20"/>
              </w:rPr>
              <w:t>improvement</w:t>
            </w:r>
            <w:r>
              <w:rPr>
                <w:spacing w:val="-1"/>
                <w:sz w:val="20"/>
              </w:rPr>
              <w:t xml:space="preserve"> </w:t>
            </w:r>
            <w:r>
              <w:rPr>
                <w:sz w:val="20"/>
              </w:rPr>
              <w:t>or</w:t>
            </w:r>
            <w:r>
              <w:rPr>
                <w:spacing w:val="-4"/>
                <w:sz w:val="20"/>
              </w:rPr>
              <w:t xml:space="preserve"> </w:t>
            </w:r>
            <w:r>
              <w:rPr>
                <w:sz w:val="20"/>
              </w:rPr>
              <w:t>discrimination;</w:t>
            </w:r>
            <w:r>
              <w:rPr>
                <w:spacing w:val="-5"/>
                <w:sz w:val="20"/>
              </w:rPr>
              <w:t xml:space="preserve"> </w:t>
            </w:r>
            <w:r>
              <w:rPr>
                <w:sz w:val="20"/>
              </w:rPr>
              <w:t>however, serious reportable events that are compared to zero are appropriate outcomes for public reporting and quality improvement.</w:t>
            </w:r>
          </w:p>
          <w:p w14:paraId="49C6E518" w14:textId="77777777" w:rsidR="00655DC5" w:rsidRDefault="00655DC5" w:rsidP="00340780">
            <w:pPr>
              <w:pStyle w:val="ListParagraph"/>
              <w:widowControl w:val="0"/>
              <w:numPr>
                <w:ilvl w:val="0"/>
                <w:numId w:val="18"/>
              </w:numPr>
              <w:tabs>
                <w:tab w:val="left" w:pos="424"/>
              </w:tabs>
              <w:autoSpaceDE w:val="0"/>
              <w:autoSpaceDN w:val="0"/>
              <w:spacing w:after="0" w:line="240" w:lineRule="auto"/>
              <w:ind w:right="547" w:firstLine="0"/>
              <w:contextualSpacing w:val="0"/>
              <w:rPr>
                <w:sz w:val="20"/>
              </w:rPr>
            </w:pPr>
            <w:r>
              <w:rPr>
                <w:sz w:val="20"/>
              </w:rPr>
              <w:t>The</w:t>
            </w:r>
            <w:r>
              <w:rPr>
                <w:spacing w:val="-5"/>
                <w:sz w:val="20"/>
              </w:rPr>
              <w:t xml:space="preserve"> </w:t>
            </w:r>
            <w:r>
              <w:rPr>
                <w:sz w:val="20"/>
              </w:rPr>
              <w:t>preferred</w:t>
            </w:r>
            <w:r>
              <w:rPr>
                <w:spacing w:val="-2"/>
                <w:sz w:val="20"/>
              </w:rPr>
              <w:t xml:space="preserve"> </w:t>
            </w:r>
            <w:r>
              <w:rPr>
                <w:sz w:val="20"/>
              </w:rPr>
              <w:t>systems</w:t>
            </w:r>
            <w:r>
              <w:rPr>
                <w:spacing w:val="-4"/>
                <w:sz w:val="20"/>
              </w:rPr>
              <w:t xml:space="preserve"> </w:t>
            </w:r>
            <w:r>
              <w:rPr>
                <w:sz w:val="20"/>
              </w:rPr>
              <w:t>for</w:t>
            </w:r>
            <w:r>
              <w:rPr>
                <w:spacing w:val="-4"/>
                <w:sz w:val="20"/>
              </w:rPr>
              <w:t xml:space="preserve"> </w:t>
            </w:r>
            <w:r>
              <w:rPr>
                <w:sz w:val="20"/>
              </w:rPr>
              <w:t>grading</w:t>
            </w:r>
            <w:r>
              <w:rPr>
                <w:spacing w:val="-3"/>
                <w:sz w:val="20"/>
              </w:rPr>
              <w:t xml:space="preserve"> </w:t>
            </w:r>
            <w:r>
              <w:rPr>
                <w:sz w:val="20"/>
              </w:rPr>
              <w:t>the</w:t>
            </w:r>
            <w:r>
              <w:rPr>
                <w:spacing w:val="-4"/>
                <w:sz w:val="20"/>
              </w:rPr>
              <w:t xml:space="preserve"> </w:t>
            </w:r>
            <w:r>
              <w:rPr>
                <w:sz w:val="20"/>
              </w:rPr>
              <w:t>evidence</w:t>
            </w:r>
            <w:r>
              <w:rPr>
                <w:spacing w:val="-4"/>
                <w:sz w:val="20"/>
              </w:rPr>
              <w:t xml:space="preserve"> </w:t>
            </w:r>
            <w:r>
              <w:rPr>
                <w:sz w:val="20"/>
              </w:rPr>
              <w:t>are</w:t>
            </w:r>
            <w:r>
              <w:rPr>
                <w:spacing w:val="-4"/>
                <w:sz w:val="20"/>
              </w:rPr>
              <w:t xml:space="preserve"> </w:t>
            </w:r>
            <w:r>
              <w:rPr>
                <w:sz w:val="20"/>
              </w:rPr>
              <w:t>the</w:t>
            </w:r>
            <w:r>
              <w:rPr>
                <w:spacing w:val="-5"/>
                <w:sz w:val="20"/>
              </w:rPr>
              <w:t xml:space="preserve"> </w:t>
            </w:r>
            <w:r>
              <w:rPr>
                <w:sz w:val="20"/>
              </w:rPr>
              <w:t>Grading</w:t>
            </w:r>
            <w:r>
              <w:rPr>
                <w:spacing w:val="-3"/>
                <w:sz w:val="20"/>
              </w:rPr>
              <w:t xml:space="preserve"> </w:t>
            </w:r>
            <w:r>
              <w:rPr>
                <w:sz w:val="20"/>
              </w:rPr>
              <w:t>of</w:t>
            </w:r>
            <w:r>
              <w:rPr>
                <w:spacing w:val="-4"/>
                <w:sz w:val="20"/>
              </w:rPr>
              <w:t xml:space="preserve"> </w:t>
            </w:r>
            <w:r>
              <w:rPr>
                <w:sz w:val="20"/>
              </w:rPr>
              <w:t>Recommendations,</w:t>
            </w:r>
            <w:r>
              <w:rPr>
                <w:spacing w:val="-1"/>
                <w:sz w:val="20"/>
              </w:rPr>
              <w:t xml:space="preserve"> </w:t>
            </w:r>
            <w:r>
              <w:rPr>
                <w:sz w:val="20"/>
              </w:rPr>
              <w:t>Assessment,</w:t>
            </w:r>
            <w:r>
              <w:rPr>
                <w:spacing w:val="-2"/>
                <w:sz w:val="20"/>
              </w:rPr>
              <w:t xml:space="preserve"> </w:t>
            </w:r>
            <w:r>
              <w:rPr>
                <w:sz w:val="20"/>
              </w:rPr>
              <w:lastRenderedPageBreak/>
              <w:t>Development</w:t>
            </w:r>
            <w:r>
              <w:rPr>
                <w:spacing w:val="-3"/>
                <w:sz w:val="20"/>
              </w:rPr>
              <w:t xml:space="preserve"> </w:t>
            </w:r>
            <w:r>
              <w:rPr>
                <w:sz w:val="20"/>
              </w:rPr>
              <w:t>and Evaluation</w:t>
            </w:r>
            <w:r>
              <w:rPr>
                <w:color w:val="0000FF"/>
                <w:sz w:val="20"/>
              </w:rPr>
              <w:t xml:space="preserve"> </w:t>
            </w:r>
            <w:hyperlink r:id="rId20">
              <w:r>
                <w:rPr>
                  <w:color w:val="0000FF"/>
                  <w:sz w:val="20"/>
                  <w:u w:val="single" w:color="0000FF"/>
                </w:rPr>
                <w:t>(GRADE) guidelines</w:t>
              </w:r>
              <w:r>
                <w:rPr>
                  <w:color w:val="0000FF"/>
                  <w:sz w:val="20"/>
                </w:rPr>
                <w:t xml:space="preserve"> </w:t>
              </w:r>
            </w:hyperlink>
            <w:r>
              <w:rPr>
                <w:sz w:val="20"/>
              </w:rPr>
              <w:t>and/or modified</w:t>
            </w:r>
            <w:r>
              <w:rPr>
                <w:spacing w:val="1"/>
                <w:sz w:val="20"/>
              </w:rPr>
              <w:t xml:space="preserve"> </w:t>
            </w:r>
            <w:r>
              <w:rPr>
                <w:sz w:val="20"/>
              </w:rPr>
              <w:t>GRADE.</w:t>
            </w:r>
          </w:p>
          <w:p w14:paraId="6E4F9851" w14:textId="77777777" w:rsidR="00655DC5" w:rsidRPr="005B2574" w:rsidRDefault="00655DC5" w:rsidP="00340780">
            <w:pPr>
              <w:pStyle w:val="ListParagraph"/>
              <w:widowControl w:val="0"/>
              <w:numPr>
                <w:ilvl w:val="0"/>
                <w:numId w:val="18"/>
              </w:numPr>
              <w:tabs>
                <w:tab w:val="left" w:pos="424"/>
              </w:tabs>
              <w:autoSpaceDE w:val="0"/>
              <w:autoSpaceDN w:val="0"/>
              <w:spacing w:after="0" w:line="240" w:lineRule="auto"/>
              <w:ind w:right="468" w:firstLine="0"/>
              <w:contextualSpacing w:val="0"/>
              <w:rPr>
                <w:sz w:val="20"/>
              </w:rPr>
            </w:pPr>
            <w:r>
              <w:rPr>
                <w:sz w:val="20"/>
              </w:rPr>
              <w:t xml:space="preserve">Clinical care processes typically include multiple steps: assess </w:t>
            </w:r>
            <w:r>
              <w:rPr>
                <w:rFonts w:ascii="Symbol" w:hAnsi="Symbol"/>
                <w:sz w:val="20"/>
              </w:rPr>
              <w:t></w:t>
            </w:r>
            <w:r>
              <w:rPr>
                <w:rFonts w:ascii="Times New Roman" w:hAnsi="Times New Roman"/>
                <w:sz w:val="20"/>
              </w:rPr>
              <w:t xml:space="preserve"> </w:t>
            </w:r>
            <w:r>
              <w:rPr>
                <w:sz w:val="20"/>
              </w:rPr>
              <w:t xml:space="preserve">identify problem/potential problem </w:t>
            </w:r>
            <w:r>
              <w:rPr>
                <w:rFonts w:ascii="Symbol" w:hAnsi="Symbol"/>
                <w:sz w:val="20"/>
              </w:rPr>
              <w:t></w:t>
            </w:r>
            <w:r>
              <w:rPr>
                <w:rFonts w:ascii="Times New Roman" w:hAnsi="Times New Roman"/>
                <w:sz w:val="20"/>
              </w:rPr>
              <w:t xml:space="preserve"> </w:t>
            </w:r>
            <w:r>
              <w:rPr>
                <w:sz w:val="20"/>
              </w:rPr>
              <w:t>choose/plan intervention</w:t>
            </w:r>
            <w:r>
              <w:rPr>
                <w:spacing w:val="-3"/>
                <w:sz w:val="20"/>
              </w:rPr>
              <w:t xml:space="preserve"> </w:t>
            </w:r>
            <w:r>
              <w:rPr>
                <w:sz w:val="20"/>
              </w:rPr>
              <w:t>(with</w:t>
            </w:r>
            <w:r>
              <w:rPr>
                <w:spacing w:val="-2"/>
                <w:sz w:val="20"/>
              </w:rPr>
              <w:t xml:space="preserve"> </w:t>
            </w:r>
            <w:r>
              <w:rPr>
                <w:sz w:val="20"/>
              </w:rPr>
              <w:t>patient</w:t>
            </w:r>
            <w:r>
              <w:rPr>
                <w:spacing w:val="-3"/>
                <w:sz w:val="20"/>
              </w:rPr>
              <w:t xml:space="preserve"> </w:t>
            </w:r>
            <w:r>
              <w:rPr>
                <w:sz w:val="20"/>
              </w:rPr>
              <w:t>input)</w:t>
            </w:r>
            <w:r>
              <w:rPr>
                <w:spacing w:val="-4"/>
                <w:sz w:val="20"/>
              </w:rPr>
              <w:t xml:space="preserve"> </w:t>
            </w:r>
            <w:r>
              <w:rPr>
                <w:rFonts w:ascii="Symbol" w:hAnsi="Symbol"/>
                <w:sz w:val="20"/>
              </w:rPr>
              <w:t></w:t>
            </w:r>
            <w:r>
              <w:rPr>
                <w:rFonts w:ascii="Times New Roman" w:hAnsi="Times New Roman"/>
                <w:spacing w:val="-8"/>
                <w:sz w:val="20"/>
              </w:rPr>
              <w:t xml:space="preserve"> </w:t>
            </w:r>
            <w:r>
              <w:rPr>
                <w:sz w:val="20"/>
              </w:rPr>
              <w:t>provide</w:t>
            </w:r>
            <w:r>
              <w:rPr>
                <w:spacing w:val="-4"/>
                <w:sz w:val="20"/>
              </w:rPr>
              <w:t xml:space="preserve"> </w:t>
            </w:r>
            <w:r>
              <w:rPr>
                <w:sz w:val="20"/>
              </w:rPr>
              <w:t>intervention</w:t>
            </w:r>
            <w:r>
              <w:rPr>
                <w:spacing w:val="-2"/>
                <w:sz w:val="20"/>
              </w:rPr>
              <w:t xml:space="preserve"> </w:t>
            </w:r>
            <w:r>
              <w:rPr>
                <w:rFonts w:ascii="Symbol" w:hAnsi="Symbol"/>
                <w:sz w:val="20"/>
              </w:rPr>
              <w:t></w:t>
            </w:r>
            <w:r>
              <w:rPr>
                <w:rFonts w:ascii="Times New Roman" w:hAnsi="Times New Roman"/>
                <w:spacing w:val="-6"/>
                <w:sz w:val="20"/>
              </w:rPr>
              <w:t xml:space="preserve"> </w:t>
            </w:r>
            <w:r>
              <w:rPr>
                <w:sz w:val="20"/>
              </w:rPr>
              <w:t>evaluate</w:t>
            </w:r>
            <w:r>
              <w:rPr>
                <w:spacing w:val="-4"/>
                <w:sz w:val="20"/>
              </w:rPr>
              <w:t xml:space="preserve"> </w:t>
            </w:r>
            <w:r>
              <w:rPr>
                <w:sz w:val="20"/>
              </w:rPr>
              <w:t>impact</w:t>
            </w:r>
            <w:r>
              <w:rPr>
                <w:spacing w:val="-3"/>
                <w:sz w:val="20"/>
              </w:rPr>
              <w:t xml:space="preserve"> </w:t>
            </w:r>
            <w:r>
              <w:rPr>
                <w:sz w:val="20"/>
              </w:rPr>
              <w:t>on</w:t>
            </w:r>
            <w:r>
              <w:rPr>
                <w:spacing w:val="-2"/>
                <w:sz w:val="20"/>
              </w:rPr>
              <w:t xml:space="preserve"> </w:t>
            </w:r>
            <w:r>
              <w:rPr>
                <w:sz w:val="20"/>
              </w:rPr>
              <w:t>health</w:t>
            </w:r>
            <w:r>
              <w:rPr>
                <w:spacing w:val="-3"/>
                <w:sz w:val="20"/>
              </w:rPr>
              <w:t xml:space="preserve"> </w:t>
            </w:r>
            <w:r>
              <w:rPr>
                <w:sz w:val="20"/>
              </w:rPr>
              <w:t>status.</w:t>
            </w:r>
            <w:r>
              <w:rPr>
                <w:spacing w:val="-3"/>
                <w:sz w:val="20"/>
              </w:rPr>
              <w:t xml:space="preserve"> </w:t>
            </w:r>
            <w:r>
              <w:rPr>
                <w:sz w:val="20"/>
              </w:rPr>
              <w:t>If</w:t>
            </w:r>
            <w:r>
              <w:rPr>
                <w:spacing w:val="-4"/>
                <w:sz w:val="20"/>
              </w:rPr>
              <w:t xml:space="preserve"> </w:t>
            </w:r>
            <w:r>
              <w:rPr>
                <w:sz w:val="20"/>
              </w:rPr>
              <w:t>the</w:t>
            </w:r>
            <w:r>
              <w:rPr>
                <w:spacing w:val="-4"/>
                <w:sz w:val="20"/>
              </w:rPr>
              <w:t xml:space="preserve"> </w:t>
            </w:r>
            <w:r>
              <w:rPr>
                <w:sz w:val="20"/>
              </w:rPr>
              <w:t>measure</w:t>
            </w:r>
            <w:r>
              <w:rPr>
                <w:spacing w:val="-2"/>
                <w:sz w:val="20"/>
              </w:rPr>
              <w:t xml:space="preserve"> </w:t>
            </w:r>
            <w:r>
              <w:rPr>
                <w:sz w:val="20"/>
              </w:rPr>
              <w:t>focus</w:t>
            </w:r>
            <w:r>
              <w:rPr>
                <w:spacing w:val="-4"/>
                <w:sz w:val="20"/>
              </w:rPr>
              <w:t xml:space="preserve"> </w:t>
            </w:r>
            <w:r>
              <w:rPr>
                <w:sz w:val="20"/>
              </w:rPr>
              <w:t>is</w:t>
            </w:r>
            <w:r>
              <w:rPr>
                <w:spacing w:val="-4"/>
                <w:sz w:val="20"/>
              </w:rPr>
              <w:t xml:space="preserve"> </w:t>
            </w:r>
            <w:r>
              <w:rPr>
                <w:sz w:val="20"/>
              </w:rPr>
              <w:t>one</w:t>
            </w:r>
          </w:p>
        </w:tc>
      </w:tr>
    </w:tbl>
    <w:p w14:paraId="738B7F8D" w14:textId="77777777" w:rsidR="00655DC5" w:rsidRDefault="00655DC5" w:rsidP="00655DC5">
      <w:pPr>
        <w:ind w:left="0" w:firstLine="0"/>
        <w:rPr>
          <w:rFonts w:eastAsiaTheme="minorEastAsia"/>
          <w:b/>
          <w:bCs/>
          <w:color w:val="0000FF"/>
        </w:rPr>
      </w:pPr>
    </w:p>
    <w:p w14:paraId="49A9270E" w14:textId="77777777" w:rsidR="00655DC5" w:rsidRPr="003B1CC5" w:rsidRDefault="00655DC5" w:rsidP="00655DC5">
      <w:pPr>
        <w:ind w:left="0" w:firstLine="0"/>
        <w:rPr>
          <w:bCs/>
          <w:i/>
        </w:rPr>
      </w:pPr>
      <w:r w:rsidRPr="00E316C7">
        <w:rPr>
          <w:rFonts w:eastAsiaTheme="minorEastAsia"/>
          <w:b/>
          <w:bCs/>
          <w:color w:val="0000FF"/>
        </w:rPr>
        <w:t>1a.1.</w:t>
      </w:r>
      <w:r w:rsidRPr="00E316C7">
        <w:rPr>
          <w:rFonts w:eastAsiaTheme="minorEastAsia"/>
          <w:b/>
          <w:bCs/>
        </w:rPr>
        <w:t>This is a measure of</w:t>
      </w:r>
      <w:r w:rsidRPr="00E316C7">
        <w:rPr>
          <w:rFonts w:eastAsiaTheme="minorEastAsia"/>
        </w:rPr>
        <w:t>: (</w:t>
      </w:r>
      <w:r w:rsidRPr="00E316C7">
        <w:rPr>
          <w:rFonts w:eastAsiaTheme="minorEastAsia"/>
          <w:i/>
          <w:iCs/>
        </w:rPr>
        <w:t>should be consistent with type of measure entered in De.1</w:t>
      </w:r>
      <w:r w:rsidRPr="00E316C7">
        <w:rPr>
          <w:rFonts w:eastAsiaTheme="minorEastAsia"/>
        </w:rPr>
        <w:t xml:space="preserve">) </w:t>
      </w:r>
    </w:p>
    <w:p w14:paraId="794C0E09" w14:textId="77777777" w:rsidR="00655DC5" w:rsidRPr="003B1CC5" w:rsidRDefault="00655DC5" w:rsidP="00655DC5">
      <w:pPr>
        <w:ind w:left="432" w:hanging="432"/>
        <w:rPr>
          <w:rFonts w:cs="Calibri"/>
          <w:bCs/>
        </w:rPr>
      </w:pPr>
      <w:r w:rsidRPr="00E316C7">
        <w:rPr>
          <w:rFonts w:eastAsiaTheme="minorEastAsia"/>
        </w:rPr>
        <w:t>Outcome</w:t>
      </w:r>
    </w:p>
    <w:p w14:paraId="75C37A2F" w14:textId="77777777" w:rsidR="00655DC5" w:rsidRPr="003B1CC5" w:rsidRDefault="00F86A6A" w:rsidP="00655DC5">
      <w:pPr>
        <w:ind w:left="720" w:hanging="432"/>
        <w:rPr>
          <w:rStyle w:val="Style2"/>
          <w:rFonts w:cstheme="minorHAnsi"/>
        </w:rPr>
      </w:pPr>
      <w:sdt>
        <w:sdtPr>
          <w:rPr>
            <w:bCs/>
            <w:color w:val="0000FF"/>
            <w:u w:val="single"/>
          </w:rPr>
          <w:id w:val="1845276010"/>
          <w14:checkbox>
            <w14:checked w14:val="0"/>
            <w14:checkedState w14:val="2612" w14:font="MS Gothic"/>
            <w14:uncheckedState w14:val="2610" w14:font="MS Gothic"/>
          </w14:checkbox>
        </w:sdtPr>
        <w:sdtContent>
          <w:r w:rsidR="00655DC5" w:rsidRPr="003B1CC5">
            <w:rPr>
              <w:rFonts w:ascii="MS Gothic" w:eastAsia="MS Gothic" w:hAnsi="MS Gothic" w:cs="MS Gothic" w:hint="eastAsia"/>
              <w:bCs/>
              <w:color w:val="0000FF"/>
            </w:rPr>
            <w:t>☐</w:t>
          </w:r>
        </w:sdtContent>
      </w:sdt>
      <w:r w:rsidR="00655DC5" w:rsidRPr="00E316C7">
        <w:rPr>
          <w:rFonts w:eastAsiaTheme="minorEastAsia"/>
          <w:color w:val="0000FF"/>
        </w:rPr>
        <w:t xml:space="preserve"> </w:t>
      </w:r>
      <w:r w:rsidR="00655DC5" w:rsidRPr="00E316C7">
        <w:rPr>
          <w:rFonts w:eastAsiaTheme="minorEastAsia"/>
        </w:rPr>
        <w:t xml:space="preserve">Health outcome: </w:t>
      </w:r>
      <w:sdt>
        <w:sdtPr>
          <w:rPr>
            <w:rStyle w:val="Style2"/>
            <w:rFonts w:cstheme="minorHAnsi"/>
          </w:rPr>
          <w:id w:val="762191564"/>
          <w:placeholder>
            <w:docPart w:val="C8A72503F9C24F2699A7627DFDC1E214"/>
          </w:placeholder>
          <w:showingPlcHdr/>
        </w:sdtPr>
        <w:sdtEndPr>
          <w:rPr>
            <w:rStyle w:val="DefaultParagraphFont"/>
            <w:rFonts w:cstheme="minorBidi"/>
            <w:color w:val="auto"/>
            <w:u w:val="none"/>
          </w:rPr>
        </w:sdtEndPr>
        <w:sdtContent>
          <w:r w:rsidR="00655DC5" w:rsidRPr="003B1CC5">
            <w:rPr>
              <w:color w:val="A6A6A6" w:themeColor="background1" w:themeShade="A6"/>
            </w:rPr>
            <w:t>Click here to n</w:t>
          </w:r>
          <w:r w:rsidR="00655DC5" w:rsidRPr="003B1CC5">
            <w:rPr>
              <w:rStyle w:val="PlaceholderText"/>
              <w:rFonts w:cstheme="minorHAnsi"/>
              <w:color w:val="A6A6A6" w:themeColor="background1" w:themeShade="A6"/>
            </w:rPr>
            <w:t>ame the health outcome</w:t>
          </w:r>
        </w:sdtContent>
      </w:sdt>
    </w:p>
    <w:p w14:paraId="67335448" w14:textId="77777777" w:rsidR="00655DC5" w:rsidRPr="003B1CC5" w:rsidRDefault="00F86A6A" w:rsidP="00655DC5">
      <w:pPr>
        <w:ind w:left="720" w:hanging="432"/>
        <w:rPr>
          <w:b/>
          <w:bCs/>
        </w:rPr>
      </w:pPr>
      <w:sdt>
        <w:sdtPr>
          <w:rPr>
            <w:bCs/>
            <w:color w:val="0000FF"/>
          </w:rPr>
          <w:id w:val="-1246336586"/>
          <w14:checkbox>
            <w14:checked w14:val="0"/>
            <w14:checkedState w14:val="2612" w14:font="MS Gothic"/>
            <w14:uncheckedState w14:val="2610" w14:font="MS Gothic"/>
          </w14:checkbox>
        </w:sdtPr>
        <w:sdtContent>
          <w:r w:rsidR="00655DC5" w:rsidRPr="003B1CC5">
            <w:rPr>
              <w:rFonts w:ascii="MS Gothic" w:eastAsia="MS Gothic" w:hAnsi="MS Gothic" w:cs="MS Gothic" w:hint="eastAsia"/>
              <w:bCs/>
              <w:color w:val="0000FF"/>
            </w:rPr>
            <w:t>☐</w:t>
          </w:r>
        </w:sdtContent>
      </w:sdt>
      <w:r w:rsidR="00655DC5" w:rsidRPr="00E316C7">
        <w:rPr>
          <w:rFonts w:eastAsiaTheme="minorEastAsia"/>
        </w:rPr>
        <w:t xml:space="preserve">Patient-reported outcome (PRO): </w:t>
      </w:r>
      <w:sdt>
        <w:sdtPr>
          <w:rPr>
            <w:rStyle w:val="Style2"/>
            <w:rFonts w:cstheme="minorHAnsi"/>
          </w:rPr>
          <w:id w:val="-1227908796"/>
          <w:placeholder>
            <w:docPart w:val="AAA1985DBC5E42DDB7A4F0446E0A8DBE"/>
          </w:placeholder>
          <w:showingPlcHdr/>
        </w:sdtPr>
        <w:sdtEndPr>
          <w:rPr>
            <w:rStyle w:val="DefaultParagraphFont"/>
            <w:rFonts w:cstheme="minorBidi"/>
            <w:color w:val="auto"/>
            <w:u w:val="none"/>
          </w:rPr>
        </w:sdtEndPr>
        <w:sdtContent>
          <w:r w:rsidR="00655DC5" w:rsidRPr="003B1CC5">
            <w:rPr>
              <w:color w:val="A6A6A6" w:themeColor="background1" w:themeShade="A6"/>
            </w:rPr>
            <w:t>Click here to n</w:t>
          </w:r>
          <w:r w:rsidR="00655DC5" w:rsidRPr="003B1CC5">
            <w:rPr>
              <w:rStyle w:val="PlaceholderText"/>
              <w:rFonts w:cstheme="minorHAnsi"/>
              <w:color w:val="A6A6A6" w:themeColor="background1" w:themeShade="A6"/>
            </w:rPr>
            <w:t xml:space="preserve">ame the </w:t>
          </w:r>
          <w:r w:rsidR="00655DC5">
            <w:rPr>
              <w:rStyle w:val="PlaceholderText"/>
              <w:rFonts w:cstheme="minorHAnsi"/>
              <w:color w:val="A6A6A6" w:themeColor="background1" w:themeShade="A6"/>
            </w:rPr>
            <w:t>PRO</w:t>
          </w:r>
        </w:sdtContent>
      </w:sdt>
    </w:p>
    <w:p w14:paraId="37354E0F" w14:textId="77777777" w:rsidR="00655DC5" w:rsidRDefault="00655DC5" w:rsidP="00655DC5">
      <w:pPr>
        <w:ind w:left="720" w:firstLine="0"/>
        <w:rPr>
          <w:rFonts w:eastAsiaTheme="minorEastAsia"/>
          <w:i/>
          <w:iCs/>
        </w:rPr>
      </w:pPr>
      <w:r w:rsidRPr="00815622">
        <w:rPr>
          <w:rFonts w:eastAsiaTheme="minorEastAsia"/>
          <w:i/>
          <w:iCs/>
        </w:rPr>
        <w:t xml:space="preserve">PROs include </w:t>
      </w:r>
      <w:proofErr w:type="spellStart"/>
      <w:r w:rsidRPr="00815622">
        <w:rPr>
          <w:rFonts w:eastAsiaTheme="minorEastAsia"/>
          <w:i/>
          <w:iCs/>
        </w:rPr>
        <w:t>HRQoL</w:t>
      </w:r>
      <w:proofErr w:type="spellEnd"/>
      <w:r w:rsidRPr="00815622">
        <w:rPr>
          <w:rFonts w:eastAsiaTheme="minorEastAsia"/>
          <w:i/>
          <w:iCs/>
        </w:rPr>
        <w:t>/functional status, symptom/symptom burden, experience with care, health-related behaviors. (A PRO-based performance measure is not a survey instrument. Data may be collected using a survey instrument to construct a PRO measure.)</w:t>
      </w:r>
    </w:p>
    <w:p w14:paraId="1300719D" w14:textId="77777777" w:rsidR="00655DC5" w:rsidRPr="003B1CC5" w:rsidRDefault="00F86A6A" w:rsidP="00655DC5">
      <w:pPr>
        <w:rPr>
          <w:bCs/>
        </w:rPr>
      </w:pPr>
      <w:sdt>
        <w:sdtPr>
          <w:rPr>
            <w:bCs/>
            <w:color w:val="0000FF"/>
          </w:rPr>
          <w:id w:val="908960460"/>
          <w14:checkbox>
            <w14:checked w14:val="0"/>
            <w14:checkedState w14:val="2612" w14:font="MS Gothic"/>
            <w14:uncheckedState w14:val="2610" w14:font="MS Gothic"/>
          </w14:checkbox>
        </w:sdtPr>
        <w:sdtContent>
          <w:r w:rsidR="00655DC5">
            <w:rPr>
              <w:rFonts w:ascii="MS Gothic" w:eastAsia="MS Gothic" w:hAnsi="MS Gothic" w:hint="eastAsia"/>
              <w:bCs/>
              <w:color w:val="0000FF"/>
            </w:rPr>
            <w:t>☐</w:t>
          </w:r>
        </w:sdtContent>
      </w:sdt>
      <w:r w:rsidR="00655DC5" w:rsidRPr="00E316C7">
        <w:rPr>
          <w:rFonts w:eastAsiaTheme="minorEastAsia"/>
        </w:rPr>
        <w:t xml:space="preserve"> Intermediate clinical outcome (</w:t>
      </w:r>
      <w:r w:rsidR="00655DC5" w:rsidRPr="00E316C7">
        <w:rPr>
          <w:rFonts w:eastAsiaTheme="minorEastAsia"/>
          <w:i/>
          <w:iCs/>
        </w:rPr>
        <w:t>e.g., lab value</w:t>
      </w:r>
      <w:r w:rsidR="00655DC5" w:rsidRPr="00E316C7">
        <w:rPr>
          <w:rFonts w:eastAsiaTheme="minorEastAsia"/>
        </w:rPr>
        <w:t xml:space="preserve">):  </w:t>
      </w:r>
      <w:sdt>
        <w:sdtPr>
          <w:rPr>
            <w:rStyle w:val="Style2"/>
            <w:rFonts w:cstheme="minorHAnsi"/>
          </w:rPr>
          <w:id w:val="-806316763"/>
          <w:showingPlcHdr/>
        </w:sdtPr>
        <w:sdtEndPr>
          <w:rPr>
            <w:rStyle w:val="DefaultParagraphFont"/>
            <w:rFonts w:cstheme="minorBidi"/>
            <w:bCs/>
            <w:color w:val="auto"/>
            <w:u w:val="none"/>
          </w:rPr>
        </w:sdtEndPr>
        <w:sdtContent>
          <w:r w:rsidR="00655DC5" w:rsidRPr="003B1CC5">
            <w:rPr>
              <w:rStyle w:val="PlaceholderText"/>
              <w:rFonts w:cstheme="minorHAnsi"/>
              <w:color w:val="A6A6A6" w:themeColor="background1" w:themeShade="A6"/>
            </w:rPr>
            <w:t>Click here to name the intermediate outcome</w:t>
          </w:r>
        </w:sdtContent>
      </w:sdt>
    </w:p>
    <w:p w14:paraId="1313578C" w14:textId="77777777" w:rsidR="00655DC5" w:rsidRPr="003B1CC5" w:rsidRDefault="00F86A6A" w:rsidP="00655DC5">
      <w:pPr>
        <w:ind w:left="432" w:hanging="432"/>
        <w:rPr>
          <w:bCs/>
        </w:rPr>
      </w:pPr>
      <w:sdt>
        <w:sdtPr>
          <w:rPr>
            <w:bCs/>
            <w:color w:val="0000FF"/>
          </w:rPr>
          <w:id w:val="211470391"/>
          <w14:checkbox>
            <w14:checked w14:val="1"/>
            <w14:checkedState w14:val="2612" w14:font="MS Gothic"/>
            <w14:uncheckedState w14:val="2610" w14:font="MS Gothic"/>
          </w14:checkbox>
        </w:sdtPr>
        <w:sdtContent>
          <w:r w:rsidR="00655DC5">
            <w:rPr>
              <w:rFonts w:ascii="MS Gothic" w:eastAsia="MS Gothic" w:hAnsi="MS Gothic" w:hint="eastAsia"/>
              <w:bCs/>
              <w:color w:val="0000FF"/>
            </w:rPr>
            <w:t>☒</w:t>
          </w:r>
        </w:sdtContent>
      </w:sdt>
      <w:r w:rsidR="00655DC5" w:rsidRPr="00E316C7">
        <w:rPr>
          <w:rFonts w:eastAsiaTheme="minorEastAsia"/>
        </w:rPr>
        <w:t xml:space="preserve"> Process:  </w:t>
      </w:r>
      <w:sdt>
        <w:sdtPr>
          <w:rPr>
            <w:rStyle w:val="Style2"/>
            <w:rFonts w:cstheme="minorHAnsi"/>
          </w:rPr>
          <w:id w:val="1209223387"/>
        </w:sdtPr>
        <w:sdtEndPr>
          <w:rPr>
            <w:rStyle w:val="DefaultParagraphFont"/>
            <w:rFonts w:cstheme="minorBidi"/>
            <w:bCs/>
            <w:color w:val="auto"/>
            <w:u w:val="none"/>
          </w:rPr>
        </w:sdtEndPr>
        <w:sdtContent>
          <w:r w:rsidR="00655DC5">
            <w:rPr>
              <w:rStyle w:val="Style2"/>
              <w:rFonts w:cstheme="minorHAnsi"/>
            </w:rPr>
            <w:t>Completion of a nutrition assessment for patients identified to be at-risk of malnutrition from a completed malnutrition screening</w:t>
          </w:r>
        </w:sdtContent>
      </w:sdt>
    </w:p>
    <w:p w14:paraId="68126295" w14:textId="77777777" w:rsidR="00655DC5" w:rsidRPr="003B1CC5" w:rsidRDefault="00F86A6A" w:rsidP="00655DC5">
      <w:pPr>
        <w:ind w:left="432" w:firstLine="288"/>
        <w:rPr>
          <w:bCs/>
        </w:rPr>
      </w:pPr>
      <w:sdt>
        <w:sdtPr>
          <w:rPr>
            <w:bCs/>
            <w:color w:val="0000FF"/>
          </w:rPr>
          <w:id w:val="1451739434"/>
          <w14:checkbox>
            <w14:checked w14:val="0"/>
            <w14:checkedState w14:val="2612" w14:font="MS Gothic"/>
            <w14:uncheckedState w14:val="2610" w14:font="MS Gothic"/>
          </w14:checkbox>
        </w:sdtPr>
        <w:sdtContent>
          <w:r w:rsidR="00655DC5">
            <w:rPr>
              <w:rFonts w:ascii="MS Gothic" w:eastAsia="MS Gothic" w:hAnsi="MS Gothic" w:hint="eastAsia"/>
              <w:bCs/>
              <w:color w:val="0000FF"/>
            </w:rPr>
            <w:t>☐</w:t>
          </w:r>
        </w:sdtContent>
      </w:sdt>
      <w:r w:rsidR="00655DC5" w:rsidRPr="00E316C7">
        <w:rPr>
          <w:rFonts w:eastAsiaTheme="minorEastAsia"/>
        </w:rPr>
        <w:t xml:space="preserve"> </w:t>
      </w:r>
      <w:r w:rsidR="00655DC5">
        <w:rPr>
          <w:rFonts w:eastAsiaTheme="minorEastAsia"/>
        </w:rPr>
        <w:t>Appropriate Use Measure</w:t>
      </w:r>
      <w:r w:rsidR="00655DC5" w:rsidRPr="00E316C7">
        <w:rPr>
          <w:rFonts w:eastAsiaTheme="minorEastAsia"/>
        </w:rPr>
        <w:t xml:space="preserve">:  </w:t>
      </w:r>
      <w:sdt>
        <w:sdtPr>
          <w:rPr>
            <w:rStyle w:val="Style2"/>
            <w:rFonts w:cstheme="minorHAnsi"/>
          </w:rPr>
          <w:id w:val="-977914786"/>
          <w:showingPlcHdr/>
        </w:sdtPr>
        <w:sdtEndPr>
          <w:rPr>
            <w:rStyle w:val="DefaultParagraphFont"/>
            <w:rFonts w:cstheme="minorBidi"/>
            <w:bCs/>
            <w:color w:val="auto"/>
            <w:u w:val="none"/>
          </w:rPr>
        </w:sdtEndPr>
        <w:sdtContent>
          <w:r w:rsidR="00655DC5" w:rsidRPr="003B1CC5">
            <w:rPr>
              <w:rStyle w:val="PlaceholderText"/>
              <w:rFonts w:cstheme="minorHAnsi"/>
              <w:color w:val="A6A6A6" w:themeColor="background1" w:themeShade="A6"/>
            </w:rPr>
            <w:t>Click here to name what is being measured</w:t>
          </w:r>
        </w:sdtContent>
      </w:sdt>
    </w:p>
    <w:p w14:paraId="245CEE55" w14:textId="77777777" w:rsidR="00655DC5" w:rsidRPr="003B1CC5" w:rsidRDefault="00F86A6A" w:rsidP="00655DC5">
      <w:pPr>
        <w:rPr>
          <w:bCs/>
        </w:rPr>
      </w:pPr>
      <w:sdt>
        <w:sdtPr>
          <w:rPr>
            <w:bCs/>
            <w:color w:val="0000FF"/>
          </w:rPr>
          <w:id w:val="1467464423"/>
          <w14:checkbox>
            <w14:checked w14:val="0"/>
            <w14:checkedState w14:val="2612" w14:font="MS Gothic"/>
            <w14:uncheckedState w14:val="2610" w14:font="MS Gothic"/>
          </w14:checkbox>
        </w:sdtPr>
        <w:sdtContent>
          <w:r w:rsidR="00655DC5">
            <w:rPr>
              <w:rFonts w:ascii="MS Gothic" w:eastAsia="MS Gothic" w:hAnsi="MS Gothic" w:hint="eastAsia"/>
              <w:bCs/>
              <w:color w:val="0000FF"/>
            </w:rPr>
            <w:t>☐</w:t>
          </w:r>
        </w:sdtContent>
      </w:sdt>
      <w:r w:rsidR="00655DC5" w:rsidRPr="00E316C7">
        <w:rPr>
          <w:rFonts w:eastAsiaTheme="minorEastAsia"/>
        </w:rPr>
        <w:t xml:space="preserve"> Structure:  </w:t>
      </w:r>
      <w:sdt>
        <w:sdtPr>
          <w:rPr>
            <w:rStyle w:val="Style2"/>
            <w:rFonts w:cstheme="minorHAnsi"/>
          </w:rPr>
          <w:id w:val="-1757582406"/>
          <w:showingPlcHdr/>
        </w:sdtPr>
        <w:sdtEndPr>
          <w:rPr>
            <w:rStyle w:val="DefaultParagraphFont"/>
            <w:rFonts w:cstheme="minorBidi"/>
            <w:bCs/>
            <w:color w:val="auto"/>
            <w:u w:val="none"/>
          </w:rPr>
        </w:sdtEndPr>
        <w:sdtContent>
          <w:r w:rsidR="00655DC5" w:rsidRPr="003B1CC5">
            <w:rPr>
              <w:rStyle w:val="PlaceholderText"/>
              <w:rFonts w:cstheme="minorHAnsi"/>
              <w:color w:val="A6A6A6" w:themeColor="background1" w:themeShade="A6"/>
            </w:rPr>
            <w:t>Click here to name the structure</w:t>
          </w:r>
        </w:sdtContent>
      </w:sdt>
    </w:p>
    <w:p w14:paraId="1C30048E" w14:textId="77777777" w:rsidR="00655DC5" w:rsidRPr="003B1CC5" w:rsidRDefault="00F86A6A" w:rsidP="00655DC5">
      <w:pPr>
        <w:ind w:left="432" w:hanging="432"/>
        <w:rPr>
          <w:bCs/>
        </w:rPr>
      </w:pPr>
      <w:sdt>
        <w:sdtPr>
          <w:rPr>
            <w:bCs/>
            <w:color w:val="0000FF"/>
          </w:rPr>
          <w:id w:val="443360019"/>
          <w14:checkbox>
            <w14:checked w14:val="0"/>
            <w14:checkedState w14:val="2612" w14:font="MS Gothic"/>
            <w14:uncheckedState w14:val="2610" w14:font="MS Gothic"/>
          </w14:checkbox>
        </w:sdtPr>
        <w:sdtContent>
          <w:r w:rsidR="00655DC5">
            <w:rPr>
              <w:rFonts w:ascii="MS Gothic" w:eastAsia="MS Gothic" w:hAnsi="MS Gothic" w:hint="eastAsia"/>
              <w:bCs/>
              <w:color w:val="0000FF"/>
            </w:rPr>
            <w:t>☐</w:t>
          </w:r>
        </w:sdtContent>
      </w:sdt>
      <w:r w:rsidR="00655DC5" w:rsidRPr="00E316C7">
        <w:rPr>
          <w:rFonts w:eastAsiaTheme="minorEastAsia"/>
        </w:rPr>
        <w:t xml:space="preserve"> </w:t>
      </w:r>
      <w:r w:rsidR="00655DC5">
        <w:rPr>
          <w:rFonts w:eastAsiaTheme="minorEastAsia"/>
        </w:rPr>
        <w:t>Composite</w:t>
      </w:r>
      <w:r w:rsidR="00655DC5" w:rsidRPr="00E316C7">
        <w:rPr>
          <w:rFonts w:eastAsiaTheme="minorEastAsia"/>
        </w:rPr>
        <w:t xml:space="preserve">:  </w:t>
      </w:r>
      <w:sdt>
        <w:sdtPr>
          <w:rPr>
            <w:rStyle w:val="Style2"/>
            <w:rFonts w:cstheme="minorHAnsi"/>
          </w:rPr>
          <w:id w:val="-297687357"/>
          <w:showingPlcHdr/>
        </w:sdtPr>
        <w:sdtEndPr>
          <w:rPr>
            <w:rStyle w:val="DefaultParagraphFont"/>
            <w:rFonts w:cstheme="minorBidi"/>
            <w:bCs/>
            <w:color w:val="auto"/>
            <w:u w:val="none"/>
          </w:rPr>
        </w:sdtEndPr>
        <w:sdtContent>
          <w:r w:rsidR="00655DC5" w:rsidRPr="003B1CC5">
            <w:rPr>
              <w:rStyle w:val="PlaceholderText"/>
              <w:rFonts w:cstheme="minorHAnsi"/>
              <w:color w:val="A6A6A6" w:themeColor="background1" w:themeShade="A6"/>
            </w:rPr>
            <w:t>Click here to name what is being measured</w:t>
          </w:r>
        </w:sdtContent>
      </w:sdt>
    </w:p>
    <w:p w14:paraId="792B6E9C" w14:textId="77777777" w:rsidR="00655DC5" w:rsidRDefault="00655DC5" w:rsidP="00655DC5">
      <w:pPr>
        <w:ind w:left="0" w:firstLine="0"/>
        <w:rPr>
          <w:rFonts w:eastAsiaTheme="minorEastAsia"/>
          <w:b/>
          <w:bCs/>
          <w:caps/>
        </w:rPr>
      </w:pPr>
    </w:p>
    <w:p w14:paraId="123F4B43" w14:textId="77777777" w:rsidR="00655DC5" w:rsidRPr="00107596" w:rsidRDefault="00655DC5" w:rsidP="00655DC5">
      <w:pPr>
        <w:ind w:left="432" w:hanging="432"/>
        <w:rPr>
          <w:iCs/>
        </w:rPr>
      </w:pPr>
      <w:r w:rsidRPr="00E316C7">
        <w:rPr>
          <w:rFonts w:eastAsiaTheme="minorEastAsia"/>
          <w:b/>
          <w:bCs/>
          <w:color w:val="0000FF"/>
        </w:rPr>
        <w:t>1a.2.</w:t>
      </w:r>
      <w:r>
        <w:rPr>
          <w:rFonts w:eastAsiaTheme="minorEastAsia"/>
        </w:rPr>
        <w:t xml:space="preserve"> </w:t>
      </w:r>
      <w:r>
        <w:rPr>
          <w:rFonts w:eastAsiaTheme="minorEastAsia"/>
          <w:b/>
          <w:bCs/>
        </w:rPr>
        <w:t xml:space="preserve">LOGIC MODEL: </w:t>
      </w:r>
      <w:r w:rsidRPr="004A7315">
        <w:rPr>
          <w:rFonts w:eastAsiaTheme="minorEastAsia"/>
        </w:rPr>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r w:rsidRPr="004A7315">
        <w:rPr>
          <w:iCs/>
          <w:noProof/>
        </w:rPr>
        <w:drawing>
          <wp:inline distT="0" distB="0" distL="0" distR="0" wp14:anchorId="25A68E0F" wp14:editId="560A01F0">
            <wp:extent cx="5876925" cy="1333500"/>
            <wp:effectExtent l="38100" t="0" r="47625"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21371518" w14:textId="77777777" w:rsidR="00655DC5" w:rsidRDefault="00655DC5" w:rsidP="00655DC5">
      <w:pPr>
        <w:ind w:left="432" w:hanging="432"/>
        <w:rPr>
          <w:iCs/>
        </w:rPr>
      </w:pPr>
    </w:p>
    <w:p w14:paraId="593105B2" w14:textId="77777777" w:rsidR="00655DC5" w:rsidRPr="003B1CC5" w:rsidRDefault="00655DC5" w:rsidP="00655DC5">
      <w:pPr>
        <w:ind w:left="0" w:firstLine="0"/>
      </w:pPr>
      <w:r w:rsidRPr="00E316C7">
        <w:rPr>
          <w:rFonts w:eastAsiaTheme="minorEastAsia"/>
        </w:rPr>
        <w:t>Nutrition screening completed at admission can identify patients at risk of malnutrition early in the patient stay. Those patients who are identified are then assessed by a registered dietitian who, if appropriate, may recommend a specific nutrition intervention to address the patient’s malnutrition, which if addressed early can reduce risk of mortality and post-operative complications and possibly reduce length of stay.</w:t>
      </w:r>
    </w:p>
    <w:p w14:paraId="48B45E8C" w14:textId="77777777" w:rsidR="00655DC5" w:rsidRDefault="00655DC5" w:rsidP="00655DC5">
      <w:pPr>
        <w:ind w:left="0" w:firstLine="0"/>
        <w:rPr>
          <w:iCs/>
        </w:rPr>
      </w:pPr>
    </w:p>
    <w:p w14:paraId="4A9BF561" w14:textId="77777777" w:rsidR="00655DC5" w:rsidRDefault="00655DC5" w:rsidP="00655DC5">
      <w:pPr>
        <w:ind w:right="738"/>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5C215FE1" w14:textId="77777777" w:rsidR="00655DC5" w:rsidRPr="003B1CC5" w:rsidRDefault="00655DC5" w:rsidP="00655DC5">
      <w:pPr>
        <w:ind w:left="0" w:firstLine="0"/>
        <w:rPr>
          <w:iCs/>
        </w:rPr>
      </w:pPr>
    </w:p>
    <w:p w14:paraId="07682C2F" w14:textId="77777777" w:rsidR="00655DC5" w:rsidRPr="00C06ABD" w:rsidRDefault="00655DC5" w:rsidP="00655DC5">
      <w:pPr>
        <w:widowControl w:val="0"/>
        <w:autoSpaceDE w:val="0"/>
        <w:autoSpaceDN w:val="0"/>
        <w:outlineLvl w:val="0"/>
        <w:rPr>
          <w:rFonts w:ascii="Calibri" w:eastAsia="Calibri" w:hAnsi="Calibri" w:cs="Calibri"/>
          <w:b/>
          <w:bCs/>
          <w:lang w:bidi="en-US"/>
        </w:rPr>
      </w:pPr>
      <w:r w:rsidRPr="00C06ABD">
        <w:rPr>
          <w:rFonts w:ascii="Calibri" w:eastAsia="Calibri" w:hAnsi="Calibri" w:cs="Calibri"/>
          <w:b/>
          <w:bCs/>
          <w:lang w:bidi="en-US"/>
        </w:rPr>
        <w:t>**RESPOND TO ONLY ONE SECTION BELOW -EITHER 1a.2, 1a.3 or 1a.4) **</w:t>
      </w:r>
    </w:p>
    <w:p w14:paraId="4273BAB3" w14:textId="77777777" w:rsidR="00655DC5" w:rsidRPr="00C06ABD" w:rsidRDefault="00655DC5" w:rsidP="00655DC5">
      <w:pPr>
        <w:widowControl w:val="0"/>
        <w:autoSpaceDE w:val="0"/>
        <w:autoSpaceDN w:val="0"/>
        <w:ind w:left="0" w:firstLine="0"/>
        <w:rPr>
          <w:rFonts w:ascii="Calibri" w:eastAsia="Calibri" w:hAnsi="Calibri" w:cs="Calibri"/>
          <w:b/>
          <w:szCs w:val="20"/>
          <w:lang w:bidi="en-US"/>
        </w:rPr>
      </w:pPr>
    </w:p>
    <w:p w14:paraId="6CCE44A2" w14:textId="77777777" w:rsidR="00655DC5" w:rsidRPr="00C06ABD" w:rsidRDefault="00655DC5" w:rsidP="00655DC5">
      <w:pPr>
        <w:widowControl w:val="0"/>
        <w:autoSpaceDE w:val="0"/>
        <w:autoSpaceDN w:val="0"/>
        <w:spacing w:before="1"/>
        <w:ind w:right="945"/>
        <w:rPr>
          <w:rFonts w:ascii="Calibri" w:eastAsia="Calibri" w:hAnsi="Calibri" w:cs="Calibri"/>
          <w:b/>
          <w:lang w:bidi="en-US"/>
        </w:rPr>
      </w:pPr>
      <w:r w:rsidRPr="00C06ABD">
        <w:rPr>
          <w:rFonts w:ascii="Calibri" w:eastAsia="Calibri" w:hAnsi="Calibri" w:cs="Calibri"/>
          <w:b/>
          <w:lang w:bidi="en-US"/>
        </w:rPr>
        <w:t>1a.2 FOR OUTCOME MEASURES including PATIENT REPORTED OUTCOMES - Provide empirical data demonstrating the relationship between the outcome (or PRO) to at least one healthcare structure, process, intervention, or service.</w:t>
      </w:r>
    </w:p>
    <w:p w14:paraId="402BF25D" w14:textId="77777777" w:rsidR="00655DC5" w:rsidRPr="00C06ABD" w:rsidRDefault="00655DC5" w:rsidP="00655DC5">
      <w:pPr>
        <w:widowControl w:val="0"/>
        <w:autoSpaceDE w:val="0"/>
        <w:autoSpaceDN w:val="0"/>
        <w:ind w:left="0" w:firstLine="0"/>
        <w:rPr>
          <w:rFonts w:ascii="Calibri" w:eastAsia="Calibri" w:hAnsi="Calibri" w:cs="Calibri"/>
          <w:b/>
          <w:szCs w:val="20"/>
          <w:lang w:bidi="en-US"/>
        </w:rPr>
      </w:pPr>
    </w:p>
    <w:p w14:paraId="70FDA8D5" w14:textId="77777777" w:rsidR="00655DC5" w:rsidRPr="00C06ABD" w:rsidRDefault="00655DC5" w:rsidP="00655DC5">
      <w:pPr>
        <w:widowControl w:val="0"/>
        <w:autoSpaceDE w:val="0"/>
        <w:autoSpaceDN w:val="0"/>
        <w:spacing w:before="10"/>
        <w:ind w:left="0" w:firstLine="0"/>
        <w:rPr>
          <w:rFonts w:ascii="Calibri" w:eastAsia="Calibri" w:hAnsi="Calibri" w:cs="Calibri"/>
          <w:b/>
          <w:sz w:val="21"/>
          <w:szCs w:val="20"/>
          <w:lang w:bidi="en-US"/>
        </w:rPr>
      </w:pPr>
    </w:p>
    <w:p w14:paraId="4E42E56B" w14:textId="77777777" w:rsidR="00655DC5" w:rsidRPr="00C06ABD" w:rsidRDefault="00655DC5" w:rsidP="00655DC5">
      <w:pPr>
        <w:widowControl w:val="0"/>
        <w:autoSpaceDE w:val="0"/>
        <w:autoSpaceDN w:val="0"/>
        <w:ind w:left="0" w:right="991" w:firstLine="0"/>
        <w:rPr>
          <w:rFonts w:ascii="Calibri" w:eastAsia="Calibri" w:hAnsi="Calibri" w:cs="Calibri"/>
          <w:b/>
          <w:lang w:bidi="en-US"/>
        </w:rPr>
      </w:pPr>
      <w:r w:rsidRPr="00C06ABD">
        <w:rPr>
          <w:rFonts w:ascii="Calibri" w:eastAsia="Calibri" w:hAnsi="Calibri" w:cs="Calibri"/>
          <w:b/>
          <w:lang w:bidi="en-US"/>
        </w:rPr>
        <w:t>1a.3. SYSTEMATIC REVIEW(SR) OF THE EVIDENCE (for INTERMEDIATE OUTCOME, PROCESS, OR STRUCTURE PERFORMANCE MEASURES, INCLUDING THOSE THAT ARE INSTRUMENT-BASED) If the</w:t>
      </w:r>
      <w:r>
        <w:rPr>
          <w:rFonts w:ascii="Calibri" w:eastAsia="Calibri" w:hAnsi="Calibri" w:cs="Calibri"/>
          <w:b/>
          <w:lang w:bidi="en-US"/>
        </w:rPr>
        <w:t xml:space="preserve"> </w:t>
      </w:r>
      <w:r w:rsidRPr="00C06ABD">
        <w:rPr>
          <w:rFonts w:ascii="Calibri" w:eastAsia="Calibri" w:hAnsi="Calibri" w:cs="Calibri"/>
          <w:b/>
          <w:lang w:bidi="en-US"/>
        </w:rPr>
        <w:t>evidence is not based on a systematic review go to section 1a.4) If you wish to include more than one systematic review, add additional tables.</w:t>
      </w:r>
    </w:p>
    <w:p w14:paraId="77682564" w14:textId="77777777" w:rsidR="00655DC5" w:rsidRPr="00C06ABD" w:rsidRDefault="00655DC5" w:rsidP="00655DC5">
      <w:pPr>
        <w:widowControl w:val="0"/>
        <w:autoSpaceDE w:val="0"/>
        <w:autoSpaceDN w:val="0"/>
        <w:spacing w:before="2"/>
        <w:ind w:left="0" w:firstLine="0"/>
        <w:rPr>
          <w:rFonts w:ascii="Calibri" w:eastAsia="Calibri" w:hAnsi="Calibri" w:cs="Calibri"/>
          <w:b/>
          <w:szCs w:val="20"/>
          <w:lang w:bidi="en-US"/>
        </w:rPr>
      </w:pPr>
    </w:p>
    <w:p w14:paraId="716F6044" w14:textId="77777777" w:rsidR="00655DC5" w:rsidRPr="00C06ABD" w:rsidRDefault="00655DC5" w:rsidP="00655DC5">
      <w:pPr>
        <w:widowControl w:val="0"/>
        <w:autoSpaceDE w:val="0"/>
        <w:autoSpaceDN w:val="0"/>
        <w:ind w:left="0" w:right="597" w:firstLine="0"/>
        <w:rPr>
          <w:rFonts w:ascii="Calibri" w:eastAsia="Calibri" w:hAnsi="Calibri" w:cs="Calibri"/>
          <w:b/>
          <w:lang w:bidi="en-US"/>
        </w:rPr>
      </w:pPr>
      <w:r w:rsidRPr="00C06ABD">
        <w:rPr>
          <w:rFonts w:ascii="Calibri" w:eastAsia="Calibri" w:hAnsi="Calibri" w:cs="Calibri"/>
          <w:b/>
          <w:lang w:bidi="en-US"/>
        </w:rPr>
        <w:t xml:space="preserve">What is the source of the </w:t>
      </w:r>
      <w:r w:rsidRPr="00C06ABD">
        <w:rPr>
          <w:rFonts w:ascii="Calibri" w:eastAsia="Calibri" w:hAnsi="Calibri" w:cs="Calibri"/>
          <w:b/>
          <w:u w:val="single"/>
          <w:lang w:bidi="en-US"/>
        </w:rPr>
        <w:t>systematic review of the body of evidence</w:t>
      </w:r>
      <w:r w:rsidRPr="00C06ABD">
        <w:rPr>
          <w:rFonts w:ascii="Calibri" w:eastAsia="Calibri" w:hAnsi="Calibri" w:cs="Calibri"/>
          <w:b/>
          <w:lang w:bidi="en-US"/>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8CD031E" w14:textId="77777777" w:rsidR="00655DC5" w:rsidRPr="003B1CC5" w:rsidRDefault="00655DC5" w:rsidP="00655DC5">
      <w:pPr>
        <w:ind w:left="0" w:firstLine="0"/>
      </w:pPr>
    </w:p>
    <w:p w14:paraId="4BFD7DD3" w14:textId="77777777" w:rsidR="00655DC5" w:rsidRPr="003B1CC5" w:rsidRDefault="00F86A6A" w:rsidP="00655DC5">
      <w:pPr>
        <w:ind w:left="0" w:firstLine="0"/>
      </w:pPr>
      <w:sdt>
        <w:sdtPr>
          <w:rPr>
            <w:bCs/>
            <w:color w:val="0000FF"/>
          </w:rPr>
          <w:id w:val="-112590459"/>
          <w14:checkbox>
            <w14:checked w14:val="1"/>
            <w14:checkedState w14:val="2612" w14:font="MS Gothic"/>
            <w14:uncheckedState w14:val="2610" w14:font="MS Gothic"/>
          </w14:checkbox>
        </w:sdtPr>
        <w:sdtContent>
          <w:r w:rsidR="00655DC5">
            <w:rPr>
              <w:rFonts w:ascii="MS Gothic" w:eastAsia="MS Gothic" w:hAnsi="MS Gothic" w:hint="eastAsia"/>
              <w:bCs/>
              <w:color w:val="0000FF"/>
            </w:rPr>
            <w:t>☒</w:t>
          </w:r>
        </w:sdtContent>
      </w:sdt>
      <w:r w:rsidR="00655DC5" w:rsidRPr="00E316C7">
        <w:rPr>
          <w:rFonts w:eastAsiaTheme="minorEastAsia"/>
        </w:rPr>
        <w:t xml:space="preserve"> Clinical Practice Guideline recommendation </w:t>
      </w:r>
    </w:p>
    <w:p w14:paraId="56D0DF05" w14:textId="77777777" w:rsidR="00655DC5" w:rsidRPr="003B1CC5" w:rsidRDefault="00F86A6A" w:rsidP="00655DC5">
      <w:pPr>
        <w:ind w:left="0" w:firstLine="0"/>
        <w:rPr>
          <w:b/>
          <w:i/>
        </w:rPr>
      </w:pPr>
      <w:sdt>
        <w:sdtPr>
          <w:rPr>
            <w:bCs/>
            <w:color w:val="0000FF"/>
          </w:rPr>
          <w:id w:val="-1824108880"/>
          <w14:checkbox>
            <w14:checked w14:val="0"/>
            <w14:checkedState w14:val="2612" w14:font="MS Gothic"/>
            <w14:uncheckedState w14:val="2610" w14:font="MS Gothic"/>
          </w14:checkbox>
        </w:sdtPr>
        <w:sdtContent>
          <w:r w:rsidR="00655DC5" w:rsidRPr="003B1CC5">
            <w:rPr>
              <w:rFonts w:ascii="MS Gothic" w:eastAsia="MS Gothic" w:hAnsi="MS Gothic" w:cs="MS Gothic" w:hint="eastAsia"/>
              <w:bCs/>
              <w:color w:val="0000FF"/>
            </w:rPr>
            <w:t>☐</w:t>
          </w:r>
        </w:sdtContent>
      </w:sdt>
      <w:r w:rsidR="00655DC5" w:rsidRPr="00E316C7">
        <w:rPr>
          <w:rFonts w:eastAsiaTheme="minorEastAsia"/>
        </w:rPr>
        <w:t xml:space="preserve"> US Preventive Services Task Force Recommendation </w:t>
      </w:r>
    </w:p>
    <w:p w14:paraId="260894B7" w14:textId="77777777" w:rsidR="00655DC5" w:rsidRPr="003B1CC5" w:rsidRDefault="00F86A6A" w:rsidP="00655DC5">
      <w:pPr>
        <w:ind w:left="0" w:firstLine="0"/>
      </w:pPr>
      <w:sdt>
        <w:sdtPr>
          <w:rPr>
            <w:bCs/>
            <w:color w:val="0000FF"/>
          </w:rPr>
          <w:id w:val="-106737543"/>
          <w14:checkbox>
            <w14:checked w14:val="1"/>
            <w14:checkedState w14:val="2612" w14:font="MS Gothic"/>
            <w14:uncheckedState w14:val="2610" w14:font="MS Gothic"/>
          </w14:checkbox>
        </w:sdtPr>
        <w:sdtContent>
          <w:r w:rsidR="00655DC5">
            <w:rPr>
              <w:rFonts w:ascii="MS Gothic" w:eastAsia="MS Gothic" w:hAnsi="MS Gothic" w:hint="eastAsia"/>
              <w:bCs/>
              <w:color w:val="0000FF"/>
            </w:rPr>
            <w:t>☒</w:t>
          </w:r>
        </w:sdtContent>
      </w:sdt>
      <w:r w:rsidR="00655DC5" w:rsidRPr="00E316C7">
        <w:rPr>
          <w:rFonts w:eastAsiaTheme="minorEastAsia"/>
        </w:rPr>
        <w:t xml:space="preserve"> Other systematic review and grading of the body of evidence (</w:t>
      </w:r>
      <w:r w:rsidR="00655DC5" w:rsidRPr="00E316C7">
        <w:rPr>
          <w:rFonts w:eastAsiaTheme="minorEastAsia"/>
          <w:i/>
          <w:iCs/>
        </w:rPr>
        <w:t>e.g., Cochrane Collaboration, AHRQ Evidence Practice Center</w:t>
      </w:r>
      <w:r w:rsidR="00655DC5" w:rsidRPr="00E316C7">
        <w:rPr>
          <w:rFonts w:eastAsiaTheme="minorEastAsia"/>
        </w:rPr>
        <w:t xml:space="preserve">) </w:t>
      </w:r>
    </w:p>
    <w:p w14:paraId="323DF86A" w14:textId="77777777" w:rsidR="00655DC5" w:rsidRPr="003B1CC5" w:rsidRDefault="00F86A6A" w:rsidP="00655DC5">
      <w:pPr>
        <w:ind w:left="0" w:firstLine="0"/>
      </w:pPr>
      <w:sdt>
        <w:sdtPr>
          <w:rPr>
            <w:bCs/>
            <w:color w:val="0000FF"/>
          </w:rPr>
          <w:id w:val="-2060389800"/>
          <w14:checkbox>
            <w14:checked w14:val="0"/>
            <w14:checkedState w14:val="2612" w14:font="MS Gothic"/>
            <w14:uncheckedState w14:val="2610" w14:font="MS Gothic"/>
          </w14:checkbox>
        </w:sdtPr>
        <w:sdtContent>
          <w:r w:rsidR="00655DC5" w:rsidRPr="003B1CC5">
            <w:rPr>
              <w:rFonts w:ascii="MS Gothic" w:eastAsia="MS Gothic" w:hAnsi="MS Gothic" w:cs="MS Gothic" w:hint="eastAsia"/>
              <w:bCs/>
              <w:color w:val="0000FF"/>
            </w:rPr>
            <w:t>☐</w:t>
          </w:r>
        </w:sdtContent>
      </w:sdt>
      <w:r w:rsidR="00655DC5" w:rsidRPr="00E316C7">
        <w:rPr>
          <w:rFonts w:eastAsiaTheme="minorEastAsia"/>
        </w:rPr>
        <w:t xml:space="preserve"> Other </w:t>
      </w:r>
    </w:p>
    <w:p w14:paraId="0E6FBC60" w14:textId="77777777" w:rsidR="00655DC5" w:rsidRPr="003B1CC5" w:rsidRDefault="00655DC5" w:rsidP="00655DC5">
      <w:pPr>
        <w:ind w:left="0" w:firstLine="0"/>
      </w:pPr>
    </w:p>
    <w:tbl>
      <w:tblPr>
        <w:tblW w:w="9199"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655DC5" w:rsidRPr="00F86A6A" w14:paraId="7CB60427" w14:textId="77777777" w:rsidTr="00340780">
        <w:trPr>
          <w:trHeight w:val="2073"/>
        </w:trPr>
        <w:tc>
          <w:tcPr>
            <w:tcW w:w="4068" w:type="dxa"/>
          </w:tcPr>
          <w:p w14:paraId="6F9A5563" w14:textId="77777777" w:rsidR="00655DC5" w:rsidRDefault="00655DC5" w:rsidP="00340780">
            <w:pPr>
              <w:pStyle w:val="TableParagraph"/>
              <w:spacing w:before="1"/>
              <w:rPr>
                <w:b/>
              </w:rPr>
            </w:pPr>
            <w:r>
              <w:rPr>
                <w:b/>
              </w:rPr>
              <w:t>Source of Systematic Review:</w:t>
            </w:r>
          </w:p>
          <w:p w14:paraId="0ECA9EBE" w14:textId="77777777" w:rsidR="00655DC5" w:rsidRDefault="00655DC5" w:rsidP="00340780">
            <w:pPr>
              <w:pStyle w:val="TableParagraph"/>
              <w:numPr>
                <w:ilvl w:val="0"/>
                <w:numId w:val="17"/>
              </w:numPr>
              <w:tabs>
                <w:tab w:val="left" w:pos="827"/>
                <w:tab w:val="left" w:pos="828"/>
              </w:tabs>
              <w:spacing w:before="1"/>
              <w:rPr>
                <w:b/>
              </w:rPr>
            </w:pPr>
            <w:r>
              <w:rPr>
                <w:b/>
              </w:rPr>
              <w:t>Title</w:t>
            </w:r>
          </w:p>
          <w:p w14:paraId="0E38A888" w14:textId="77777777" w:rsidR="00655DC5" w:rsidRDefault="00655DC5" w:rsidP="00340780">
            <w:pPr>
              <w:pStyle w:val="TableParagraph"/>
              <w:numPr>
                <w:ilvl w:val="0"/>
                <w:numId w:val="17"/>
              </w:numPr>
              <w:tabs>
                <w:tab w:val="left" w:pos="827"/>
                <w:tab w:val="left" w:pos="828"/>
              </w:tabs>
              <w:spacing w:before="39"/>
              <w:rPr>
                <w:b/>
              </w:rPr>
            </w:pPr>
            <w:r>
              <w:rPr>
                <w:b/>
              </w:rPr>
              <w:t>Author</w:t>
            </w:r>
          </w:p>
          <w:p w14:paraId="2EA62427" w14:textId="77777777" w:rsidR="00655DC5" w:rsidRDefault="00655DC5" w:rsidP="00340780">
            <w:pPr>
              <w:pStyle w:val="TableParagraph"/>
              <w:numPr>
                <w:ilvl w:val="0"/>
                <w:numId w:val="17"/>
              </w:numPr>
              <w:tabs>
                <w:tab w:val="left" w:pos="827"/>
                <w:tab w:val="left" w:pos="828"/>
              </w:tabs>
              <w:spacing w:before="41"/>
              <w:rPr>
                <w:b/>
              </w:rPr>
            </w:pPr>
            <w:r>
              <w:rPr>
                <w:b/>
              </w:rPr>
              <w:t>Date</w:t>
            </w:r>
          </w:p>
          <w:p w14:paraId="36C5AF3B" w14:textId="77777777" w:rsidR="00655DC5" w:rsidRDefault="00655DC5" w:rsidP="00340780">
            <w:pPr>
              <w:pStyle w:val="TableParagraph"/>
              <w:numPr>
                <w:ilvl w:val="0"/>
                <w:numId w:val="17"/>
              </w:numPr>
              <w:tabs>
                <w:tab w:val="left" w:pos="827"/>
                <w:tab w:val="left" w:pos="828"/>
              </w:tabs>
              <w:spacing w:before="39"/>
              <w:rPr>
                <w:b/>
              </w:rPr>
            </w:pPr>
            <w:r>
              <w:rPr>
                <w:b/>
              </w:rPr>
              <w:t>Citation, including page</w:t>
            </w:r>
            <w:r>
              <w:rPr>
                <w:b/>
                <w:spacing w:val="-4"/>
              </w:rPr>
              <w:t xml:space="preserve"> </w:t>
            </w:r>
            <w:r>
              <w:rPr>
                <w:b/>
              </w:rPr>
              <w:t>number</w:t>
            </w:r>
          </w:p>
          <w:p w14:paraId="58E033B6" w14:textId="77777777" w:rsidR="00655DC5" w:rsidRDefault="00655DC5" w:rsidP="00340780">
            <w:pPr>
              <w:pStyle w:val="TableParagraph"/>
              <w:numPr>
                <w:ilvl w:val="0"/>
                <w:numId w:val="17"/>
              </w:numPr>
              <w:tabs>
                <w:tab w:val="left" w:pos="827"/>
                <w:tab w:val="left" w:pos="828"/>
              </w:tabs>
              <w:spacing w:before="42"/>
              <w:rPr>
                <w:b/>
              </w:rPr>
            </w:pPr>
            <w:r>
              <w:rPr>
                <w:b/>
              </w:rPr>
              <w:t>URL</w:t>
            </w:r>
          </w:p>
        </w:tc>
        <w:tc>
          <w:tcPr>
            <w:tcW w:w="5131" w:type="dxa"/>
          </w:tcPr>
          <w:p w14:paraId="2C2CBFAF" w14:textId="77777777" w:rsidR="00655DC5" w:rsidRPr="00655DC5" w:rsidRDefault="00655DC5" w:rsidP="00340780">
            <w:pPr>
              <w:pStyle w:val="TableParagraph"/>
              <w:rPr>
                <w:rFonts w:asciiTheme="minorHAnsi" w:hAnsiTheme="minorHAnsi" w:cstheme="minorHAnsi"/>
                <w:lang w:val="es-US"/>
              </w:rPr>
            </w:pPr>
            <w:r w:rsidRPr="003B73E6">
              <w:rPr>
                <w:rFonts w:asciiTheme="minorHAnsi" w:hAnsiTheme="minorHAnsi" w:cstheme="minorHAnsi"/>
              </w:rPr>
              <w:t xml:space="preserve">Mueller C, </w:t>
            </w:r>
            <w:proofErr w:type="spellStart"/>
            <w:r w:rsidRPr="003B73E6">
              <w:rPr>
                <w:rFonts w:asciiTheme="minorHAnsi" w:hAnsiTheme="minorHAnsi" w:cstheme="minorHAnsi"/>
              </w:rPr>
              <w:t>Compher</w:t>
            </w:r>
            <w:proofErr w:type="spellEnd"/>
            <w:r w:rsidRPr="003B73E6">
              <w:rPr>
                <w:rFonts w:asciiTheme="minorHAnsi" w:hAnsiTheme="minorHAnsi" w:cstheme="minorHAnsi"/>
              </w:rPr>
              <w:t xml:space="preserve"> C &amp; </w:t>
            </w:r>
            <w:proofErr w:type="spellStart"/>
            <w:r w:rsidRPr="003B73E6">
              <w:rPr>
                <w:rFonts w:asciiTheme="minorHAnsi" w:hAnsiTheme="minorHAnsi" w:cstheme="minorHAnsi"/>
              </w:rPr>
              <w:t>Druyan</w:t>
            </w:r>
            <w:proofErr w:type="spellEnd"/>
            <w:r w:rsidRPr="003B73E6">
              <w:rPr>
                <w:rFonts w:asciiTheme="minorHAnsi" w:hAnsiTheme="minorHAnsi" w:cstheme="minorHAnsi"/>
              </w:rPr>
              <w:t xml:space="preserve"> ME and the American Society for Parenteral and Enteral Nutrition (A.S.P.E.N.) Board of Directors. A.S.P.E.N. Clinical Guidelines: Nutrition Screening, Assessment, and Intervention in Adults. </w:t>
            </w:r>
            <w:r w:rsidRPr="00655DC5">
              <w:rPr>
                <w:rFonts w:asciiTheme="minorHAnsi" w:hAnsiTheme="minorHAnsi" w:cstheme="minorHAnsi"/>
                <w:lang w:val="es-US"/>
              </w:rPr>
              <w:t xml:space="preserve">J </w:t>
            </w:r>
            <w:proofErr w:type="spellStart"/>
            <w:r w:rsidRPr="00655DC5">
              <w:rPr>
                <w:rFonts w:asciiTheme="minorHAnsi" w:hAnsiTheme="minorHAnsi" w:cstheme="minorHAnsi"/>
                <w:lang w:val="es-US"/>
              </w:rPr>
              <w:t>Parenter</w:t>
            </w:r>
            <w:proofErr w:type="spellEnd"/>
            <w:r w:rsidRPr="00655DC5">
              <w:rPr>
                <w:rFonts w:asciiTheme="minorHAnsi" w:hAnsiTheme="minorHAnsi" w:cstheme="minorHAnsi"/>
                <w:lang w:val="es-US"/>
              </w:rPr>
              <w:t xml:space="preserve"> Enteral </w:t>
            </w:r>
            <w:proofErr w:type="spellStart"/>
            <w:r w:rsidRPr="00655DC5">
              <w:rPr>
                <w:rFonts w:asciiTheme="minorHAnsi" w:hAnsiTheme="minorHAnsi" w:cstheme="minorHAnsi"/>
                <w:lang w:val="es-US"/>
              </w:rPr>
              <w:t>Nutr</w:t>
            </w:r>
            <w:proofErr w:type="spellEnd"/>
            <w:r w:rsidRPr="00655DC5">
              <w:rPr>
                <w:rFonts w:asciiTheme="minorHAnsi" w:hAnsiTheme="minorHAnsi" w:cstheme="minorHAnsi"/>
                <w:lang w:val="es-US"/>
              </w:rPr>
              <w:t>. 2011;35: 16-24.</w:t>
            </w:r>
          </w:p>
          <w:p w14:paraId="4BC26BFF" w14:textId="77777777" w:rsidR="00655DC5" w:rsidRPr="00655DC5" w:rsidRDefault="00F86A6A" w:rsidP="00340780">
            <w:pPr>
              <w:pStyle w:val="TableParagraph"/>
              <w:rPr>
                <w:rFonts w:asciiTheme="minorHAnsi" w:hAnsiTheme="minorHAnsi" w:cstheme="minorHAnsi"/>
                <w:lang w:val="es-US"/>
              </w:rPr>
            </w:pPr>
            <w:hyperlink r:id="rId26" w:history="1">
              <w:r w:rsidR="00655DC5" w:rsidRPr="00655DC5">
                <w:rPr>
                  <w:rStyle w:val="Hyperlink"/>
                  <w:lang w:val="es-US"/>
                </w:rPr>
                <w:t>https://onlinelibrary.wiley.com/doi/epdf/10.1177/0148607110389335</w:t>
              </w:r>
            </w:hyperlink>
          </w:p>
        </w:tc>
      </w:tr>
      <w:tr w:rsidR="00655DC5" w14:paraId="1179B4BC" w14:textId="77777777" w:rsidTr="00340780">
        <w:trPr>
          <w:trHeight w:val="1341"/>
        </w:trPr>
        <w:tc>
          <w:tcPr>
            <w:tcW w:w="4068" w:type="dxa"/>
          </w:tcPr>
          <w:p w14:paraId="6DCA494C" w14:textId="77777777" w:rsidR="00655DC5" w:rsidRDefault="00655DC5" w:rsidP="00340780">
            <w:pPr>
              <w:pStyle w:val="TableParagraph"/>
              <w:ind w:right="200"/>
            </w:pPr>
            <w:r>
              <w:t>Quote the guideline or recommendation verbatim about the process, structure or intermediate outcome being measured. If not a guideline, summarize the</w:t>
            </w:r>
          </w:p>
          <w:p w14:paraId="046ACFA4" w14:textId="77777777" w:rsidR="00655DC5" w:rsidRDefault="00655DC5" w:rsidP="00340780">
            <w:pPr>
              <w:pStyle w:val="TableParagraph"/>
              <w:spacing w:line="248" w:lineRule="exact"/>
            </w:pPr>
            <w:r>
              <w:t>conclusions from the SR.</w:t>
            </w:r>
          </w:p>
        </w:tc>
        <w:tc>
          <w:tcPr>
            <w:tcW w:w="5131" w:type="dxa"/>
          </w:tcPr>
          <w:p w14:paraId="10AC70C4" w14:textId="77777777" w:rsidR="00655DC5" w:rsidRPr="003B73E6" w:rsidRDefault="00655DC5" w:rsidP="00340780">
            <w:pPr>
              <w:pStyle w:val="TableParagraph"/>
              <w:ind w:left="0"/>
              <w:rPr>
                <w:rFonts w:asciiTheme="minorHAnsi" w:hAnsiTheme="minorHAnsi" w:cstheme="minorHAnsi"/>
              </w:rPr>
            </w:pPr>
            <w:r>
              <w:rPr>
                <w:rFonts w:asciiTheme="minorHAnsi" w:hAnsiTheme="minorHAnsi" w:cstheme="minorHAnsi"/>
              </w:rPr>
              <w:t>“</w:t>
            </w:r>
            <w:r w:rsidRPr="003B73E6">
              <w:rPr>
                <w:rFonts w:asciiTheme="minorHAnsi" w:hAnsiTheme="minorHAnsi" w:cstheme="minorHAnsi"/>
              </w:rPr>
              <w:t>Nutrition assessment: Nutrition assessment is suggested for all patients who are identified to be at nutrition risk by nutrition screening: Grade E</w:t>
            </w:r>
            <w:r>
              <w:rPr>
                <w:rFonts w:asciiTheme="minorHAnsi" w:hAnsiTheme="minorHAnsi" w:cstheme="minorHAnsi"/>
              </w:rPr>
              <w:t>.”</w:t>
            </w:r>
            <w:r w:rsidRPr="003B73E6">
              <w:rPr>
                <w:rFonts w:asciiTheme="minorHAnsi" w:hAnsiTheme="minorHAnsi" w:cstheme="minorHAnsi"/>
              </w:rPr>
              <w:t xml:space="preserve"> (</w:t>
            </w:r>
            <w:r>
              <w:rPr>
                <w:rFonts w:asciiTheme="minorHAnsi" w:hAnsiTheme="minorHAnsi" w:cstheme="minorHAnsi"/>
              </w:rPr>
              <w:t>P</w:t>
            </w:r>
            <w:r w:rsidRPr="003B73E6">
              <w:rPr>
                <w:rFonts w:asciiTheme="minorHAnsi" w:hAnsiTheme="minorHAnsi" w:cstheme="minorHAnsi"/>
              </w:rPr>
              <w:t>age 22)</w:t>
            </w:r>
          </w:p>
          <w:p w14:paraId="426ECCCB" w14:textId="77777777" w:rsidR="00655DC5" w:rsidRDefault="00655DC5" w:rsidP="00340780">
            <w:pPr>
              <w:pStyle w:val="TableParagraph"/>
              <w:ind w:left="0"/>
              <w:rPr>
                <w:rFonts w:asciiTheme="minorHAnsi" w:hAnsiTheme="minorHAnsi" w:cstheme="minorHAnsi"/>
              </w:rPr>
            </w:pPr>
          </w:p>
          <w:p w14:paraId="2FB36D6D" w14:textId="77777777" w:rsidR="00655DC5" w:rsidRPr="003B73E6" w:rsidRDefault="00655DC5" w:rsidP="00340780">
            <w:pPr>
              <w:pStyle w:val="TableParagraph"/>
              <w:ind w:left="0"/>
              <w:rPr>
                <w:rFonts w:asciiTheme="minorHAnsi" w:hAnsiTheme="minorHAnsi" w:cstheme="minorHAnsi"/>
              </w:rPr>
            </w:pPr>
            <w:r w:rsidRPr="00305C6E">
              <w:rPr>
                <w:rFonts w:asciiTheme="minorHAnsi" w:hAnsiTheme="minorHAnsi" w:cstheme="minorHAnsi"/>
              </w:rPr>
              <w:t>“Rationale</w:t>
            </w:r>
            <w:r>
              <w:rPr>
                <w:rFonts w:asciiTheme="minorHAnsi" w:hAnsiTheme="minorHAnsi" w:cstheme="minorHAnsi"/>
              </w:rPr>
              <w:t>-</w:t>
            </w:r>
            <w:r w:rsidRPr="003B73E6">
              <w:rPr>
                <w:rFonts w:asciiTheme="minorHAnsi" w:hAnsiTheme="minorHAnsi" w:cstheme="minorHAnsi"/>
              </w:rPr>
              <w:t xml:space="preserve"> Malnourished patients, identified by nutrition assessment tools, have more complications and longer hospitalizations than do patients with optimal nutrition status. Such patients, identified by nutrition assessment tools, have more infectious and noninfectious complications, longer hospital length of stay, and greater mortality. With one exception, studies have shown malnourished patients to have greater mortality</w:t>
            </w:r>
            <w:r>
              <w:rPr>
                <w:rFonts w:asciiTheme="minorHAnsi" w:hAnsiTheme="minorHAnsi" w:cstheme="minorHAnsi"/>
              </w:rPr>
              <w:t>.” (Page 22)</w:t>
            </w:r>
          </w:p>
        </w:tc>
      </w:tr>
      <w:tr w:rsidR="00655DC5" w14:paraId="64403E08" w14:textId="77777777" w:rsidTr="00340780">
        <w:trPr>
          <w:trHeight w:val="806"/>
        </w:trPr>
        <w:tc>
          <w:tcPr>
            <w:tcW w:w="4068" w:type="dxa"/>
          </w:tcPr>
          <w:p w14:paraId="05174460" w14:textId="77777777" w:rsidR="00655DC5" w:rsidRDefault="00655DC5" w:rsidP="00340780">
            <w:pPr>
              <w:pStyle w:val="TableParagraph"/>
              <w:ind w:right="116"/>
            </w:pPr>
            <w:r>
              <w:t xml:space="preserve">Grade assigned to the </w:t>
            </w:r>
            <w:r>
              <w:rPr>
                <w:b/>
              </w:rPr>
              <w:t xml:space="preserve">evidence </w:t>
            </w:r>
            <w:r>
              <w:t>associated with the recommendation with the</w:t>
            </w:r>
          </w:p>
          <w:p w14:paraId="68A6D391" w14:textId="77777777" w:rsidR="00655DC5" w:rsidRDefault="00655DC5" w:rsidP="00340780">
            <w:pPr>
              <w:pStyle w:val="TableParagraph"/>
              <w:spacing w:line="249" w:lineRule="exact"/>
            </w:pPr>
            <w:r>
              <w:t>definition of the grade</w:t>
            </w:r>
          </w:p>
        </w:tc>
        <w:tc>
          <w:tcPr>
            <w:tcW w:w="5131" w:type="dxa"/>
          </w:tcPr>
          <w:p w14:paraId="630F4075" w14:textId="77777777" w:rsidR="00655DC5" w:rsidRDefault="00655DC5" w:rsidP="00340780">
            <w:pPr>
              <w:ind w:left="0" w:firstLine="0"/>
            </w:pPr>
            <w:r>
              <w:rPr>
                <w:rFonts w:eastAsiaTheme="minorEastAsia"/>
              </w:rPr>
              <w:t>Grade E – Supported by level IV or V evidence</w:t>
            </w:r>
          </w:p>
          <w:p w14:paraId="5B28C017" w14:textId="77777777" w:rsidR="00655DC5" w:rsidRDefault="00655DC5" w:rsidP="00340780">
            <w:pPr>
              <w:pStyle w:val="TableParagraph"/>
              <w:ind w:left="0"/>
              <w:rPr>
                <w:rFonts w:asciiTheme="minorHAnsi" w:hAnsiTheme="minorHAnsi" w:cstheme="minorHAnsi"/>
              </w:rPr>
            </w:pPr>
          </w:p>
          <w:p w14:paraId="455E084C" w14:textId="77777777" w:rsidR="00655DC5" w:rsidRDefault="00655DC5" w:rsidP="00340780">
            <w:pPr>
              <w:pStyle w:val="TableParagraph"/>
              <w:ind w:left="0"/>
              <w:rPr>
                <w:rFonts w:asciiTheme="minorHAnsi" w:hAnsiTheme="minorHAnsi" w:cstheme="minorHAnsi"/>
              </w:rPr>
            </w:pPr>
            <w:r>
              <w:rPr>
                <w:rFonts w:asciiTheme="minorHAnsi" w:hAnsiTheme="minorHAnsi" w:cstheme="minorHAnsi"/>
              </w:rPr>
              <w:t xml:space="preserve">Level IV Evidence: </w:t>
            </w:r>
            <w:r w:rsidRPr="00CE4EFB">
              <w:rPr>
                <w:rFonts w:asciiTheme="minorHAnsi" w:hAnsiTheme="minorHAnsi" w:cstheme="minorHAnsi"/>
              </w:rPr>
              <w:t>Nonrandomized cohort with historical controls</w:t>
            </w:r>
          </w:p>
          <w:p w14:paraId="43713290" w14:textId="77777777" w:rsidR="00655DC5" w:rsidRDefault="00655DC5" w:rsidP="00340780">
            <w:pPr>
              <w:pStyle w:val="TableParagraph"/>
              <w:ind w:left="0"/>
              <w:rPr>
                <w:rFonts w:asciiTheme="minorHAnsi" w:hAnsiTheme="minorHAnsi" w:cstheme="minorHAnsi"/>
              </w:rPr>
            </w:pPr>
          </w:p>
          <w:p w14:paraId="68AD87D1" w14:textId="77777777" w:rsidR="00655DC5" w:rsidRPr="003B73E6" w:rsidRDefault="00655DC5" w:rsidP="00340780">
            <w:pPr>
              <w:pStyle w:val="TableParagraph"/>
              <w:ind w:left="0"/>
              <w:rPr>
                <w:rFonts w:asciiTheme="minorHAnsi" w:hAnsiTheme="minorHAnsi" w:cstheme="minorHAnsi"/>
              </w:rPr>
            </w:pPr>
            <w:r>
              <w:rPr>
                <w:rFonts w:asciiTheme="minorHAnsi" w:hAnsiTheme="minorHAnsi" w:cstheme="minorHAnsi"/>
              </w:rPr>
              <w:t xml:space="preserve">Level V Evidence: </w:t>
            </w:r>
            <w:r w:rsidRPr="00CE4EFB">
              <w:rPr>
                <w:rFonts w:asciiTheme="minorHAnsi" w:hAnsiTheme="minorHAnsi" w:cstheme="minorHAnsi"/>
              </w:rPr>
              <w:t>Case series, uncontrolled studies, and expert opinion</w:t>
            </w:r>
          </w:p>
        </w:tc>
      </w:tr>
      <w:tr w:rsidR="00655DC5" w14:paraId="309A7F73" w14:textId="77777777" w:rsidTr="00340780">
        <w:trPr>
          <w:trHeight w:val="537"/>
        </w:trPr>
        <w:tc>
          <w:tcPr>
            <w:tcW w:w="4068" w:type="dxa"/>
          </w:tcPr>
          <w:p w14:paraId="0F98A255" w14:textId="77777777" w:rsidR="00655DC5" w:rsidRPr="003B73E6" w:rsidRDefault="00655DC5" w:rsidP="00340780">
            <w:pPr>
              <w:pStyle w:val="TableParagraph"/>
              <w:spacing w:line="268" w:lineRule="exact"/>
              <w:rPr>
                <w:rFonts w:asciiTheme="minorHAnsi" w:hAnsiTheme="minorHAnsi" w:cstheme="minorHAnsi"/>
              </w:rPr>
            </w:pPr>
            <w:r w:rsidRPr="003B73E6">
              <w:rPr>
                <w:rFonts w:asciiTheme="minorHAnsi" w:hAnsiTheme="minorHAnsi" w:cstheme="minorHAnsi"/>
              </w:rPr>
              <w:t>Provide all other grades and definitions</w:t>
            </w:r>
          </w:p>
          <w:p w14:paraId="6D986028" w14:textId="77777777" w:rsidR="00655DC5" w:rsidRPr="003B73E6" w:rsidRDefault="00655DC5" w:rsidP="00340780">
            <w:pPr>
              <w:pStyle w:val="TableParagraph"/>
              <w:spacing w:line="249" w:lineRule="exact"/>
              <w:rPr>
                <w:rFonts w:asciiTheme="minorHAnsi" w:hAnsiTheme="minorHAnsi" w:cstheme="minorHAnsi"/>
              </w:rPr>
            </w:pPr>
            <w:r w:rsidRPr="003B73E6">
              <w:rPr>
                <w:rFonts w:asciiTheme="minorHAnsi" w:hAnsiTheme="minorHAnsi" w:cstheme="minorHAnsi"/>
              </w:rPr>
              <w:t>from the evidence grading system</w:t>
            </w:r>
          </w:p>
        </w:tc>
        <w:tc>
          <w:tcPr>
            <w:tcW w:w="5131" w:type="dxa"/>
          </w:tcPr>
          <w:p w14:paraId="09ADD11A" w14:textId="77777777" w:rsidR="00655DC5" w:rsidRDefault="00655DC5" w:rsidP="00340780">
            <w:pPr>
              <w:pStyle w:val="TableParagraph"/>
              <w:ind w:left="0"/>
              <w:rPr>
                <w:rFonts w:asciiTheme="minorHAnsi" w:hAnsiTheme="minorHAnsi" w:cstheme="minorHAnsi"/>
              </w:rPr>
            </w:pPr>
            <w:r>
              <w:rPr>
                <w:rFonts w:asciiTheme="minorHAnsi" w:hAnsiTheme="minorHAnsi" w:cstheme="minorHAnsi"/>
              </w:rPr>
              <w:t xml:space="preserve">Level I Evidence: </w:t>
            </w:r>
            <w:r w:rsidRPr="00CE4EFB">
              <w:rPr>
                <w:rFonts w:asciiTheme="minorHAnsi" w:hAnsiTheme="minorHAnsi" w:cstheme="minorHAnsi"/>
              </w:rPr>
              <w:t>Large randomized trials with clear‐cut results; low risk of false‐positive (α) and/or false‐</w:t>
            </w:r>
            <w:r w:rsidRPr="00CE4EFB">
              <w:rPr>
                <w:rFonts w:asciiTheme="minorHAnsi" w:hAnsiTheme="minorHAnsi" w:cstheme="minorHAnsi"/>
              </w:rPr>
              <w:lastRenderedPageBreak/>
              <w:t>negative (β) error</w:t>
            </w:r>
          </w:p>
          <w:p w14:paraId="6C3B7B94" w14:textId="77777777" w:rsidR="00655DC5" w:rsidRDefault="00655DC5" w:rsidP="00340780">
            <w:pPr>
              <w:pStyle w:val="TableParagraph"/>
              <w:rPr>
                <w:rFonts w:asciiTheme="minorHAnsi" w:hAnsiTheme="minorHAnsi" w:cstheme="minorHAnsi"/>
              </w:rPr>
            </w:pPr>
          </w:p>
          <w:p w14:paraId="4100D241" w14:textId="77777777" w:rsidR="00655DC5" w:rsidRDefault="00655DC5" w:rsidP="00340780">
            <w:pPr>
              <w:pStyle w:val="TableParagraph"/>
              <w:ind w:left="0"/>
              <w:rPr>
                <w:rFonts w:asciiTheme="minorHAnsi" w:hAnsiTheme="minorHAnsi" w:cstheme="minorHAnsi"/>
              </w:rPr>
            </w:pPr>
            <w:r>
              <w:rPr>
                <w:rFonts w:asciiTheme="minorHAnsi" w:hAnsiTheme="minorHAnsi" w:cstheme="minorHAnsi"/>
              </w:rPr>
              <w:t xml:space="preserve">Level II Evidence: </w:t>
            </w:r>
            <w:r w:rsidRPr="00CE4EFB">
              <w:rPr>
                <w:rFonts w:asciiTheme="minorHAnsi" w:hAnsiTheme="minorHAnsi" w:cstheme="minorHAnsi"/>
              </w:rPr>
              <w:t>Small, randomized trials with uncertain results; moderate to high risk of false‐positive (α) and/or false‐negative (β) error</w:t>
            </w:r>
          </w:p>
          <w:p w14:paraId="578EDA42" w14:textId="77777777" w:rsidR="00655DC5" w:rsidRDefault="00655DC5" w:rsidP="00340780">
            <w:pPr>
              <w:pStyle w:val="TableParagraph"/>
              <w:rPr>
                <w:rFonts w:asciiTheme="minorHAnsi" w:hAnsiTheme="minorHAnsi" w:cstheme="minorHAnsi"/>
              </w:rPr>
            </w:pPr>
          </w:p>
          <w:p w14:paraId="1E57FD3B" w14:textId="77777777" w:rsidR="00655DC5" w:rsidRPr="003B73E6" w:rsidRDefault="00655DC5" w:rsidP="00340780">
            <w:pPr>
              <w:pStyle w:val="TableParagraph"/>
              <w:ind w:left="0"/>
              <w:rPr>
                <w:rFonts w:asciiTheme="minorHAnsi" w:hAnsiTheme="minorHAnsi" w:cstheme="minorHAnsi"/>
              </w:rPr>
            </w:pPr>
            <w:r>
              <w:rPr>
                <w:rFonts w:asciiTheme="minorHAnsi" w:hAnsiTheme="minorHAnsi" w:cstheme="minorHAnsi"/>
              </w:rPr>
              <w:t xml:space="preserve">Level III Evidence: </w:t>
            </w:r>
            <w:r w:rsidRPr="00CE4EFB">
              <w:rPr>
                <w:rFonts w:asciiTheme="minorHAnsi" w:hAnsiTheme="minorHAnsi" w:cstheme="minorHAnsi"/>
              </w:rPr>
              <w:t>Nonrandomized cohort with contemporaneous controls.</w:t>
            </w:r>
          </w:p>
        </w:tc>
      </w:tr>
      <w:tr w:rsidR="00655DC5" w14:paraId="39713DBF" w14:textId="77777777" w:rsidTr="00340780">
        <w:trPr>
          <w:trHeight w:val="537"/>
        </w:trPr>
        <w:tc>
          <w:tcPr>
            <w:tcW w:w="4068" w:type="dxa"/>
          </w:tcPr>
          <w:p w14:paraId="32182F67" w14:textId="77777777" w:rsidR="00655DC5" w:rsidRDefault="00655DC5" w:rsidP="00340780">
            <w:pPr>
              <w:pStyle w:val="TableParagraph"/>
              <w:spacing w:line="268" w:lineRule="exact"/>
              <w:rPr>
                <w:b/>
              </w:rPr>
            </w:pPr>
            <w:r>
              <w:lastRenderedPageBreak/>
              <w:t xml:space="preserve">Grade assigned to the </w:t>
            </w:r>
            <w:r>
              <w:rPr>
                <w:b/>
              </w:rPr>
              <w:t>recommendation</w:t>
            </w:r>
          </w:p>
          <w:p w14:paraId="64DF46FA" w14:textId="77777777" w:rsidR="00655DC5" w:rsidRDefault="00655DC5" w:rsidP="00340780">
            <w:pPr>
              <w:pStyle w:val="TableParagraph"/>
              <w:spacing w:line="249" w:lineRule="exact"/>
            </w:pPr>
            <w:r>
              <w:t>with definition of the grade</w:t>
            </w:r>
          </w:p>
        </w:tc>
        <w:tc>
          <w:tcPr>
            <w:tcW w:w="5131" w:type="dxa"/>
          </w:tcPr>
          <w:p w14:paraId="64B2C660" w14:textId="77777777" w:rsidR="00655DC5" w:rsidRDefault="00655DC5" w:rsidP="00340780">
            <w:pPr>
              <w:pStyle w:val="TableParagraph"/>
              <w:ind w:left="0"/>
              <w:rPr>
                <w:rFonts w:ascii="Times New Roman"/>
              </w:rPr>
            </w:pPr>
            <w:r w:rsidRPr="003B73E6">
              <w:rPr>
                <w:rFonts w:asciiTheme="minorHAnsi" w:hAnsiTheme="minorHAnsi" w:cstheme="minorHAnsi"/>
              </w:rPr>
              <w:t>E – Supported by level IV or V evidence</w:t>
            </w:r>
          </w:p>
        </w:tc>
      </w:tr>
      <w:tr w:rsidR="00655DC5" w14:paraId="0EBE03BA" w14:textId="77777777" w:rsidTr="00340780">
        <w:trPr>
          <w:trHeight w:val="537"/>
        </w:trPr>
        <w:tc>
          <w:tcPr>
            <w:tcW w:w="4068" w:type="dxa"/>
          </w:tcPr>
          <w:p w14:paraId="485A9F4E" w14:textId="77777777" w:rsidR="00655DC5" w:rsidRDefault="00655DC5" w:rsidP="00340780">
            <w:pPr>
              <w:pStyle w:val="TableParagraph"/>
              <w:spacing w:line="268" w:lineRule="exact"/>
            </w:pPr>
            <w:r>
              <w:t>Provide all other grades and definitions</w:t>
            </w:r>
          </w:p>
          <w:p w14:paraId="579E41C9" w14:textId="77777777" w:rsidR="00655DC5" w:rsidRDefault="00655DC5" w:rsidP="00340780">
            <w:pPr>
              <w:pStyle w:val="TableParagraph"/>
              <w:spacing w:line="249" w:lineRule="exact"/>
            </w:pPr>
            <w:r>
              <w:t>from the recommendation grading system</w:t>
            </w:r>
          </w:p>
        </w:tc>
        <w:tc>
          <w:tcPr>
            <w:tcW w:w="5131" w:type="dxa"/>
          </w:tcPr>
          <w:p w14:paraId="6D4E9CAD" w14:textId="77777777" w:rsidR="00655DC5" w:rsidRPr="003B73E6" w:rsidRDefault="00655DC5" w:rsidP="00340780">
            <w:pPr>
              <w:pStyle w:val="TableParagraph"/>
              <w:ind w:left="0"/>
              <w:rPr>
                <w:rFonts w:asciiTheme="minorHAnsi" w:hAnsiTheme="minorHAnsi" w:cstheme="minorHAnsi"/>
              </w:rPr>
            </w:pPr>
            <w:r w:rsidRPr="003B73E6">
              <w:rPr>
                <w:rFonts w:asciiTheme="minorHAnsi" w:hAnsiTheme="minorHAnsi" w:cstheme="minorHAnsi"/>
              </w:rPr>
              <w:t>A- Supported by at least 2 level I investigations</w:t>
            </w:r>
          </w:p>
          <w:p w14:paraId="7BDD7ED2" w14:textId="77777777" w:rsidR="00655DC5" w:rsidRPr="003B73E6" w:rsidRDefault="00655DC5" w:rsidP="00340780">
            <w:pPr>
              <w:pStyle w:val="TableParagraph"/>
              <w:ind w:left="0"/>
              <w:rPr>
                <w:rFonts w:asciiTheme="minorHAnsi" w:hAnsiTheme="minorHAnsi" w:cstheme="minorHAnsi"/>
              </w:rPr>
            </w:pPr>
            <w:r w:rsidRPr="003B73E6">
              <w:rPr>
                <w:rFonts w:asciiTheme="minorHAnsi" w:hAnsiTheme="minorHAnsi" w:cstheme="minorHAnsi"/>
              </w:rPr>
              <w:t>B- Supported by 1 level I investigation</w:t>
            </w:r>
          </w:p>
          <w:p w14:paraId="7B5746BB" w14:textId="77777777" w:rsidR="00655DC5" w:rsidRPr="003B73E6" w:rsidRDefault="00655DC5" w:rsidP="00340780">
            <w:pPr>
              <w:pStyle w:val="TableParagraph"/>
              <w:ind w:left="0"/>
              <w:rPr>
                <w:rFonts w:asciiTheme="minorHAnsi" w:hAnsiTheme="minorHAnsi" w:cstheme="minorHAnsi"/>
              </w:rPr>
            </w:pPr>
            <w:r w:rsidRPr="003B73E6">
              <w:rPr>
                <w:rFonts w:asciiTheme="minorHAnsi" w:hAnsiTheme="minorHAnsi" w:cstheme="minorHAnsi"/>
              </w:rPr>
              <w:t>C- Supported by at least 1 level III investigation</w:t>
            </w:r>
          </w:p>
          <w:p w14:paraId="5E416B4B" w14:textId="77777777" w:rsidR="00655DC5" w:rsidRDefault="00655DC5" w:rsidP="00340780">
            <w:pPr>
              <w:pStyle w:val="TableParagraph"/>
              <w:ind w:left="0"/>
              <w:rPr>
                <w:rFonts w:ascii="Times New Roman"/>
              </w:rPr>
            </w:pPr>
            <w:r w:rsidRPr="003B73E6">
              <w:rPr>
                <w:rFonts w:asciiTheme="minorHAnsi" w:hAnsiTheme="minorHAnsi" w:cstheme="minorHAnsi"/>
              </w:rPr>
              <w:t>D- Supported by at least 1 level III investigation</w:t>
            </w:r>
          </w:p>
        </w:tc>
      </w:tr>
      <w:tr w:rsidR="00655DC5" w14:paraId="56808C81" w14:textId="77777777" w:rsidTr="00340780">
        <w:trPr>
          <w:trHeight w:val="1110"/>
        </w:trPr>
        <w:tc>
          <w:tcPr>
            <w:tcW w:w="4068" w:type="dxa"/>
          </w:tcPr>
          <w:p w14:paraId="2AA1A421" w14:textId="77777777" w:rsidR="00655DC5" w:rsidRDefault="00655DC5" w:rsidP="00340780">
            <w:pPr>
              <w:pStyle w:val="TableParagraph"/>
              <w:spacing w:line="268" w:lineRule="exact"/>
            </w:pPr>
            <w:r>
              <w:t>Body of evidence:</w:t>
            </w:r>
          </w:p>
          <w:p w14:paraId="16224A40" w14:textId="77777777" w:rsidR="00655DC5" w:rsidRDefault="00655DC5" w:rsidP="00340780">
            <w:pPr>
              <w:pStyle w:val="TableParagraph"/>
              <w:numPr>
                <w:ilvl w:val="0"/>
                <w:numId w:val="16"/>
              </w:numPr>
              <w:tabs>
                <w:tab w:val="left" w:pos="827"/>
                <w:tab w:val="left" w:pos="828"/>
              </w:tabs>
            </w:pPr>
            <w:r>
              <w:t>Quantity – how many</w:t>
            </w:r>
            <w:r>
              <w:rPr>
                <w:spacing w:val="-7"/>
              </w:rPr>
              <w:t xml:space="preserve"> </w:t>
            </w:r>
            <w:r>
              <w:t>studies?</w:t>
            </w:r>
          </w:p>
          <w:p w14:paraId="3C873EEF" w14:textId="77777777" w:rsidR="00655DC5" w:rsidRDefault="00655DC5" w:rsidP="00340780">
            <w:pPr>
              <w:pStyle w:val="TableParagraph"/>
              <w:numPr>
                <w:ilvl w:val="0"/>
                <w:numId w:val="16"/>
              </w:numPr>
              <w:tabs>
                <w:tab w:val="left" w:pos="827"/>
                <w:tab w:val="left" w:pos="828"/>
              </w:tabs>
              <w:spacing w:before="42"/>
            </w:pPr>
            <w:r>
              <w:t>Quality – what type of</w:t>
            </w:r>
            <w:r>
              <w:rPr>
                <w:spacing w:val="-8"/>
              </w:rPr>
              <w:t xml:space="preserve"> </w:t>
            </w:r>
            <w:r>
              <w:t>studies?</w:t>
            </w:r>
          </w:p>
        </w:tc>
        <w:tc>
          <w:tcPr>
            <w:tcW w:w="5131" w:type="dxa"/>
          </w:tcPr>
          <w:p w14:paraId="2B862DD1" w14:textId="77777777" w:rsidR="00655DC5" w:rsidRPr="00294A15" w:rsidRDefault="00655DC5" w:rsidP="00340780">
            <w:pPr>
              <w:ind w:left="0" w:firstLine="0"/>
              <w:rPr>
                <w:rFonts w:eastAsiaTheme="minorEastAsia"/>
              </w:rPr>
            </w:pPr>
            <w:r>
              <w:rPr>
                <w:rFonts w:eastAsiaTheme="minorEastAsia"/>
              </w:rPr>
              <w:t xml:space="preserve">9 </w:t>
            </w:r>
            <w:r w:rsidRPr="00294A15">
              <w:rPr>
                <w:rFonts w:eastAsiaTheme="minorEastAsia"/>
              </w:rPr>
              <w:t>Case series, uncontrolled studies, and expert</w:t>
            </w:r>
          </w:p>
          <w:p w14:paraId="55988058" w14:textId="77777777" w:rsidR="00655DC5" w:rsidRPr="00305C6E" w:rsidRDefault="00655DC5" w:rsidP="00340780">
            <w:pPr>
              <w:ind w:left="0" w:firstLine="0"/>
            </w:pPr>
            <w:r w:rsidRPr="00294A15">
              <w:rPr>
                <w:rFonts w:eastAsiaTheme="minorEastAsia"/>
              </w:rPr>
              <w:t>opinion</w:t>
            </w:r>
          </w:p>
        </w:tc>
      </w:tr>
      <w:tr w:rsidR="00655DC5" w14:paraId="6EB562FA" w14:textId="77777777" w:rsidTr="00340780">
        <w:trPr>
          <w:trHeight w:val="537"/>
        </w:trPr>
        <w:tc>
          <w:tcPr>
            <w:tcW w:w="4068" w:type="dxa"/>
          </w:tcPr>
          <w:p w14:paraId="1C9B1738" w14:textId="77777777" w:rsidR="00655DC5" w:rsidRPr="00305C6E" w:rsidRDefault="00655DC5" w:rsidP="00340780">
            <w:pPr>
              <w:pStyle w:val="TableParagraph"/>
              <w:spacing w:line="268" w:lineRule="exact"/>
            </w:pPr>
            <w:r w:rsidRPr="00305C6E">
              <w:t>Estimates of benefit and consistency</w:t>
            </w:r>
          </w:p>
          <w:p w14:paraId="04D67778" w14:textId="77777777" w:rsidR="00655DC5" w:rsidRPr="00305C6E" w:rsidRDefault="00655DC5" w:rsidP="00340780">
            <w:pPr>
              <w:pStyle w:val="TableParagraph"/>
              <w:spacing w:line="249" w:lineRule="exact"/>
            </w:pPr>
            <w:r w:rsidRPr="00305C6E">
              <w:t>across studies</w:t>
            </w:r>
          </w:p>
        </w:tc>
        <w:tc>
          <w:tcPr>
            <w:tcW w:w="5131" w:type="dxa"/>
          </w:tcPr>
          <w:p w14:paraId="32B1EBF2" w14:textId="77777777" w:rsidR="00655DC5" w:rsidRDefault="00655DC5" w:rsidP="00340780">
            <w:pPr>
              <w:pStyle w:val="TableParagraph"/>
              <w:ind w:left="0"/>
              <w:rPr>
                <w:rFonts w:ascii="Times New Roman"/>
              </w:rPr>
            </w:pPr>
            <w:r>
              <w:rPr>
                <w:rFonts w:asciiTheme="minorHAnsi" w:hAnsiTheme="minorHAnsi" w:cstheme="minorHAnsi"/>
              </w:rPr>
              <w:t xml:space="preserve">The assessment of nutritional status by a Registered Dietitian Nutritionist (RDN) can determine the severity of malnutrition which is a </w:t>
            </w:r>
            <w:r w:rsidRPr="00085FF0">
              <w:rPr>
                <w:rFonts w:asciiTheme="minorHAnsi" w:hAnsiTheme="minorHAnsi" w:cstheme="minorHAnsi"/>
              </w:rPr>
              <w:t>strong predictor of hospital length of stay, risk of 30-day readmission, and complications</w:t>
            </w:r>
            <w:r>
              <w:rPr>
                <w:rFonts w:asciiTheme="minorHAnsi" w:hAnsiTheme="minorHAnsi" w:cstheme="minorHAnsi"/>
              </w:rPr>
              <w:t xml:space="preserve"> and mortality.</w:t>
            </w:r>
          </w:p>
        </w:tc>
      </w:tr>
      <w:tr w:rsidR="00655DC5" w14:paraId="39BC6D5C" w14:textId="77777777" w:rsidTr="00340780">
        <w:trPr>
          <w:trHeight w:val="268"/>
        </w:trPr>
        <w:tc>
          <w:tcPr>
            <w:tcW w:w="4068" w:type="dxa"/>
          </w:tcPr>
          <w:p w14:paraId="3FA2F646" w14:textId="77777777" w:rsidR="00655DC5" w:rsidRPr="00305C6E" w:rsidRDefault="00655DC5" w:rsidP="00340780">
            <w:pPr>
              <w:pStyle w:val="TableParagraph"/>
              <w:spacing w:line="248" w:lineRule="exact"/>
            </w:pPr>
            <w:r w:rsidRPr="00305C6E">
              <w:t>What harms were identified?</w:t>
            </w:r>
          </w:p>
        </w:tc>
        <w:tc>
          <w:tcPr>
            <w:tcW w:w="5131" w:type="dxa"/>
          </w:tcPr>
          <w:p w14:paraId="69CEB32B" w14:textId="77777777" w:rsidR="00655DC5" w:rsidRPr="004B40F3" w:rsidRDefault="00655DC5" w:rsidP="00340780">
            <w:pPr>
              <w:pStyle w:val="TableParagraph"/>
              <w:ind w:left="0"/>
              <w:rPr>
                <w:rFonts w:asciiTheme="minorHAnsi" w:hAnsiTheme="minorHAnsi" w:cstheme="minorHAnsi"/>
                <w:sz w:val="18"/>
              </w:rPr>
            </w:pPr>
            <w:r w:rsidRPr="004B40F3">
              <w:rPr>
                <w:rFonts w:asciiTheme="minorHAnsi" w:hAnsiTheme="minorHAnsi" w:cstheme="minorHAnsi"/>
                <w:szCs w:val="28"/>
              </w:rPr>
              <w:t>No adverse events were identified</w:t>
            </w:r>
          </w:p>
        </w:tc>
      </w:tr>
      <w:tr w:rsidR="00655DC5" w14:paraId="6D8F2080" w14:textId="77777777" w:rsidTr="00340780">
        <w:trPr>
          <w:trHeight w:val="805"/>
        </w:trPr>
        <w:tc>
          <w:tcPr>
            <w:tcW w:w="4068" w:type="dxa"/>
          </w:tcPr>
          <w:p w14:paraId="0CBC3C1D" w14:textId="77777777" w:rsidR="00655DC5" w:rsidRPr="00305C6E" w:rsidRDefault="00655DC5" w:rsidP="00340780">
            <w:pPr>
              <w:pStyle w:val="TableParagraph"/>
              <w:spacing w:line="268" w:lineRule="exact"/>
            </w:pPr>
            <w:r w:rsidRPr="00305C6E">
              <w:t>Identify any new studies conducted since</w:t>
            </w:r>
          </w:p>
          <w:p w14:paraId="2C5AE846" w14:textId="77777777" w:rsidR="00655DC5" w:rsidRPr="00305C6E" w:rsidRDefault="00655DC5" w:rsidP="00340780">
            <w:pPr>
              <w:pStyle w:val="TableParagraph"/>
              <w:spacing w:line="270" w:lineRule="atLeast"/>
              <w:ind w:right="497"/>
            </w:pPr>
            <w:r w:rsidRPr="00305C6E">
              <w:t>the SR. Do the new studies change the conclusions from the SR?</w:t>
            </w:r>
          </w:p>
        </w:tc>
        <w:tc>
          <w:tcPr>
            <w:tcW w:w="5131" w:type="dxa"/>
          </w:tcPr>
          <w:p w14:paraId="368D80B3" w14:textId="77777777" w:rsidR="00655DC5" w:rsidRDefault="00655DC5" w:rsidP="00340780">
            <w:pPr>
              <w:pStyle w:val="TableParagraph"/>
              <w:ind w:left="0"/>
              <w:rPr>
                <w:rFonts w:ascii="Times New Roman"/>
              </w:rPr>
            </w:pPr>
            <w:r w:rsidRPr="00085FF0">
              <w:rPr>
                <w:rFonts w:asciiTheme="minorHAnsi" w:hAnsiTheme="minorHAnsi" w:cstheme="minorHAnsi"/>
              </w:rPr>
              <w:t>Yes</w:t>
            </w:r>
            <w:r>
              <w:rPr>
                <w:rFonts w:asciiTheme="minorHAnsi" w:hAnsiTheme="minorHAnsi" w:cstheme="minorHAnsi"/>
              </w:rPr>
              <w:t xml:space="preserve"> several new studies have been completed and published since the SR (see below), but results do not contradict earlier findings and reiterate what was reported in the initial SR.</w:t>
            </w:r>
          </w:p>
        </w:tc>
      </w:tr>
    </w:tbl>
    <w:p w14:paraId="26DEC7A9" w14:textId="77777777" w:rsidR="00655DC5" w:rsidRDefault="00655DC5" w:rsidP="00655DC5">
      <w:pPr>
        <w:ind w:left="0" w:firstLine="0"/>
        <w:rPr>
          <w:rFonts w:eastAsiaTheme="minorEastAsia"/>
          <w:highlight w:val="green"/>
        </w:rPr>
      </w:pPr>
    </w:p>
    <w:p w14:paraId="4B9E6D4B" w14:textId="77777777" w:rsidR="00655DC5" w:rsidRDefault="00655DC5" w:rsidP="00655DC5">
      <w:pPr>
        <w:ind w:left="0" w:firstLine="0"/>
        <w:rPr>
          <w:rFonts w:eastAsiaTheme="minorEastAsia"/>
          <w:i/>
          <w:iCs/>
          <w:highlight w:val="green"/>
        </w:rPr>
      </w:pPr>
    </w:p>
    <w:p w14:paraId="17D3BA5A" w14:textId="77777777" w:rsidR="00655DC5" w:rsidRPr="003B1CC5" w:rsidRDefault="00655DC5" w:rsidP="00655DC5">
      <w:pPr>
        <w:ind w:left="0" w:firstLine="0"/>
      </w:pPr>
      <w:r w:rsidRPr="4E1B4D23" w:rsidDel="005D0FDB">
        <w:rPr>
          <w:b/>
          <w:bCs/>
        </w:rPr>
        <w:t xml:space="preserve">FINDINGS FROM SYSTEMATIC REVIEW OF BODY OF THE EVIDENCE </w:t>
      </w:r>
      <w:r w:rsidRPr="4E1B4D23" w:rsidDel="005D0FDB">
        <w:rPr>
          <w:b/>
          <w:bCs/>
          <w:caps/>
          <w:noProof/>
        </w:rPr>
        <w:t>supporting the measure</w:t>
      </w:r>
    </w:p>
    <w:p w14:paraId="30A0DBF3" w14:textId="77777777" w:rsidR="00655DC5" w:rsidRPr="003B1CC5" w:rsidRDefault="00655DC5" w:rsidP="00655DC5">
      <w:pPr>
        <w:ind w:left="0" w:firstLine="0"/>
        <w:rPr>
          <w:b/>
          <w:i/>
          <w:color w:val="0000FF"/>
        </w:rPr>
      </w:pPr>
      <w:r w:rsidRPr="38AF9500">
        <w:rPr>
          <w:i/>
          <w:iCs/>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2622B72C" w14:textId="77777777" w:rsidR="00655DC5" w:rsidRPr="003B1CC5" w:rsidRDefault="00655DC5" w:rsidP="00655DC5">
      <w:pPr>
        <w:ind w:left="0" w:firstLine="0"/>
        <w:rPr>
          <w:b/>
          <w:color w:val="0000FF"/>
        </w:rPr>
      </w:pPr>
    </w:p>
    <w:p w14:paraId="1CD9C7D0" w14:textId="77777777" w:rsidR="00655DC5" w:rsidRDefault="00655DC5" w:rsidP="00655DC5"/>
    <w:p w14:paraId="69D32C35" w14:textId="77777777" w:rsidR="00655DC5" w:rsidRPr="003B1CC5" w:rsidRDefault="00655DC5" w:rsidP="00655DC5">
      <w:pPr>
        <w:ind w:left="0" w:firstLine="0"/>
        <w:rPr>
          <w:b/>
        </w:rPr>
      </w:pPr>
      <w:r w:rsidRPr="38AF9500">
        <w:rPr>
          <w:b/>
          <w:bCs/>
        </w:rPr>
        <w:t>ESTIMATES OF BENEFIT AND CONSISTENCY ACROSS STUDIES IN BODY OF EVIDENCE</w:t>
      </w:r>
    </w:p>
    <w:p w14:paraId="6553EF8D" w14:textId="77777777" w:rsidR="00655DC5" w:rsidRPr="003B1CC5" w:rsidRDefault="00655DC5" w:rsidP="00655DC5">
      <w:pPr>
        <w:ind w:left="432" w:hanging="432"/>
      </w:pPr>
      <w:r w:rsidRPr="38AF9500">
        <w:rPr>
          <w:b/>
          <w:bCs/>
        </w:rPr>
        <w:t xml:space="preserve">What are the estimates of benefit—magnitude and direction of effect on outcome(s) </w:t>
      </w:r>
      <w:r w:rsidRPr="38AF9500">
        <w:rPr>
          <w:b/>
          <w:bCs/>
          <w:u w:val="single"/>
        </w:rPr>
        <w:t>across studies</w:t>
      </w:r>
      <w:r w:rsidRPr="38AF9500">
        <w:rPr>
          <w:b/>
          <w:bCs/>
        </w:rPr>
        <w:t xml:space="preserve"> in the body of evidence</w:t>
      </w:r>
      <w:r>
        <w:t>? (</w:t>
      </w:r>
      <w:r w:rsidRPr="38AF9500">
        <w:rPr>
          <w:i/>
          <w:iCs/>
        </w:rPr>
        <w:t>e.g., ranges of percentages or odds ratios for improvement/ decline across studies, results of meta-analysis, and statistical significance</w:t>
      </w:r>
      <w:r>
        <w:t xml:space="preserve">)  </w:t>
      </w:r>
    </w:p>
    <w:p w14:paraId="6019EF8E" w14:textId="77777777" w:rsidR="00655DC5" w:rsidRDefault="00655DC5" w:rsidP="00655DC5">
      <w:pPr>
        <w:ind w:left="0" w:firstLine="0"/>
        <w:rPr>
          <w:rFonts w:eastAsiaTheme="minorEastAsia" w:cstheme="minorEastAsia"/>
          <w:b/>
          <w:bCs/>
        </w:rPr>
      </w:pPr>
    </w:p>
    <w:tbl>
      <w:tblPr>
        <w:tblStyle w:val="TableGrid"/>
        <w:tblW w:w="0" w:type="auto"/>
        <w:tblLook w:val="04A0" w:firstRow="1" w:lastRow="0" w:firstColumn="1" w:lastColumn="0" w:noHBand="0" w:noVBand="1"/>
      </w:tblPr>
      <w:tblGrid>
        <w:gridCol w:w="2155"/>
        <w:gridCol w:w="7195"/>
      </w:tblGrid>
      <w:tr w:rsidR="00655DC5" w14:paraId="391ACC8D" w14:textId="77777777" w:rsidTr="00340780">
        <w:tc>
          <w:tcPr>
            <w:tcW w:w="2155" w:type="dxa"/>
          </w:tcPr>
          <w:p w14:paraId="5E07F3AD" w14:textId="77777777" w:rsidR="00655DC5" w:rsidRDefault="00655DC5" w:rsidP="00340780">
            <w:pPr>
              <w:ind w:left="0" w:firstLine="0"/>
              <w:rPr>
                <w:rFonts w:eastAsiaTheme="minorEastAsia"/>
                <w:b/>
              </w:rPr>
            </w:pPr>
            <w:r>
              <w:rPr>
                <w:rFonts w:eastAsiaTheme="minorEastAsia"/>
                <w:b/>
              </w:rPr>
              <w:t>Outcome of Interest</w:t>
            </w:r>
          </w:p>
        </w:tc>
        <w:tc>
          <w:tcPr>
            <w:tcW w:w="7195" w:type="dxa"/>
          </w:tcPr>
          <w:p w14:paraId="721C0C8F" w14:textId="77777777" w:rsidR="00655DC5" w:rsidRDefault="00655DC5" w:rsidP="00340780">
            <w:pPr>
              <w:ind w:left="0" w:firstLine="0"/>
              <w:rPr>
                <w:rFonts w:eastAsiaTheme="minorEastAsia"/>
                <w:b/>
              </w:rPr>
            </w:pPr>
            <w:r>
              <w:rPr>
                <w:rFonts w:eastAsiaTheme="minorEastAsia"/>
                <w:b/>
              </w:rPr>
              <w:t>Study Findings from Review</w:t>
            </w:r>
          </w:p>
        </w:tc>
      </w:tr>
      <w:tr w:rsidR="00655DC5" w14:paraId="2B9716BE" w14:textId="77777777" w:rsidTr="00340780">
        <w:tc>
          <w:tcPr>
            <w:tcW w:w="2155" w:type="dxa"/>
          </w:tcPr>
          <w:p w14:paraId="542607C7" w14:textId="77777777" w:rsidR="00655DC5" w:rsidRPr="006956A8" w:rsidRDefault="00655DC5" w:rsidP="00340780">
            <w:pPr>
              <w:ind w:left="0" w:firstLine="0"/>
              <w:rPr>
                <w:rFonts w:eastAsiaTheme="minorEastAsia"/>
              </w:rPr>
            </w:pPr>
            <w:r w:rsidRPr="006956A8">
              <w:rPr>
                <w:rFonts w:eastAsiaTheme="minorEastAsia"/>
              </w:rPr>
              <w:t>Body Composition</w:t>
            </w:r>
          </w:p>
        </w:tc>
        <w:tc>
          <w:tcPr>
            <w:tcW w:w="7195" w:type="dxa"/>
          </w:tcPr>
          <w:p w14:paraId="52052CDE" w14:textId="77777777" w:rsidR="00655DC5" w:rsidRPr="004A402C" w:rsidRDefault="00655DC5" w:rsidP="00340780">
            <w:pPr>
              <w:ind w:left="0" w:firstLine="0"/>
              <w:rPr>
                <w:rFonts w:eastAsiaTheme="minorEastAsia" w:cstheme="minorEastAsia"/>
              </w:rPr>
            </w:pPr>
            <w:r>
              <w:t>Norman (2008)</w:t>
            </w:r>
            <w:r w:rsidRPr="001860BE">
              <w:t xml:space="preserve"> study predicted significant improvement in body weight and body cell mass follow a three-month intervention of high-protein and energy supplements </w:t>
            </w:r>
            <w:r>
              <w:t xml:space="preserve">while </w:t>
            </w:r>
            <w:proofErr w:type="spellStart"/>
            <w:r>
              <w:t>Odeli</w:t>
            </w:r>
            <w:proofErr w:type="spellEnd"/>
            <w:r>
              <w:t xml:space="preserve"> (2005), </w:t>
            </w:r>
            <w:r w:rsidRPr="001860BE">
              <w:rPr>
                <w:rFonts w:eastAsiaTheme="minorEastAsia" w:cstheme="minorEastAsia"/>
              </w:rPr>
              <w:t>found that patients managed using the</w:t>
            </w:r>
            <w:r>
              <w:rPr>
                <w:rFonts w:eastAsiaTheme="minorEastAsia" w:cstheme="minorEastAsia"/>
              </w:rPr>
              <w:t xml:space="preserve"> </w:t>
            </w:r>
            <w:r>
              <w:rPr>
                <w:rFonts w:eastAsiaTheme="minorEastAsia" w:cstheme="minorEastAsia"/>
              </w:rPr>
              <w:lastRenderedPageBreak/>
              <w:t>nutrition care process</w:t>
            </w:r>
            <w:r w:rsidRPr="001860BE">
              <w:rPr>
                <w:rFonts w:eastAsiaTheme="minorEastAsia" w:cstheme="minorEastAsia"/>
              </w:rPr>
              <w:t xml:space="preserve"> experienced less weight loss (mean weight change -4.2 kg +/-6.4 cf. -8.9 kg</w:t>
            </w:r>
            <w:r>
              <w:rPr>
                <w:rFonts w:eastAsiaTheme="minorEastAsia" w:cstheme="minorEastAsia"/>
              </w:rPr>
              <w:t xml:space="preserve"> +/- 5.9, P = 0.03)</w:t>
            </w:r>
          </w:p>
        </w:tc>
      </w:tr>
      <w:tr w:rsidR="00655DC5" w14:paraId="48F1BDE7" w14:textId="77777777" w:rsidTr="00340780">
        <w:tc>
          <w:tcPr>
            <w:tcW w:w="2155" w:type="dxa"/>
          </w:tcPr>
          <w:p w14:paraId="5E50458C" w14:textId="77777777" w:rsidR="00655DC5" w:rsidRPr="006956A8" w:rsidRDefault="00655DC5" w:rsidP="00340780">
            <w:pPr>
              <w:ind w:left="0" w:firstLine="0"/>
              <w:rPr>
                <w:rFonts w:eastAsiaTheme="minorEastAsia"/>
              </w:rPr>
            </w:pPr>
            <w:r w:rsidRPr="006956A8">
              <w:rPr>
                <w:rFonts w:eastAsiaTheme="minorEastAsia"/>
              </w:rPr>
              <w:lastRenderedPageBreak/>
              <w:t>Cost</w:t>
            </w:r>
          </w:p>
        </w:tc>
        <w:tc>
          <w:tcPr>
            <w:tcW w:w="7195" w:type="dxa"/>
          </w:tcPr>
          <w:p w14:paraId="4888F37C" w14:textId="77777777" w:rsidR="00655DC5" w:rsidRPr="006956A8" w:rsidRDefault="00655DC5" w:rsidP="00340780">
            <w:pPr>
              <w:ind w:left="0" w:firstLine="0"/>
              <w:rPr>
                <w:rFonts w:eastAsiaTheme="minorEastAsia"/>
              </w:rPr>
            </w:pPr>
            <w:proofErr w:type="spellStart"/>
            <w:r>
              <w:rPr>
                <w:rFonts w:eastAsiaTheme="minorEastAsia"/>
              </w:rPr>
              <w:t>Kruizenga</w:t>
            </w:r>
            <w:proofErr w:type="spellEnd"/>
            <w:r>
              <w:rPr>
                <w:rFonts w:eastAsiaTheme="minorEastAsia"/>
              </w:rPr>
              <w:t xml:space="preserve"> (2005)</w:t>
            </w:r>
            <w:r w:rsidRPr="00FB4E5E">
              <w:rPr>
                <w:rFonts w:eastAsiaTheme="minorEastAsia"/>
              </w:rPr>
              <w:t xml:space="preserve"> found that, to shorten the mean length of hospital stay by 1 d for all malnourished patients, a mean investment of 76 euros (91 US dollars) in nutritional screening and treatment was needed. </w:t>
            </w:r>
          </w:p>
        </w:tc>
      </w:tr>
      <w:tr w:rsidR="00655DC5" w14:paraId="07FDA6BC" w14:textId="77777777" w:rsidTr="00340780">
        <w:tc>
          <w:tcPr>
            <w:tcW w:w="2155" w:type="dxa"/>
          </w:tcPr>
          <w:p w14:paraId="7D0F294C" w14:textId="77777777" w:rsidR="00655DC5" w:rsidRPr="006956A8" w:rsidRDefault="00655DC5" w:rsidP="00340780">
            <w:pPr>
              <w:ind w:left="0" w:firstLine="0"/>
              <w:rPr>
                <w:rFonts w:eastAsiaTheme="minorEastAsia"/>
              </w:rPr>
            </w:pPr>
            <w:r w:rsidRPr="006956A8">
              <w:rPr>
                <w:rFonts w:eastAsiaTheme="minorEastAsia"/>
              </w:rPr>
              <w:t>Length of Stay (LOS)</w:t>
            </w:r>
          </w:p>
        </w:tc>
        <w:tc>
          <w:tcPr>
            <w:tcW w:w="7195" w:type="dxa"/>
          </w:tcPr>
          <w:p w14:paraId="49B03568" w14:textId="77777777" w:rsidR="00655DC5" w:rsidRPr="006956A8" w:rsidRDefault="00655DC5" w:rsidP="00340780">
            <w:pPr>
              <w:ind w:left="0" w:firstLine="0"/>
              <w:rPr>
                <w:rFonts w:eastAsiaTheme="minorEastAsia"/>
              </w:rPr>
            </w:pPr>
            <w:proofErr w:type="spellStart"/>
            <w:r w:rsidRPr="00FB4E5E">
              <w:rPr>
                <w:rFonts w:eastAsiaTheme="minorEastAsia"/>
              </w:rPr>
              <w:t>Kruizenga</w:t>
            </w:r>
            <w:proofErr w:type="spellEnd"/>
            <w:r w:rsidRPr="00FB4E5E">
              <w:rPr>
                <w:rFonts w:eastAsiaTheme="minorEastAsia"/>
              </w:rPr>
              <w:t xml:space="preserve"> </w:t>
            </w:r>
            <w:r>
              <w:rPr>
                <w:rFonts w:eastAsiaTheme="minorEastAsia"/>
              </w:rPr>
              <w:t>(</w:t>
            </w:r>
            <w:r w:rsidRPr="00FB4E5E">
              <w:rPr>
                <w:rFonts w:eastAsiaTheme="minorEastAsia"/>
              </w:rPr>
              <w:t>2005)</w:t>
            </w:r>
            <w:r>
              <w:rPr>
                <w:rFonts w:eastAsiaTheme="minorEastAsia"/>
              </w:rPr>
              <w:t xml:space="preserve"> </w:t>
            </w:r>
            <w:r w:rsidRPr="00FB4E5E">
              <w:rPr>
                <w:rFonts w:eastAsiaTheme="minorEastAsia"/>
              </w:rPr>
              <w:t xml:space="preserve">found early screening and treatment of malnourished patients reduced the </w:t>
            </w:r>
            <w:r>
              <w:rPr>
                <w:rFonts w:eastAsiaTheme="minorEastAsia"/>
              </w:rPr>
              <w:t>LOS</w:t>
            </w:r>
            <w:r w:rsidRPr="00FB4E5E">
              <w:rPr>
                <w:rFonts w:eastAsiaTheme="minorEastAsia"/>
              </w:rPr>
              <w:t xml:space="preserve"> in malnourished patients with low handgrip strength (i</w:t>
            </w:r>
            <w:r>
              <w:rPr>
                <w:rFonts w:eastAsiaTheme="minorEastAsia"/>
              </w:rPr>
              <w:t>.</w:t>
            </w:r>
            <w:r w:rsidRPr="00FB4E5E">
              <w:rPr>
                <w:rFonts w:eastAsiaTheme="minorEastAsia"/>
              </w:rPr>
              <w:t>e</w:t>
            </w:r>
            <w:r>
              <w:rPr>
                <w:rFonts w:eastAsiaTheme="minorEastAsia"/>
              </w:rPr>
              <w:t>.</w:t>
            </w:r>
            <w:r w:rsidRPr="00FB4E5E">
              <w:rPr>
                <w:rFonts w:eastAsiaTheme="minorEastAsia"/>
              </w:rPr>
              <w:t>, frail patients)</w:t>
            </w:r>
            <w:r>
              <w:rPr>
                <w:rFonts w:eastAsiaTheme="minorEastAsia"/>
              </w:rPr>
              <w:t xml:space="preserve"> and another </w:t>
            </w:r>
            <w:r w:rsidRPr="00FB4E5E">
              <w:rPr>
                <w:rFonts w:eastAsiaTheme="minorEastAsia"/>
              </w:rPr>
              <w:t>study found that patients managed using the NP had a shorter length of stay (3.2 days +/- 5.4 cf. 13.5 days +/- 14.1, P = 0.002)</w:t>
            </w:r>
            <w:r>
              <w:rPr>
                <w:rFonts w:eastAsiaTheme="minorEastAsia"/>
              </w:rPr>
              <w:t xml:space="preserve"> </w:t>
            </w:r>
            <w:r w:rsidRPr="00FB4E5E">
              <w:rPr>
                <w:rFonts w:eastAsiaTheme="minorEastAsia"/>
              </w:rPr>
              <w:t>(</w:t>
            </w:r>
            <w:proofErr w:type="spellStart"/>
            <w:r w:rsidRPr="00FB4E5E">
              <w:rPr>
                <w:rFonts w:eastAsiaTheme="minorEastAsia"/>
              </w:rPr>
              <w:t>Odeli</w:t>
            </w:r>
            <w:proofErr w:type="spellEnd"/>
            <w:r w:rsidRPr="00FB4E5E">
              <w:rPr>
                <w:rFonts w:eastAsiaTheme="minorEastAsia"/>
              </w:rPr>
              <w:t xml:space="preserve"> 2005)</w:t>
            </w:r>
            <w:r>
              <w:rPr>
                <w:rFonts w:eastAsiaTheme="minorEastAsia"/>
              </w:rPr>
              <w:t>.</w:t>
            </w:r>
          </w:p>
        </w:tc>
      </w:tr>
      <w:tr w:rsidR="00655DC5" w14:paraId="03D18BF2" w14:textId="77777777" w:rsidTr="00340780">
        <w:tc>
          <w:tcPr>
            <w:tcW w:w="2155" w:type="dxa"/>
          </w:tcPr>
          <w:p w14:paraId="28F22682" w14:textId="77777777" w:rsidR="00655DC5" w:rsidRPr="006956A8" w:rsidRDefault="00655DC5" w:rsidP="00340780">
            <w:pPr>
              <w:ind w:left="0" w:firstLine="0"/>
              <w:rPr>
                <w:rFonts w:eastAsiaTheme="minorEastAsia"/>
              </w:rPr>
            </w:pPr>
            <w:r w:rsidRPr="006956A8">
              <w:rPr>
                <w:rFonts w:eastAsiaTheme="minorEastAsia"/>
              </w:rPr>
              <w:t>Muscle Function</w:t>
            </w:r>
          </w:p>
        </w:tc>
        <w:tc>
          <w:tcPr>
            <w:tcW w:w="7195" w:type="dxa"/>
          </w:tcPr>
          <w:p w14:paraId="6CBC0325" w14:textId="77777777" w:rsidR="00655DC5" w:rsidRPr="006956A8" w:rsidRDefault="00655DC5" w:rsidP="00340780">
            <w:pPr>
              <w:ind w:left="0" w:firstLine="0"/>
              <w:rPr>
                <w:rFonts w:eastAsiaTheme="minorEastAsia"/>
              </w:rPr>
            </w:pPr>
            <w:r>
              <w:rPr>
                <w:rFonts w:eastAsiaTheme="minorEastAsia"/>
              </w:rPr>
              <w:t>Persson (2007)</w:t>
            </w:r>
            <w:r w:rsidRPr="00FB4E5E">
              <w:rPr>
                <w:rFonts w:eastAsiaTheme="minorEastAsia"/>
              </w:rPr>
              <w:t xml:space="preserve"> found that treated-as-protocol analyses showed that Katz ADL index improved in the I-group (p&lt;0.0</w:t>
            </w:r>
            <w:r>
              <w:rPr>
                <w:rFonts w:eastAsiaTheme="minorEastAsia"/>
              </w:rPr>
              <w:t>01; p&lt;0.05 between the groups).</w:t>
            </w:r>
          </w:p>
        </w:tc>
      </w:tr>
      <w:tr w:rsidR="00655DC5" w14:paraId="13026363" w14:textId="77777777" w:rsidTr="00340780">
        <w:tc>
          <w:tcPr>
            <w:tcW w:w="2155" w:type="dxa"/>
          </w:tcPr>
          <w:p w14:paraId="18F26CCD" w14:textId="77777777" w:rsidR="00655DC5" w:rsidRPr="006956A8" w:rsidRDefault="00655DC5" w:rsidP="00340780">
            <w:pPr>
              <w:ind w:left="0" w:firstLine="0"/>
              <w:rPr>
                <w:rFonts w:eastAsiaTheme="minorEastAsia"/>
              </w:rPr>
            </w:pPr>
            <w:r>
              <w:rPr>
                <w:rFonts w:eastAsiaTheme="minorEastAsia"/>
              </w:rPr>
              <w:t>Nutritional Intake</w:t>
            </w:r>
          </w:p>
        </w:tc>
        <w:tc>
          <w:tcPr>
            <w:tcW w:w="7195" w:type="dxa"/>
          </w:tcPr>
          <w:p w14:paraId="2744BC8E" w14:textId="77777777" w:rsidR="00655DC5" w:rsidRPr="00580508" w:rsidRDefault="00655DC5" w:rsidP="00340780">
            <w:pPr>
              <w:ind w:left="0" w:firstLine="0"/>
            </w:pPr>
            <w:proofErr w:type="spellStart"/>
            <w:r>
              <w:t>Babineau</w:t>
            </w:r>
            <w:proofErr w:type="spellEnd"/>
            <w:r>
              <w:t xml:space="preserve"> (2008) reported</w:t>
            </w:r>
            <w:r w:rsidRPr="001860BE">
              <w:t xml:space="preserve"> significant increases in energy (p=0.0001) and protein (p=0.01) intakes, and in serum albumin (p=0.001), prealbumin (p=0.003), transferrin (p=0.024), </w:t>
            </w:r>
            <w:r>
              <w:t xml:space="preserve">and hematocrit (p=0.026) levels. </w:t>
            </w:r>
            <w:r>
              <w:rPr>
                <w:rFonts w:eastAsiaTheme="minorEastAsia" w:cstheme="minorEastAsia"/>
              </w:rPr>
              <w:t>An additional study of standardized nutrition care</w:t>
            </w:r>
            <w:r w:rsidRPr="001860BE">
              <w:rPr>
                <w:rFonts w:eastAsiaTheme="minorEastAsia" w:cstheme="minorEastAsia"/>
              </w:rPr>
              <w:t xml:space="preserve"> added approximately 600 kcal and 12 g protein to the daily intake of malnourished patients (</w:t>
            </w:r>
            <w:proofErr w:type="spellStart"/>
            <w:r w:rsidRPr="001860BE">
              <w:rPr>
                <w:rFonts w:eastAsiaTheme="minorEastAsia" w:cstheme="minorEastAsia"/>
              </w:rPr>
              <w:t>Kruizenga</w:t>
            </w:r>
            <w:proofErr w:type="spellEnd"/>
            <w:r w:rsidRPr="001860BE">
              <w:rPr>
                <w:rFonts w:eastAsiaTheme="minorEastAsia" w:cstheme="minorEastAsia"/>
              </w:rPr>
              <w:t xml:space="preserve"> 2005)</w:t>
            </w:r>
          </w:p>
        </w:tc>
      </w:tr>
      <w:tr w:rsidR="00655DC5" w14:paraId="2D9B8B8F" w14:textId="77777777" w:rsidTr="00340780">
        <w:tc>
          <w:tcPr>
            <w:tcW w:w="2155" w:type="dxa"/>
          </w:tcPr>
          <w:p w14:paraId="5DAB9199" w14:textId="77777777" w:rsidR="00655DC5" w:rsidRPr="006956A8" w:rsidRDefault="00655DC5" w:rsidP="00340780">
            <w:pPr>
              <w:ind w:left="0" w:firstLine="0"/>
              <w:rPr>
                <w:rFonts w:eastAsiaTheme="minorEastAsia"/>
              </w:rPr>
            </w:pPr>
            <w:r w:rsidRPr="006956A8">
              <w:rPr>
                <w:rFonts w:eastAsiaTheme="minorEastAsia"/>
              </w:rPr>
              <w:t>Readmission</w:t>
            </w:r>
          </w:p>
        </w:tc>
        <w:tc>
          <w:tcPr>
            <w:tcW w:w="7195" w:type="dxa"/>
          </w:tcPr>
          <w:p w14:paraId="19FD831C" w14:textId="77777777" w:rsidR="00655DC5" w:rsidRPr="006956A8" w:rsidRDefault="00655DC5" w:rsidP="00340780">
            <w:pPr>
              <w:ind w:left="0" w:firstLine="0"/>
              <w:rPr>
                <w:rFonts w:eastAsiaTheme="minorEastAsia"/>
              </w:rPr>
            </w:pPr>
            <w:r>
              <w:rPr>
                <w:rFonts w:eastAsiaTheme="minorEastAsia"/>
              </w:rPr>
              <w:t>Norman (2008)</w:t>
            </w:r>
            <w:r w:rsidRPr="00FB4E5E">
              <w:rPr>
                <w:rFonts w:eastAsiaTheme="minorEastAsia"/>
              </w:rPr>
              <w:t xml:space="preserve"> study found dietary counselling patients experienced significantly more readmissions (n=20) than oral nutritional supplement patients (n=10) during the stud</w:t>
            </w:r>
            <w:r>
              <w:rPr>
                <w:rFonts w:eastAsiaTheme="minorEastAsia"/>
              </w:rPr>
              <w:t xml:space="preserve">y period (p=0.041). </w:t>
            </w:r>
            <w:r w:rsidRPr="00FB4E5E">
              <w:rPr>
                <w:rFonts w:eastAsiaTheme="minorEastAsia"/>
              </w:rPr>
              <w:t>One</w:t>
            </w:r>
            <w:r>
              <w:rPr>
                <w:rFonts w:eastAsiaTheme="minorEastAsia"/>
              </w:rPr>
              <w:t xml:space="preserve"> additional</w:t>
            </w:r>
            <w:r w:rsidRPr="00FB4E5E">
              <w:rPr>
                <w:rFonts w:eastAsiaTheme="minorEastAsia"/>
              </w:rPr>
              <w:t xml:space="preserve"> study found that fewer patients managed using </w:t>
            </w:r>
            <w:r>
              <w:rPr>
                <w:rFonts w:eastAsiaTheme="minorEastAsia"/>
              </w:rPr>
              <w:t>standardized nutrition care</w:t>
            </w:r>
            <w:r w:rsidRPr="00FB4E5E">
              <w:rPr>
                <w:rFonts w:eastAsiaTheme="minorEastAsia"/>
              </w:rPr>
              <w:t xml:space="preserve"> had an unplanned hospital admission (46% cf. 75%, P = 0.04) (</w:t>
            </w:r>
            <w:proofErr w:type="spellStart"/>
            <w:r w:rsidRPr="00FB4E5E">
              <w:rPr>
                <w:rFonts w:eastAsiaTheme="minorEastAsia"/>
              </w:rPr>
              <w:t>Odeli</w:t>
            </w:r>
            <w:proofErr w:type="spellEnd"/>
            <w:r>
              <w:rPr>
                <w:rFonts w:eastAsiaTheme="minorEastAsia"/>
              </w:rPr>
              <w:t>,</w:t>
            </w:r>
            <w:r w:rsidRPr="00FB4E5E">
              <w:rPr>
                <w:rFonts w:eastAsiaTheme="minorEastAsia"/>
              </w:rPr>
              <w:t xml:space="preserve"> 2005)</w:t>
            </w:r>
            <w:r>
              <w:rPr>
                <w:rFonts w:eastAsiaTheme="minorEastAsia"/>
              </w:rPr>
              <w:t xml:space="preserve">. </w:t>
            </w:r>
          </w:p>
        </w:tc>
      </w:tr>
    </w:tbl>
    <w:p w14:paraId="4345C43E" w14:textId="77777777" w:rsidR="00655DC5" w:rsidRDefault="00655DC5" w:rsidP="00655DC5">
      <w:pPr>
        <w:ind w:left="0" w:firstLine="0"/>
      </w:pPr>
    </w:p>
    <w:p w14:paraId="66864973" w14:textId="77777777" w:rsidR="00655DC5" w:rsidRDefault="00655DC5" w:rsidP="00655DC5"/>
    <w:p w14:paraId="48BCB331" w14:textId="77777777" w:rsidR="00655DC5" w:rsidRPr="007738E0" w:rsidRDefault="00655DC5" w:rsidP="00655DC5">
      <w:pPr>
        <w:rPr>
          <w:lang w:val="es-US"/>
        </w:rPr>
      </w:pPr>
      <w:r w:rsidRPr="7F7E0783">
        <w:rPr>
          <w:rFonts w:ascii="Calibri" w:eastAsia="Calibri" w:hAnsi="Calibri" w:cs="Calibri"/>
        </w:rPr>
        <w:t xml:space="preserve">Lew CC, </w:t>
      </w:r>
      <w:proofErr w:type="spellStart"/>
      <w:r w:rsidRPr="7F7E0783">
        <w:rPr>
          <w:rFonts w:ascii="Calibri" w:eastAsia="Calibri" w:hAnsi="Calibri" w:cs="Calibri"/>
        </w:rPr>
        <w:t>Yandell</w:t>
      </w:r>
      <w:proofErr w:type="spellEnd"/>
      <w:r w:rsidRPr="7F7E0783">
        <w:rPr>
          <w:rFonts w:ascii="Calibri" w:eastAsia="Calibri" w:hAnsi="Calibri" w:cs="Calibri"/>
        </w:rPr>
        <w:t xml:space="preserve"> R, Fraser RJ, Chua AP, Chong MF, Miller M. Association Between Malnutrition and Clinical Outcomes in the Intensive Care Unit: A Systematic Review. </w:t>
      </w:r>
      <w:r w:rsidRPr="007738E0">
        <w:rPr>
          <w:rFonts w:ascii="Calibri" w:eastAsia="Calibri" w:hAnsi="Calibri" w:cs="Calibri"/>
          <w:lang w:val="es-US"/>
        </w:rPr>
        <w:t xml:space="preserve">JPEN J </w:t>
      </w:r>
      <w:proofErr w:type="spellStart"/>
      <w:r w:rsidRPr="007738E0">
        <w:rPr>
          <w:rFonts w:ascii="Calibri" w:eastAsia="Calibri" w:hAnsi="Calibri" w:cs="Calibri"/>
          <w:lang w:val="es-US"/>
        </w:rPr>
        <w:t>Parenter</w:t>
      </w:r>
      <w:proofErr w:type="spellEnd"/>
      <w:r w:rsidRPr="007738E0">
        <w:rPr>
          <w:rFonts w:ascii="Calibri" w:eastAsia="Calibri" w:hAnsi="Calibri" w:cs="Calibri"/>
          <w:lang w:val="es-US"/>
        </w:rPr>
        <w:t xml:space="preserve"> Enteral </w:t>
      </w:r>
      <w:proofErr w:type="spellStart"/>
      <w:r w:rsidRPr="007738E0">
        <w:rPr>
          <w:rFonts w:ascii="Calibri" w:eastAsia="Calibri" w:hAnsi="Calibri" w:cs="Calibri"/>
          <w:lang w:val="es-US"/>
        </w:rPr>
        <w:t>Nutr</w:t>
      </w:r>
      <w:proofErr w:type="spellEnd"/>
      <w:r w:rsidRPr="007738E0">
        <w:rPr>
          <w:rFonts w:ascii="Calibri" w:eastAsia="Calibri" w:hAnsi="Calibri" w:cs="Calibri"/>
          <w:lang w:val="es-US"/>
        </w:rPr>
        <w:t>. 2016;</w:t>
      </w:r>
      <w:r w:rsidRPr="007738E0">
        <w:rPr>
          <w:lang w:val="es-US"/>
        </w:rPr>
        <w:t xml:space="preserve"> </w:t>
      </w:r>
    </w:p>
    <w:p w14:paraId="0A3346A8" w14:textId="77777777" w:rsidR="00655DC5" w:rsidRDefault="00F86A6A" w:rsidP="00655DC5">
      <w:pPr>
        <w:ind w:left="0" w:firstLine="0"/>
        <w:rPr>
          <w:rFonts w:ascii="Calibri" w:eastAsia="Calibri" w:hAnsi="Calibri" w:cs="Calibri"/>
          <w:lang w:val="es-US"/>
        </w:rPr>
      </w:pPr>
      <w:hyperlink r:id="rId27" w:history="1">
        <w:r w:rsidR="00655DC5" w:rsidRPr="00B608C3">
          <w:rPr>
            <w:rStyle w:val="Hyperlink"/>
            <w:rFonts w:ascii="Calibri" w:eastAsia="Calibri" w:hAnsi="Calibri" w:cs="Calibri"/>
            <w:lang w:val="es-US"/>
          </w:rPr>
          <w:t>http://www.ncbi.nlm.nih.gov/pubmed/26838530</w:t>
        </w:r>
      </w:hyperlink>
      <w:r w:rsidR="00655DC5" w:rsidRPr="007738E0">
        <w:rPr>
          <w:rFonts w:ascii="Calibri" w:eastAsia="Calibri" w:hAnsi="Calibri" w:cs="Calibri"/>
          <w:lang w:val="es-US"/>
        </w:rPr>
        <w:t xml:space="preserve"> </w:t>
      </w:r>
    </w:p>
    <w:p w14:paraId="6C2A4510" w14:textId="77777777" w:rsidR="00655DC5" w:rsidRPr="00655DC5" w:rsidRDefault="00655DC5" w:rsidP="00655DC5">
      <w:pPr>
        <w:rPr>
          <w:lang w:val="es-US"/>
        </w:rPr>
      </w:pPr>
    </w:p>
    <w:tbl>
      <w:tblPr>
        <w:tblStyle w:val="TableGrid"/>
        <w:tblW w:w="0" w:type="auto"/>
        <w:tblLook w:val="04A0" w:firstRow="1" w:lastRow="0" w:firstColumn="1" w:lastColumn="0" w:noHBand="0" w:noVBand="1"/>
      </w:tblPr>
      <w:tblGrid>
        <w:gridCol w:w="2155"/>
        <w:gridCol w:w="7195"/>
      </w:tblGrid>
      <w:tr w:rsidR="00655DC5" w14:paraId="2DECDA98" w14:textId="77777777" w:rsidTr="00340780">
        <w:tc>
          <w:tcPr>
            <w:tcW w:w="2155" w:type="dxa"/>
          </w:tcPr>
          <w:p w14:paraId="2CA87332" w14:textId="77777777" w:rsidR="00655DC5" w:rsidRDefault="00655DC5" w:rsidP="00340780">
            <w:pPr>
              <w:ind w:left="0" w:firstLine="0"/>
              <w:rPr>
                <w:rFonts w:eastAsiaTheme="minorEastAsia"/>
                <w:b/>
              </w:rPr>
            </w:pPr>
            <w:r>
              <w:rPr>
                <w:rFonts w:eastAsiaTheme="minorEastAsia"/>
                <w:b/>
              </w:rPr>
              <w:t>Outcome of Interest</w:t>
            </w:r>
          </w:p>
        </w:tc>
        <w:tc>
          <w:tcPr>
            <w:tcW w:w="7195" w:type="dxa"/>
          </w:tcPr>
          <w:p w14:paraId="55580CB8" w14:textId="77777777" w:rsidR="00655DC5" w:rsidRDefault="00655DC5" w:rsidP="00340780">
            <w:pPr>
              <w:ind w:left="0" w:firstLine="0"/>
              <w:rPr>
                <w:rFonts w:eastAsiaTheme="minorEastAsia"/>
                <w:b/>
              </w:rPr>
            </w:pPr>
            <w:r>
              <w:rPr>
                <w:rFonts w:eastAsiaTheme="minorEastAsia"/>
                <w:b/>
              </w:rPr>
              <w:t>Study Findings from Review</w:t>
            </w:r>
          </w:p>
        </w:tc>
      </w:tr>
      <w:tr w:rsidR="00655DC5" w14:paraId="6911BF7A" w14:textId="77777777" w:rsidTr="00340780">
        <w:tc>
          <w:tcPr>
            <w:tcW w:w="2155" w:type="dxa"/>
          </w:tcPr>
          <w:p w14:paraId="728AB456" w14:textId="77777777" w:rsidR="00655DC5" w:rsidRPr="006956A8" w:rsidRDefault="00655DC5" w:rsidP="00340780">
            <w:pPr>
              <w:ind w:left="0" w:firstLine="0"/>
              <w:rPr>
                <w:rFonts w:eastAsiaTheme="minorEastAsia"/>
              </w:rPr>
            </w:pPr>
            <w:r>
              <w:rPr>
                <w:rFonts w:eastAsiaTheme="minorEastAsia"/>
              </w:rPr>
              <w:t>Mortality Associated with Malnutrition Identified from the SGA</w:t>
            </w:r>
          </w:p>
        </w:tc>
        <w:tc>
          <w:tcPr>
            <w:tcW w:w="7195" w:type="dxa"/>
          </w:tcPr>
          <w:p w14:paraId="4E352D25" w14:textId="77777777" w:rsidR="00655DC5" w:rsidRPr="004A402C" w:rsidRDefault="00655DC5" w:rsidP="00340780">
            <w:pPr>
              <w:ind w:left="0" w:firstLine="0"/>
              <w:rPr>
                <w:rFonts w:eastAsiaTheme="minorEastAsia" w:cstheme="minorEastAsia"/>
              </w:rPr>
            </w:pPr>
            <w:r>
              <w:t xml:space="preserve">Five studies of lower risk of bias (Caporossi,2012; Fontes, 2014; </w:t>
            </w:r>
            <w:proofErr w:type="spellStart"/>
            <w:r>
              <w:t>Sheean</w:t>
            </w:r>
            <w:proofErr w:type="spellEnd"/>
            <w:r>
              <w:t xml:space="preserve">, 2013; </w:t>
            </w:r>
            <w:proofErr w:type="spellStart"/>
            <w:r>
              <w:t>Lomivorotov</w:t>
            </w:r>
            <w:proofErr w:type="spellEnd"/>
            <w:r>
              <w:t xml:space="preserve">, 2013; </w:t>
            </w:r>
            <w:proofErr w:type="spellStart"/>
            <w:r>
              <w:t>Merli</w:t>
            </w:r>
            <w:proofErr w:type="spellEnd"/>
            <w:r>
              <w:t>, 2010) reported that malnutrition identified from a validated nutrition assessment tool was associated with higher hospital mortality , but not independently associated with ICU mortality.</w:t>
            </w:r>
          </w:p>
        </w:tc>
      </w:tr>
      <w:tr w:rsidR="00655DC5" w14:paraId="2A4B3641" w14:textId="77777777" w:rsidTr="00340780">
        <w:tc>
          <w:tcPr>
            <w:tcW w:w="2155" w:type="dxa"/>
          </w:tcPr>
          <w:p w14:paraId="68EB9FC2" w14:textId="77777777" w:rsidR="00655DC5" w:rsidRPr="006956A8" w:rsidRDefault="00655DC5" w:rsidP="00340780">
            <w:pPr>
              <w:ind w:left="0" w:firstLine="0"/>
              <w:rPr>
                <w:rFonts w:eastAsiaTheme="minorEastAsia"/>
              </w:rPr>
            </w:pPr>
            <w:r>
              <w:rPr>
                <w:rFonts w:eastAsiaTheme="minorEastAsia"/>
              </w:rPr>
              <w:t>Incidence of Infection (IOI) Associated with Malnutrition Identified from the SGA</w:t>
            </w:r>
          </w:p>
        </w:tc>
        <w:tc>
          <w:tcPr>
            <w:tcW w:w="7195" w:type="dxa"/>
          </w:tcPr>
          <w:p w14:paraId="325CB9A8" w14:textId="77777777" w:rsidR="00655DC5" w:rsidRPr="006956A8" w:rsidRDefault="00655DC5" w:rsidP="00340780">
            <w:pPr>
              <w:ind w:left="0" w:firstLine="0"/>
              <w:rPr>
                <w:rFonts w:eastAsiaTheme="minorEastAsia"/>
              </w:rPr>
            </w:pPr>
            <w:r>
              <w:t xml:space="preserve">Malnutrition was independently associated with higher IOI  </w:t>
            </w:r>
            <w:r w:rsidRPr="0092787A">
              <w:t>4.5 vs 0.6 episodes per patient, adjusted, P = .0001</w:t>
            </w:r>
            <w:r>
              <w:t xml:space="preserve"> (</w:t>
            </w:r>
            <w:proofErr w:type="spellStart"/>
            <w:r>
              <w:t>Merli</w:t>
            </w:r>
            <w:proofErr w:type="spellEnd"/>
            <w:r>
              <w:t>, 2010)</w:t>
            </w:r>
          </w:p>
        </w:tc>
      </w:tr>
      <w:tr w:rsidR="00655DC5" w14:paraId="45DD1FC0" w14:textId="77777777" w:rsidTr="00340780">
        <w:tc>
          <w:tcPr>
            <w:tcW w:w="2155" w:type="dxa"/>
          </w:tcPr>
          <w:p w14:paraId="226D1563" w14:textId="77777777" w:rsidR="00655DC5" w:rsidRPr="006956A8" w:rsidRDefault="00655DC5" w:rsidP="00340780">
            <w:pPr>
              <w:ind w:left="0" w:firstLine="0"/>
              <w:rPr>
                <w:rFonts w:eastAsiaTheme="minorEastAsia"/>
              </w:rPr>
            </w:pPr>
            <w:r>
              <w:rPr>
                <w:rFonts w:eastAsiaTheme="minorEastAsia"/>
              </w:rPr>
              <w:t>Risk of ICU Readmission Associated with Malnutrition Identified from the SGA</w:t>
            </w:r>
          </w:p>
        </w:tc>
        <w:tc>
          <w:tcPr>
            <w:tcW w:w="7195" w:type="dxa"/>
          </w:tcPr>
          <w:p w14:paraId="4DDA2C2A" w14:textId="77777777" w:rsidR="00655DC5" w:rsidRPr="006956A8" w:rsidRDefault="00655DC5" w:rsidP="00340780">
            <w:pPr>
              <w:ind w:left="0" w:firstLine="0"/>
              <w:rPr>
                <w:rFonts w:eastAsiaTheme="minorEastAsia"/>
              </w:rPr>
            </w:pPr>
            <w:r>
              <w:t>Malnutrition was independently associated with risk of ICU readmission (OR=2.27; 95% CI, 1.08 – 4.80; P&lt;.05)</w:t>
            </w:r>
          </w:p>
        </w:tc>
      </w:tr>
      <w:tr w:rsidR="00655DC5" w14:paraId="2D97C571" w14:textId="77777777" w:rsidTr="00340780">
        <w:tc>
          <w:tcPr>
            <w:tcW w:w="2155" w:type="dxa"/>
          </w:tcPr>
          <w:p w14:paraId="4F17D015" w14:textId="77777777" w:rsidR="00655DC5" w:rsidRPr="006956A8" w:rsidRDefault="00655DC5" w:rsidP="00340780">
            <w:pPr>
              <w:ind w:left="0" w:firstLine="0"/>
              <w:rPr>
                <w:rFonts w:eastAsiaTheme="minorEastAsia"/>
              </w:rPr>
            </w:pPr>
            <w:r>
              <w:rPr>
                <w:rFonts w:eastAsiaTheme="minorEastAsia"/>
              </w:rPr>
              <w:lastRenderedPageBreak/>
              <w:t>Percentage of patients discharged to nursing homes vs. own homes</w:t>
            </w:r>
          </w:p>
        </w:tc>
        <w:tc>
          <w:tcPr>
            <w:tcW w:w="7195" w:type="dxa"/>
          </w:tcPr>
          <w:p w14:paraId="5F968C78" w14:textId="77777777" w:rsidR="00655DC5" w:rsidRPr="00580508" w:rsidRDefault="00655DC5" w:rsidP="00340780">
            <w:pPr>
              <w:ind w:left="0" w:firstLine="0"/>
            </w:pPr>
            <w:proofErr w:type="spellStart"/>
            <w:r>
              <w:t>Sheean</w:t>
            </w:r>
            <w:proofErr w:type="spellEnd"/>
            <w:r>
              <w:t xml:space="preserve"> (2013) reported that the percentage of malnourish elderly patients discharged home was 28.6% lower than well-nourished patients (p=0.001)</w:t>
            </w:r>
          </w:p>
        </w:tc>
      </w:tr>
      <w:tr w:rsidR="00655DC5" w14:paraId="1FD710E9" w14:textId="77777777" w:rsidTr="00340780">
        <w:trPr>
          <w:trHeight w:val="1160"/>
        </w:trPr>
        <w:tc>
          <w:tcPr>
            <w:tcW w:w="2155" w:type="dxa"/>
          </w:tcPr>
          <w:p w14:paraId="327E3E78" w14:textId="77777777" w:rsidR="00655DC5" w:rsidRPr="006956A8" w:rsidRDefault="00655DC5" w:rsidP="00340780">
            <w:pPr>
              <w:ind w:left="0" w:firstLine="0"/>
              <w:rPr>
                <w:rFonts w:eastAsiaTheme="minorEastAsia"/>
              </w:rPr>
            </w:pPr>
            <w:r>
              <w:rPr>
                <w:rFonts w:eastAsiaTheme="minorEastAsia"/>
              </w:rPr>
              <w:t>Post-operative complications associated with Malnutrition</w:t>
            </w:r>
          </w:p>
        </w:tc>
        <w:tc>
          <w:tcPr>
            <w:tcW w:w="7195" w:type="dxa"/>
          </w:tcPr>
          <w:p w14:paraId="302F40D6" w14:textId="77777777" w:rsidR="00655DC5" w:rsidRPr="006956A8" w:rsidRDefault="00655DC5" w:rsidP="00340780">
            <w:pPr>
              <w:ind w:left="0" w:firstLine="0"/>
              <w:rPr>
                <w:rFonts w:eastAsiaTheme="minorEastAsia"/>
              </w:rPr>
            </w:pPr>
            <w:proofErr w:type="spellStart"/>
            <w:r>
              <w:rPr>
                <w:rFonts w:eastAsiaTheme="minorEastAsia"/>
              </w:rPr>
              <w:t>Lomivorotov</w:t>
            </w:r>
            <w:proofErr w:type="spellEnd"/>
            <w:r>
              <w:rPr>
                <w:rFonts w:eastAsiaTheme="minorEastAsia"/>
              </w:rPr>
              <w:t xml:space="preserve"> (2013) and </w:t>
            </w:r>
            <w:proofErr w:type="spellStart"/>
            <w:r>
              <w:rPr>
                <w:rFonts w:eastAsiaTheme="minorEastAsia"/>
              </w:rPr>
              <w:t>Sheean</w:t>
            </w:r>
            <w:proofErr w:type="spellEnd"/>
            <w:r>
              <w:rPr>
                <w:rFonts w:eastAsiaTheme="minorEastAsia"/>
              </w:rPr>
              <w:t xml:space="preserve"> 2013 both reported increased risk of postoperative complications for patients diagnosed with malnutrition using the MNA (OR=1.60, 95% CI, 1.10-2.20; P&lt;.01)</w:t>
            </w:r>
          </w:p>
        </w:tc>
      </w:tr>
    </w:tbl>
    <w:p w14:paraId="18B072D8" w14:textId="77777777" w:rsidR="00655DC5" w:rsidRDefault="00655DC5" w:rsidP="00655DC5"/>
    <w:p w14:paraId="443284C9" w14:textId="77777777" w:rsidR="00655DC5" w:rsidRDefault="00655DC5" w:rsidP="00655DC5"/>
    <w:p w14:paraId="611CF553" w14:textId="77777777" w:rsidR="00655DC5" w:rsidRPr="003B1CC5" w:rsidRDefault="00655DC5" w:rsidP="00655DC5">
      <w:pPr>
        <w:ind w:left="0" w:firstLine="0"/>
      </w:pPr>
      <w:r w:rsidRPr="38AF9500">
        <w:rPr>
          <w:b/>
          <w:bCs/>
          <w:color w:val="0000FF"/>
        </w:rPr>
        <w:t>1a.7.8.</w:t>
      </w:r>
      <w:r>
        <w:t xml:space="preserve"> </w:t>
      </w:r>
      <w:r w:rsidRPr="38AF9500">
        <w:rPr>
          <w:b/>
          <w:bCs/>
        </w:rPr>
        <w:t>What harms were studied and how do they affect the net benefit (benefits over harms)?</w:t>
      </w:r>
      <w:r>
        <w:t xml:space="preserve"> </w:t>
      </w:r>
    </w:p>
    <w:p w14:paraId="2EFC56FB" w14:textId="77777777" w:rsidR="00655DC5" w:rsidRDefault="00655DC5" w:rsidP="00655DC5">
      <w:pPr>
        <w:ind w:left="0" w:firstLine="0"/>
      </w:pPr>
    </w:p>
    <w:p w14:paraId="21A1AF41" w14:textId="77777777" w:rsidR="00655DC5" w:rsidRPr="003B1CC5" w:rsidRDefault="00655DC5" w:rsidP="00655DC5">
      <w:pPr>
        <w:ind w:left="0" w:firstLine="0"/>
      </w:pPr>
      <w:r>
        <w:t>Harms and adverse events to patients were not reported in either the clinical practice guideline or systematic review.</w:t>
      </w:r>
    </w:p>
    <w:p w14:paraId="52CD22CF" w14:textId="77777777" w:rsidR="00655DC5" w:rsidRPr="003B1CC5" w:rsidRDefault="00655DC5" w:rsidP="00655DC5">
      <w:pPr>
        <w:ind w:left="0" w:firstLine="0"/>
      </w:pPr>
    </w:p>
    <w:p w14:paraId="22BD4301" w14:textId="77777777" w:rsidR="00655DC5" w:rsidRPr="003B1CC5" w:rsidRDefault="00655DC5" w:rsidP="00655DC5">
      <w:pPr>
        <w:ind w:left="0" w:firstLine="0"/>
        <w:rPr>
          <w:b/>
          <w:noProof/>
        </w:rPr>
      </w:pPr>
      <w:r w:rsidRPr="003B1CC5">
        <w:rPr>
          <w:b/>
          <w:noProof/>
        </w:rPr>
        <w:t>UPDATE TO THE SYSTEMATIC REVIEW(S) OF THE BODY OF EVIDENCE</w:t>
      </w:r>
    </w:p>
    <w:p w14:paraId="51C0551B" w14:textId="77777777" w:rsidR="00655DC5" w:rsidRDefault="00655DC5" w:rsidP="00655DC5">
      <w:pPr>
        <w:ind w:left="0" w:firstLine="0"/>
        <w:rPr>
          <w:b/>
          <w:color w:val="0070C0"/>
        </w:rPr>
      </w:pPr>
    </w:p>
    <w:p w14:paraId="7C75C0A7" w14:textId="77777777" w:rsidR="005906D0" w:rsidRDefault="005906D0" w:rsidP="005906D0">
      <w:pPr>
        <w:ind w:left="0" w:firstLine="0"/>
        <w:rPr>
          <w:rFonts w:eastAsiaTheme="minorEastAsia"/>
          <w:b/>
        </w:rPr>
      </w:pPr>
      <w:r w:rsidRPr="00DD3A26">
        <w:rPr>
          <w:rFonts w:eastAsiaTheme="minorEastAsia"/>
          <w:b/>
        </w:rPr>
        <w:t xml:space="preserve">Valladares AF, Kilgore KM, Partridge J, Sulo S, Kerr KW, McCauley S. How a malnutrition quality improvement initiative furthers malnutrition measurement and care: results from a hospital learning collaborative. JPEN J </w:t>
      </w:r>
      <w:proofErr w:type="spellStart"/>
      <w:r w:rsidRPr="00DD3A26">
        <w:rPr>
          <w:rFonts w:eastAsiaTheme="minorEastAsia"/>
          <w:b/>
        </w:rPr>
        <w:t>Parenter</w:t>
      </w:r>
      <w:proofErr w:type="spellEnd"/>
      <w:r w:rsidRPr="00DD3A26">
        <w:rPr>
          <w:rFonts w:eastAsiaTheme="minorEastAsia"/>
          <w:b/>
        </w:rPr>
        <w:t xml:space="preserve"> Enteral </w:t>
      </w:r>
      <w:proofErr w:type="spellStart"/>
      <w:r w:rsidRPr="00DD3A26">
        <w:rPr>
          <w:rFonts w:eastAsiaTheme="minorEastAsia"/>
          <w:b/>
        </w:rPr>
        <w:t>Nutr</w:t>
      </w:r>
      <w:proofErr w:type="spellEnd"/>
      <w:r w:rsidRPr="00DD3A26">
        <w:rPr>
          <w:rFonts w:eastAsiaTheme="minorEastAsia"/>
          <w:b/>
        </w:rPr>
        <w:t>. Published online April 13, 2020.</w:t>
      </w:r>
    </w:p>
    <w:p w14:paraId="4C6CC3F3" w14:textId="77777777" w:rsidR="005906D0" w:rsidRDefault="005906D0" w:rsidP="005906D0">
      <w:pPr>
        <w:ind w:left="0" w:firstLine="0"/>
        <w:rPr>
          <w:rFonts w:eastAsiaTheme="minorEastAsia"/>
          <w:b/>
        </w:rPr>
      </w:pPr>
    </w:p>
    <w:p w14:paraId="03A60FBB" w14:textId="77777777" w:rsidR="005906D0" w:rsidRDefault="005906D0" w:rsidP="005906D0">
      <w:pPr>
        <w:ind w:left="0" w:firstLine="0"/>
        <w:rPr>
          <w:rFonts w:eastAsiaTheme="minorEastAsia"/>
          <w:b/>
        </w:rPr>
      </w:pPr>
      <w:r>
        <w:rPr>
          <w:rFonts w:ascii="Segoe UI" w:hAnsi="Segoe UI" w:cs="Segoe UI"/>
          <w:color w:val="212121"/>
          <w:shd w:val="clear" w:color="auto" w:fill="FFFFFF"/>
        </w:rPr>
        <w:t xml:space="preserve">In this study, the implementation of malnutrition-focused quality improvement practices significantly improved the identification of malnutrition. The prompt identification and treatment of patients at malnutrition risk can improve patient care and health, as well as reduce costly readmissions. </w:t>
      </w:r>
      <w:r>
        <w:rPr>
          <w:rStyle w:val="Strong"/>
          <w:rFonts w:ascii="Segoe UI" w:hAnsi="Segoe UI" w:cs="Segoe UI"/>
          <w:color w:val="212121"/>
          <w:shd w:val="clear" w:color="auto" w:fill="FFFFFF"/>
        </w:rPr>
        <w:t> </w:t>
      </w:r>
      <w:r>
        <w:rPr>
          <w:rFonts w:ascii="Segoe UI" w:hAnsi="Segoe UI" w:cs="Segoe UI"/>
          <w:color w:val="212121"/>
          <w:shd w:val="clear" w:color="auto" w:fill="FFFFFF"/>
        </w:rPr>
        <w:t>Improvements were observed for all 4 malnutrition quality measures. The greatest improvements were achieved as a result of timely nutrition assessment (P = .06) and malnutrition diagnosis (P = .02). Patients ≥65 years with a malnutrition diagnosis and nutrition care plan had a 24% lower likelihood of 30-day readmission but a longer mean LOS than did those without a care plan.</w:t>
      </w:r>
    </w:p>
    <w:p w14:paraId="2CD81E0D" w14:textId="77777777" w:rsidR="005906D0" w:rsidRDefault="005906D0" w:rsidP="00F86A6A">
      <w:pPr>
        <w:ind w:left="0" w:firstLine="0"/>
        <w:rPr>
          <w:rStyle w:val="apple-converted-space"/>
          <w:rFonts w:cs="Arial"/>
          <w:b/>
          <w:bCs/>
          <w:color w:val="000000" w:themeColor="text1"/>
        </w:rPr>
      </w:pPr>
    </w:p>
    <w:p w14:paraId="27ACF369" w14:textId="14B6333B" w:rsidR="00F86A6A" w:rsidRDefault="00F86A6A" w:rsidP="00F86A6A">
      <w:pPr>
        <w:ind w:left="0" w:firstLine="0"/>
        <w:rPr>
          <w:rStyle w:val="apple-converted-space"/>
          <w:rFonts w:cs="Arial"/>
          <w:b/>
          <w:bCs/>
          <w:color w:val="000000" w:themeColor="text1"/>
        </w:rPr>
      </w:pPr>
      <w:r w:rsidRPr="00F86A6A">
        <w:rPr>
          <w:rStyle w:val="apple-converted-space"/>
          <w:rFonts w:cs="Arial"/>
          <w:b/>
          <w:bCs/>
          <w:color w:val="000000" w:themeColor="text1"/>
        </w:rPr>
        <w:t>Pratt KJ, Hernandez B, Blancato R, Blankenship J, Mitchell K. Impact of an interdisciplinary malnutrition quality improvement project at a large metropolitan hospital. BMJ Open Qual. 2020;9(1).</w:t>
      </w:r>
    </w:p>
    <w:p w14:paraId="55718664" w14:textId="77777777" w:rsidR="00F86A6A" w:rsidRDefault="00F86A6A" w:rsidP="00F86A6A">
      <w:pPr>
        <w:ind w:left="0" w:firstLine="0"/>
        <w:rPr>
          <w:rStyle w:val="apple-converted-space"/>
          <w:rFonts w:cs="Arial"/>
          <w:b/>
          <w:bCs/>
          <w:color w:val="000000" w:themeColor="text1"/>
        </w:rPr>
      </w:pPr>
    </w:p>
    <w:p w14:paraId="77A7E469" w14:textId="159D0D77" w:rsidR="00F86A6A" w:rsidRPr="00F86A6A" w:rsidRDefault="00F86A6A" w:rsidP="00F86A6A">
      <w:pPr>
        <w:ind w:left="0" w:firstLine="0"/>
        <w:rPr>
          <w:rStyle w:val="apple-converted-space"/>
          <w:rFonts w:cs="Arial"/>
          <w:color w:val="000000" w:themeColor="text1"/>
        </w:rPr>
      </w:pPr>
      <w:r>
        <w:rPr>
          <w:rStyle w:val="apple-converted-space"/>
          <w:rFonts w:cs="Arial"/>
          <w:color w:val="000000" w:themeColor="text1"/>
        </w:rPr>
        <w:t xml:space="preserve">This study </w:t>
      </w:r>
      <w:r>
        <w:rPr>
          <w:color w:val="000000"/>
          <w:shd w:val="clear" w:color="auto" w:fill="FFFFFF"/>
        </w:rPr>
        <w:t>evaluated an institution-wide, multipronged model for detecting deficiencies in malnutrition care and implementing changes to address them</w:t>
      </w:r>
      <w:r w:rsidR="00C95567">
        <w:rPr>
          <w:color w:val="000000"/>
          <w:shd w:val="clear" w:color="auto" w:fill="FFFFFF"/>
        </w:rPr>
        <w:t xml:space="preserve"> based on the clinical workflow the malnutrition clinical quality measures are focused on</w:t>
      </w:r>
      <w:r>
        <w:rPr>
          <w:color w:val="000000"/>
          <w:shd w:val="clear" w:color="auto" w:fill="FFFFFF"/>
        </w:rPr>
        <w:t>.</w:t>
      </w:r>
      <w:r w:rsidR="00C95567">
        <w:rPr>
          <w:color w:val="000000"/>
          <w:shd w:val="clear" w:color="auto" w:fill="FFFFFF"/>
        </w:rPr>
        <w:t xml:space="preserve"> </w:t>
      </w:r>
      <w:r w:rsidR="00C95567" w:rsidRPr="00C95567">
        <w:rPr>
          <w:color w:val="000000"/>
          <w:shd w:val="clear" w:color="auto" w:fill="FFFFFF"/>
        </w:rPr>
        <w:t>Following the multipronged series of interventions described above, the hospital documented a 25% (2-day) overall reduction in LOS for malnourished/at-risk patients (from 8 days to 6 days, p&lt;0.01) and a 22.2% (2-day) reduction in LOS for malnourished/at-risk patients with infections (from 9 days to 7 days, p=0.10). Infection rates among malnourished patients declined 35.7% (from 14% to 9%, p&lt;0.01). Changes in readmission rates over time were not statistically significant. Additionally, process improvement was noted for the rate at which nursing staff completed malnutrition risk screening (88% to 95% pre-to-postimplementation)</w:t>
      </w:r>
      <w:r w:rsidR="00C95567">
        <w:rPr>
          <w:color w:val="000000"/>
          <w:shd w:val="clear" w:color="auto" w:fill="FFFFFF"/>
        </w:rPr>
        <w:t xml:space="preserve"> and referred those patients for nutrition assessment</w:t>
      </w:r>
      <w:r w:rsidR="00C95567" w:rsidRPr="00C95567">
        <w:rPr>
          <w:color w:val="000000"/>
          <w:shd w:val="clear" w:color="auto" w:fill="FFFFFF"/>
        </w:rPr>
        <w:t>.</w:t>
      </w:r>
    </w:p>
    <w:p w14:paraId="3699261F" w14:textId="77777777" w:rsidR="00F86A6A" w:rsidRDefault="00F86A6A" w:rsidP="00F86A6A">
      <w:pPr>
        <w:ind w:left="0" w:firstLine="0"/>
        <w:rPr>
          <w:rStyle w:val="apple-converted-space"/>
          <w:rFonts w:cs="Arial"/>
          <w:b/>
          <w:bCs/>
          <w:color w:val="000000" w:themeColor="text1"/>
        </w:rPr>
      </w:pPr>
    </w:p>
    <w:p w14:paraId="4560F309" w14:textId="7F3D8F1A" w:rsidR="00F86A6A" w:rsidRPr="00F86A6A" w:rsidRDefault="00F86A6A" w:rsidP="00F86A6A">
      <w:pPr>
        <w:ind w:left="0" w:firstLine="0"/>
        <w:rPr>
          <w:rStyle w:val="apple-converted-space"/>
          <w:rFonts w:cs="Arial"/>
          <w:b/>
          <w:bCs/>
          <w:color w:val="000000" w:themeColor="text1"/>
        </w:rPr>
      </w:pPr>
      <w:r w:rsidRPr="00F86A6A">
        <w:rPr>
          <w:rStyle w:val="apple-converted-space"/>
          <w:rFonts w:cs="Arial"/>
          <w:b/>
          <w:bCs/>
          <w:color w:val="000000" w:themeColor="text1"/>
        </w:rPr>
        <w:t>Danis K, et al. Identifying and Managing Malnourished Hospitalized Patients Utilizing the Malnutrition</w:t>
      </w:r>
    </w:p>
    <w:p w14:paraId="06593A49" w14:textId="7110D63B" w:rsidR="00F86A6A" w:rsidRPr="00F86A6A" w:rsidRDefault="00F86A6A" w:rsidP="00F86A6A">
      <w:pPr>
        <w:ind w:left="0" w:firstLine="0"/>
        <w:rPr>
          <w:rStyle w:val="apple-converted-space"/>
          <w:rFonts w:cs="Arial"/>
          <w:b/>
          <w:bCs/>
          <w:color w:val="000000" w:themeColor="text1"/>
        </w:rPr>
      </w:pPr>
      <w:r w:rsidRPr="00F86A6A">
        <w:rPr>
          <w:rStyle w:val="apple-converted-space"/>
          <w:rFonts w:cs="Arial"/>
          <w:b/>
          <w:bCs/>
          <w:color w:val="000000" w:themeColor="text1"/>
        </w:rPr>
        <w:t>Quality Improvement Initiative: The UPMC Experience. JAND</w:t>
      </w:r>
      <w:r>
        <w:rPr>
          <w:rStyle w:val="apple-converted-space"/>
          <w:rFonts w:cs="Arial"/>
          <w:b/>
          <w:bCs/>
          <w:color w:val="000000" w:themeColor="text1"/>
        </w:rPr>
        <w:t>. 2019</w:t>
      </w:r>
      <w:r w:rsidRPr="00F86A6A">
        <w:rPr>
          <w:rStyle w:val="apple-converted-space"/>
          <w:rFonts w:cs="Arial"/>
          <w:b/>
          <w:bCs/>
          <w:color w:val="000000" w:themeColor="text1"/>
        </w:rPr>
        <w:t>;119(9):S40-S43.</w:t>
      </w:r>
    </w:p>
    <w:p w14:paraId="530ADCE9" w14:textId="77777777" w:rsidR="00F86A6A" w:rsidRDefault="00F86A6A" w:rsidP="00F86A6A">
      <w:pPr>
        <w:ind w:left="0" w:firstLine="0"/>
        <w:rPr>
          <w:rStyle w:val="apple-converted-space"/>
          <w:rFonts w:cs="Arial"/>
          <w:color w:val="000000" w:themeColor="text1"/>
        </w:rPr>
      </w:pPr>
    </w:p>
    <w:p w14:paraId="19BCBD56" w14:textId="7EFC5E76" w:rsidR="00F86A6A" w:rsidRDefault="00F86A6A" w:rsidP="00F86A6A">
      <w:pPr>
        <w:ind w:left="0" w:firstLine="0"/>
        <w:rPr>
          <w:rStyle w:val="apple-converted-space"/>
          <w:rFonts w:cs="Arial"/>
          <w:color w:val="000000" w:themeColor="text1"/>
        </w:rPr>
      </w:pPr>
      <w:r>
        <w:rPr>
          <w:rStyle w:val="apple-converted-space"/>
          <w:rFonts w:cs="Arial"/>
          <w:color w:val="000000" w:themeColor="text1"/>
        </w:rPr>
        <w:lastRenderedPageBreak/>
        <w:t>This article’s findings demonstrate that use of the malnutrition clinical quality measures to support malnutrition-focused q</w:t>
      </w:r>
      <w:r w:rsidRPr="00F86A6A">
        <w:rPr>
          <w:rStyle w:val="apple-converted-space"/>
          <w:rFonts w:cs="Arial"/>
          <w:color w:val="000000" w:themeColor="text1"/>
        </w:rPr>
        <w:t>uality improvement projects can improve malnutrition assessment and diagnosis</w:t>
      </w:r>
      <w:r>
        <w:rPr>
          <w:rStyle w:val="apple-converted-space"/>
          <w:rFonts w:cs="Arial"/>
          <w:color w:val="000000" w:themeColor="text1"/>
        </w:rPr>
        <w:t>.</w:t>
      </w:r>
      <w:r w:rsidRPr="00F86A6A">
        <w:rPr>
          <w:rStyle w:val="apple-converted-space"/>
          <w:rFonts w:cs="Arial"/>
          <w:color w:val="000000" w:themeColor="text1"/>
        </w:rPr>
        <w:t xml:space="preserve"> The quality improvement implementation focused on hospital-wide adoption of the Nutrition Focused Physical Examination (NFPE). The </w:t>
      </w:r>
      <w:proofErr w:type="spellStart"/>
      <w:r w:rsidRPr="00F86A6A">
        <w:rPr>
          <w:rStyle w:val="apple-converted-space"/>
          <w:rFonts w:cs="Arial"/>
          <w:color w:val="000000" w:themeColor="text1"/>
        </w:rPr>
        <w:t>MQii</w:t>
      </w:r>
      <w:proofErr w:type="spellEnd"/>
      <w:r w:rsidRPr="00F86A6A">
        <w:rPr>
          <w:rStyle w:val="apple-converted-space"/>
          <w:rFonts w:cs="Arial"/>
          <w:color w:val="000000" w:themeColor="text1"/>
        </w:rPr>
        <w:t xml:space="preserve"> team was guided by the malnutrition electronic clinical quality measures focused on completing a nutrition assessment (the NFPE) within 24 hours of identification of malnutrition risk and ensuring documentation of a malnutrition diagnosis when it was identified. Performance on both measures improved significantly (P&lt;0.01).</w:t>
      </w:r>
    </w:p>
    <w:p w14:paraId="32C0DCF0" w14:textId="2BE8B7A2" w:rsidR="004933D7" w:rsidRDefault="004933D7" w:rsidP="00F86A6A">
      <w:pPr>
        <w:ind w:left="0" w:firstLine="0"/>
        <w:rPr>
          <w:rStyle w:val="apple-converted-space"/>
          <w:rFonts w:cs="Arial"/>
          <w:color w:val="000000" w:themeColor="text1"/>
        </w:rPr>
      </w:pPr>
    </w:p>
    <w:p w14:paraId="19D99087" w14:textId="013D6F45" w:rsidR="004933D7" w:rsidRDefault="004933D7" w:rsidP="00F86A6A">
      <w:pPr>
        <w:ind w:left="0" w:firstLine="0"/>
        <w:rPr>
          <w:rStyle w:val="apple-converted-space"/>
          <w:rFonts w:cs="Arial"/>
          <w:b/>
          <w:bCs/>
          <w:color w:val="000000" w:themeColor="text1"/>
        </w:rPr>
      </w:pPr>
      <w:proofErr w:type="spellStart"/>
      <w:r w:rsidRPr="004933D7">
        <w:rPr>
          <w:rStyle w:val="apple-converted-space"/>
          <w:rFonts w:cs="Arial"/>
          <w:b/>
          <w:bCs/>
          <w:color w:val="000000" w:themeColor="text1"/>
        </w:rPr>
        <w:t>Mordarski</w:t>
      </w:r>
      <w:proofErr w:type="spellEnd"/>
      <w:r w:rsidRPr="004933D7">
        <w:rPr>
          <w:rStyle w:val="apple-converted-space"/>
          <w:rFonts w:cs="Arial"/>
          <w:b/>
          <w:bCs/>
          <w:color w:val="000000" w:themeColor="text1"/>
        </w:rPr>
        <w:t xml:space="preserve"> BA, Hand RK. Patterns in Adult Malnutrition Assessment and Diagnosis by Registered Dietitian Nutritionists: 2014-2017. JAND. 2019;119(2):310-322.</w:t>
      </w:r>
    </w:p>
    <w:p w14:paraId="2CE25B85" w14:textId="02DDD2AA" w:rsidR="004933D7" w:rsidRDefault="004933D7" w:rsidP="00F86A6A">
      <w:pPr>
        <w:ind w:left="0" w:firstLine="0"/>
        <w:rPr>
          <w:rStyle w:val="apple-converted-space"/>
          <w:rFonts w:cs="Arial"/>
          <w:b/>
          <w:bCs/>
          <w:color w:val="000000" w:themeColor="text1"/>
        </w:rPr>
      </w:pPr>
    </w:p>
    <w:p w14:paraId="12E77E78" w14:textId="50D270C1" w:rsidR="004933D7" w:rsidRPr="004933D7" w:rsidRDefault="004933D7" w:rsidP="004933D7">
      <w:pPr>
        <w:ind w:left="0" w:firstLine="0"/>
        <w:rPr>
          <w:rStyle w:val="apple-converted-space"/>
          <w:rFonts w:cs="Arial"/>
          <w:color w:val="000000" w:themeColor="text1"/>
        </w:rPr>
      </w:pPr>
      <w:r w:rsidRPr="004933D7">
        <w:rPr>
          <w:rStyle w:val="apple-converted-space"/>
          <w:rFonts w:cs="Arial"/>
          <w:color w:val="000000" w:themeColor="text1"/>
        </w:rPr>
        <w:t xml:space="preserve">Based on this </w:t>
      </w:r>
      <w:r>
        <w:rPr>
          <w:rStyle w:val="apple-converted-space"/>
          <w:rFonts w:cs="Arial"/>
          <w:color w:val="000000" w:themeColor="text1"/>
        </w:rPr>
        <w:t xml:space="preserve">study’s </w:t>
      </w:r>
      <w:r w:rsidR="00DD3A26">
        <w:rPr>
          <w:rStyle w:val="apple-converted-space"/>
          <w:rFonts w:cs="Arial"/>
          <w:color w:val="000000" w:themeColor="text1"/>
        </w:rPr>
        <w:t xml:space="preserve">longitudinal </w:t>
      </w:r>
      <w:r w:rsidRPr="004933D7">
        <w:rPr>
          <w:rStyle w:val="apple-converted-space"/>
          <w:rFonts w:cs="Arial"/>
          <w:color w:val="000000" w:themeColor="text1"/>
        </w:rPr>
        <w:t>survey</w:t>
      </w:r>
      <w:r>
        <w:rPr>
          <w:rStyle w:val="apple-converted-space"/>
          <w:rFonts w:cs="Arial"/>
          <w:color w:val="000000" w:themeColor="text1"/>
        </w:rPr>
        <w:t xml:space="preserve"> (</w:t>
      </w:r>
      <w:r w:rsidR="00DD3A26">
        <w:rPr>
          <w:rStyle w:val="apple-converted-space"/>
          <w:rFonts w:cs="Arial"/>
          <w:color w:val="000000" w:themeColor="text1"/>
        </w:rPr>
        <w:t xml:space="preserve">n=1,022 in time 1, and </w:t>
      </w:r>
      <w:r>
        <w:rPr>
          <w:rStyle w:val="apple-converted-space"/>
          <w:rFonts w:cs="Arial"/>
          <w:color w:val="000000" w:themeColor="text1"/>
        </w:rPr>
        <w:t>n=</w:t>
      </w:r>
      <w:r w:rsidR="00DD3A26">
        <w:rPr>
          <w:rStyle w:val="apple-converted-space"/>
          <w:rFonts w:cs="Arial"/>
          <w:color w:val="000000" w:themeColor="text1"/>
        </w:rPr>
        <w:t>799 in time 2)</w:t>
      </w:r>
      <w:r w:rsidRPr="004933D7">
        <w:rPr>
          <w:rStyle w:val="apple-converted-space"/>
          <w:rFonts w:cs="Arial"/>
          <w:color w:val="000000" w:themeColor="text1"/>
        </w:rPr>
        <w:t xml:space="preserve">, use of the Academy/ASPEN Adult Malnutrition Clinical Characteristics to diagnose malnutrition increased demonstrably from 2014 to 2017. </w:t>
      </w:r>
      <w:r w:rsidR="00DD3A26">
        <w:rPr>
          <w:rStyle w:val="apple-converted-space"/>
          <w:rFonts w:cs="Arial"/>
          <w:color w:val="000000" w:themeColor="text1"/>
        </w:rPr>
        <w:t xml:space="preserve">Respondents who reported documenting malnutrition using the Academy/ASPEN criteria increased significantly from 57.4% to 71.3% (P&lt;0.001). </w:t>
      </w:r>
      <w:r w:rsidRPr="004933D7">
        <w:rPr>
          <w:rStyle w:val="apple-converted-space"/>
          <w:rFonts w:cs="Arial"/>
          <w:color w:val="000000" w:themeColor="text1"/>
        </w:rPr>
        <w:t>This parallel</w:t>
      </w:r>
      <w:r w:rsidRPr="004933D7">
        <w:rPr>
          <w:rStyle w:val="apple-converted-space"/>
          <w:rFonts w:cs="Arial"/>
          <w:color w:val="000000" w:themeColor="text1"/>
        </w:rPr>
        <w:t xml:space="preserve"> increases in hospital patients with a malnutrition diagnosis, which increased from 4.0% to 4.9% between 2014 and 2015 in a multi-institutional database</w:t>
      </w:r>
      <w:r w:rsidR="00DD3A26">
        <w:rPr>
          <w:rStyle w:val="apple-converted-space"/>
          <w:rFonts w:cs="Arial"/>
          <w:color w:val="000000" w:themeColor="text1"/>
        </w:rPr>
        <w:t>. Finally, respondents reported various barriers to appropriate diagnosis of malnutrition being incorporated in the patient’s medical record demonstrating that most often when the diagnosis is not followed through with it is a process failure given there are few barriers from its completion.</w:t>
      </w:r>
    </w:p>
    <w:p w14:paraId="515FB145" w14:textId="77777777" w:rsidR="00F86A6A" w:rsidRDefault="00F86A6A" w:rsidP="00F86A6A">
      <w:pPr>
        <w:ind w:left="0" w:firstLine="0"/>
        <w:rPr>
          <w:rStyle w:val="apple-converted-space"/>
          <w:rFonts w:cs="Arial"/>
          <w:b/>
          <w:bCs/>
          <w:color w:val="000000" w:themeColor="text1"/>
        </w:rPr>
      </w:pPr>
    </w:p>
    <w:p w14:paraId="5DD77273" w14:textId="78B84C9A" w:rsidR="00F86A6A" w:rsidRDefault="00F86A6A" w:rsidP="00F86A6A">
      <w:pPr>
        <w:ind w:left="0" w:firstLine="0"/>
        <w:rPr>
          <w:rStyle w:val="apple-converted-space"/>
          <w:rFonts w:cs="Arial"/>
          <w:b/>
          <w:bCs/>
          <w:color w:val="000000" w:themeColor="text1"/>
        </w:rPr>
      </w:pPr>
      <w:r w:rsidRPr="00D378A1">
        <w:rPr>
          <w:rStyle w:val="apple-converted-space"/>
          <w:rFonts w:cs="Arial"/>
          <w:b/>
          <w:bCs/>
          <w:color w:val="000000" w:themeColor="text1"/>
        </w:rPr>
        <w:t xml:space="preserve">Hudson L, Chittams J, Griffith C, </w:t>
      </w:r>
      <w:proofErr w:type="spellStart"/>
      <w:r w:rsidRPr="00D378A1">
        <w:rPr>
          <w:rStyle w:val="apple-converted-space"/>
          <w:rFonts w:cs="Arial"/>
          <w:b/>
          <w:bCs/>
          <w:color w:val="000000" w:themeColor="text1"/>
        </w:rPr>
        <w:t>Compher</w:t>
      </w:r>
      <w:proofErr w:type="spellEnd"/>
      <w:r w:rsidRPr="00D378A1">
        <w:rPr>
          <w:rStyle w:val="apple-converted-space"/>
          <w:rFonts w:cs="Arial"/>
          <w:b/>
          <w:bCs/>
          <w:color w:val="000000" w:themeColor="text1"/>
        </w:rPr>
        <w:t xml:space="preserve"> C. Malnutrition Identified by Academy of Nutrition and Dietetics/American Society for Parenteral and Enteral Nutrition Is Associated With More 30-Day Readmissions, Greater Hospital Mortality, and Longer Hospital Stays: A Retrospective Analysis of Nutrition Assessment Data in a Major Medical Center. JPEN J </w:t>
      </w:r>
      <w:proofErr w:type="spellStart"/>
      <w:r w:rsidRPr="00D378A1">
        <w:rPr>
          <w:rStyle w:val="apple-converted-space"/>
          <w:rFonts w:cs="Arial"/>
          <w:b/>
          <w:bCs/>
          <w:color w:val="000000" w:themeColor="text1"/>
        </w:rPr>
        <w:t>Parenter</w:t>
      </w:r>
      <w:proofErr w:type="spellEnd"/>
      <w:r w:rsidRPr="00D378A1">
        <w:rPr>
          <w:rStyle w:val="apple-converted-space"/>
          <w:rFonts w:cs="Arial"/>
          <w:b/>
          <w:bCs/>
          <w:color w:val="000000" w:themeColor="text1"/>
        </w:rPr>
        <w:t xml:space="preserve"> Enteral </w:t>
      </w:r>
      <w:proofErr w:type="spellStart"/>
      <w:r w:rsidRPr="00D378A1">
        <w:rPr>
          <w:rStyle w:val="apple-converted-space"/>
          <w:rFonts w:cs="Arial"/>
          <w:b/>
          <w:bCs/>
          <w:color w:val="000000" w:themeColor="text1"/>
        </w:rPr>
        <w:t>Nutr</w:t>
      </w:r>
      <w:proofErr w:type="spellEnd"/>
      <w:r w:rsidRPr="00D378A1">
        <w:rPr>
          <w:rStyle w:val="apple-converted-space"/>
          <w:rFonts w:cs="Arial"/>
          <w:b/>
          <w:bCs/>
          <w:color w:val="000000" w:themeColor="text1"/>
        </w:rPr>
        <w:t>. 2018;</w:t>
      </w:r>
    </w:p>
    <w:p w14:paraId="2D4E8636" w14:textId="77777777" w:rsidR="00F86A6A" w:rsidRDefault="00F86A6A" w:rsidP="00F86A6A">
      <w:pPr>
        <w:ind w:left="0" w:firstLine="0"/>
        <w:rPr>
          <w:rStyle w:val="apple-converted-space"/>
          <w:rFonts w:cs="Arial"/>
          <w:b/>
          <w:bCs/>
          <w:color w:val="000000" w:themeColor="text1"/>
        </w:rPr>
      </w:pPr>
    </w:p>
    <w:p w14:paraId="387F96B1" w14:textId="77777777" w:rsidR="00F86A6A" w:rsidRPr="002B7A06" w:rsidRDefault="00F86A6A" w:rsidP="00F86A6A">
      <w:pPr>
        <w:ind w:left="0" w:firstLine="0"/>
        <w:rPr>
          <w:rStyle w:val="apple-converted-space"/>
          <w:rFonts w:cs="Arial"/>
          <w:color w:val="000000" w:themeColor="text1"/>
        </w:rPr>
      </w:pPr>
      <w:r w:rsidRPr="002B7A06">
        <w:rPr>
          <w:rStyle w:val="apple-converted-space"/>
          <w:rFonts w:cs="Arial"/>
          <w:color w:val="000000" w:themeColor="text1"/>
        </w:rPr>
        <w:t>30-day readmissions (primary outcome), hospital mortality, length of stay (LOS) in survivors, and time to discharge alive (TDA) in all patients assessed as malnourished or not malnourished using these criteria in fiscal year 2015. We hypothesized more frequent admissions, greater mortality, longer LOS, and less likely shorter TDA in the malnourished patients.</w:t>
      </w:r>
      <w:r>
        <w:rPr>
          <w:rStyle w:val="apple-converted-space"/>
          <w:rFonts w:cs="Arial"/>
          <w:color w:val="000000" w:themeColor="text1"/>
        </w:rPr>
        <w:t xml:space="preserve"> </w:t>
      </w:r>
      <w:r w:rsidRPr="002B7A06">
        <w:rPr>
          <w:rStyle w:val="apple-converted-space"/>
          <w:rFonts w:cs="Arial"/>
          <w:color w:val="000000" w:themeColor="text1"/>
        </w:rPr>
        <w:t xml:space="preserve">Demographic variables, clinical outcomes, and malnutrition diagnosis for all initial patient admissions were obtained retrospectively from the electronic medical record. Logistic regression was used to compare categorical and Cox proportional hazards for TDA in unadjusted and adjusted (age, sex, race, medical/surgical admission, </w:t>
      </w:r>
      <w:proofErr w:type="spellStart"/>
      <w:r w:rsidRPr="002B7A06">
        <w:rPr>
          <w:rStyle w:val="apple-converted-space"/>
          <w:rFonts w:cs="Arial"/>
          <w:color w:val="000000" w:themeColor="text1"/>
        </w:rPr>
        <w:t>Charlson</w:t>
      </w:r>
      <w:proofErr w:type="spellEnd"/>
      <w:r w:rsidRPr="002B7A06">
        <w:rPr>
          <w:rStyle w:val="apple-converted-space"/>
          <w:rFonts w:cs="Arial"/>
          <w:color w:val="000000" w:themeColor="text1"/>
        </w:rPr>
        <w:t xml:space="preserve"> Comorbidity Index) models.</w:t>
      </w:r>
    </w:p>
    <w:p w14:paraId="11C4CC4F" w14:textId="77777777" w:rsidR="00F86A6A" w:rsidRPr="002B7A06" w:rsidRDefault="00F86A6A" w:rsidP="00F86A6A">
      <w:pPr>
        <w:ind w:left="0" w:firstLine="0"/>
        <w:rPr>
          <w:rStyle w:val="apple-converted-space"/>
          <w:rFonts w:cs="Arial"/>
          <w:color w:val="000000" w:themeColor="text1"/>
        </w:rPr>
      </w:pPr>
    </w:p>
    <w:p w14:paraId="45DEBB88" w14:textId="77777777" w:rsidR="00F86A6A" w:rsidRDefault="00F86A6A" w:rsidP="00F86A6A">
      <w:pPr>
        <w:ind w:left="0" w:firstLine="0"/>
        <w:rPr>
          <w:rStyle w:val="apple-converted-space"/>
          <w:rFonts w:cs="Arial"/>
          <w:color w:val="000000" w:themeColor="text1"/>
        </w:rPr>
      </w:pPr>
      <w:r w:rsidRPr="002B7A06">
        <w:rPr>
          <w:rStyle w:val="apple-converted-space"/>
          <w:rFonts w:cs="Arial"/>
          <w:color w:val="000000" w:themeColor="text1"/>
        </w:rPr>
        <w:t>Of the 3907 patients referred for nutrition assessment, 66.88% met criteria for moderate or severe malnutrition. Malnourished patients were older (61 vs 58 years, P &lt; .0001), and survivors had longer LOS (15 vs 12 days, P = .0067) and were more likely to be readmitted within 30 days (40% vs 23%, P &lt; .0001). In adjusted models, 30-day readmissions (odds ratio [OR] 2.13, 95% confidence interval [CI] 1.82-2.48) and hospital mortality (OR 1.47, 95% CI 1.0-1.99) were increased, and the likelihood of earlier TDA was reduced (hazard ratio [HR] 0.55, 95% CI 0.44-0.77) in those who had &gt;2-day stay.</w:t>
      </w:r>
    </w:p>
    <w:p w14:paraId="334B220C" w14:textId="77777777" w:rsidR="00F86A6A" w:rsidRDefault="00F86A6A" w:rsidP="00655DC5">
      <w:pPr>
        <w:ind w:left="0" w:firstLine="0"/>
        <w:rPr>
          <w:rStyle w:val="apple-converted-space"/>
          <w:rFonts w:cs="Arial"/>
          <w:b/>
          <w:bCs/>
          <w:color w:val="000000" w:themeColor="text1"/>
        </w:rPr>
      </w:pPr>
    </w:p>
    <w:p w14:paraId="1358131C" w14:textId="77777777" w:rsidR="00F86A6A" w:rsidRDefault="00F86A6A" w:rsidP="00F86A6A">
      <w:pPr>
        <w:ind w:left="0" w:firstLine="0"/>
        <w:rPr>
          <w:rStyle w:val="apple-converted-space"/>
          <w:rFonts w:cs="Arial"/>
          <w:b/>
          <w:bCs/>
          <w:color w:val="000000" w:themeColor="text1"/>
        </w:rPr>
      </w:pPr>
      <w:r w:rsidRPr="009E366C">
        <w:rPr>
          <w:rStyle w:val="apple-converted-space"/>
          <w:rFonts w:cs="Arial"/>
          <w:b/>
          <w:bCs/>
          <w:color w:val="000000" w:themeColor="text1"/>
        </w:rPr>
        <w:t xml:space="preserve">Silver HJ, Pratt KJ, Bruno M, Lynch J, Mitchell K, </w:t>
      </w:r>
      <w:proofErr w:type="spellStart"/>
      <w:r w:rsidRPr="009E366C">
        <w:rPr>
          <w:rStyle w:val="apple-converted-space"/>
          <w:rFonts w:cs="Arial"/>
          <w:b/>
          <w:bCs/>
          <w:color w:val="000000" w:themeColor="text1"/>
        </w:rPr>
        <w:t>Mccauley</w:t>
      </w:r>
      <w:proofErr w:type="spellEnd"/>
      <w:r w:rsidRPr="009E366C">
        <w:rPr>
          <w:rStyle w:val="apple-converted-space"/>
          <w:rFonts w:cs="Arial"/>
          <w:b/>
          <w:bCs/>
          <w:color w:val="000000" w:themeColor="text1"/>
        </w:rPr>
        <w:t xml:space="preserve"> SM. Effectiveness of the Malnutrition Quality Improvement Initiative on Practitioner Malnutrition Knowledge and Screening, Diagnosis, and Timeliness of Malnutrition-Related Care Provided to Older Adults Admitted to a Tertiary Care Facility: A Pilot Study. J </w:t>
      </w:r>
      <w:proofErr w:type="spellStart"/>
      <w:r w:rsidRPr="009E366C">
        <w:rPr>
          <w:rStyle w:val="apple-converted-space"/>
          <w:rFonts w:cs="Arial"/>
          <w:b/>
          <w:bCs/>
          <w:color w:val="000000" w:themeColor="text1"/>
        </w:rPr>
        <w:t>Acad</w:t>
      </w:r>
      <w:proofErr w:type="spellEnd"/>
      <w:r w:rsidRPr="009E366C">
        <w:rPr>
          <w:rStyle w:val="apple-converted-space"/>
          <w:rFonts w:cs="Arial"/>
          <w:b/>
          <w:bCs/>
          <w:color w:val="000000" w:themeColor="text1"/>
        </w:rPr>
        <w:t xml:space="preserve"> </w:t>
      </w:r>
      <w:proofErr w:type="spellStart"/>
      <w:r w:rsidRPr="009E366C">
        <w:rPr>
          <w:rStyle w:val="apple-converted-space"/>
          <w:rFonts w:cs="Arial"/>
          <w:b/>
          <w:bCs/>
          <w:color w:val="000000" w:themeColor="text1"/>
        </w:rPr>
        <w:t>Nutr</w:t>
      </w:r>
      <w:proofErr w:type="spellEnd"/>
      <w:r w:rsidRPr="009E366C">
        <w:rPr>
          <w:rStyle w:val="apple-converted-space"/>
          <w:rFonts w:cs="Arial"/>
          <w:b/>
          <w:bCs/>
          <w:color w:val="000000" w:themeColor="text1"/>
        </w:rPr>
        <w:t xml:space="preserve"> Diet. 2018;118(1):101-109.</w:t>
      </w:r>
    </w:p>
    <w:p w14:paraId="34E1D424" w14:textId="77777777" w:rsidR="00F86A6A" w:rsidRDefault="00F86A6A" w:rsidP="00F86A6A">
      <w:pPr>
        <w:ind w:left="0" w:firstLine="0"/>
        <w:rPr>
          <w:rStyle w:val="apple-converted-space"/>
          <w:rFonts w:cs="Arial"/>
          <w:b/>
          <w:bCs/>
          <w:color w:val="000000" w:themeColor="text1"/>
        </w:rPr>
      </w:pPr>
    </w:p>
    <w:p w14:paraId="5694410B" w14:textId="77777777" w:rsidR="00F86A6A" w:rsidRDefault="00F86A6A" w:rsidP="00F86A6A">
      <w:pPr>
        <w:ind w:left="0" w:firstLine="0"/>
        <w:rPr>
          <w:rStyle w:val="apple-converted-space"/>
          <w:rFonts w:cs="Arial"/>
          <w:color w:val="000000" w:themeColor="text1"/>
        </w:rPr>
      </w:pPr>
      <w:r w:rsidRPr="00257C61">
        <w:rPr>
          <w:rStyle w:val="apple-converted-space"/>
          <w:rFonts w:cs="Arial"/>
          <w:color w:val="000000" w:themeColor="text1"/>
        </w:rPr>
        <w:lastRenderedPageBreak/>
        <w:t xml:space="preserve">6-month prospective pilot </w:t>
      </w:r>
      <w:r>
        <w:rPr>
          <w:rStyle w:val="apple-converted-space"/>
          <w:rFonts w:cs="Arial"/>
          <w:color w:val="000000" w:themeColor="text1"/>
        </w:rPr>
        <w:t xml:space="preserve">of 1912 patients recruited from 45 healthcare professionals from geriatric, general medicine, and general surgery units at Vanderbilt University hospital from January to June 2016. </w:t>
      </w:r>
      <w:r w:rsidRPr="0065243C">
        <w:rPr>
          <w:rStyle w:val="apple-converted-space"/>
          <w:rFonts w:cs="Arial"/>
          <w:color w:val="000000" w:themeColor="text1"/>
        </w:rPr>
        <w:t>Participants were patients aged ≥18 y admitted to medical and surgical wards</w:t>
      </w:r>
      <w:r>
        <w:rPr>
          <w:rStyle w:val="apple-converted-space"/>
          <w:rFonts w:cs="Arial"/>
          <w:color w:val="000000" w:themeColor="text1"/>
        </w:rPr>
        <w:t>. The study included</w:t>
      </w:r>
      <w:r w:rsidRPr="00257C61">
        <w:rPr>
          <w:rStyle w:val="apple-converted-space"/>
          <w:rFonts w:cs="Arial"/>
          <w:color w:val="000000" w:themeColor="text1"/>
        </w:rPr>
        <w:t xml:space="preserve"> a 3-month intervention with training and education modules tailored to type of practitioner and integrated into existing teaching and clinical workflow.</w:t>
      </w:r>
      <w:r>
        <w:rPr>
          <w:rStyle w:val="apple-converted-space"/>
          <w:rFonts w:cs="Arial"/>
          <w:color w:val="000000" w:themeColor="text1"/>
        </w:rPr>
        <w:t xml:space="preserve"> </w:t>
      </w:r>
      <w:r w:rsidRPr="00F4130E">
        <w:rPr>
          <w:rStyle w:val="apple-converted-space"/>
          <w:rFonts w:cs="Arial"/>
          <w:color w:val="000000" w:themeColor="text1"/>
        </w:rPr>
        <w:t>Malnutrition knowledge</w:t>
      </w:r>
      <w:r>
        <w:rPr>
          <w:rStyle w:val="apple-converted-space"/>
          <w:rFonts w:cs="Arial"/>
          <w:color w:val="000000" w:themeColor="text1"/>
        </w:rPr>
        <w:t xml:space="preserve"> was assessed</w:t>
      </w:r>
      <w:r w:rsidRPr="00F4130E">
        <w:rPr>
          <w:rStyle w:val="apple-converted-space"/>
          <w:rFonts w:cs="Arial"/>
          <w:color w:val="000000" w:themeColor="text1"/>
        </w:rPr>
        <w:t xml:space="preserve"> by 30-item questionnaire; electronic medical record (EMR) documentation; and timeliness of malnutrition screening, diagnosis, intervention, and discharge planning.</w:t>
      </w:r>
    </w:p>
    <w:p w14:paraId="10902648" w14:textId="77777777" w:rsidR="00F86A6A" w:rsidRDefault="00F86A6A" w:rsidP="00F86A6A">
      <w:pPr>
        <w:ind w:left="0" w:firstLine="0"/>
        <w:rPr>
          <w:rStyle w:val="apple-converted-space"/>
          <w:rFonts w:cs="Arial"/>
          <w:color w:val="000000" w:themeColor="text1"/>
        </w:rPr>
      </w:pPr>
    </w:p>
    <w:p w14:paraId="05193F1F" w14:textId="77777777" w:rsidR="00F86A6A" w:rsidRDefault="00F86A6A" w:rsidP="00F86A6A">
      <w:pPr>
        <w:ind w:left="0" w:firstLine="0"/>
        <w:rPr>
          <w:rStyle w:val="apple-converted-space"/>
          <w:rFonts w:cs="Arial"/>
          <w:color w:val="000000" w:themeColor="text1"/>
        </w:rPr>
      </w:pPr>
      <w:r w:rsidRPr="00F27EC2">
        <w:rPr>
          <w:rStyle w:val="apple-converted-space"/>
          <w:rFonts w:cs="Arial"/>
          <w:color w:val="000000" w:themeColor="text1"/>
        </w:rPr>
        <w:t xml:space="preserve">Malnutrition knowledge score increased 14%, from 39% to 53% (P=0.009). All patients whose nutrition screen indicated they were malnourished/high risk had registered dietitian nutritionist diagnosis of malnutrition documented in the EMR. The proportion who had medical provider (physician, nurse practitioner, or physician assistant) malnutrition diagnosis documented in the EMR increased 11.6%, from 26.7% to 38.3% (P=0.08). About 95% of malnourished/high risk patients had a documented intervention addressing malnutrition. Inclusion of malnutrition care in the discharge plan increased </w:t>
      </w:r>
      <w:r w:rsidRPr="00305C6E">
        <w:rPr>
          <w:rStyle w:val="apple-converted-space"/>
          <w:rFonts w:cs="Arial"/>
          <w:color w:val="000000" w:themeColor="text1"/>
        </w:rPr>
        <w:t>4.8%, from 70.0% to 74.8% (P=0.13).</w:t>
      </w:r>
    </w:p>
    <w:p w14:paraId="2B767554" w14:textId="77777777" w:rsidR="00F86A6A" w:rsidRDefault="00F86A6A" w:rsidP="00655DC5">
      <w:pPr>
        <w:ind w:left="0" w:firstLine="0"/>
        <w:rPr>
          <w:rStyle w:val="apple-converted-space"/>
          <w:rFonts w:cs="Arial"/>
          <w:b/>
          <w:bCs/>
          <w:color w:val="000000" w:themeColor="text1"/>
        </w:rPr>
      </w:pPr>
    </w:p>
    <w:p w14:paraId="5A8DBB2F" w14:textId="34974D1F" w:rsidR="00655DC5" w:rsidRDefault="00655DC5" w:rsidP="00655DC5">
      <w:pPr>
        <w:ind w:left="0" w:firstLine="0"/>
        <w:rPr>
          <w:rStyle w:val="apple-converted-space"/>
          <w:rFonts w:cs="Arial"/>
          <w:b/>
          <w:bCs/>
          <w:color w:val="000000" w:themeColor="text1"/>
        </w:rPr>
      </w:pPr>
      <w:r w:rsidRPr="00655DC5">
        <w:rPr>
          <w:rStyle w:val="apple-converted-space"/>
          <w:rFonts w:cs="Arial"/>
          <w:b/>
          <w:bCs/>
          <w:color w:val="000000" w:themeColor="text1"/>
          <w:lang w:val="es-US"/>
        </w:rPr>
        <w:t xml:space="preserve">Guerra RS, Fonseca I, Sousa AS, Jesus A, Pichel F, Amaral TF. </w:t>
      </w:r>
      <w:r w:rsidRPr="004C1ECD">
        <w:rPr>
          <w:rStyle w:val="apple-converted-space"/>
          <w:rFonts w:cs="Arial"/>
          <w:b/>
          <w:bCs/>
          <w:color w:val="000000" w:themeColor="text1"/>
        </w:rPr>
        <w:t xml:space="preserve">ESPEN diagnostic criteria for malnutrition - A validation study in hospitalized patients. Clin </w:t>
      </w:r>
      <w:proofErr w:type="spellStart"/>
      <w:r w:rsidRPr="004C1ECD">
        <w:rPr>
          <w:rStyle w:val="apple-converted-space"/>
          <w:rFonts w:cs="Arial"/>
          <w:b/>
          <w:bCs/>
          <w:color w:val="000000" w:themeColor="text1"/>
        </w:rPr>
        <w:t>Nutr</w:t>
      </w:r>
      <w:proofErr w:type="spellEnd"/>
      <w:r w:rsidRPr="004C1ECD">
        <w:rPr>
          <w:rStyle w:val="apple-converted-space"/>
          <w:rFonts w:cs="Arial"/>
          <w:b/>
          <w:bCs/>
          <w:color w:val="000000" w:themeColor="text1"/>
        </w:rPr>
        <w:t>. 2017;36(5):1326-1332.</w:t>
      </w:r>
    </w:p>
    <w:p w14:paraId="0A52D3C4" w14:textId="77777777" w:rsidR="00655DC5" w:rsidRDefault="00655DC5" w:rsidP="00655DC5">
      <w:pPr>
        <w:ind w:left="0" w:firstLine="0"/>
        <w:rPr>
          <w:rStyle w:val="apple-converted-space"/>
          <w:rFonts w:cs="Arial"/>
          <w:b/>
          <w:bCs/>
          <w:color w:val="000000" w:themeColor="text1"/>
        </w:rPr>
      </w:pPr>
    </w:p>
    <w:p w14:paraId="2692C9F1" w14:textId="77777777" w:rsidR="00655DC5" w:rsidRPr="007F450D" w:rsidRDefault="00655DC5" w:rsidP="00655DC5">
      <w:pPr>
        <w:ind w:left="0" w:firstLine="0"/>
        <w:rPr>
          <w:rStyle w:val="apple-converted-space"/>
          <w:rFonts w:cs="Arial"/>
          <w:color w:val="000000" w:themeColor="text1"/>
        </w:rPr>
      </w:pPr>
      <w:r w:rsidRPr="007F450D">
        <w:rPr>
          <w:rStyle w:val="apple-converted-space"/>
          <w:rFonts w:cs="Arial"/>
          <w:color w:val="000000" w:themeColor="text1"/>
        </w:rPr>
        <w:t>A prospective observational study took place in a university hospital. Concurrent validity of EDC was evaluated using the Patient Generated Subjective Global Assessment (PG-SGA) nutrition status classification as the reference method. Sensitivity, specificity, positive and negative predictive values were determined. The EDC predictive validity was assessed by its independent association with length of hospital stay (LOS), applying Cox proportional hazards ratio method.</w:t>
      </w:r>
    </w:p>
    <w:p w14:paraId="6859DDD1" w14:textId="77777777" w:rsidR="00655DC5" w:rsidRPr="007F450D" w:rsidRDefault="00655DC5" w:rsidP="00655DC5">
      <w:pPr>
        <w:ind w:left="0" w:firstLine="0"/>
        <w:rPr>
          <w:rStyle w:val="apple-converted-space"/>
          <w:rFonts w:cs="Arial"/>
          <w:color w:val="000000" w:themeColor="text1"/>
        </w:rPr>
      </w:pPr>
    </w:p>
    <w:p w14:paraId="5A9F8EC3" w14:textId="77777777" w:rsidR="00655DC5" w:rsidRDefault="00655DC5" w:rsidP="00655DC5">
      <w:pPr>
        <w:ind w:left="0" w:firstLine="0"/>
        <w:rPr>
          <w:rStyle w:val="apple-converted-space"/>
          <w:rFonts w:cs="Arial"/>
          <w:color w:val="000000" w:themeColor="text1"/>
        </w:rPr>
      </w:pPr>
      <w:r w:rsidRPr="007F450D">
        <w:rPr>
          <w:rStyle w:val="apple-converted-space"/>
          <w:rFonts w:cs="Arial"/>
          <w:color w:val="000000" w:themeColor="text1"/>
        </w:rPr>
        <w:t>Of the 632 included patients, 455 participants (72%) were nutritionally-at-risk (Nutritional Risk Screening initial screening). For those that had screened positive, 260 (57.1%) and 55 participants (12.1%) were undernourished according to PG-SGA and to EDC, respectively. Compared to PG-SGA, the EDC revealed a sensitivity of 17.1% and a specificity of 98.3%. Positive and negative predictive values were respectively 89.1% and 58.9%. Undernutrition evaluated by EDC was independently associated with lower hazard ratio for being discharged home over time, 0.695 (95% confidence interval: 0.509; 0.950).</w:t>
      </w:r>
    </w:p>
    <w:p w14:paraId="3634C800" w14:textId="77777777" w:rsidR="00655DC5" w:rsidRDefault="00655DC5" w:rsidP="00655DC5">
      <w:pPr>
        <w:ind w:left="0" w:firstLine="0"/>
        <w:rPr>
          <w:rStyle w:val="apple-converted-space"/>
          <w:rFonts w:cs="Arial"/>
          <w:color w:val="000000" w:themeColor="text1"/>
        </w:rPr>
      </w:pPr>
    </w:p>
    <w:p w14:paraId="21E976D4" w14:textId="77777777" w:rsidR="00655DC5" w:rsidRDefault="00655DC5" w:rsidP="00655DC5">
      <w:pPr>
        <w:ind w:left="0" w:firstLine="0"/>
        <w:rPr>
          <w:rFonts w:ascii="Calibri" w:eastAsia="Times New Roman" w:hAnsi="Calibri" w:cs="Calibri"/>
          <w:b/>
          <w:bCs/>
          <w:color w:val="000000"/>
        </w:rPr>
      </w:pPr>
      <w:r w:rsidRPr="00305C6E">
        <w:rPr>
          <w:rFonts w:ascii="Calibri" w:eastAsia="Times New Roman" w:hAnsi="Calibri" w:cs="Calibri"/>
          <w:b/>
          <w:bCs/>
          <w:color w:val="000000"/>
        </w:rPr>
        <w:t xml:space="preserve">Hiller LD, Shaw RF, </w:t>
      </w:r>
      <w:proofErr w:type="spellStart"/>
      <w:r w:rsidRPr="00305C6E">
        <w:rPr>
          <w:rFonts w:ascii="Calibri" w:eastAsia="Times New Roman" w:hAnsi="Calibri" w:cs="Calibri"/>
          <w:b/>
          <w:bCs/>
          <w:color w:val="000000"/>
        </w:rPr>
        <w:t>Fabri</w:t>
      </w:r>
      <w:proofErr w:type="spellEnd"/>
      <w:r w:rsidRPr="00305C6E">
        <w:rPr>
          <w:rFonts w:ascii="Calibri" w:eastAsia="Times New Roman" w:hAnsi="Calibri" w:cs="Calibri"/>
          <w:b/>
          <w:bCs/>
          <w:color w:val="000000"/>
        </w:rPr>
        <w:t xml:space="preserve"> PJ. Difference in Composite End Point of Readmission and Death Between Malnourished and </w:t>
      </w:r>
      <w:proofErr w:type="spellStart"/>
      <w:r w:rsidRPr="00305C6E">
        <w:rPr>
          <w:rFonts w:ascii="Calibri" w:eastAsia="Times New Roman" w:hAnsi="Calibri" w:cs="Calibri"/>
          <w:b/>
          <w:bCs/>
          <w:color w:val="000000"/>
        </w:rPr>
        <w:t>Nonmalnourished</w:t>
      </w:r>
      <w:proofErr w:type="spellEnd"/>
      <w:r w:rsidRPr="00305C6E">
        <w:rPr>
          <w:rFonts w:ascii="Calibri" w:eastAsia="Times New Roman" w:hAnsi="Calibri" w:cs="Calibri"/>
          <w:b/>
          <w:bCs/>
          <w:color w:val="000000"/>
        </w:rPr>
        <w:t xml:space="preserve"> Veterans Assessed Using Academy of Nutrition and Dietetics/American Society for Parenteral and Enteral Nutrition Clinical Characteristics. JPEN J </w:t>
      </w:r>
      <w:proofErr w:type="spellStart"/>
      <w:r w:rsidRPr="00305C6E">
        <w:rPr>
          <w:rFonts w:ascii="Calibri" w:eastAsia="Times New Roman" w:hAnsi="Calibri" w:cs="Calibri"/>
          <w:b/>
          <w:bCs/>
          <w:color w:val="000000"/>
        </w:rPr>
        <w:t>Parenter</w:t>
      </w:r>
      <w:proofErr w:type="spellEnd"/>
      <w:r w:rsidRPr="00305C6E">
        <w:rPr>
          <w:rFonts w:ascii="Calibri" w:eastAsia="Times New Roman" w:hAnsi="Calibri" w:cs="Calibri"/>
          <w:b/>
          <w:bCs/>
          <w:color w:val="000000"/>
        </w:rPr>
        <w:t xml:space="preserve"> Enteral </w:t>
      </w:r>
      <w:proofErr w:type="spellStart"/>
      <w:r w:rsidRPr="00305C6E">
        <w:rPr>
          <w:rFonts w:ascii="Calibri" w:eastAsia="Times New Roman" w:hAnsi="Calibri" w:cs="Calibri"/>
          <w:b/>
          <w:bCs/>
          <w:color w:val="000000"/>
        </w:rPr>
        <w:t>Nutr</w:t>
      </w:r>
      <w:proofErr w:type="spellEnd"/>
      <w:r w:rsidRPr="00305C6E">
        <w:rPr>
          <w:rFonts w:ascii="Calibri" w:eastAsia="Times New Roman" w:hAnsi="Calibri" w:cs="Calibri"/>
          <w:b/>
          <w:bCs/>
          <w:color w:val="000000"/>
        </w:rPr>
        <w:t>. 2017;41(8):1316-1324.</w:t>
      </w:r>
    </w:p>
    <w:p w14:paraId="148059CB" w14:textId="77777777" w:rsidR="00655DC5" w:rsidRDefault="00655DC5" w:rsidP="00655DC5">
      <w:pPr>
        <w:ind w:left="0" w:firstLine="0"/>
        <w:rPr>
          <w:rStyle w:val="apple-converted-space"/>
          <w:rFonts w:cs="Arial"/>
          <w:b/>
          <w:bCs/>
          <w:color w:val="000000" w:themeColor="text1"/>
        </w:rPr>
      </w:pPr>
    </w:p>
    <w:p w14:paraId="1B016BC2" w14:textId="77777777" w:rsidR="00655DC5" w:rsidRDefault="00655DC5" w:rsidP="00655DC5">
      <w:pPr>
        <w:ind w:left="0" w:firstLine="0"/>
        <w:rPr>
          <w:rStyle w:val="apple-converted-space"/>
          <w:rFonts w:cs="Arial"/>
          <w:color w:val="000000" w:themeColor="text1"/>
        </w:rPr>
      </w:pPr>
      <w:r w:rsidRPr="00996AC7">
        <w:rPr>
          <w:rStyle w:val="apple-converted-space"/>
          <w:rFonts w:cs="Arial"/>
          <w:color w:val="000000" w:themeColor="text1"/>
        </w:rPr>
        <w:t xml:space="preserve">A retrospective chart review comparing veterans with malnutrition based on a modified version of the Academy of Nutrition and Dietetics/American Society for Parenteral and Enteral Nutrition consensus characteristics that used 5 of the 6 clinical characteristics to a matched control group of </w:t>
      </w:r>
      <w:proofErr w:type="spellStart"/>
      <w:r w:rsidRPr="00996AC7">
        <w:rPr>
          <w:rStyle w:val="apple-converted-space"/>
          <w:rFonts w:cs="Arial"/>
          <w:color w:val="000000" w:themeColor="text1"/>
        </w:rPr>
        <w:t>nonmalnourished</w:t>
      </w:r>
      <w:proofErr w:type="spellEnd"/>
      <w:r w:rsidRPr="00996AC7">
        <w:rPr>
          <w:rStyle w:val="apple-converted-space"/>
          <w:rFonts w:cs="Arial"/>
          <w:color w:val="000000" w:themeColor="text1"/>
        </w:rPr>
        <w:t xml:space="preserve"> veterans based on age, admitting service, and date of admission who were admitted between August 1, 2012, and December 1, 2014. Data were extracted from the medical record. Multivariate analysis was used to identify predictors of outcomes.</w:t>
      </w:r>
    </w:p>
    <w:p w14:paraId="208FAEFF" w14:textId="77777777" w:rsidR="00655DC5" w:rsidRDefault="00655DC5" w:rsidP="00655DC5">
      <w:pPr>
        <w:ind w:left="0" w:firstLine="0"/>
        <w:rPr>
          <w:rStyle w:val="apple-converted-space"/>
          <w:rFonts w:cs="Arial"/>
          <w:color w:val="000000" w:themeColor="text1"/>
        </w:rPr>
      </w:pPr>
    </w:p>
    <w:p w14:paraId="433924FC" w14:textId="77777777" w:rsidR="00655DC5" w:rsidRPr="00996AC7" w:rsidRDefault="00655DC5" w:rsidP="00655DC5">
      <w:pPr>
        <w:ind w:left="0" w:firstLine="0"/>
        <w:rPr>
          <w:rStyle w:val="apple-converted-space"/>
          <w:rFonts w:cs="Arial"/>
          <w:color w:val="000000" w:themeColor="text1"/>
        </w:rPr>
      </w:pPr>
      <w:r w:rsidRPr="006B40E0">
        <w:rPr>
          <w:rStyle w:val="apple-converted-space"/>
          <w:rFonts w:cs="Arial"/>
          <w:color w:val="000000" w:themeColor="text1"/>
        </w:rPr>
        <w:t xml:space="preserve">In total, 404 patients were included in the final analysis. All end points were found to be statistically significant. The malnourished group was more likely to meet the composite end point (odds ratio [OR], 5.3), more likely to be readmitted within 30 days (OR, 3.4), more likely to die within 90 days of discharge </w:t>
      </w:r>
      <w:r w:rsidRPr="006B40E0">
        <w:rPr>
          <w:rStyle w:val="apple-converted-space"/>
          <w:rFonts w:cs="Arial"/>
          <w:color w:val="000000" w:themeColor="text1"/>
        </w:rPr>
        <w:lastRenderedPageBreak/>
        <w:t xml:space="preserve">(OR, 5.5), and more likely to have a length of stay &gt;7 days (OR, 4.3) compared with the </w:t>
      </w:r>
      <w:proofErr w:type="spellStart"/>
      <w:r w:rsidRPr="006B40E0">
        <w:rPr>
          <w:rStyle w:val="apple-converted-space"/>
          <w:rFonts w:cs="Arial"/>
          <w:color w:val="000000" w:themeColor="text1"/>
        </w:rPr>
        <w:t>nonmalnourished</w:t>
      </w:r>
      <w:proofErr w:type="spellEnd"/>
      <w:r w:rsidRPr="006B40E0">
        <w:rPr>
          <w:rStyle w:val="apple-converted-space"/>
          <w:rFonts w:cs="Arial"/>
          <w:color w:val="000000" w:themeColor="text1"/>
        </w:rPr>
        <w:t xml:space="preserve"> group. Length of stay was significantly longer in the malnourished group, 9.80 (11.5) vs 4.38 (4.5) days.</w:t>
      </w:r>
    </w:p>
    <w:p w14:paraId="024CA1CE" w14:textId="77777777" w:rsidR="00655DC5" w:rsidRPr="00F27EC2" w:rsidRDefault="00655DC5" w:rsidP="00655DC5">
      <w:pPr>
        <w:ind w:left="0" w:firstLine="0"/>
        <w:rPr>
          <w:rStyle w:val="apple-converted-space"/>
          <w:rFonts w:cs="Arial"/>
          <w:color w:val="000000" w:themeColor="text1"/>
        </w:rPr>
      </w:pPr>
    </w:p>
    <w:p w14:paraId="2930C80C" w14:textId="77777777" w:rsidR="00655DC5" w:rsidRPr="00BC754B" w:rsidRDefault="00655DC5" w:rsidP="00655DC5">
      <w:pPr>
        <w:ind w:left="0" w:firstLine="0"/>
        <w:rPr>
          <w:rFonts w:cstheme="minorHAnsi"/>
          <w:b/>
        </w:rPr>
      </w:pPr>
      <w:r w:rsidRPr="00BC754B">
        <w:rPr>
          <w:rFonts w:cstheme="minorHAnsi"/>
          <w:b/>
        </w:rPr>
        <w:t xml:space="preserve">Jeejeebhoy KN et al. Nutritional assessment: comparison of clinical assessment and objective variables for the prediction of length of hospital stay and readmission.  </w:t>
      </w:r>
      <w:r w:rsidRPr="00BC754B">
        <w:rPr>
          <w:rFonts w:cstheme="minorHAnsi"/>
          <w:b/>
          <w:i/>
        </w:rPr>
        <w:t xml:space="preserve">Am J Clin </w:t>
      </w:r>
      <w:proofErr w:type="spellStart"/>
      <w:r w:rsidRPr="00BC754B">
        <w:rPr>
          <w:rFonts w:cstheme="minorHAnsi"/>
          <w:b/>
          <w:i/>
        </w:rPr>
        <w:t>Nutr</w:t>
      </w:r>
      <w:proofErr w:type="spellEnd"/>
      <w:r w:rsidRPr="00BC754B">
        <w:rPr>
          <w:rFonts w:cstheme="minorHAnsi"/>
          <w:b/>
          <w:i/>
        </w:rPr>
        <w:t xml:space="preserve"> </w:t>
      </w:r>
      <w:r w:rsidRPr="00BC754B">
        <w:rPr>
          <w:rFonts w:cstheme="minorHAnsi"/>
          <w:b/>
        </w:rPr>
        <w:t>2015; 101: 956-965.</w:t>
      </w:r>
    </w:p>
    <w:p w14:paraId="4F774954" w14:textId="77777777" w:rsidR="00655DC5" w:rsidRPr="00BF269D" w:rsidRDefault="00655DC5" w:rsidP="00655DC5">
      <w:pPr>
        <w:ind w:left="0" w:firstLine="0"/>
      </w:pPr>
      <w:r w:rsidRPr="00BF269D">
        <w:t>Prospective cohort study of 1022 patients recruited from 18 acute care hospitals (academic and community), from 8 provinces across Canada, between 1 July 2010 and 28 February 2013. Participants were patients aged ≥18 y admitted to medical and surgical wards. Researchers measured the following indicators at admission: subjective global assessment (SGA; SGA A = well nourished, SGA B = mild or moderate malnutrition, and SGA C = severe malnutrition), Nutrition Risk Screening (2002), body weight, midarm and calf circumference, serum albumin, handgrip strength (HGS), and patient-self assessment of food intake. Logistic regression determined the independent effect of indicators on the outcomes of length of hospital stay (&lt;7 d and ≥7 d) and readmission within 30 d after discharge.</w:t>
      </w:r>
    </w:p>
    <w:p w14:paraId="2E44F49B" w14:textId="77777777" w:rsidR="00655DC5" w:rsidRPr="00BF269D" w:rsidRDefault="00655DC5" w:rsidP="00655DC5">
      <w:pPr>
        <w:ind w:left="0" w:firstLine="0"/>
      </w:pPr>
    </w:p>
    <w:p w14:paraId="2668B707" w14:textId="77777777" w:rsidR="00655DC5" w:rsidRPr="00BF269D" w:rsidRDefault="00655DC5" w:rsidP="00655DC5">
      <w:pPr>
        <w:ind w:left="0" w:firstLine="0"/>
      </w:pPr>
      <w:r w:rsidRPr="00BF269D">
        <w:t xml:space="preserve">The outcome of severe malnutrition (SGA score of C) was an independent predictor of length of stay and 30 day readmissions </w:t>
      </w:r>
      <w:r w:rsidRPr="00BF269D">
        <w:rPr>
          <w:rFonts w:cs="Arial"/>
          <w:color w:val="000000"/>
          <w:shd w:val="clear" w:color="auto" w:fill="FFFFFF"/>
        </w:rPr>
        <w:t>(OR: 2.12; 95% CI: 1.24, 3.93)</w:t>
      </w:r>
      <w:r w:rsidRPr="00BF269D">
        <w:rPr>
          <w:rStyle w:val="apple-converted-space"/>
          <w:rFonts w:cs="Arial"/>
          <w:color w:val="000000"/>
          <w:shd w:val="clear" w:color="auto" w:fill="FFFFFF"/>
        </w:rPr>
        <w:t>. This study supports the conclusion that patients who are malnourished in the hospital are at a significantly higher risk of adverse secondary outcomes. If these patients can be identified and subsequently treated for malnutrition, there may be an associated reduction in length of stay and 30</w:t>
      </w:r>
      <w:r>
        <w:rPr>
          <w:rStyle w:val="apple-converted-space"/>
          <w:rFonts w:cs="Arial"/>
          <w:color w:val="000000"/>
          <w:shd w:val="clear" w:color="auto" w:fill="FFFFFF"/>
        </w:rPr>
        <w:t>-</w:t>
      </w:r>
      <w:r w:rsidRPr="00BF269D">
        <w:rPr>
          <w:rStyle w:val="apple-converted-space"/>
          <w:rFonts w:cs="Arial"/>
          <w:color w:val="000000"/>
          <w:shd w:val="clear" w:color="auto" w:fill="FFFFFF"/>
        </w:rPr>
        <w:t>day readmissions.</w:t>
      </w:r>
    </w:p>
    <w:p w14:paraId="1A423D6B" w14:textId="77777777" w:rsidR="00655DC5" w:rsidRDefault="00655DC5" w:rsidP="00655DC5">
      <w:pPr>
        <w:ind w:left="0" w:firstLine="0"/>
        <w:rPr>
          <w:rStyle w:val="apple-converted-space"/>
          <w:rFonts w:cs="Arial"/>
          <w:color w:val="000000" w:themeColor="text1"/>
        </w:rPr>
      </w:pPr>
    </w:p>
    <w:p w14:paraId="17BC30E2" w14:textId="77777777" w:rsidR="00655DC5" w:rsidRDefault="00655DC5" w:rsidP="00655DC5">
      <w:pPr>
        <w:ind w:left="0" w:firstLine="0"/>
        <w:rPr>
          <w:rStyle w:val="apple-converted-space"/>
          <w:rFonts w:cs="Arial"/>
          <w:color w:val="000000" w:themeColor="text1"/>
        </w:rPr>
      </w:pPr>
    </w:p>
    <w:p w14:paraId="29AC04BA" w14:textId="77777777" w:rsidR="00655DC5" w:rsidRPr="003B1CC5" w:rsidRDefault="00655DC5" w:rsidP="00655DC5">
      <w:pPr>
        <w:ind w:left="0" w:firstLine="0"/>
        <w:rPr>
          <w:b/>
          <w:color w:val="0070C0"/>
        </w:rPr>
      </w:pPr>
      <w:r w:rsidRPr="4E1B4D23">
        <w:rPr>
          <w:b/>
          <w:bCs/>
          <w:caps/>
        </w:rPr>
        <w:t>_________________________</w:t>
      </w:r>
    </w:p>
    <w:p w14:paraId="473E1701" w14:textId="77777777" w:rsidR="00655DC5" w:rsidRPr="004619D6" w:rsidRDefault="00655DC5" w:rsidP="00655DC5">
      <w:pPr>
        <w:ind w:left="0" w:firstLine="0"/>
        <w:rPr>
          <w:b/>
          <w:bCs/>
        </w:rPr>
      </w:pPr>
      <w:r w:rsidRPr="004619D6">
        <w:rPr>
          <w:b/>
          <w:bCs/>
        </w:rPr>
        <w:t>1a.4 OTHER SOURCE OF EVIDENCE</w:t>
      </w:r>
    </w:p>
    <w:p w14:paraId="34056D7C" w14:textId="77777777" w:rsidR="00655DC5" w:rsidRPr="004619D6" w:rsidRDefault="00655DC5" w:rsidP="00655DC5">
      <w:pPr>
        <w:ind w:left="0" w:firstLine="0"/>
      </w:pPr>
      <w:r w:rsidRPr="004619D6">
        <w:t>If source of evidence is NOT from a clinical practice guideline, USPSTF, or systematic review, please describe the evidence on which you are basing the performance measure.</w:t>
      </w:r>
    </w:p>
    <w:p w14:paraId="4F460C02" w14:textId="77777777" w:rsidR="00655DC5" w:rsidRPr="004619D6" w:rsidRDefault="00655DC5" w:rsidP="00655DC5">
      <w:pPr>
        <w:ind w:left="0" w:firstLine="0"/>
        <w:rPr>
          <w:b/>
          <w:bCs/>
        </w:rPr>
      </w:pPr>
    </w:p>
    <w:p w14:paraId="4D477A06" w14:textId="77777777" w:rsidR="00655DC5" w:rsidRPr="004619D6" w:rsidRDefault="00655DC5" w:rsidP="00655DC5">
      <w:pPr>
        <w:ind w:left="0" w:firstLine="0"/>
        <w:rPr>
          <w:b/>
          <w:bCs/>
        </w:rPr>
      </w:pPr>
      <w:r w:rsidRPr="004619D6">
        <w:rPr>
          <w:b/>
          <w:bCs/>
        </w:rPr>
        <w:t xml:space="preserve">1a.4.1 Briefly SYNTHESIZE the evidence that supports the measure. </w:t>
      </w:r>
      <w:r w:rsidRPr="004619D6">
        <w:t>A list of references without a summary is not acceptable.</w:t>
      </w:r>
    </w:p>
    <w:p w14:paraId="4A211517" w14:textId="77777777" w:rsidR="00655DC5" w:rsidRPr="004619D6" w:rsidRDefault="00655DC5" w:rsidP="00655DC5">
      <w:pPr>
        <w:ind w:left="0" w:firstLine="0"/>
        <w:rPr>
          <w:b/>
          <w:bCs/>
        </w:rPr>
      </w:pPr>
    </w:p>
    <w:p w14:paraId="7232F62F" w14:textId="77777777" w:rsidR="00655DC5" w:rsidRPr="004619D6" w:rsidRDefault="00655DC5" w:rsidP="00655DC5">
      <w:pPr>
        <w:ind w:left="0" w:firstLine="0"/>
        <w:rPr>
          <w:b/>
          <w:bCs/>
        </w:rPr>
      </w:pPr>
      <w:r w:rsidRPr="004619D6">
        <w:rPr>
          <w:b/>
          <w:bCs/>
        </w:rPr>
        <w:t xml:space="preserve">1a.4.2 What process was used to identify the evidence? </w:t>
      </w:r>
    </w:p>
    <w:p w14:paraId="281B5952" w14:textId="77777777" w:rsidR="00655DC5" w:rsidRPr="004619D6" w:rsidRDefault="00655DC5" w:rsidP="00655DC5">
      <w:pPr>
        <w:ind w:left="0" w:firstLine="0"/>
        <w:rPr>
          <w:b/>
          <w:bCs/>
        </w:rPr>
      </w:pPr>
    </w:p>
    <w:p w14:paraId="3C3E5629" w14:textId="77777777" w:rsidR="00655DC5" w:rsidRPr="00305C6E" w:rsidRDefault="00655DC5" w:rsidP="00655DC5">
      <w:pPr>
        <w:ind w:left="0" w:firstLine="0"/>
        <w:rPr>
          <w:b/>
          <w:bCs/>
        </w:rPr>
      </w:pPr>
      <w:r w:rsidRPr="004619D6">
        <w:rPr>
          <w:b/>
          <w:bCs/>
        </w:rPr>
        <w:t>1a.4.3. Provide the citation(s) for the evidence.</w:t>
      </w:r>
    </w:p>
    <w:p w14:paraId="74CA041D" w14:textId="10D74180" w:rsidR="00340780" w:rsidRDefault="00340780">
      <w:r>
        <w:br w:type="page"/>
      </w:r>
    </w:p>
    <w:p w14:paraId="0303E4BE" w14:textId="77777777" w:rsidR="00340780" w:rsidRPr="001A6D05" w:rsidRDefault="00340780" w:rsidP="00340780">
      <w:pPr>
        <w:jc w:val="center"/>
        <w:rPr>
          <w:b/>
          <w:noProof/>
          <w:sz w:val="24"/>
          <w:szCs w:val="24"/>
        </w:rPr>
      </w:pPr>
      <w:r w:rsidRPr="00E316C7">
        <w:rPr>
          <w:rFonts w:eastAsiaTheme="minorEastAsia"/>
          <w:b/>
          <w:bCs/>
          <w:smallCaps/>
          <w:noProof/>
        </w:rPr>
        <w:lastRenderedPageBreak/>
        <w:t>National Quality Forum</w:t>
      </w:r>
      <w:r w:rsidRPr="00E316C7">
        <w:rPr>
          <w:rFonts w:eastAsiaTheme="minorEastAsia"/>
          <w:b/>
          <w:bCs/>
          <w:noProof/>
        </w:rPr>
        <w:t xml:space="preserve">—Evidence (subcriterion 1a) </w:t>
      </w:r>
    </w:p>
    <w:p w14:paraId="476AFB7B" w14:textId="77777777" w:rsidR="00340780" w:rsidRPr="00496AF8" w:rsidRDefault="00340780" w:rsidP="00340780">
      <w:pPr>
        <w:ind w:left="0" w:firstLine="0"/>
        <w:rPr>
          <w:noProof/>
        </w:rPr>
      </w:pPr>
    </w:p>
    <w:p w14:paraId="6E3E68D6" w14:textId="77777777" w:rsidR="00340780" w:rsidRPr="003B1CC5" w:rsidRDefault="00340780" w:rsidP="00340780">
      <w:pPr>
        <w:ind w:left="0" w:firstLine="0"/>
        <w:rPr>
          <w:b/>
          <w:noProof/>
        </w:rPr>
      </w:pPr>
      <w:r w:rsidRPr="00E316C7">
        <w:rPr>
          <w:rFonts w:eastAsiaTheme="minorEastAsia"/>
          <w:b/>
          <w:bCs/>
          <w:noProof/>
        </w:rPr>
        <w:t xml:space="preserve">Measure Number </w:t>
      </w:r>
      <w:r w:rsidRPr="00E316C7">
        <w:rPr>
          <w:rFonts w:eastAsiaTheme="minorEastAsia"/>
          <w:noProof/>
        </w:rPr>
        <w:t>(</w:t>
      </w:r>
      <w:r w:rsidRPr="00E316C7">
        <w:rPr>
          <w:rFonts w:eastAsiaTheme="minorEastAsia"/>
          <w:i/>
          <w:iCs/>
          <w:noProof/>
        </w:rPr>
        <w:t>if previously endorsed</w:t>
      </w:r>
      <w:r w:rsidRPr="00E316C7">
        <w:rPr>
          <w:rFonts w:eastAsiaTheme="minorEastAsia"/>
          <w:noProof/>
        </w:rPr>
        <w:t>)</w:t>
      </w:r>
      <w:r w:rsidRPr="00E316C7">
        <w:rPr>
          <w:rFonts w:eastAsiaTheme="minorEastAsia"/>
          <w:b/>
          <w:bCs/>
          <w:noProof/>
        </w:rPr>
        <w:t xml:space="preserve">: </w:t>
      </w:r>
      <w:sdt>
        <w:sdtPr>
          <w:rPr>
            <w:rStyle w:val="Style1"/>
          </w:rPr>
          <w:id w:val="-1480839281"/>
          <w:placeholder>
            <w:docPart w:val="A1B6AB3EEA884DFF85566D722D72EB2C"/>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6B48D1B3" w14:textId="77777777" w:rsidR="00340780" w:rsidRDefault="00340780" w:rsidP="00340780">
      <w:pPr>
        <w:ind w:left="0" w:firstLine="0"/>
      </w:pPr>
      <w:r w:rsidRPr="00E316C7">
        <w:rPr>
          <w:rFonts w:eastAsiaTheme="minorEastAsia"/>
          <w:b/>
          <w:bCs/>
          <w:noProof/>
        </w:rPr>
        <w:t>Measure Title</w:t>
      </w:r>
      <w:r w:rsidRPr="00E316C7">
        <w:rPr>
          <w:rFonts w:eastAsiaTheme="minorEastAsia"/>
          <w:noProof/>
        </w:rPr>
        <w:t xml:space="preserve">: </w:t>
      </w:r>
      <w:r>
        <w:rPr>
          <w:rFonts w:eastAsiaTheme="minorEastAsia"/>
        </w:rPr>
        <w:t>Appropriate Documentation of a Malnutrition Diagnosis</w:t>
      </w:r>
    </w:p>
    <w:p w14:paraId="63A1B8E3" w14:textId="77777777" w:rsidR="00340780" w:rsidRPr="003B1CC5" w:rsidRDefault="00340780" w:rsidP="00340780">
      <w:pPr>
        <w:ind w:left="0" w:firstLine="0"/>
        <w:rPr>
          <w:b/>
          <w:noProof/>
        </w:rPr>
      </w:pPr>
      <w:r w:rsidRPr="00E316C7">
        <w:rPr>
          <w:rFonts w:eastAsiaTheme="minorEastAsia"/>
          <w:i/>
          <w:iCs/>
          <w:noProof/>
        </w:rPr>
        <w:t xml:space="preserve"> </w:t>
      </w:r>
      <w:r w:rsidRPr="00E316C7">
        <w:rPr>
          <w:rFonts w:eastAsiaTheme="minorEastAsia"/>
          <w:b/>
          <w:bCs/>
          <w:noProof/>
        </w:rPr>
        <w:t>IF the measure is a component in a composite performance measure, provide the title of the Composite Measure here:</w:t>
      </w:r>
      <w:r w:rsidRPr="00E316C7">
        <w:rPr>
          <w:rFonts w:eastAsiaTheme="minorEastAsia"/>
          <w:noProof/>
        </w:rPr>
        <w:t xml:space="preserve"> </w:t>
      </w:r>
      <w:sdt>
        <w:sdtPr>
          <w:rPr>
            <w:rStyle w:val="Style1"/>
          </w:rPr>
          <w:id w:val="-1032267994"/>
          <w:placeholder>
            <w:docPart w:val="0E9E13BDBED34FA985BD48C9A24130CF"/>
          </w:placeholder>
        </w:sdtPr>
        <w:sdtEndPr>
          <w:rPr>
            <w:rStyle w:val="DefaultParagraphFont"/>
            <w:noProof/>
            <w:color w:val="auto"/>
          </w:rPr>
        </w:sdtEndPr>
        <w:sdtContent>
          <w:r>
            <w:rPr>
              <w:rStyle w:val="Style1"/>
            </w:rPr>
            <w:t>Global Malnutrition Composite Measure</w:t>
          </w:r>
        </w:sdtContent>
      </w:sdt>
    </w:p>
    <w:p w14:paraId="4E3EB5DB" w14:textId="77777777" w:rsidR="00340780" w:rsidRPr="003B1CC5" w:rsidRDefault="00340780" w:rsidP="00340780">
      <w:pPr>
        <w:ind w:left="0" w:firstLine="0"/>
        <w:rPr>
          <w:b/>
          <w:noProof/>
        </w:rPr>
      </w:pPr>
    </w:p>
    <w:p w14:paraId="56D360C8" w14:textId="77777777" w:rsidR="00340780" w:rsidRPr="003B1CC5" w:rsidRDefault="00340780" w:rsidP="00340780">
      <w:pPr>
        <w:ind w:left="0" w:firstLine="0"/>
        <w:rPr>
          <w:rStyle w:val="Style2"/>
        </w:rPr>
      </w:pPr>
      <w:r w:rsidRPr="00E316C7">
        <w:rPr>
          <w:rFonts w:eastAsiaTheme="minorEastAsia"/>
          <w:b/>
          <w:bCs/>
          <w:noProof/>
        </w:rPr>
        <w:t>Date of Submission</w:t>
      </w:r>
      <w:r w:rsidRPr="00E316C7">
        <w:rPr>
          <w:rFonts w:eastAsiaTheme="minorEastAsia"/>
          <w:noProof/>
        </w:rPr>
        <w:t xml:space="preserve">:  </w:t>
      </w:r>
      <w:r>
        <w:rPr>
          <w:rFonts w:eastAsiaTheme="minorEastAsia"/>
          <w:color w:val="4F81BD" w:themeColor="accent1"/>
        </w:rPr>
        <w:t>N/A</w:t>
      </w:r>
    </w:p>
    <w:p w14:paraId="0634CAC7" w14:textId="77777777" w:rsidR="00340780" w:rsidRPr="003B1CC5" w:rsidRDefault="00340780" w:rsidP="00340780">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340780" w:rsidRPr="003B1CC5" w14:paraId="372B2705" w14:textId="77777777" w:rsidTr="00340780">
        <w:trPr>
          <w:jc w:val="center"/>
        </w:trPr>
        <w:tc>
          <w:tcPr>
            <w:tcW w:w="9576" w:type="dxa"/>
          </w:tcPr>
          <w:p w14:paraId="3253D9E8" w14:textId="77777777" w:rsidR="00340780" w:rsidRPr="003B1CC5" w:rsidRDefault="00340780" w:rsidP="00340780">
            <w:pPr>
              <w:pStyle w:val="CommentText"/>
              <w:ind w:left="0" w:firstLine="0"/>
              <w:rPr>
                <w:b/>
                <w:i/>
                <w:sz w:val="22"/>
                <w:szCs w:val="22"/>
              </w:rPr>
            </w:pPr>
            <w:r w:rsidRPr="003B1CC5">
              <w:rPr>
                <w:rFonts w:cstheme="minorHAnsi"/>
                <w:b/>
                <w:noProof/>
                <w:sz w:val="22"/>
                <w:szCs w:val="22"/>
              </w:rPr>
              <w:t>Instructions</w:t>
            </w:r>
          </w:p>
          <w:p w14:paraId="55DB7A2A" w14:textId="77777777" w:rsidR="00340780" w:rsidRPr="003B1CC5" w:rsidRDefault="00340780" w:rsidP="00340780">
            <w:pPr>
              <w:pStyle w:val="CommentText"/>
              <w:numPr>
                <w:ilvl w:val="0"/>
                <w:numId w:val="8"/>
              </w:numPr>
              <w:rPr>
                <w:i/>
                <w:iCs/>
                <w:sz w:val="22"/>
                <w:szCs w:val="22"/>
              </w:rPr>
            </w:pPr>
            <w:r w:rsidRPr="00E316C7">
              <w:rPr>
                <w:rFonts w:eastAsiaTheme="minorEastAsia"/>
                <w:i/>
                <w:iCs/>
                <w:sz w:val="22"/>
                <w:szCs w:val="22"/>
              </w:rPr>
              <w:t xml:space="preserve">For composite performance measures:  </w:t>
            </w:r>
          </w:p>
          <w:p w14:paraId="5FEA71C6" w14:textId="77777777" w:rsidR="00340780" w:rsidRPr="003B1CC5" w:rsidRDefault="00340780" w:rsidP="00340780">
            <w:pPr>
              <w:pStyle w:val="CommentText"/>
              <w:numPr>
                <w:ilvl w:val="1"/>
                <w:numId w:val="8"/>
              </w:numPr>
              <w:ind w:left="792"/>
              <w:rPr>
                <w:i/>
                <w:iCs/>
                <w:sz w:val="22"/>
                <w:szCs w:val="22"/>
              </w:rPr>
            </w:pPr>
            <w:r w:rsidRPr="00E316C7">
              <w:rPr>
                <w:rFonts w:eastAsiaTheme="minorEastAsia"/>
                <w:i/>
                <w:iCs/>
                <w:sz w:val="22"/>
                <w:szCs w:val="22"/>
              </w:rPr>
              <w:t xml:space="preserve"> A separate evidence form is required for each component measure unless several components were studied together.</w:t>
            </w:r>
          </w:p>
          <w:p w14:paraId="401BB4F0" w14:textId="77777777" w:rsidR="00340780" w:rsidRPr="003B1CC5" w:rsidRDefault="00340780" w:rsidP="00340780">
            <w:pPr>
              <w:pStyle w:val="CommentText"/>
              <w:numPr>
                <w:ilvl w:val="1"/>
                <w:numId w:val="8"/>
              </w:numPr>
              <w:ind w:left="792"/>
              <w:rPr>
                <w:i/>
                <w:iCs/>
                <w:sz w:val="22"/>
                <w:szCs w:val="22"/>
              </w:rPr>
            </w:pPr>
            <w:r w:rsidRPr="00E316C7">
              <w:rPr>
                <w:rFonts w:eastAsiaTheme="minorEastAsia"/>
                <w:i/>
                <w:iCs/>
                <w:sz w:val="22"/>
                <w:szCs w:val="22"/>
              </w:rPr>
              <w:t xml:space="preserve"> If a component measure is submitted as an individual performance measure, attach the evidence form to the individual measure submission.</w:t>
            </w:r>
          </w:p>
          <w:p w14:paraId="01F92645" w14:textId="77777777" w:rsidR="00340780" w:rsidRPr="003B1CC5" w:rsidRDefault="00340780" w:rsidP="00340780">
            <w:pPr>
              <w:pStyle w:val="ListParagraph"/>
              <w:numPr>
                <w:ilvl w:val="0"/>
                <w:numId w:val="8"/>
              </w:numPr>
              <w:spacing w:after="0" w:line="240" w:lineRule="auto"/>
            </w:pPr>
            <w:r w:rsidRPr="233E403E">
              <w:t xml:space="preserve">Respond to </w:t>
            </w:r>
            <w:r w:rsidRPr="233E403E">
              <w:rPr>
                <w:u w:val="single"/>
              </w:rPr>
              <w:t>all</w:t>
            </w:r>
            <w:r w:rsidRPr="233E403E">
              <w:t xml:space="preserve"> questions as instructed with answers immediately following the question. All information needed to demonstrate meeting the evidence </w:t>
            </w:r>
            <w:proofErr w:type="spellStart"/>
            <w:r w:rsidRPr="233E403E">
              <w:t>subcriterion</w:t>
            </w:r>
            <w:proofErr w:type="spellEnd"/>
            <w:r w:rsidRPr="233E403E">
              <w:t xml:space="preserve"> (1a) must be in this form.  An appendix of </w:t>
            </w:r>
            <w:r w:rsidRPr="233E403E">
              <w:rPr>
                <w:i/>
                <w:iCs/>
              </w:rPr>
              <w:t>supplemental</w:t>
            </w:r>
            <w:r w:rsidRPr="233E403E">
              <w:t xml:space="preserve"> materials may be submitted, but there is no guarantee it will be reviewed.</w:t>
            </w:r>
          </w:p>
          <w:p w14:paraId="4E3DD8B1" w14:textId="77777777" w:rsidR="00340780" w:rsidRPr="003B1CC5" w:rsidRDefault="00340780" w:rsidP="00340780">
            <w:pPr>
              <w:pStyle w:val="ListParagraph"/>
              <w:numPr>
                <w:ilvl w:val="0"/>
                <w:numId w:val="8"/>
              </w:numPr>
              <w:spacing w:after="0" w:line="240" w:lineRule="auto"/>
            </w:pPr>
            <w:r w:rsidRPr="233E403E">
              <w:t>If you are unable to check a box, please highlight or shade the box for your response.</w:t>
            </w:r>
          </w:p>
          <w:p w14:paraId="35AEDDEA" w14:textId="77777777" w:rsidR="00340780" w:rsidRPr="003B1CC5" w:rsidRDefault="00340780" w:rsidP="00340780">
            <w:pPr>
              <w:pStyle w:val="ListParagraph"/>
              <w:numPr>
                <w:ilvl w:val="0"/>
                <w:numId w:val="8"/>
              </w:numPr>
              <w:spacing w:after="0" w:line="240" w:lineRule="auto"/>
            </w:pPr>
            <w:r w:rsidRPr="233E403E">
              <w:t>Maximum of 10 pages (</w:t>
            </w:r>
            <w:r w:rsidRPr="233E403E">
              <w:rPr>
                <w:i/>
                <w:iCs/>
              </w:rPr>
              <w:t>incudes questions/instructions</w:t>
            </w:r>
            <w:r w:rsidRPr="233E403E">
              <w:t xml:space="preserve">; minimum font size 11 </w:t>
            </w:r>
            <w:proofErr w:type="spellStart"/>
            <w:r w:rsidRPr="233E403E">
              <w:t>pt</w:t>
            </w:r>
            <w:proofErr w:type="spellEnd"/>
            <w:r w:rsidRPr="233E403E">
              <w:t xml:space="preserve">; do not change margins). </w:t>
            </w:r>
            <w:r w:rsidRPr="233E403E">
              <w:rPr>
                <w:b/>
                <w:bCs/>
                <w:i/>
                <w:iCs/>
              </w:rPr>
              <w:t>Contact NQF staff if more pages are needed.</w:t>
            </w:r>
          </w:p>
          <w:p w14:paraId="10841BCC" w14:textId="77777777" w:rsidR="00340780" w:rsidRPr="003B1CC5" w:rsidRDefault="00340780" w:rsidP="00340780">
            <w:pPr>
              <w:pStyle w:val="ListParagraph"/>
              <w:numPr>
                <w:ilvl w:val="0"/>
                <w:numId w:val="8"/>
              </w:numPr>
              <w:spacing w:after="0" w:line="240" w:lineRule="auto"/>
              <w:rPr>
                <w:u w:val="single"/>
              </w:rPr>
            </w:pPr>
            <w:r w:rsidRPr="233E403E">
              <w:t xml:space="preserve">Contact NQF staff regarding questions. Check for resources at </w:t>
            </w:r>
            <w:hyperlink r:id="rId28">
              <w:r w:rsidRPr="233E403E">
                <w:rPr>
                  <w:rStyle w:val="Hyperlink"/>
                </w:rPr>
                <w:t>Submitting Standards webpage</w:t>
              </w:r>
            </w:hyperlink>
            <w:r w:rsidRPr="233E403E">
              <w:t>.</w:t>
            </w:r>
          </w:p>
        </w:tc>
      </w:tr>
    </w:tbl>
    <w:p w14:paraId="0D84B05A" w14:textId="77777777" w:rsidR="00340780" w:rsidRPr="003B1CC5" w:rsidRDefault="00340780" w:rsidP="00340780">
      <w:pPr>
        <w:ind w:left="0" w:firstLine="0"/>
      </w:pPr>
    </w:p>
    <w:tbl>
      <w:tblPr>
        <w:tblStyle w:val="TableGrid"/>
        <w:tblW w:w="5500" w:type="pct"/>
        <w:jc w:val="center"/>
        <w:tblLook w:val="04A0" w:firstRow="1" w:lastRow="0" w:firstColumn="1" w:lastColumn="0" w:noHBand="0" w:noVBand="1"/>
      </w:tblPr>
      <w:tblGrid>
        <w:gridCol w:w="10285"/>
      </w:tblGrid>
      <w:tr w:rsidR="00340780" w:rsidRPr="003B1CC5" w14:paraId="374919B6" w14:textId="77777777" w:rsidTr="00340780">
        <w:trPr>
          <w:jc w:val="center"/>
        </w:trPr>
        <w:tc>
          <w:tcPr>
            <w:tcW w:w="9576" w:type="dxa"/>
          </w:tcPr>
          <w:p w14:paraId="366E35C0" w14:textId="77777777" w:rsidR="00340780" w:rsidRPr="003B1CC5" w:rsidRDefault="00340780" w:rsidP="00340780">
            <w:pPr>
              <w:ind w:left="0" w:firstLine="0"/>
              <w:rPr>
                <w:sz w:val="20"/>
                <w:szCs w:val="20"/>
              </w:rPr>
            </w:pPr>
            <w:r w:rsidRPr="00E316C7">
              <w:rPr>
                <w:rFonts w:eastAsiaTheme="minorEastAsia"/>
                <w:b/>
                <w:bCs/>
                <w:u w:val="single"/>
              </w:rPr>
              <w:t>Note</w:t>
            </w:r>
            <w:r w:rsidRPr="00E316C7">
              <w:rPr>
                <w:rFonts w:eastAsiaTheme="minorEastAsia"/>
                <w:b/>
                <w:bCs/>
              </w:rPr>
              <w:t>: The information provided in this form is intended to aid the Steering Committee and other stakeholders in understanding to what degree the evidence for this measure meets NQF’s evaluation criteria.</w:t>
            </w:r>
          </w:p>
          <w:p w14:paraId="3D10E469" w14:textId="77777777" w:rsidR="00340780" w:rsidRPr="003B1CC5" w:rsidRDefault="00340780" w:rsidP="00340780">
            <w:pPr>
              <w:ind w:left="90" w:hanging="90"/>
              <w:rPr>
                <w:sz w:val="20"/>
                <w:szCs w:val="20"/>
              </w:rPr>
            </w:pPr>
          </w:p>
          <w:p w14:paraId="4C176BEE" w14:textId="77777777" w:rsidR="00340780" w:rsidRDefault="00340780" w:rsidP="00340780">
            <w:pPr>
              <w:spacing w:line="243" w:lineRule="exact"/>
              <w:ind w:left="224"/>
              <w:rPr>
                <w:b/>
                <w:sz w:val="20"/>
              </w:rPr>
            </w:pPr>
            <w:r>
              <w:rPr>
                <w:b/>
                <w:sz w:val="20"/>
              </w:rPr>
              <w:t>1a. Evidence to Support the Measure Focus</w:t>
            </w:r>
          </w:p>
          <w:p w14:paraId="399476DB" w14:textId="77777777" w:rsidR="00340780" w:rsidRDefault="00340780" w:rsidP="00340780">
            <w:pPr>
              <w:pStyle w:val="BodyText"/>
              <w:spacing w:line="243" w:lineRule="exact"/>
              <w:ind w:left="224"/>
            </w:pPr>
            <w:r>
              <w:t>The measure focus is evidence-based, demonstrated as follows:</w:t>
            </w:r>
          </w:p>
          <w:p w14:paraId="0FA090E5" w14:textId="77777777" w:rsidR="00340780" w:rsidRDefault="00340780" w:rsidP="00340780">
            <w:pPr>
              <w:pStyle w:val="ListParagraph"/>
              <w:widowControl w:val="0"/>
              <w:numPr>
                <w:ilvl w:val="0"/>
                <w:numId w:val="19"/>
              </w:numPr>
              <w:tabs>
                <w:tab w:val="left" w:pos="441"/>
              </w:tabs>
              <w:autoSpaceDE w:val="0"/>
              <w:autoSpaceDN w:val="0"/>
              <w:spacing w:after="0" w:line="240" w:lineRule="auto"/>
              <w:ind w:right="400" w:hanging="216"/>
              <w:contextualSpacing w:val="0"/>
              <w:rPr>
                <w:sz w:val="20"/>
              </w:rPr>
            </w:pPr>
            <w:r>
              <w:rPr>
                <w:noProof/>
              </w:rPr>
              <mc:AlternateContent>
                <mc:Choice Requires="wps">
                  <w:drawing>
                    <wp:anchor distT="0" distB="0" distL="114300" distR="114300" simplePos="0" relativeHeight="251673600" behindDoc="1" locked="0" layoutInCell="1" allowOverlap="1" wp14:anchorId="280A747B" wp14:editId="342359DE">
                      <wp:simplePos x="0" y="0"/>
                      <wp:positionH relativeFrom="page">
                        <wp:posOffset>1367155</wp:posOffset>
                      </wp:positionH>
                      <wp:positionV relativeFrom="paragraph">
                        <wp:posOffset>92710</wp:posOffset>
                      </wp:positionV>
                      <wp:extent cx="41275" cy="6350"/>
                      <wp:effectExtent l="0" t="0" r="1270" b="31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3B17B" id="Rectangle 9" o:spid="_x0000_s1026" style="position:absolute;margin-left:107.65pt;margin-top:7.3pt;width:3.25pt;height:.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" fillcolor="blue" stroked="f">
                      <w10:wrap anchorx="page"/>
                    </v:rect>
                  </w:pict>
                </mc:Fallback>
              </mc:AlternateContent>
            </w:r>
            <w:r>
              <w:rPr>
                <w:sz w:val="20"/>
                <w:u w:val="single"/>
              </w:rPr>
              <w:t>Outcome</w:t>
            </w:r>
            <w:r>
              <w:rPr>
                <w:color w:val="0000FF"/>
                <w:sz w:val="20"/>
              </w:rPr>
              <w:t xml:space="preserve">: </w:t>
            </w:r>
            <w:hyperlink w:anchor="_bookmark0" w:history="1">
              <w:r>
                <w:rPr>
                  <w:b/>
                  <w:color w:val="0000FF"/>
                  <w:sz w:val="20"/>
                  <w:vertAlign w:val="superscript"/>
                </w:rPr>
                <w:t>3</w:t>
              </w:r>
              <w:r>
                <w:rPr>
                  <w:b/>
                  <w:color w:val="0000FF"/>
                  <w:sz w:val="20"/>
                </w:rPr>
                <w:t xml:space="preserve"> </w:t>
              </w:r>
            </w:hyperlink>
            <w:r>
              <w:rPr>
                <w:sz w:val="20"/>
              </w:rPr>
              <w:t>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w:t>
            </w:r>
            <w:r>
              <w:rPr>
                <w:spacing w:val="-13"/>
                <w:sz w:val="20"/>
              </w:rPr>
              <w:t xml:space="preserve"> </w:t>
            </w:r>
            <w:r>
              <w:rPr>
                <w:sz w:val="20"/>
              </w:rPr>
              <w:t>bias.</w:t>
            </w:r>
          </w:p>
          <w:p w14:paraId="1DE352CC" w14:textId="77777777" w:rsidR="00340780" w:rsidRDefault="00340780" w:rsidP="00340780">
            <w:pPr>
              <w:pStyle w:val="ListParagraph"/>
              <w:widowControl w:val="0"/>
              <w:numPr>
                <w:ilvl w:val="0"/>
                <w:numId w:val="19"/>
              </w:numPr>
              <w:tabs>
                <w:tab w:val="left" w:pos="441"/>
              </w:tabs>
              <w:autoSpaceDE w:val="0"/>
              <w:autoSpaceDN w:val="0"/>
              <w:spacing w:before="1" w:after="0" w:line="240" w:lineRule="auto"/>
              <w:ind w:right="267" w:hanging="216"/>
              <w:contextualSpacing w:val="0"/>
              <w:rPr>
                <w:sz w:val="20"/>
              </w:rPr>
            </w:pPr>
            <w:r>
              <w:rPr>
                <w:noProof/>
              </w:rPr>
              <mc:AlternateContent>
                <mc:Choice Requires="wps">
                  <w:drawing>
                    <wp:anchor distT="0" distB="0" distL="114300" distR="114300" simplePos="0" relativeHeight="251674624" behindDoc="1" locked="0" layoutInCell="1" allowOverlap="1" wp14:anchorId="4B3B628E" wp14:editId="4040B14F">
                      <wp:simplePos x="0" y="0"/>
                      <wp:positionH relativeFrom="page">
                        <wp:posOffset>1450975</wp:posOffset>
                      </wp:positionH>
                      <wp:positionV relativeFrom="paragraph">
                        <wp:posOffset>248920</wp:posOffset>
                      </wp:positionV>
                      <wp:extent cx="42545" cy="6350"/>
                      <wp:effectExtent l="3175" t="0" r="1905" b="381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8E9D7" id="Rectangle 10" o:spid="_x0000_s1026" style="position:absolute;margin-left:114.25pt;margin-top:19.6pt;width:3.35pt;height:.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" fillcolor="blue" stroked="f">
                      <w10:wrap anchorx="page"/>
                    </v:rect>
                  </w:pict>
                </mc:Fallback>
              </mc:AlternateContent>
            </w:r>
            <w:r>
              <w:rPr>
                <w:sz w:val="20"/>
                <w:u w:val="single"/>
              </w:rPr>
              <w:t>Intermediate clinical outcome</w:t>
            </w:r>
            <w:r>
              <w:rPr>
                <w:sz w:val="20"/>
              </w:rPr>
              <w:t xml:space="preserve">: 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intermediate clinical outcome leads to a desired health</w:t>
            </w:r>
            <w:r>
              <w:rPr>
                <w:spacing w:val="-28"/>
                <w:sz w:val="20"/>
              </w:rPr>
              <w:t xml:space="preserve"> </w:t>
            </w:r>
            <w:r>
              <w:rPr>
                <w:sz w:val="20"/>
              </w:rPr>
              <w:t>outcome.</w:t>
            </w:r>
          </w:p>
          <w:p w14:paraId="34EC1907" w14:textId="77777777" w:rsidR="00340780" w:rsidRDefault="00340780" w:rsidP="00340780">
            <w:pPr>
              <w:pStyle w:val="ListParagraph"/>
              <w:widowControl w:val="0"/>
              <w:numPr>
                <w:ilvl w:val="0"/>
                <w:numId w:val="19"/>
              </w:numPr>
              <w:tabs>
                <w:tab w:val="left" w:pos="441"/>
              </w:tabs>
              <w:autoSpaceDE w:val="0"/>
              <w:autoSpaceDN w:val="0"/>
              <w:spacing w:after="0" w:line="240" w:lineRule="auto"/>
              <w:ind w:right="496" w:hanging="216"/>
              <w:contextualSpacing w:val="0"/>
              <w:rPr>
                <w:sz w:val="20"/>
              </w:rPr>
            </w:pPr>
            <w:r>
              <w:rPr>
                <w:noProof/>
              </w:rPr>
              <mc:AlternateContent>
                <mc:Choice Requires="wps">
                  <w:drawing>
                    <wp:anchor distT="0" distB="0" distL="114300" distR="114300" simplePos="0" relativeHeight="251675648" behindDoc="1" locked="0" layoutInCell="1" allowOverlap="1" wp14:anchorId="0CDF07BB" wp14:editId="63385737">
                      <wp:simplePos x="0" y="0"/>
                      <wp:positionH relativeFrom="page">
                        <wp:posOffset>1281430</wp:posOffset>
                      </wp:positionH>
                      <wp:positionV relativeFrom="paragraph">
                        <wp:posOffset>92710</wp:posOffset>
                      </wp:positionV>
                      <wp:extent cx="41275" cy="6350"/>
                      <wp:effectExtent l="0" t="0" r="1270" b="444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6061C" id="Rectangle 11" o:spid="_x0000_s1026" style="position:absolute;margin-left:100.9pt;margin-top:7.3pt;width:3.25pt;height:.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" fillcolor="blue" stroked="f">
                      <w10:wrap anchorx="page"/>
                    </v:rect>
                  </w:pict>
                </mc:Fallback>
              </mc:AlternateContent>
            </w:r>
            <w:r>
              <w:rPr>
                <w:noProof/>
              </w:rPr>
              <mc:AlternateContent>
                <mc:Choice Requires="wps">
                  <w:drawing>
                    <wp:anchor distT="0" distB="0" distL="114300" distR="114300" simplePos="0" relativeHeight="251676672" behindDoc="1" locked="0" layoutInCell="1" allowOverlap="1" wp14:anchorId="0376C15C" wp14:editId="7DE49ADE">
                      <wp:simplePos x="0" y="0"/>
                      <wp:positionH relativeFrom="page">
                        <wp:posOffset>6626225</wp:posOffset>
                      </wp:positionH>
                      <wp:positionV relativeFrom="paragraph">
                        <wp:posOffset>92710</wp:posOffset>
                      </wp:positionV>
                      <wp:extent cx="41275" cy="6350"/>
                      <wp:effectExtent l="0" t="0" r="0" b="444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0C0E7" id="Rectangle 12" o:spid="_x0000_s1026" style="position:absolute;margin-left:521.75pt;margin-top:7.3pt;width:3.25pt;height:.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" fillcolor="blue" stroked="f">
                      <w10:wrap anchorx="page"/>
                    </v:rect>
                  </w:pict>
                </mc:Fallback>
              </mc:AlternateContent>
            </w:r>
            <w:r>
              <w:rPr>
                <w:sz w:val="20"/>
                <w:u w:val="single"/>
              </w:rPr>
              <w:t>Process</w:t>
            </w:r>
            <w:r>
              <w:rPr>
                <w:sz w:val="20"/>
              </w:rPr>
              <w:t xml:space="preserve">: </w:t>
            </w:r>
            <w:hyperlink w:anchor="_bookmark2" w:history="1">
              <w:r>
                <w:rPr>
                  <w:b/>
                  <w:color w:val="0000FF"/>
                  <w:sz w:val="20"/>
                  <w:vertAlign w:val="superscript"/>
                </w:rPr>
                <w:t>5</w:t>
              </w:r>
              <w:r>
                <w:rPr>
                  <w:b/>
                  <w:color w:val="0000FF"/>
                  <w:sz w:val="20"/>
                </w:rPr>
                <w:t xml:space="preserve"> </w:t>
              </w:r>
            </w:hyperlink>
            <w:r>
              <w:rPr>
                <w:sz w:val="20"/>
              </w:rPr>
              <w:t xml:space="preserve">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process leads to a desired health</w:t>
            </w:r>
            <w:r>
              <w:rPr>
                <w:spacing w:val="-2"/>
                <w:sz w:val="20"/>
              </w:rPr>
              <w:t xml:space="preserve"> </w:t>
            </w:r>
            <w:r>
              <w:rPr>
                <w:sz w:val="20"/>
              </w:rPr>
              <w:t>outcome.</w:t>
            </w:r>
          </w:p>
          <w:p w14:paraId="6088EEDE" w14:textId="77777777" w:rsidR="00340780" w:rsidRDefault="00340780" w:rsidP="00340780">
            <w:pPr>
              <w:pStyle w:val="ListParagraph"/>
              <w:widowControl w:val="0"/>
              <w:numPr>
                <w:ilvl w:val="0"/>
                <w:numId w:val="19"/>
              </w:numPr>
              <w:tabs>
                <w:tab w:val="left" w:pos="441"/>
              </w:tabs>
              <w:autoSpaceDE w:val="0"/>
              <w:autoSpaceDN w:val="0"/>
              <w:spacing w:after="0" w:line="240" w:lineRule="auto"/>
              <w:ind w:right="439" w:hanging="216"/>
              <w:contextualSpacing w:val="0"/>
              <w:rPr>
                <w:sz w:val="20"/>
              </w:rPr>
            </w:pPr>
            <w:r>
              <w:rPr>
                <w:noProof/>
              </w:rPr>
              <mc:AlternateContent>
                <mc:Choice Requires="wps">
                  <w:drawing>
                    <wp:anchor distT="0" distB="0" distL="114300" distR="114300" simplePos="0" relativeHeight="251677696" behindDoc="1" locked="0" layoutInCell="1" allowOverlap="1" wp14:anchorId="46163C8C" wp14:editId="5E1D911D">
                      <wp:simplePos x="0" y="0"/>
                      <wp:positionH relativeFrom="page">
                        <wp:posOffset>6644640</wp:posOffset>
                      </wp:positionH>
                      <wp:positionV relativeFrom="paragraph">
                        <wp:posOffset>92710</wp:posOffset>
                      </wp:positionV>
                      <wp:extent cx="41275" cy="6350"/>
                      <wp:effectExtent l="0" t="635" r="635" b="254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364A3" id="Rectangle 19" o:spid="_x0000_s1026" style="position:absolute;margin-left:523.2pt;margin-top:7.3pt;width:3.25pt;height:.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" fillcolor="blue" stroked="f">
                      <w10:wrap anchorx="page"/>
                    </v:rect>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sz w:val="20"/>
                  <w:vertAlign w:val="superscript"/>
                </w:rPr>
                <w:t>4</w:t>
              </w:r>
            </w:hyperlink>
            <w:r>
              <w:rPr>
                <w:b/>
                <w:color w:val="0000FF"/>
                <w:sz w:val="20"/>
              </w:rPr>
              <w:t xml:space="preserve"> </w:t>
            </w:r>
            <w:r>
              <w:rPr>
                <w:sz w:val="20"/>
              </w:rPr>
              <w:t>that the measured structure leads to a desired health</w:t>
            </w:r>
            <w:r>
              <w:rPr>
                <w:spacing w:val="-2"/>
                <w:sz w:val="20"/>
              </w:rPr>
              <w:t xml:space="preserve"> </w:t>
            </w:r>
            <w:r>
              <w:rPr>
                <w:sz w:val="20"/>
              </w:rPr>
              <w:t>outcome.</w:t>
            </w:r>
          </w:p>
          <w:p w14:paraId="0040A5E0" w14:textId="77777777" w:rsidR="00340780" w:rsidRDefault="00340780" w:rsidP="00340780">
            <w:pPr>
              <w:pStyle w:val="ListParagraph"/>
              <w:widowControl w:val="0"/>
              <w:numPr>
                <w:ilvl w:val="0"/>
                <w:numId w:val="19"/>
              </w:numPr>
              <w:tabs>
                <w:tab w:val="left" w:pos="441"/>
              </w:tabs>
              <w:autoSpaceDE w:val="0"/>
              <w:autoSpaceDN w:val="0"/>
              <w:spacing w:after="0" w:line="255" w:lineRule="exact"/>
              <w:ind w:left="441"/>
              <w:contextualSpacing w:val="0"/>
              <w:rPr>
                <w:sz w:val="20"/>
              </w:rPr>
            </w:pPr>
            <w:r>
              <w:rPr>
                <w:noProof/>
              </w:rPr>
              <mc:AlternateContent>
                <mc:Choice Requires="wps">
                  <w:drawing>
                    <wp:anchor distT="0" distB="0" distL="114300" distR="114300" simplePos="0" relativeHeight="251678720" behindDoc="1" locked="0" layoutInCell="1" allowOverlap="1" wp14:anchorId="2F54DF9A" wp14:editId="6612D728">
                      <wp:simplePos x="0" y="0"/>
                      <wp:positionH relativeFrom="page">
                        <wp:posOffset>1380490</wp:posOffset>
                      </wp:positionH>
                      <wp:positionV relativeFrom="paragraph">
                        <wp:posOffset>92710</wp:posOffset>
                      </wp:positionV>
                      <wp:extent cx="41275" cy="6350"/>
                      <wp:effectExtent l="0" t="3175"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B32BA" id="Rectangle 20" o:spid="_x0000_s1026" style="position:absolute;margin-left:108.7pt;margin-top:7.3pt;width:3.25pt;height:.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" fillcolor="blue" stroked="f">
                      <w10:wrap anchorx="page"/>
                    </v:rect>
                  </w:pict>
                </mc:Fallback>
              </mc:AlternateContent>
            </w:r>
            <w:r>
              <w:rPr>
                <w:sz w:val="20"/>
                <w:u w:val="single"/>
              </w:rPr>
              <w:t>Efficiency</w:t>
            </w:r>
            <w:r>
              <w:rPr>
                <w:sz w:val="20"/>
              </w:rPr>
              <w:t xml:space="preserve">: </w:t>
            </w:r>
            <w:hyperlink w:anchor="_bookmark3" w:history="1">
              <w:r>
                <w:rPr>
                  <w:b/>
                  <w:color w:val="0000FF"/>
                  <w:sz w:val="20"/>
                  <w:vertAlign w:val="superscript"/>
                </w:rPr>
                <w:t>6</w:t>
              </w:r>
              <w:r>
                <w:rPr>
                  <w:b/>
                  <w:color w:val="0000FF"/>
                  <w:sz w:val="20"/>
                </w:rPr>
                <w:t xml:space="preserve"> </w:t>
              </w:r>
            </w:hyperlink>
            <w:r>
              <w:rPr>
                <w:sz w:val="20"/>
              </w:rPr>
              <w:t>evidence not required for the resource use</w:t>
            </w:r>
            <w:r>
              <w:rPr>
                <w:spacing w:val="-8"/>
                <w:sz w:val="20"/>
              </w:rPr>
              <w:t xml:space="preserve"> </w:t>
            </w:r>
            <w:r>
              <w:rPr>
                <w:sz w:val="20"/>
              </w:rPr>
              <w:t>component.</w:t>
            </w:r>
          </w:p>
          <w:p w14:paraId="4B283314" w14:textId="77777777" w:rsidR="00340780" w:rsidRDefault="00340780" w:rsidP="00340780">
            <w:pPr>
              <w:pStyle w:val="ListParagraph"/>
              <w:widowControl w:val="0"/>
              <w:numPr>
                <w:ilvl w:val="0"/>
                <w:numId w:val="19"/>
              </w:numPr>
              <w:tabs>
                <w:tab w:val="left" w:pos="441"/>
              </w:tabs>
              <w:autoSpaceDE w:val="0"/>
              <w:autoSpaceDN w:val="0"/>
              <w:spacing w:after="0" w:line="240" w:lineRule="auto"/>
              <w:ind w:right="1052" w:hanging="216"/>
              <w:contextualSpacing w:val="0"/>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 it</w:t>
            </w:r>
            <w:r>
              <w:rPr>
                <w:spacing w:val="-2"/>
                <w:sz w:val="20"/>
              </w:rPr>
              <w:t xml:space="preserve"> </w:t>
            </w:r>
            <w:r>
              <w:rPr>
                <w:sz w:val="20"/>
              </w:rPr>
              <w:t>meaningful.</w:t>
            </w:r>
          </w:p>
          <w:p w14:paraId="603C62A7" w14:textId="77777777" w:rsidR="00340780" w:rsidRDefault="00340780" w:rsidP="00340780">
            <w:pPr>
              <w:pStyle w:val="ListParagraph"/>
              <w:widowControl w:val="0"/>
              <w:numPr>
                <w:ilvl w:val="0"/>
                <w:numId w:val="19"/>
              </w:numPr>
              <w:tabs>
                <w:tab w:val="left" w:pos="441"/>
              </w:tabs>
              <w:autoSpaceDE w:val="0"/>
              <w:autoSpaceDN w:val="0"/>
              <w:spacing w:before="1" w:after="0" w:line="240" w:lineRule="auto"/>
              <w:ind w:right="634" w:hanging="216"/>
              <w:contextualSpacing w:val="0"/>
              <w:rPr>
                <w:sz w:val="20"/>
              </w:rPr>
            </w:pPr>
            <w:r>
              <w:rPr>
                <w:sz w:val="20"/>
                <w:u w:val="single"/>
              </w:rPr>
              <w:t>Process measures incorporating Appropriate Use Criteria:</w:t>
            </w:r>
            <w:r>
              <w:rPr>
                <w:sz w:val="20"/>
              </w:rPr>
              <w:t xml:space="preserve"> See NQF’s guidance for evidence for measures, in general; guidance for measures specifically based on clinical practice guidelines apply as</w:t>
            </w:r>
            <w:r>
              <w:rPr>
                <w:spacing w:val="-7"/>
                <w:sz w:val="20"/>
              </w:rPr>
              <w:t xml:space="preserve"> </w:t>
            </w:r>
            <w:r>
              <w:rPr>
                <w:sz w:val="20"/>
              </w:rPr>
              <w:t>well.</w:t>
            </w:r>
          </w:p>
          <w:p w14:paraId="07A18779" w14:textId="77777777" w:rsidR="00340780" w:rsidRDefault="00340780" w:rsidP="00340780">
            <w:pPr>
              <w:pStyle w:val="BodyText"/>
              <w:spacing w:before="12"/>
              <w:rPr>
                <w:sz w:val="17"/>
              </w:rPr>
            </w:pPr>
          </w:p>
          <w:p w14:paraId="5AD6E886" w14:textId="77777777" w:rsidR="00340780" w:rsidRDefault="00340780" w:rsidP="00340780">
            <w:pPr>
              <w:pStyle w:val="Heading3"/>
            </w:pPr>
            <w:r>
              <w:t>Notes</w:t>
            </w:r>
          </w:p>
          <w:p w14:paraId="01A34608" w14:textId="77777777" w:rsidR="00340780" w:rsidRDefault="00340780" w:rsidP="00340780">
            <w:pPr>
              <w:pStyle w:val="ListParagraph"/>
              <w:widowControl w:val="0"/>
              <w:numPr>
                <w:ilvl w:val="0"/>
                <w:numId w:val="18"/>
              </w:numPr>
              <w:tabs>
                <w:tab w:val="left" w:pos="424"/>
              </w:tabs>
              <w:autoSpaceDE w:val="0"/>
              <w:autoSpaceDN w:val="0"/>
              <w:spacing w:after="0" w:line="240" w:lineRule="auto"/>
              <w:ind w:right="736" w:firstLine="0"/>
              <w:contextualSpacing w:val="0"/>
              <w:rPr>
                <w:sz w:val="20"/>
              </w:rPr>
            </w:pPr>
            <w:r>
              <w:rPr>
                <w:sz w:val="20"/>
              </w:rPr>
              <w:t>Generally,</w:t>
            </w:r>
            <w:r>
              <w:rPr>
                <w:spacing w:val="-4"/>
                <w:sz w:val="20"/>
              </w:rPr>
              <w:t xml:space="preserve"> </w:t>
            </w:r>
            <w:r>
              <w:rPr>
                <w:sz w:val="20"/>
              </w:rPr>
              <w:t>rare</w:t>
            </w:r>
            <w:r>
              <w:rPr>
                <w:spacing w:val="-5"/>
                <w:sz w:val="20"/>
              </w:rPr>
              <w:t xml:space="preserve"> </w:t>
            </w:r>
            <w:r>
              <w:rPr>
                <w:sz w:val="20"/>
              </w:rPr>
              <w:t>event</w:t>
            </w:r>
            <w:r>
              <w:rPr>
                <w:spacing w:val="-4"/>
                <w:sz w:val="20"/>
              </w:rPr>
              <w:t xml:space="preserve"> </w:t>
            </w:r>
            <w:r>
              <w:rPr>
                <w:sz w:val="20"/>
              </w:rPr>
              <w:t>outcomes</w:t>
            </w:r>
            <w:r>
              <w:rPr>
                <w:spacing w:val="-5"/>
                <w:sz w:val="20"/>
              </w:rPr>
              <w:t xml:space="preserve"> </w:t>
            </w:r>
            <w:r>
              <w:rPr>
                <w:sz w:val="20"/>
              </w:rPr>
              <w:t>do</w:t>
            </w:r>
            <w:r>
              <w:rPr>
                <w:spacing w:val="-4"/>
                <w:sz w:val="20"/>
              </w:rPr>
              <w:t xml:space="preserve"> </w:t>
            </w:r>
            <w:r>
              <w:rPr>
                <w:sz w:val="20"/>
              </w:rPr>
              <w:t>not</w:t>
            </w:r>
            <w:r>
              <w:rPr>
                <w:spacing w:val="-4"/>
                <w:sz w:val="20"/>
              </w:rPr>
              <w:t xml:space="preserve"> </w:t>
            </w:r>
            <w:r>
              <w:rPr>
                <w:sz w:val="20"/>
              </w:rPr>
              <w:t>provide</w:t>
            </w:r>
            <w:r>
              <w:rPr>
                <w:spacing w:val="-5"/>
                <w:sz w:val="20"/>
              </w:rPr>
              <w:t xml:space="preserve"> </w:t>
            </w:r>
            <w:r>
              <w:rPr>
                <w:sz w:val="20"/>
              </w:rPr>
              <w:t>adequate</w:t>
            </w:r>
            <w:r>
              <w:rPr>
                <w:spacing w:val="-5"/>
                <w:sz w:val="20"/>
              </w:rPr>
              <w:t xml:space="preserve"> </w:t>
            </w:r>
            <w:r>
              <w:rPr>
                <w:sz w:val="20"/>
              </w:rPr>
              <w:t>information</w:t>
            </w:r>
            <w:r>
              <w:rPr>
                <w:spacing w:val="-3"/>
                <w:sz w:val="20"/>
              </w:rPr>
              <w:t xml:space="preserve"> </w:t>
            </w:r>
            <w:r>
              <w:rPr>
                <w:sz w:val="20"/>
              </w:rPr>
              <w:t>for</w:t>
            </w:r>
            <w:r>
              <w:rPr>
                <w:spacing w:val="-5"/>
                <w:sz w:val="20"/>
              </w:rPr>
              <w:t xml:space="preserve"> </w:t>
            </w:r>
            <w:r>
              <w:rPr>
                <w:sz w:val="20"/>
              </w:rPr>
              <w:t>improvement</w:t>
            </w:r>
            <w:r>
              <w:rPr>
                <w:spacing w:val="-1"/>
                <w:sz w:val="20"/>
              </w:rPr>
              <w:t xml:space="preserve"> </w:t>
            </w:r>
            <w:r>
              <w:rPr>
                <w:sz w:val="20"/>
              </w:rPr>
              <w:t>or</w:t>
            </w:r>
            <w:r>
              <w:rPr>
                <w:spacing w:val="-4"/>
                <w:sz w:val="20"/>
              </w:rPr>
              <w:t xml:space="preserve"> </w:t>
            </w:r>
            <w:r>
              <w:rPr>
                <w:sz w:val="20"/>
              </w:rPr>
              <w:t>discrimination;</w:t>
            </w:r>
            <w:r>
              <w:rPr>
                <w:spacing w:val="-5"/>
                <w:sz w:val="20"/>
              </w:rPr>
              <w:t xml:space="preserve"> </w:t>
            </w:r>
            <w:r>
              <w:rPr>
                <w:sz w:val="20"/>
              </w:rPr>
              <w:t>however, serious reportable events that are compared to zero are appropriate outcomes for public reporting and quality improvement.</w:t>
            </w:r>
          </w:p>
          <w:p w14:paraId="6FC26337" w14:textId="77777777" w:rsidR="00340780" w:rsidRDefault="00340780" w:rsidP="00340780">
            <w:pPr>
              <w:pStyle w:val="ListParagraph"/>
              <w:widowControl w:val="0"/>
              <w:numPr>
                <w:ilvl w:val="0"/>
                <w:numId w:val="18"/>
              </w:numPr>
              <w:tabs>
                <w:tab w:val="left" w:pos="424"/>
              </w:tabs>
              <w:autoSpaceDE w:val="0"/>
              <w:autoSpaceDN w:val="0"/>
              <w:spacing w:after="0" w:line="240" w:lineRule="auto"/>
              <w:ind w:right="547" w:firstLine="0"/>
              <w:contextualSpacing w:val="0"/>
              <w:rPr>
                <w:sz w:val="20"/>
              </w:rPr>
            </w:pPr>
            <w:r>
              <w:rPr>
                <w:sz w:val="20"/>
              </w:rPr>
              <w:t>The</w:t>
            </w:r>
            <w:r>
              <w:rPr>
                <w:spacing w:val="-5"/>
                <w:sz w:val="20"/>
              </w:rPr>
              <w:t xml:space="preserve"> </w:t>
            </w:r>
            <w:r>
              <w:rPr>
                <w:sz w:val="20"/>
              </w:rPr>
              <w:t>preferred</w:t>
            </w:r>
            <w:r>
              <w:rPr>
                <w:spacing w:val="-2"/>
                <w:sz w:val="20"/>
              </w:rPr>
              <w:t xml:space="preserve"> </w:t>
            </w:r>
            <w:r>
              <w:rPr>
                <w:sz w:val="20"/>
              </w:rPr>
              <w:t>systems</w:t>
            </w:r>
            <w:r>
              <w:rPr>
                <w:spacing w:val="-4"/>
                <w:sz w:val="20"/>
              </w:rPr>
              <w:t xml:space="preserve"> </w:t>
            </w:r>
            <w:r>
              <w:rPr>
                <w:sz w:val="20"/>
              </w:rPr>
              <w:t>for</w:t>
            </w:r>
            <w:r>
              <w:rPr>
                <w:spacing w:val="-4"/>
                <w:sz w:val="20"/>
              </w:rPr>
              <w:t xml:space="preserve"> </w:t>
            </w:r>
            <w:r>
              <w:rPr>
                <w:sz w:val="20"/>
              </w:rPr>
              <w:t>grading</w:t>
            </w:r>
            <w:r>
              <w:rPr>
                <w:spacing w:val="-3"/>
                <w:sz w:val="20"/>
              </w:rPr>
              <w:t xml:space="preserve"> </w:t>
            </w:r>
            <w:r>
              <w:rPr>
                <w:sz w:val="20"/>
              </w:rPr>
              <w:t>the</w:t>
            </w:r>
            <w:r>
              <w:rPr>
                <w:spacing w:val="-4"/>
                <w:sz w:val="20"/>
              </w:rPr>
              <w:t xml:space="preserve"> </w:t>
            </w:r>
            <w:r>
              <w:rPr>
                <w:sz w:val="20"/>
              </w:rPr>
              <w:t>evidence</w:t>
            </w:r>
            <w:r>
              <w:rPr>
                <w:spacing w:val="-4"/>
                <w:sz w:val="20"/>
              </w:rPr>
              <w:t xml:space="preserve"> </w:t>
            </w:r>
            <w:r>
              <w:rPr>
                <w:sz w:val="20"/>
              </w:rPr>
              <w:t>are</w:t>
            </w:r>
            <w:r>
              <w:rPr>
                <w:spacing w:val="-4"/>
                <w:sz w:val="20"/>
              </w:rPr>
              <w:t xml:space="preserve"> </w:t>
            </w:r>
            <w:r>
              <w:rPr>
                <w:sz w:val="20"/>
              </w:rPr>
              <w:t>the</w:t>
            </w:r>
            <w:r>
              <w:rPr>
                <w:spacing w:val="-5"/>
                <w:sz w:val="20"/>
              </w:rPr>
              <w:t xml:space="preserve"> </w:t>
            </w:r>
            <w:r>
              <w:rPr>
                <w:sz w:val="20"/>
              </w:rPr>
              <w:t>Grading</w:t>
            </w:r>
            <w:r>
              <w:rPr>
                <w:spacing w:val="-3"/>
                <w:sz w:val="20"/>
              </w:rPr>
              <w:t xml:space="preserve"> </w:t>
            </w:r>
            <w:r>
              <w:rPr>
                <w:sz w:val="20"/>
              </w:rPr>
              <w:t>of</w:t>
            </w:r>
            <w:r>
              <w:rPr>
                <w:spacing w:val="-4"/>
                <w:sz w:val="20"/>
              </w:rPr>
              <w:t xml:space="preserve"> </w:t>
            </w:r>
            <w:r>
              <w:rPr>
                <w:sz w:val="20"/>
              </w:rPr>
              <w:t>Recommendations,</w:t>
            </w:r>
            <w:r>
              <w:rPr>
                <w:spacing w:val="-1"/>
                <w:sz w:val="20"/>
              </w:rPr>
              <w:t xml:space="preserve"> </w:t>
            </w:r>
            <w:r>
              <w:rPr>
                <w:sz w:val="20"/>
              </w:rPr>
              <w:t>Assessment,</w:t>
            </w:r>
            <w:r>
              <w:rPr>
                <w:spacing w:val="-2"/>
                <w:sz w:val="20"/>
              </w:rPr>
              <w:t xml:space="preserve"> </w:t>
            </w:r>
            <w:r>
              <w:rPr>
                <w:sz w:val="20"/>
              </w:rPr>
              <w:lastRenderedPageBreak/>
              <w:t>Development</w:t>
            </w:r>
            <w:r>
              <w:rPr>
                <w:spacing w:val="-3"/>
                <w:sz w:val="20"/>
              </w:rPr>
              <w:t xml:space="preserve"> </w:t>
            </w:r>
            <w:r>
              <w:rPr>
                <w:sz w:val="20"/>
              </w:rPr>
              <w:t>and Evaluation</w:t>
            </w:r>
            <w:r>
              <w:rPr>
                <w:color w:val="0000FF"/>
                <w:sz w:val="20"/>
              </w:rPr>
              <w:t xml:space="preserve"> </w:t>
            </w:r>
            <w:hyperlink r:id="rId29">
              <w:r>
                <w:rPr>
                  <w:color w:val="0000FF"/>
                  <w:sz w:val="20"/>
                  <w:u w:val="single" w:color="0000FF"/>
                </w:rPr>
                <w:t>(GRADE) guidelines</w:t>
              </w:r>
              <w:r>
                <w:rPr>
                  <w:color w:val="0000FF"/>
                  <w:sz w:val="20"/>
                </w:rPr>
                <w:t xml:space="preserve"> </w:t>
              </w:r>
            </w:hyperlink>
            <w:r>
              <w:rPr>
                <w:sz w:val="20"/>
              </w:rPr>
              <w:t>and/or modified</w:t>
            </w:r>
            <w:r>
              <w:rPr>
                <w:spacing w:val="1"/>
                <w:sz w:val="20"/>
              </w:rPr>
              <w:t xml:space="preserve"> </w:t>
            </w:r>
            <w:r>
              <w:rPr>
                <w:sz w:val="20"/>
              </w:rPr>
              <w:t>GRADE.</w:t>
            </w:r>
          </w:p>
          <w:p w14:paraId="0F652BAC" w14:textId="77777777" w:rsidR="00340780" w:rsidRPr="005B2574" w:rsidRDefault="00340780" w:rsidP="00340780">
            <w:pPr>
              <w:pStyle w:val="ListParagraph"/>
              <w:widowControl w:val="0"/>
              <w:numPr>
                <w:ilvl w:val="0"/>
                <w:numId w:val="18"/>
              </w:numPr>
              <w:tabs>
                <w:tab w:val="left" w:pos="424"/>
              </w:tabs>
              <w:autoSpaceDE w:val="0"/>
              <w:autoSpaceDN w:val="0"/>
              <w:spacing w:after="0" w:line="240" w:lineRule="auto"/>
              <w:ind w:right="468" w:firstLine="0"/>
              <w:contextualSpacing w:val="0"/>
              <w:rPr>
                <w:sz w:val="20"/>
              </w:rPr>
            </w:pPr>
            <w:r>
              <w:rPr>
                <w:sz w:val="20"/>
              </w:rPr>
              <w:t xml:space="preserve">Clinical care processes typically include multiple steps: assess </w:t>
            </w:r>
            <w:r>
              <w:rPr>
                <w:rFonts w:ascii="Symbol" w:hAnsi="Symbol"/>
                <w:sz w:val="20"/>
              </w:rPr>
              <w:t></w:t>
            </w:r>
            <w:r>
              <w:rPr>
                <w:rFonts w:ascii="Times New Roman" w:hAnsi="Times New Roman"/>
                <w:sz w:val="20"/>
              </w:rPr>
              <w:t xml:space="preserve"> </w:t>
            </w:r>
            <w:r>
              <w:rPr>
                <w:sz w:val="20"/>
              </w:rPr>
              <w:t xml:space="preserve">identify problem/potential problem </w:t>
            </w:r>
            <w:r>
              <w:rPr>
                <w:rFonts w:ascii="Symbol" w:hAnsi="Symbol"/>
                <w:sz w:val="20"/>
              </w:rPr>
              <w:t></w:t>
            </w:r>
            <w:r>
              <w:rPr>
                <w:rFonts w:ascii="Times New Roman" w:hAnsi="Times New Roman"/>
                <w:sz w:val="20"/>
              </w:rPr>
              <w:t xml:space="preserve"> </w:t>
            </w:r>
            <w:r>
              <w:rPr>
                <w:sz w:val="20"/>
              </w:rPr>
              <w:t>choose/plan intervention</w:t>
            </w:r>
            <w:r>
              <w:rPr>
                <w:spacing w:val="-3"/>
                <w:sz w:val="20"/>
              </w:rPr>
              <w:t xml:space="preserve"> </w:t>
            </w:r>
            <w:r>
              <w:rPr>
                <w:sz w:val="20"/>
              </w:rPr>
              <w:t>(with</w:t>
            </w:r>
            <w:r>
              <w:rPr>
                <w:spacing w:val="-2"/>
                <w:sz w:val="20"/>
              </w:rPr>
              <w:t xml:space="preserve"> </w:t>
            </w:r>
            <w:r>
              <w:rPr>
                <w:sz w:val="20"/>
              </w:rPr>
              <w:t>patient</w:t>
            </w:r>
            <w:r>
              <w:rPr>
                <w:spacing w:val="-3"/>
                <w:sz w:val="20"/>
              </w:rPr>
              <w:t xml:space="preserve"> </w:t>
            </w:r>
            <w:r>
              <w:rPr>
                <w:sz w:val="20"/>
              </w:rPr>
              <w:t>input)</w:t>
            </w:r>
            <w:r>
              <w:rPr>
                <w:spacing w:val="-4"/>
                <w:sz w:val="20"/>
              </w:rPr>
              <w:t xml:space="preserve"> </w:t>
            </w:r>
            <w:r>
              <w:rPr>
                <w:rFonts w:ascii="Symbol" w:hAnsi="Symbol"/>
                <w:sz w:val="20"/>
              </w:rPr>
              <w:t></w:t>
            </w:r>
            <w:r>
              <w:rPr>
                <w:rFonts w:ascii="Times New Roman" w:hAnsi="Times New Roman"/>
                <w:spacing w:val="-8"/>
                <w:sz w:val="20"/>
              </w:rPr>
              <w:t xml:space="preserve"> </w:t>
            </w:r>
            <w:r>
              <w:rPr>
                <w:sz w:val="20"/>
              </w:rPr>
              <w:t>provide</w:t>
            </w:r>
            <w:r>
              <w:rPr>
                <w:spacing w:val="-4"/>
                <w:sz w:val="20"/>
              </w:rPr>
              <w:t xml:space="preserve"> </w:t>
            </w:r>
            <w:r>
              <w:rPr>
                <w:sz w:val="20"/>
              </w:rPr>
              <w:t>intervention</w:t>
            </w:r>
            <w:r>
              <w:rPr>
                <w:spacing w:val="-2"/>
                <w:sz w:val="20"/>
              </w:rPr>
              <w:t xml:space="preserve"> </w:t>
            </w:r>
            <w:r>
              <w:rPr>
                <w:rFonts w:ascii="Symbol" w:hAnsi="Symbol"/>
                <w:sz w:val="20"/>
              </w:rPr>
              <w:t></w:t>
            </w:r>
            <w:r>
              <w:rPr>
                <w:rFonts w:ascii="Times New Roman" w:hAnsi="Times New Roman"/>
                <w:spacing w:val="-6"/>
                <w:sz w:val="20"/>
              </w:rPr>
              <w:t xml:space="preserve"> </w:t>
            </w:r>
            <w:r>
              <w:rPr>
                <w:sz w:val="20"/>
              </w:rPr>
              <w:t>evaluate</w:t>
            </w:r>
            <w:r>
              <w:rPr>
                <w:spacing w:val="-4"/>
                <w:sz w:val="20"/>
              </w:rPr>
              <w:t xml:space="preserve"> </w:t>
            </w:r>
            <w:r>
              <w:rPr>
                <w:sz w:val="20"/>
              </w:rPr>
              <w:t>impact</w:t>
            </w:r>
            <w:r>
              <w:rPr>
                <w:spacing w:val="-3"/>
                <w:sz w:val="20"/>
              </w:rPr>
              <w:t xml:space="preserve"> </w:t>
            </w:r>
            <w:r>
              <w:rPr>
                <w:sz w:val="20"/>
              </w:rPr>
              <w:t>on</w:t>
            </w:r>
            <w:r>
              <w:rPr>
                <w:spacing w:val="-2"/>
                <w:sz w:val="20"/>
              </w:rPr>
              <w:t xml:space="preserve"> </w:t>
            </w:r>
            <w:r>
              <w:rPr>
                <w:sz w:val="20"/>
              </w:rPr>
              <w:t>health</w:t>
            </w:r>
            <w:r>
              <w:rPr>
                <w:spacing w:val="-3"/>
                <w:sz w:val="20"/>
              </w:rPr>
              <w:t xml:space="preserve"> </w:t>
            </w:r>
            <w:r>
              <w:rPr>
                <w:sz w:val="20"/>
              </w:rPr>
              <w:t>status.</w:t>
            </w:r>
            <w:r>
              <w:rPr>
                <w:spacing w:val="-3"/>
                <w:sz w:val="20"/>
              </w:rPr>
              <w:t xml:space="preserve"> </w:t>
            </w:r>
            <w:r>
              <w:rPr>
                <w:sz w:val="20"/>
              </w:rPr>
              <w:t>If</w:t>
            </w:r>
            <w:r>
              <w:rPr>
                <w:spacing w:val="-4"/>
                <w:sz w:val="20"/>
              </w:rPr>
              <w:t xml:space="preserve"> </w:t>
            </w:r>
            <w:r>
              <w:rPr>
                <w:sz w:val="20"/>
              </w:rPr>
              <w:t>the</w:t>
            </w:r>
            <w:r>
              <w:rPr>
                <w:spacing w:val="-4"/>
                <w:sz w:val="20"/>
              </w:rPr>
              <w:t xml:space="preserve"> </w:t>
            </w:r>
            <w:r>
              <w:rPr>
                <w:sz w:val="20"/>
              </w:rPr>
              <w:t>measure</w:t>
            </w:r>
            <w:r>
              <w:rPr>
                <w:spacing w:val="-2"/>
                <w:sz w:val="20"/>
              </w:rPr>
              <w:t xml:space="preserve"> </w:t>
            </w:r>
            <w:r>
              <w:rPr>
                <w:sz w:val="20"/>
              </w:rPr>
              <w:t>focus</w:t>
            </w:r>
            <w:r>
              <w:rPr>
                <w:spacing w:val="-4"/>
                <w:sz w:val="20"/>
              </w:rPr>
              <w:t xml:space="preserve"> </w:t>
            </w:r>
            <w:r>
              <w:rPr>
                <w:sz w:val="20"/>
              </w:rPr>
              <w:t>is</w:t>
            </w:r>
            <w:r>
              <w:rPr>
                <w:spacing w:val="-4"/>
                <w:sz w:val="20"/>
              </w:rPr>
              <w:t xml:space="preserve"> </w:t>
            </w:r>
            <w:r>
              <w:rPr>
                <w:sz w:val="20"/>
              </w:rPr>
              <w:t>one</w:t>
            </w:r>
          </w:p>
        </w:tc>
      </w:tr>
    </w:tbl>
    <w:p w14:paraId="0A6C25C0" w14:textId="77777777" w:rsidR="00340780" w:rsidRDefault="00340780" w:rsidP="00340780">
      <w:pPr>
        <w:ind w:left="0" w:firstLine="0"/>
        <w:rPr>
          <w:rFonts w:eastAsiaTheme="minorEastAsia"/>
          <w:b/>
          <w:bCs/>
          <w:color w:val="0000FF"/>
        </w:rPr>
      </w:pPr>
    </w:p>
    <w:p w14:paraId="71F0E6ED" w14:textId="77777777" w:rsidR="00340780" w:rsidRPr="003B1CC5" w:rsidRDefault="00340780" w:rsidP="00340780">
      <w:pPr>
        <w:ind w:left="0" w:firstLine="0"/>
        <w:rPr>
          <w:bCs/>
          <w:i/>
        </w:rPr>
      </w:pPr>
      <w:r w:rsidRPr="00E316C7">
        <w:rPr>
          <w:rFonts w:eastAsiaTheme="minorEastAsia"/>
          <w:b/>
          <w:bCs/>
          <w:color w:val="0000FF"/>
        </w:rPr>
        <w:t>1a.1.</w:t>
      </w:r>
      <w:r w:rsidRPr="00E316C7">
        <w:rPr>
          <w:rFonts w:eastAsiaTheme="minorEastAsia"/>
          <w:b/>
          <w:bCs/>
        </w:rPr>
        <w:t>This is a measure of</w:t>
      </w:r>
      <w:r w:rsidRPr="00E316C7">
        <w:rPr>
          <w:rFonts w:eastAsiaTheme="minorEastAsia"/>
        </w:rPr>
        <w:t>: (</w:t>
      </w:r>
      <w:r w:rsidRPr="00E316C7">
        <w:rPr>
          <w:rFonts w:eastAsiaTheme="minorEastAsia"/>
          <w:i/>
          <w:iCs/>
        </w:rPr>
        <w:t>should be consistent with type of measure entered in De.1</w:t>
      </w:r>
      <w:r w:rsidRPr="00E316C7">
        <w:rPr>
          <w:rFonts w:eastAsiaTheme="minorEastAsia"/>
        </w:rPr>
        <w:t xml:space="preserve">) </w:t>
      </w:r>
    </w:p>
    <w:p w14:paraId="41D80A6F" w14:textId="77777777" w:rsidR="00340780" w:rsidRPr="003B1CC5" w:rsidRDefault="00340780" w:rsidP="00340780">
      <w:pPr>
        <w:ind w:left="432" w:hanging="432"/>
        <w:rPr>
          <w:rFonts w:cs="Calibri"/>
          <w:bCs/>
        </w:rPr>
      </w:pPr>
      <w:r w:rsidRPr="00E316C7">
        <w:rPr>
          <w:rFonts w:eastAsiaTheme="minorEastAsia"/>
        </w:rPr>
        <w:t>Outcome</w:t>
      </w:r>
    </w:p>
    <w:p w14:paraId="18151360" w14:textId="77777777" w:rsidR="00340780" w:rsidRPr="003B1CC5" w:rsidRDefault="00F86A6A" w:rsidP="00340780">
      <w:pPr>
        <w:ind w:left="720" w:hanging="432"/>
        <w:rPr>
          <w:rStyle w:val="Style2"/>
          <w:rFonts w:cstheme="minorHAnsi"/>
        </w:rPr>
      </w:pPr>
      <w:sdt>
        <w:sdtPr>
          <w:rPr>
            <w:bCs/>
            <w:color w:val="0000FF"/>
            <w:u w:val="single"/>
          </w:rPr>
          <w:id w:val="1133991912"/>
          <w14:checkbox>
            <w14:checked w14:val="0"/>
            <w14:checkedState w14:val="2612" w14:font="MS Gothic"/>
            <w14:uncheckedState w14:val="2610" w14:font="MS Gothic"/>
          </w14:checkbox>
        </w:sdtPr>
        <w:sdtContent>
          <w:r w:rsidR="00340780" w:rsidRPr="003B1CC5">
            <w:rPr>
              <w:rFonts w:ascii="MS Gothic" w:eastAsia="MS Gothic" w:hAnsi="MS Gothic" w:cs="MS Gothic" w:hint="eastAsia"/>
              <w:bCs/>
              <w:color w:val="0000FF"/>
            </w:rPr>
            <w:t>☐</w:t>
          </w:r>
        </w:sdtContent>
      </w:sdt>
      <w:r w:rsidR="00340780" w:rsidRPr="00E316C7">
        <w:rPr>
          <w:rFonts w:eastAsiaTheme="minorEastAsia"/>
          <w:color w:val="0000FF"/>
        </w:rPr>
        <w:t xml:space="preserve"> </w:t>
      </w:r>
      <w:r w:rsidR="00340780" w:rsidRPr="00E316C7">
        <w:rPr>
          <w:rFonts w:eastAsiaTheme="minorEastAsia"/>
        </w:rPr>
        <w:t xml:space="preserve">Health outcome: </w:t>
      </w:r>
      <w:sdt>
        <w:sdtPr>
          <w:rPr>
            <w:rStyle w:val="Style2"/>
            <w:rFonts w:cstheme="minorHAnsi"/>
          </w:rPr>
          <w:id w:val="-1413852749"/>
          <w:placeholder>
            <w:docPart w:val="165EEF9151314CAFB5C22274F335E07C"/>
          </w:placeholder>
          <w:showingPlcHdr/>
        </w:sdtPr>
        <w:sdtEndPr>
          <w:rPr>
            <w:rStyle w:val="DefaultParagraphFont"/>
            <w:rFonts w:cstheme="minorBidi"/>
            <w:color w:val="auto"/>
            <w:u w:val="none"/>
          </w:rPr>
        </w:sdtEndPr>
        <w:sdtContent>
          <w:r w:rsidR="00340780" w:rsidRPr="003B1CC5">
            <w:rPr>
              <w:color w:val="A6A6A6" w:themeColor="background1" w:themeShade="A6"/>
            </w:rPr>
            <w:t>Click here to n</w:t>
          </w:r>
          <w:r w:rsidR="00340780" w:rsidRPr="003B1CC5">
            <w:rPr>
              <w:rStyle w:val="PlaceholderText"/>
              <w:rFonts w:cstheme="minorHAnsi"/>
              <w:color w:val="A6A6A6" w:themeColor="background1" w:themeShade="A6"/>
            </w:rPr>
            <w:t>ame the health outcome</w:t>
          </w:r>
        </w:sdtContent>
      </w:sdt>
    </w:p>
    <w:p w14:paraId="7B95158D" w14:textId="77777777" w:rsidR="00340780" w:rsidRPr="003B1CC5" w:rsidRDefault="00F86A6A" w:rsidP="00340780">
      <w:pPr>
        <w:ind w:left="720" w:hanging="432"/>
        <w:rPr>
          <w:b/>
          <w:bCs/>
        </w:rPr>
      </w:pPr>
      <w:sdt>
        <w:sdtPr>
          <w:rPr>
            <w:bCs/>
            <w:color w:val="0000FF"/>
          </w:rPr>
          <w:id w:val="-2006426759"/>
          <w14:checkbox>
            <w14:checked w14:val="0"/>
            <w14:checkedState w14:val="2612" w14:font="MS Gothic"/>
            <w14:uncheckedState w14:val="2610" w14:font="MS Gothic"/>
          </w14:checkbox>
        </w:sdtPr>
        <w:sdtContent>
          <w:r w:rsidR="00340780" w:rsidRPr="003B1CC5">
            <w:rPr>
              <w:rFonts w:ascii="MS Gothic" w:eastAsia="MS Gothic" w:hAnsi="MS Gothic" w:cs="MS Gothic" w:hint="eastAsia"/>
              <w:bCs/>
              <w:color w:val="0000FF"/>
            </w:rPr>
            <w:t>☐</w:t>
          </w:r>
        </w:sdtContent>
      </w:sdt>
      <w:r w:rsidR="00340780" w:rsidRPr="00E316C7">
        <w:rPr>
          <w:rFonts w:eastAsiaTheme="minorEastAsia"/>
        </w:rPr>
        <w:t xml:space="preserve">Patient-reported outcome (PRO): </w:t>
      </w:r>
      <w:sdt>
        <w:sdtPr>
          <w:rPr>
            <w:rStyle w:val="Style2"/>
            <w:rFonts w:cstheme="minorHAnsi"/>
          </w:rPr>
          <w:id w:val="-1753503389"/>
          <w:placeholder>
            <w:docPart w:val="1138129B9D9F4DFEAB8012B7A68F3E47"/>
          </w:placeholder>
          <w:showingPlcHdr/>
        </w:sdtPr>
        <w:sdtEndPr>
          <w:rPr>
            <w:rStyle w:val="DefaultParagraphFont"/>
            <w:rFonts w:cstheme="minorBidi"/>
            <w:color w:val="auto"/>
            <w:u w:val="none"/>
          </w:rPr>
        </w:sdtEndPr>
        <w:sdtContent>
          <w:r w:rsidR="00340780" w:rsidRPr="003B1CC5">
            <w:rPr>
              <w:color w:val="A6A6A6" w:themeColor="background1" w:themeShade="A6"/>
            </w:rPr>
            <w:t>Click here to n</w:t>
          </w:r>
          <w:r w:rsidR="00340780" w:rsidRPr="003B1CC5">
            <w:rPr>
              <w:rStyle w:val="PlaceholderText"/>
              <w:rFonts w:cstheme="minorHAnsi"/>
              <w:color w:val="A6A6A6" w:themeColor="background1" w:themeShade="A6"/>
            </w:rPr>
            <w:t xml:space="preserve">ame the </w:t>
          </w:r>
          <w:r w:rsidR="00340780">
            <w:rPr>
              <w:rStyle w:val="PlaceholderText"/>
              <w:rFonts w:cstheme="minorHAnsi"/>
              <w:color w:val="A6A6A6" w:themeColor="background1" w:themeShade="A6"/>
            </w:rPr>
            <w:t>PRO</w:t>
          </w:r>
        </w:sdtContent>
      </w:sdt>
    </w:p>
    <w:p w14:paraId="2168AD99" w14:textId="77777777" w:rsidR="00340780" w:rsidRDefault="00340780" w:rsidP="00340780">
      <w:pPr>
        <w:ind w:left="720" w:firstLine="0"/>
        <w:rPr>
          <w:rFonts w:eastAsiaTheme="minorEastAsia"/>
          <w:i/>
          <w:iCs/>
        </w:rPr>
      </w:pPr>
      <w:r w:rsidRPr="00815622">
        <w:rPr>
          <w:rFonts w:eastAsiaTheme="minorEastAsia"/>
          <w:i/>
          <w:iCs/>
        </w:rPr>
        <w:t xml:space="preserve">PROs include </w:t>
      </w:r>
      <w:proofErr w:type="spellStart"/>
      <w:r w:rsidRPr="00815622">
        <w:rPr>
          <w:rFonts w:eastAsiaTheme="minorEastAsia"/>
          <w:i/>
          <w:iCs/>
        </w:rPr>
        <w:t>HRQoL</w:t>
      </w:r>
      <w:proofErr w:type="spellEnd"/>
      <w:r w:rsidRPr="00815622">
        <w:rPr>
          <w:rFonts w:eastAsiaTheme="minorEastAsia"/>
          <w:i/>
          <w:iCs/>
        </w:rPr>
        <w:t>/functional status, symptom/symptom burden, experience with care, health-related behaviors. (A PRO-based performance measure is not a survey instrument. Data may be collected using a survey instrument to construct a PRO measure.)</w:t>
      </w:r>
    </w:p>
    <w:p w14:paraId="47D8854C" w14:textId="77777777" w:rsidR="00340780" w:rsidRPr="003B1CC5" w:rsidRDefault="00F86A6A" w:rsidP="00340780">
      <w:pPr>
        <w:rPr>
          <w:bCs/>
        </w:rPr>
      </w:pPr>
      <w:sdt>
        <w:sdtPr>
          <w:rPr>
            <w:bCs/>
            <w:color w:val="0000FF"/>
          </w:rPr>
          <w:id w:val="-1647588362"/>
          <w14:checkbox>
            <w14:checked w14:val="0"/>
            <w14:checkedState w14:val="2612" w14:font="MS Gothic"/>
            <w14:uncheckedState w14:val="2610" w14:font="MS Gothic"/>
          </w14:checkbox>
        </w:sdtPr>
        <w:sdtContent>
          <w:r w:rsidR="00340780">
            <w:rPr>
              <w:rFonts w:ascii="MS Gothic" w:eastAsia="MS Gothic" w:hAnsi="MS Gothic" w:hint="eastAsia"/>
              <w:bCs/>
              <w:color w:val="0000FF"/>
            </w:rPr>
            <w:t>☐</w:t>
          </w:r>
        </w:sdtContent>
      </w:sdt>
      <w:r w:rsidR="00340780" w:rsidRPr="00E316C7">
        <w:rPr>
          <w:rFonts w:eastAsiaTheme="minorEastAsia"/>
        </w:rPr>
        <w:t xml:space="preserve"> Intermediate clinical outcome (</w:t>
      </w:r>
      <w:r w:rsidR="00340780" w:rsidRPr="00E316C7">
        <w:rPr>
          <w:rFonts w:eastAsiaTheme="minorEastAsia"/>
          <w:i/>
          <w:iCs/>
        </w:rPr>
        <w:t>e.g., lab value</w:t>
      </w:r>
      <w:r w:rsidR="00340780" w:rsidRPr="00E316C7">
        <w:rPr>
          <w:rFonts w:eastAsiaTheme="minorEastAsia"/>
        </w:rPr>
        <w:t xml:space="preserve">):  </w:t>
      </w:r>
      <w:sdt>
        <w:sdtPr>
          <w:rPr>
            <w:rStyle w:val="Style2"/>
            <w:rFonts w:cstheme="minorHAnsi"/>
          </w:rPr>
          <w:id w:val="-223610286"/>
          <w:showingPlcHdr/>
        </w:sdtPr>
        <w:sdtEndPr>
          <w:rPr>
            <w:rStyle w:val="DefaultParagraphFont"/>
            <w:rFonts w:cstheme="minorBidi"/>
            <w:bCs/>
            <w:color w:val="auto"/>
            <w:u w:val="none"/>
          </w:rPr>
        </w:sdtEndPr>
        <w:sdtContent>
          <w:r w:rsidR="00340780" w:rsidRPr="003B1CC5">
            <w:rPr>
              <w:rStyle w:val="PlaceholderText"/>
              <w:rFonts w:cstheme="minorHAnsi"/>
              <w:color w:val="A6A6A6" w:themeColor="background1" w:themeShade="A6"/>
            </w:rPr>
            <w:t>Click here to name the intermediate outcome</w:t>
          </w:r>
        </w:sdtContent>
      </w:sdt>
    </w:p>
    <w:p w14:paraId="587E8FB9" w14:textId="77777777" w:rsidR="00340780" w:rsidRPr="003B1CC5" w:rsidRDefault="00F86A6A" w:rsidP="00340780">
      <w:pPr>
        <w:ind w:left="432" w:hanging="432"/>
        <w:rPr>
          <w:bCs/>
        </w:rPr>
      </w:pPr>
      <w:sdt>
        <w:sdtPr>
          <w:rPr>
            <w:bCs/>
            <w:color w:val="0000FF"/>
          </w:rPr>
          <w:id w:val="-1967106796"/>
          <w14:checkbox>
            <w14:checked w14:val="1"/>
            <w14:checkedState w14:val="2612" w14:font="MS Gothic"/>
            <w14:uncheckedState w14:val="2610" w14:font="MS Gothic"/>
          </w14:checkbox>
        </w:sdtPr>
        <w:sdtContent>
          <w:r w:rsidR="00340780">
            <w:rPr>
              <w:rFonts w:ascii="MS Gothic" w:eastAsia="MS Gothic" w:hAnsi="MS Gothic" w:hint="eastAsia"/>
              <w:bCs/>
              <w:color w:val="0000FF"/>
            </w:rPr>
            <w:t>☒</w:t>
          </w:r>
        </w:sdtContent>
      </w:sdt>
      <w:r w:rsidR="00340780" w:rsidRPr="00E316C7">
        <w:rPr>
          <w:rFonts w:eastAsiaTheme="minorEastAsia"/>
        </w:rPr>
        <w:t xml:space="preserve"> Process:  </w:t>
      </w:r>
      <w:sdt>
        <w:sdtPr>
          <w:rPr>
            <w:rStyle w:val="Style2"/>
            <w:rFonts w:cstheme="minorHAnsi"/>
          </w:rPr>
          <w:id w:val="796029122"/>
        </w:sdtPr>
        <w:sdtEndPr>
          <w:rPr>
            <w:rStyle w:val="DefaultParagraphFont"/>
            <w:rFonts w:cstheme="minorBidi"/>
            <w:bCs/>
            <w:color w:val="auto"/>
            <w:u w:val="none"/>
          </w:rPr>
        </w:sdtEndPr>
        <w:sdtContent>
          <w:r w:rsidR="00340780">
            <w:rPr>
              <w:rStyle w:val="Style2"/>
              <w:rFonts w:cstheme="minorHAnsi"/>
            </w:rPr>
            <w:t>Completion of a nutrition assessment for patients identified to be at-risk of malnutrition from a completed malnutrition screening</w:t>
          </w:r>
        </w:sdtContent>
      </w:sdt>
    </w:p>
    <w:p w14:paraId="0A5C8141" w14:textId="77777777" w:rsidR="00340780" w:rsidRPr="003B1CC5" w:rsidRDefault="00F86A6A" w:rsidP="00340780">
      <w:pPr>
        <w:ind w:left="432" w:firstLine="288"/>
        <w:rPr>
          <w:bCs/>
        </w:rPr>
      </w:pPr>
      <w:sdt>
        <w:sdtPr>
          <w:rPr>
            <w:bCs/>
            <w:color w:val="0000FF"/>
          </w:rPr>
          <w:id w:val="689576260"/>
          <w14:checkbox>
            <w14:checked w14:val="0"/>
            <w14:checkedState w14:val="2612" w14:font="MS Gothic"/>
            <w14:uncheckedState w14:val="2610" w14:font="MS Gothic"/>
          </w14:checkbox>
        </w:sdtPr>
        <w:sdtContent>
          <w:r w:rsidR="00340780">
            <w:rPr>
              <w:rFonts w:ascii="MS Gothic" w:eastAsia="MS Gothic" w:hAnsi="MS Gothic" w:hint="eastAsia"/>
              <w:bCs/>
              <w:color w:val="0000FF"/>
            </w:rPr>
            <w:t>☐</w:t>
          </w:r>
        </w:sdtContent>
      </w:sdt>
      <w:r w:rsidR="00340780" w:rsidRPr="00E316C7">
        <w:rPr>
          <w:rFonts w:eastAsiaTheme="minorEastAsia"/>
        </w:rPr>
        <w:t xml:space="preserve"> </w:t>
      </w:r>
      <w:r w:rsidR="00340780">
        <w:rPr>
          <w:rFonts w:eastAsiaTheme="minorEastAsia"/>
        </w:rPr>
        <w:t>Appropriate Use Measure</w:t>
      </w:r>
      <w:r w:rsidR="00340780" w:rsidRPr="00E316C7">
        <w:rPr>
          <w:rFonts w:eastAsiaTheme="minorEastAsia"/>
        </w:rPr>
        <w:t xml:space="preserve">:  </w:t>
      </w:r>
      <w:sdt>
        <w:sdtPr>
          <w:rPr>
            <w:rStyle w:val="Style2"/>
            <w:rFonts w:cstheme="minorHAnsi"/>
          </w:rPr>
          <w:id w:val="-1542284306"/>
          <w:showingPlcHdr/>
        </w:sdtPr>
        <w:sdtEndPr>
          <w:rPr>
            <w:rStyle w:val="DefaultParagraphFont"/>
            <w:rFonts w:cstheme="minorBidi"/>
            <w:bCs/>
            <w:color w:val="auto"/>
            <w:u w:val="none"/>
          </w:rPr>
        </w:sdtEndPr>
        <w:sdtContent>
          <w:r w:rsidR="00340780" w:rsidRPr="003B1CC5">
            <w:rPr>
              <w:rStyle w:val="PlaceholderText"/>
              <w:rFonts w:cstheme="minorHAnsi"/>
              <w:color w:val="A6A6A6" w:themeColor="background1" w:themeShade="A6"/>
            </w:rPr>
            <w:t>Click here to name what is being measured</w:t>
          </w:r>
        </w:sdtContent>
      </w:sdt>
    </w:p>
    <w:p w14:paraId="19D75450" w14:textId="77777777" w:rsidR="00340780" w:rsidRPr="003B1CC5" w:rsidRDefault="00F86A6A" w:rsidP="00340780">
      <w:pPr>
        <w:rPr>
          <w:bCs/>
        </w:rPr>
      </w:pPr>
      <w:sdt>
        <w:sdtPr>
          <w:rPr>
            <w:bCs/>
            <w:color w:val="0000FF"/>
          </w:rPr>
          <w:id w:val="1446814299"/>
          <w14:checkbox>
            <w14:checked w14:val="0"/>
            <w14:checkedState w14:val="2612" w14:font="MS Gothic"/>
            <w14:uncheckedState w14:val="2610" w14:font="MS Gothic"/>
          </w14:checkbox>
        </w:sdtPr>
        <w:sdtContent>
          <w:r w:rsidR="00340780">
            <w:rPr>
              <w:rFonts w:ascii="MS Gothic" w:eastAsia="MS Gothic" w:hAnsi="MS Gothic" w:hint="eastAsia"/>
              <w:bCs/>
              <w:color w:val="0000FF"/>
            </w:rPr>
            <w:t>☐</w:t>
          </w:r>
        </w:sdtContent>
      </w:sdt>
      <w:r w:rsidR="00340780" w:rsidRPr="00E316C7">
        <w:rPr>
          <w:rFonts w:eastAsiaTheme="minorEastAsia"/>
        </w:rPr>
        <w:t xml:space="preserve"> Structure:  </w:t>
      </w:r>
      <w:sdt>
        <w:sdtPr>
          <w:rPr>
            <w:rStyle w:val="Style2"/>
            <w:rFonts w:cstheme="minorHAnsi"/>
          </w:rPr>
          <w:id w:val="-682978493"/>
          <w:showingPlcHdr/>
        </w:sdtPr>
        <w:sdtEndPr>
          <w:rPr>
            <w:rStyle w:val="DefaultParagraphFont"/>
            <w:rFonts w:cstheme="minorBidi"/>
            <w:bCs/>
            <w:color w:val="auto"/>
            <w:u w:val="none"/>
          </w:rPr>
        </w:sdtEndPr>
        <w:sdtContent>
          <w:r w:rsidR="00340780" w:rsidRPr="003B1CC5">
            <w:rPr>
              <w:rStyle w:val="PlaceholderText"/>
              <w:rFonts w:cstheme="minorHAnsi"/>
              <w:color w:val="A6A6A6" w:themeColor="background1" w:themeShade="A6"/>
            </w:rPr>
            <w:t>Click here to name the structure</w:t>
          </w:r>
        </w:sdtContent>
      </w:sdt>
    </w:p>
    <w:p w14:paraId="74CA2F4A" w14:textId="77777777" w:rsidR="00340780" w:rsidRPr="003B1CC5" w:rsidRDefault="00F86A6A" w:rsidP="00340780">
      <w:pPr>
        <w:ind w:left="432" w:hanging="432"/>
        <w:rPr>
          <w:bCs/>
        </w:rPr>
      </w:pPr>
      <w:sdt>
        <w:sdtPr>
          <w:rPr>
            <w:bCs/>
            <w:color w:val="0000FF"/>
          </w:rPr>
          <w:id w:val="-650520981"/>
          <w14:checkbox>
            <w14:checked w14:val="0"/>
            <w14:checkedState w14:val="2612" w14:font="MS Gothic"/>
            <w14:uncheckedState w14:val="2610" w14:font="MS Gothic"/>
          </w14:checkbox>
        </w:sdtPr>
        <w:sdtContent>
          <w:r w:rsidR="00340780">
            <w:rPr>
              <w:rFonts w:ascii="MS Gothic" w:eastAsia="MS Gothic" w:hAnsi="MS Gothic" w:hint="eastAsia"/>
              <w:bCs/>
              <w:color w:val="0000FF"/>
            </w:rPr>
            <w:t>☐</w:t>
          </w:r>
        </w:sdtContent>
      </w:sdt>
      <w:r w:rsidR="00340780" w:rsidRPr="00E316C7">
        <w:rPr>
          <w:rFonts w:eastAsiaTheme="minorEastAsia"/>
        </w:rPr>
        <w:t xml:space="preserve"> </w:t>
      </w:r>
      <w:r w:rsidR="00340780">
        <w:rPr>
          <w:rFonts w:eastAsiaTheme="minorEastAsia"/>
        </w:rPr>
        <w:t>Composite</w:t>
      </w:r>
      <w:r w:rsidR="00340780" w:rsidRPr="00E316C7">
        <w:rPr>
          <w:rFonts w:eastAsiaTheme="minorEastAsia"/>
        </w:rPr>
        <w:t xml:space="preserve">:  </w:t>
      </w:r>
      <w:sdt>
        <w:sdtPr>
          <w:rPr>
            <w:rStyle w:val="Style2"/>
            <w:rFonts w:cstheme="minorHAnsi"/>
          </w:rPr>
          <w:id w:val="743757654"/>
          <w:showingPlcHdr/>
        </w:sdtPr>
        <w:sdtEndPr>
          <w:rPr>
            <w:rStyle w:val="DefaultParagraphFont"/>
            <w:rFonts w:cstheme="minorBidi"/>
            <w:bCs/>
            <w:color w:val="auto"/>
            <w:u w:val="none"/>
          </w:rPr>
        </w:sdtEndPr>
        <w:sdtContent>
          <w:r w:rsidR="00340780" w:rsidRPr="003B1CC5">
            <w:rPr>
              <w:rStyle w:val="PlaceholderText"/>
              <w:rFonts w:cstheme="minorHAnsi"/>
              <w:color w:val="A6A6A6" w:themeColor="background1" w:themeShade="A6"/>
            </w:rPr>
            <w:t>Click here to name what is being measured</w:t>
          </w:r>
        </w:sdtContent>
      </w:sdt>
    </w:p>
    <w:p w14:paraId="0B852CDC" w14:textId="77777777" w:rsidR="00340780" w:rsidRDefault="00340780" w:rsidP="00340780">
      <w:pPr>
        <w:ind w:left="0" w:firstLine="0"/>
        <w:rPr>
          <w:rFonts w:eastAsiaTheme="minorEastAsia"/>
          <w:b/>
          <w:bCs/>
          <w:caps/>
        </w:rPr>
      </w:pPr>
    </w:p>
    <w:p w14:paraId="0F16BAE2" w14:textId="77777777" w:rsidR="00340780" w:rsidRPr="00107596" w:rsidRDefault="00340780" w:rsidP="00340780">
      <w:pPr>
        <w:ind w:left="432" w:hanging="432"/>
        <w:rPr>
          <w:iCs/>
        </w:rPr>
      </w:pPr>
      <w:r w:rsidRPr="00E316C7">
        <w:rPr>
          <w:rFonts w:eastAsiaTheme="minorEastAsia"/>
          <w:b/>
          <w:bCs/>
          <w:color w:val="0000FF"/>
        </w:rPr>
        <w:t>1a.2.</w:t>
      </w:r>
      <w:r>
        <w:rPr>
          <w:rFonts w:eastAsiaTheme="minorEastAsia"/>
        </w:rPr>
        <w:t xml:space="preserve"> </w:t>
      </w:r>
      <w:r>
        <w:rPr>
          <w:rFonts w:eastAsiaTheme="minorEastAsia"/>
          <w:b/>
          <w:bCs/>
        </w:rPr>
        <w:t xml:space="preserve">LOGIC MODEL: </w:t>
      </w:r>
      <w:r w:rsidRPr="004A7315">
        <w:rPr>
          <w:rFonts w:eastAsiaTheme="minorEastAsia"/>
        </w:rPr>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760C2419" w14:textId="77777777" w:rsidR="00340780" w:rsidRDefault="00340780" w:rsidP="00340780">
      <w:pPr>
        <w:ind w:left="432" w:hanging="432"/>
        <w:rPr>
          <w:iCs/>
        </w:rPr>
      </w:pPr>
    </w:p>
    <w:p w14:paraId="4AD1D588" w14:textId="77777777" w:rsidR="00340780" w:rsidRPr="003B1CC5" w:rsidRDefault="00340780" w:rsidP="00340780">
      <w:pPr>
        <w:ind w:left="0" w:firstLine="0"/>
      </w:pPr>
      <w:r>
        <w:rPr>
          <w:rFonts w:eastAsiaTheme="minorEastAsia"/>
        </w:rPr>
        <w:t>Patients who are identified as at-risk for malnutrition are</w:t>
      </w:r>
      <w:r w:rsidRPr="00E316C7">
        <w:rPr>
          <w:rFonts w:eastAsiaTheme="minorEastAsia"/>
        </w:rPr>
        <w:t xml:space="preserve"> then assessed by a registered dietitian </w:t>
      </w:r>
      <w:r>
        <w:rPr>
          <w:rFonts w:eastAsiaTheme="minorEastAsia"/>
        </w:rPr>
        <w:t xml:space="preserve">nutritionist (RDN) </w:t>
      </w:r>
      <w:r w:rsidRPr="00E316C7">
        <w:rPr>
          <w:rFonts w:eastAsiaTheme="minorEastAsia"/>
        </w:rPr>
        <w:t>who, if appropriate, may recommend a specific nutrition intervention to address the patient’s malnutrition</w:t>
      </w:r>
      <w:r>
        <w:rPr>
          <w:rFonts w:eastAsiaTheme="minorEastAsia"/>
        </w:rPr>
        <w:t>. The recommendations are shared with the patient’s physician team who then make the clinical judgement to diagnose the patient with malnutrition based off the RDN’s assessment. If the malnutrition is</w:t>
      </w:r>
      <w:r w:rsidRPr="00E316C7">
        <w:rPr>
          <w:rFonts w:eastAsiaTheme="minorEastAsia"/>
        </w:rPr>
        <w:t xml:space="preserve"> addressed early can reduce risk of mortality and post-operative complications and possibly reduce length of stay.</w:t>
      </w:r>
    </w:p>
    <w:p w14:paraId="6EF9A562" w14:textId="77777777" w:rsidR="00340780" w:rsidRDefault="00340780" w:rsidP="00340780">
      <w:pPr>
        <w:ind w:left="0" w:firstLine="0"/>
        <w:rPr>
          <w:iCs/>
        </w:rPr>
      </w:pPr>
      <w:r w:rsidRPr="004A7315">
        <w:rPr>
          <w:iCs/>
          <w:noProof/>
        </w:rPr>
        <w:drawing>
          <wp:anchor distT="0" distB="0" distL="114300" distR="114300" simplePos="0" relativeHeight="251679744" behindDoc="1" locked="0" layoutInCell="1" allowOverlap="1" wp14:anchorId="7BD50CEB" wp14:editId="375D8916">
            <wp:simplePos x="0" y="0"/>
            <wp:positionH relativeFrom="margin">
              <wp:align>center</wp:align>
            </wp:positionH>
            <wp:positionV relativeFrom="paragraph">
              <wp:posOffset>7620</wp:posOffset>
            </wp:positionV>
            <wp:extent cx="6400800" cy="1333500"/>
            <wp:effectExtent l="0" t="0" r="19050" b="0"/>
            <wp:wrapTight wrapText="bothSides">
              <wp:wrapPolygon edited="0">
                <wp:start x="5464" y="4011"/>
                <wp:lineTo x="0" y="4629"/>
                <wp:lineTo x="0" y="17280"/>
                <wp:lineTo x="21600" y="17280"/>
                <wp:lineTo x="21600" y="4629"/>
                <wp:lineTo x="9836" y="4011"/>
                <wp:lineTo x="5464" y="4011"/>
              </wp:wrapPolygon>
            </wp:wrapTight>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anchor>
        </w:drawing>
      </w:r>
    </w:p>
    <w:p w14:paraId="7A4A9EC7" w14:textId="77777777" w:rsidR="00340780" w:rsidRDefault="00340780" w:rsidP="00340780">
      <w:pPr>
        <w:ind w:right="738"/>
        <w:jc w:val="both"/>
        <w:rPr>
          <w:b/>
        </w:rPr>
      </w:pPr>
    </w:p>
    <w:p w14:paraId="1BBA3401" w14:textId="77777777" w:rsidR="00340780" w:rsidRDefault="00340780" w:rsidP="00340780">
      <w:pPr>
        <w:ind w:right="738"/>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5169B9A4" w14:textId="77777777" w:rsidR="00340780" w:rsidRPr="003B1CC5" w:rsidRDefault="00340780" w:rsidP="00340780">
      <w:pPr>
        <w:ind w:left="0" w:firstLine="0"/>
        <w:rPr>
          <w:iCs/>
        </w:rPr>
      </w:pPr>
    </w:p>
    <w:p w14:paraId="6003BA05" w14:textId="77777777" w:rsidR="00340780" w:rsidRPr="00C06ABD" w:rsidRDefault="00340780" w:rsidP="00340780">
      <w:pPr>
        <w:widowControl w:val="0"/>
        <w:autoSpaceDE w:val="0"/>
        <w:autoSpaceDN w:val="0"/>
        <w:outlineLvl w:val="0"/>
        <w:rPr>
          <w:rFonts w:ascii="Calibri" w:eastAsia="Calibri" w:hAnsi="Calibri" w:cs="Calibri"/>
          <w:b/>
          <w:bCs/>
          <w:lang w:bidi="en-US"/>
        </w:rPr>
      </w:pPr>
      <w:r w:rsidRPr="00C06ABD">
        <w:rPr>
          <w:rFonts w:ascii="Calibri" w:eastAsia="Calibri" w:hAnsi="Calibri" w:cs="Calibri"/>
          <w:b/>
          <w:bCs/>
          <w:lang w:bidi="en-US"/>
        </w:rPr>
        <w:t>**RESPOND TO ONLY ONE SECTION BELOW -EITHER 1a.2, 1a.3 or 1a.4) **</w:t>
      </w:r>
    </w:p>
    <w:p w14:paraId="0A042BCF" w14:textId="77777777" w:rsidR="00340780" w:rsidRPr="00C06ABD" w:rsidRDefault="00340780" w:rsidP="00340780">
      <w:pPr>
        <w:widowControl w:val="0"/>
        <w:autoSpaceDE w:val="0"/>
        <w:autoSpaceDN w:val="0"/>
        <w:ind w:left="0" w:firstLine="0"/>
        <w:rPr>
          <w:rFonts w:ascii="Calibri" w:eastAsia="Calibri" w:hAnsi="Calibri" w:cs="Calibri"/>
          <w:b/>
          <w:szCs w:val="20"/>
          <w:lang w:bidi="en-US"/>
        </w:rPr>
      </w:pPr>
    </w:p>
    <w:p w14:paraId="5D115D71" w14:textId="77777777" w:rsidR="00340780" w:rsidRPr="00C06ABD" w:rsidRDefault="00340780" w:rsidP="00340780">
      <w:pPr>
        <w:widowControl w:val="0"/>
        <w:autoSpaceDE w:val="0"/>
        <w:autoSpaceDN w:val="0"/>
        <w:spacing w:before="1"/>
        <w:ind w:right="945"/>
        <w:rPr>
          <w:rFonts w:ascii="Calibri" w:eastAsia="Calibri" w:hAnsi="Calibri" w:cs="Calibri"/>
          <w:b/>
          <w:lang w:bidi="en-US"/>
        </w:rPr>
      </w:pPr>
      <w:r w:rsidRPr="00C06ABD">
        <w:rPr>
          <w:rFonts w:ascii="Calibri" w:eastAsia="Calibri" w:hAnsi="Calibri" w:cs="Calibri"/>
          <w:b/>
          <w:lang w:bidi="en-US"/>
        </w:rPr>
        <w:t>1a.2 FOR OUTCOME MEASURES including PATIENT REPORTED OUTCOMES - Provide empirical data demonstrating the relationship between the outcome (or PRO) to at least one healthcare structure, process, intervention, or service.</w:t>
      </w:r>
    </w:p>
    <w:p w14:paraId="7E3AAF8F" w14:textId="77777777" w:rsidR="00340780" w:rsidRPr="00C06ABD" w:rsidRDefault="00340780" w:rsidP="00340780">
      <w:pPr>
        <w:widowControl w:val="0"/>
        <w:autoSpaceDE w:val="0"/>
        <w:autoSpaceDN w:val="0"/>
        <w:ind w:left="0" w:firstLine="0"/>
        <w:rPr>
          <w:rFonts w:ascii="Calibri" w:eastAsia="Calibri" w:hAnsi="Calibri" w:cs="Calibri"/>
          <w:b/>
          <w:szCs w:val="20"/>
          <w:lang w:bidi="en-US"/>
        </w:rPr>
      </w:pPr>
    </w:p>
    <w:p w14:paraId="2C6DF64A" w14:textId="77777777" w:rsidR="00340780" w:rsidRPr="00C06ABD" w:rsidRDefault="00340780" w:rsidP="00340780">
      <w:pPr>
        <w:widowControl w:val="0"/>
        <w:autoSpaceDE w:val="0"/>
        <w:autoSpaceDN w:val="0"/>
        <w:spacing w:before="10"/>
        <w:ind w:left="0" w:firstLine="0"/>
        <w:rPr>
          <w:rFonts w:ascii="Calibri" w:eastAsia="Calibri" w:hAnsi="Calibri" w:cs="Calibri"/>
          <w:b/>
          <w:sz w:val="21"/>
          <w:szCs w:val="20"/>
          <w:lang w:bidi="en-US"/>
        </w:rPr>
      </w:pPr>
    </w:p>
    <w:p w14:paraId="118E39BF" w14:textId="77777777" w:rsidR="00340780" w:rsidRPr="00C06ABD" w:rsidRDefault="00340780" w:rsidP="00340780">
      <w:pPr>
        <w:widowControl w:val="0"/>
        <w:autoSpaceDE w:val="0"/>
        <w:autoSpaceDN w:val="0"/>
        <w:ind w:left="0" w:right="991" w:firstLine="0"/>
        <w:rPr>
          <w:rFonts w:ascii="Calibri" w:eastAsia="Calibri" w:hAnsi="Calibri" w:cs="Calibri"/>
          <w:b/>
          <w:lang w:bidi="en-US"/>
        </w:rPr>
      </w:pPr>
      <w:r w:rsidRPr="00C06ABD">
        <w:rPr>
          <w:rFonts w:ascii="Calibri" w:eastAsia="Calibri" w:hAnsi="Calibri" w:cs="Calibri"/>
          <w:b/>
          <w:lang w:bidi="en-US"/>
        </w:rPr>
        <w:t>1a.3. SYSTEMATIC REVIEW(SR) OF THE EVIDENCE (for INTERMEDIATE OUTCOME, PROCESS, OR STRUCTURE PERFORMANCE MEASURES, INCLUDING THOSE THAT ARE INSTRUMENT-BASED) If the</w:t>
      </w:r>
      <w:r>
        <w:rPr>
          <w:rFonts w:ascii="Calibri" w:eastAsia="Calibri" w:hAnsi="Calibri" w:cs="Calibri"/>
          <w:b/>
          <w:lang w:bidi="en-US"/>
        </w:rPr>
        <w:t xml:space="preserve"> </w:t>
      </w:r>
      <w:r w:rsidRPr="00C06ABD">
        <w:rPr>
          <w:rFonts w:ascii="Calibri" w:eastAsia="Calibri" w:hAnsi="Calibri" w:cs="Calibri"/>
          <w:b/>
          <w:lang w:bidi="en-US"/>
        </w:rPr>
        <w:t>evidence is not based on a systematic review go to section 1a.4) If you wish to include more than one systematic review, add additional tables.</w:t>
      </w:r>
    </w:p>
    <w:p w14:paraId="184A0518" w14:textId="77777777" w:rsidR="00340780" w:rsidRPr="00C06ABD" w:rsidRDefault="00340780" w:rsidP="00340780">
      <w:pPr>
        <w:widowControl w:val="0"/>
        <w:autoSpaceDE w:val="0"/>
        <w:autoSpaceDN w:val="0"/>
        <w:spacing w:before="2"/>
        <w:ind w:left="0" w:firstLine="0"/>
        <w:rPr>
          <w:rFonts w:ascii="Calibri" w:eastAsia="Calibri" w:hAnsi="Calibri" w:cs="Calibri"/>
          <w:b/>
          <w:szCs w:val="20"/>
          <w:lang w:bidi="en-US"/>
        </w:rPr>
      </w:pPr>
    </w:p>
    <w:p w14:paraId="6AB21FBD" w14:textId="77777777" w:rsidR="00340780" w:rsidRPr="00C06ABD" w:rsidRDefault="00340780" w:rsidP="00340780">
      <w:pPr>
        <w:widowControl w:val="0"/>
        <w:autoSpaceDE w:val="0"/>
        <w:autoSpaceDN w:val="0"/>
        <w:ind w:left="0" w:right="597" w:firstLine="0"/>
        <w:rPr>
          <w:rFonts w:ascii="Calibri" w:eastAsia="Calibri" w:hAnsi="Calibri" w:cs="Calibri"/>
          <w:b/>
          <w:lang w:bidi="en-US"/>
        </w:rPr>
      </w:pPr>
      <w:r w:rsidRPr="00C06ABD">
        <w:rPr>
          <w:rFonts w:ascii="Calibri" w:eastAsia="Calibri" w:hAnsi="Calibri" w:cs="Calibri"/>
          <w:b/>
          <w:lang w:bidi="en-US"/>
        </w:rPr>
        <w:t xml:space="preserve">What is the source of the </w:t>
      </w:r>
      <w:r w:rsidRPr="00C06ABD">
        <w:rPr>
          <w:rFonts w:ascii="Calibri" w:eastAsia="Calibri" w:hAnsi="Calibri" w:cs="Calibri"/>
          <w:b/>
          <w:u w:val="single"/>
          <w:lang w:bidi="en-US"/>
        </w:rPr>
        <w:t>systematic review of the body of evidence</w:t>
      </w:r>
      <w:r w:rsidRPr="00C06ABD">
        <w:rPr>
          <w:rFonts w:ascii="Calibri" w:eastAsia="Calibri" w:hAnsi="Calibri" w:cs="Calibri"/>
          <w:b/>
          <w:lang w:bidi="en-US"/>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4E789470" w14:textId="77777777" w:rsidR="00340780" w:rsidRPr="003B1CC5" w:rsidRDefault="00340780" w:rsidP="00340780">
      <w:pPr>
        <w:ind w:left="0" w:firstLine="0"/>
      </w:pPr>
    </w:p>
    <w:p w14:paraId="02E3736B" w14:textId="77777777" w:rsidR="00340780" w:rsidRPr="003B1CC5" w:rsidRDefault="00F86A6A" w:rsidP="00340780">
      <w:pPr>
        <w:ind w:left="0" w:firstLine="0"/>
      </w:pPr>
      <w:sdt>
        <w:sdtPr>
          <w:rPr>
            <w:bCs/>
            <w:color w:val="0000FF"/>
          </w:rPr>
          <w:id w:val="1729494053"/>
          <w14:checkbox>
            <w14:checked w14:val="1"/>
            <w14:checkedState w14:val="2612" w14:font="MS Gothic"/>
            <w14:uncheckedState w14:val="2610" w14:font="MS Gothic"/>
          </w14:checkbox>
        </w:sdtPr>
        <w:sdtContent>
          <w:r w:rsidR="00340780">
            <w:rPr>
              <w:rFonts w:ascii="MS Gothic" w:eastAsia="MS Gothic" w:hAnsi="MS Gothic" w:hint="eastAsia"/>
              <w:bCs/>
              <w:color w:val="0000FF"/>
            </w:rPr>
            <w:t>☒</w:t>
          </w:r>
        </w:sdtContent>
      </w:sdt>
      <w:r w:rsidR="00340780" w:rsidRPr="00E316C7">
        <w:rPr>
          <w:rFonts w:eastAsiaTheme="minorEastAsia"/>
        </w:rPr>
        <w:t xml:space="preserve"> Clinical Practice Guideline recommendation </w:t>
      </w:r>
    </w:p>
    <w:p w14:paraId="6ACF8478" w14:textId="77777777" w:rsidR="00340780" w:rsidRPr="003B1CC5" w:rsidRDefault="00F86A6A" w:rsidP="00340780">
      <w:pPr>
        <w:ind w:left="0" w:firstLine="0"/>
        <w:rPr>
          <w:b/>
          <w:i/>
        </w:rPr>
      </w:pPr>
      <w:sdt>
        <w:sdtPr>
          <w:rPr>
            <w:bCs/>
            <w:color w:val="0000FF"/>
          </w:rPr>
          <w:id w:val="2022050398"/>
          <w14:checkbox>
            <w14:checked w14:val="0"/>
            <w14:checkedState w14:val="2612" w14:font="MS Gothic"/>
            <w14:uncheckedState w14:val="2610" w14:font="MS Gothic"/>
          </w14:checkbox>
        </w:sdtPr>
        <w:sdtContent>
          <w:r w:rsidR="00340780" w:rsidRPr="003B1CC5">
            <w:rPr>
              <w:rFonts w:ascii="MS Gothic" w:eastAsia="MS Gothic" w:hAnsi="MS Gothic" w:cs="MS Gothic" w:hint="eastAsia"/>
              <w:bCs/>
              <w:color w:val="0000FF"/>
            </w:rPr>
            <w:t>☐</w:t>
          </w:r>
        </w:sdtContent>
      </w:sdt>
      <w:r w:rsidR="00340780" w:rsidRPr="00E316C7">
        <w:rPr>
          <w:rFonts w:eastAsiaTheme="minorEastAsia"/>
        </w:rPr>
        <w:t xml:space="preserve"> US Preventive Services Task Force Recommendation </w:t>
      </w:r>
    </w:p>
    <w:p w14:paraId="3619DD11" w14:textId="77777777" w:rsidR="00340780" w:rsidRPr="003B1CC5" w:rsidRDefault="00F86A6A" w:rsidP="00340780">
      <w:pPr>
        <w:ind w:left="0" w:firstLine="0"/>
      </w:pPr>
      <w:sdt>
        <w:sdtPr>
          <w:rPr>
            <w:bCs/>
            <w:color w:val="0000FF"/>
          </w:rPr>
          <w:id w:val="68633361"/>
          <w14:checkbox>
            <w14:checked w14:val="1"/>
            <w14:checkedState w14:val="2612" w14:font="MS Gothic"/>
            <w14:uncheckedState w14:val="2610" w14:font="MS Gothic"/>
          </w14:checkbox>
        </w:sdtPr>
        <w:sdtContent>
          <w:r w:rsidR="00340780">
            <w:rPr>
              <w:rFonts w:ascii="MS Gothic" w:eastAsia="MS Gothic" w:hAnsi="MS Gothic" w:hint="eastAsia"/>
              <w:bCs/>
              <w:color w:val="0000FF"/>
            </w:rPr>
            <w:t>☒</w:t>
          </w:r>
        </w:sdtContent>
      </w:sdt>
      <w:r w:rsidR="00340780" w:rsidRPr="00E316C7">
        <w:rPr>
          <w:rFonts w:eastAsiaTheme="minorEastAsia"/>
        </w:rPr>
        <w:t xml:space="preserve"> Other systematic review and grading of the body of evidence (</w:t>
      </w:r>
      <w:r w:rsidR="00340780" w:rsidRPr="00E316C7">
        <w:rPr>
          <w:rFonts w:eastAsiaTheme="minorEastAsia"/>
          <w:i/>
          <w:iCs/>
        </w:rPr>
        <w:t>e.g., Cochrane Collaboration, AHRQ Evidence Practice Center</w:t>
      </w:r>
      <w:r w:rsidR="00340780" w:rsidRPr="00E316C7">
        <w:rPr>
          <w:rFonts w:eastAsiaTheme="minorEastAsia"/>
        </w:rPr>
        <w:t xml:space="preserve">) </w:t>
      </w:r>
    </w:p>
    <w:p w14:paraId="1942AE1E" w14:textId="77777777" w:rsidR="00340780" w:rsidRPr="003B1CC5" w:rsidRDefault="00F86A6A" w:rsidP="00340780">
      <w:pPr>
        <w:ind w:left="0" w:firstLine="0"/>
      </w:pPr>
      <w:sdt>
        <w:sdtPr>
          <w:rPr>
            <w:bCs/>
            <w:color w:val="0000FF"/>
          </w:rPr>
          <w:id w:val="873815482"/>
          <w14:checkbox>
            <w14:checked w14:val="0"/>
            <w14:checkedState w14:val="2612" w14:font="MS Gothic"/>
            <w14:uncheckedState w14:val="2610" w14:font="MS Gothic"/>
          </w14:checkbox>
        </w:sdtPr>
        <w:sdtContent>
          <w:r w:rsidR="00340780" w:rsidRPr="003B1CC5">
            <w:rPr>
              <w:rFonts w:ascii="MS Gothic" w:eastAsia="MS Gothic" w:hAnsi="MS Gothic" w:cs="MS Gothic" w:hint="eastAsia"/>
              <w:bCs/>
              <w:color w:val="0000FF"/>
            </w:rPr>
            <w:t>☐</w:t>
          </w:r>
        </w:sdtContent>
      </w:sdt>
      <w:r w:rsidR="00340780" w:rsidRPr="00E316C7">
        <w:rPr>
          <w:rFonts w:eastAsiaTheme="minorEastAsia"/>
        </w:rPr>
        <w:t xml:space="preserve"> Other </w:t>
      </w:r>
    </w:p>
    <w:p w14:paraId="2E1E7FAE" w14:textId="77777777" w:rsidR="00340780" w:rsidRPr="003B1CC5" w:rsidRDefault="00340780" w:rsidP="00340780">
      <w:pPr>
        <w:ind w:left="0" w:firstLine="0"/>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340780" w:rsidRPr="00F86A6A" w14:paraId="5C905B1F" w14:textId="77777777" w:rsidTr="00340780">
        <w:trPr>
          <w:trHeight w:val="2073"/>
        </w:trPr>
        <w:tc>
          <w:tcPr>
            <w:tcW w:w="4068" w:type="dxa"/>
          </w:tcPr>
          <w:p w14:paraId="6314F453" w14:textId="77777777" w:rsidR="00340780" w:rsidRDefault="00340780" w:rsidP="00340780">
            <w:pPr>
              <w:pStyle w:val="TableParagraph"/>
              <w:spacing w:before="1"/>
              <w:rPr>
                <w:b/>
              </w:rPr>
            </w:pPr>
            <w:r>
              <w:rPr>
                <w:b/>
              </w:rPr>
              <w:t>Source of Systematic Review:</w:t>
            </w:r>
          </w:p>
          <w:p w14:paraId="35EE043F" w14:textId="77777777" w:rsidR="00340780" w:rsidRDefault="00340780" w:rsidP="00340780">
            <w:pPr>
              <w:pStyle w:val="TableParagraph"/>
              <w:numPr>
                <w:ilvl w:val="0"/>
                <w:numId w:val="17"/>
              </w:numPr>
              <w:tabs>
                <w:tab w:val="left" w:pos="827"/>
                <w:tab w:val="left" w:pos="828"/>
              </w:tabs>
              <w:spacing w:before="1"/>
              <w:rPr>
                <w:b/>
              </w:rPr>
            </w:pPr>
            <w:r>
              <w:rPr>
                <w:b/>
              </w:rPr>
              <w:t>Title</w:t>
            </w:r>
          </w:p>
          <w:p w14:paraId="0725B48A" w14:textId="77777777" w:rsidR="00340780" w:rsidRDefault="00340780" w:rsidP="00340780">
            <w:pPr>
              <w:pStyle w:val="TableParagraph"/>
              <w:numPr>
                <w:ilvl w:val="0"/>
                <w:numId w:val="17"/>
              </w:numPr>
              <w:tabs>
                <w:tab w:val="left" w:pos="827"/>
                <w:tab w:val="left" w:pos="828"/>
              </w:tabs>
              <w:spacing w:before="39"/>
              <w:rPr>
                <w:b/>
              </w:rPr>
            </w:pPr>
            <w:r>
              <w:rPr>
                <w:b/>
              </w:rPr>
              <w:t>Author</w:t>
            </w:r>
          </w:p>
          <w:p w14:paraId="4C8BC8D4" w14:textId="77777777" w:rsidR="00340780" w:rsidRDefault="00340780" w:rsidP="00340780">
            <w:pPr>
              <w:pStyle w:val="TableParagraph"/>
              <w:numPr>
                <w:ilvl w:val="0"/>
                <w:numId w:val="17"/>
              </w:numPr>
              <w:tabs>
                <w:tab w:val="left" w:pos="827"/>
                <w:tab w:val="left" w:pos="828"/>
              </w:tabs>
              <w:spacing w:before="41"/>
              <w:rPr>
                <w:b/>
              </w:rPr>
            </w:pPr>
            <w:r>
              <w:rPr>
                <w:b/>
              </w:rPr>
              <w:t>Date</w:t>
            </w:r>
          </w:p>
          <w:p w14:paraId="29A45DC9" w14:textId="77777777" w:rsidR="00340780" w:rsidRDefault="00340780" w:rsidP="00340780">
            <w:pPr>
              <w:pStyle w:val="TableParagraph"/>
              <w:numPr>
                <w:ilvl w:val="0"/>
                <w:numId w:val="17"/>
              </w:numPr>
              <w:tabs>
                <w:tab w:val="left" w:pos="827"/>
                <w:tab w:val="left" w:pos="828"/>
              </w:tabs>
              <w:spacing w:before="39"/>
              <w:rPr>
                <w:b/>
              </w:rPr>
            </w:pPr>
            <w:r>
              <w:rPr>
                <w:b/>
              </w:rPr>
              <w:t>Citation, including page</w:t>
            </w:r>
            <w:r>
              <w:rPr>
                <w:b/>
                <w:spacing w:val="-4"/>
              </w:rPr>
              <w:t xml:space="preserve"> </w:t>
            </w:r>
            <w:r>
              <w:rPr>
                <w:b/>
              </w:rPr>
              <w:t>number</w:t>
            </w:r>
          </w:p>
          <w:p w14:paraId="21AEA9A9" w14:textId="77777777" w:rsidR="00340780" w:rsidRDefault="00340780" w:rsidP="00340780">
            <w:pPr>
              <w:pStyle w:val="TableParagraph"/>
              <w:numPr>
                <w:ilvl w:val="0"/>
                <w:numId w:val="17"/>
              </w:numPr>
              <w:tabs>
                <w:tab w:val="left" w:pos="827"/>
                <w:tab w:val="left" w:pos="828"/>
              </w:tabs>
              <w:spacing w:before="42"/>
              <w:rPr>
                <w:b/>
              </w:rPr>
            </w:pPr>
            <w:r>
              <w:rPr>
                <w:b/>
              </w:rPr>
              <w:t>URL</w:t>
            </w:r>
          </w:p>
        </w:tc>
        <w:tc>
          <w:tcPr>
            <w:tcW w:w="5131" w:type="dxa"/>
          </w:tcPr>
          <w:p w14:paraId="44AF705E" w14:textId="77777777" w:rsidR="00340780" w:rsidRPr="008F5AC1" w:rsidRDefault="00340780" w:rsidP="00340780">
            <w:pPr>
              <w:pStyle w:val="TableParagraph"/>
              <w:rPr>
                <w:rFonts w:asciiTheme="minorHAnsi" w:hAnsiTheme="minorHAnsi" w:cstheme="minorHAnsi"/>
                <w:lang w:val="es-US"/>
              </w:rPr>
            </w:pPr>
            <w:r w:rsidRPr="003B73E6">
              <w:rPr>
                <w:rFonts w:asciiTheme="minorHAnsi" w:hAnsiTheme="minorHAnsi" w:cstheme="minorHAnsi"/>
              </w:rPr>
              <w:t xml:space="preserve">Mueller C, </w:t>
            </w:r>
            <w:proofErr w:type="spellStart"/>
            <w:r w:rsidRPr="003B73E6">
              <w:rPr>
                <w:rFonts w:asciiTheme="minorHAnsi" w:hAnsiTheme="minorHAnsi" w:cstheme="minorHAnsi"/>
              </w:rPr>
              <w:t>Compher</w:t>
            </w:r>
            <w:proofErr w:type="spellEnd"/>
            <w:r w:rsidRPr="003B73E6">
              <w:rPr>
                <w:rFonts w:asciiTheme="minorHAnsi" w:hAnsiTheme="minorHAnsi" w:cstheme="minorHAnsi"/>
              </w:rPr>
              <w:t xml:space="preserve"> C &amp; </w:t>
            </w:r>
            <w:proofErr w:type="spellStart"/>
            <w:r w:rsidRPr="003B73E6">
              <w:rPr>
                <w:rFonts w:asciiTheme="minorHAnsi" w:hAnsiTheme="minorHAnsi" w:cstheme="minorHAnsi"/>
              </w:rPr>
              <w:t>Druyan</w:t>
            </w:r>
            <w:proofErr w:type="spellEnd"/>
            <w:r w:rsidRPr="003B73E6">
              <w:rPr>
                <w:rFonts w:asciiTheme="minorHAnsi" w:hAnsiTheme="minorHAnsi" w:cstheme="minorHAnsi"/>
              </w:rPr>
              <w:t xml:space="preserve"> ME and the American Society for Parenteral and Enteral Nutrition (A.S.P.E.N.) Board of Directors. A.S.P.E.N. Clinical Guidelines: Nutrition Screening, Assessment, and Intervention in Adults. </w:t>
            </w:r>
            <w:r w:rsidRPr="008F5AC1">
              <w:rPr>
                <w:rFonts w:asciiTheme="minorHAnsi" w:hAnsiTheme="minorHAnsi" w:cstheme="minorHAnsi"/>
                <w:lang w:val="es-US"/>
              </w:rPr>
              <w:t xml:space="preserve">J </w:t>
            </w:r>
            <w:proofErr w:type="spellStart"/>
            <w:r w:rsidRPr="008F5AC1">
              <w:rPr>
                <w:rFonts w:asciiTheme="minorHAnsi" w:hAnsiTheme="minorHAnsi" w:cstheme="minorHAnsi"/>
                <w:lang w:val="es-US"/>
              </w:rPr>
              <w:t>Parenter</w:t>
            </w:r>
            <w:proofErr w:type="spellEnd"/>
            <w:r w:rsidRPr="008F5AC1">
              <w:rPr>
                <w:rFonts w:asciiTheme="minorHAnsi" w:hAnsiTheme="minorHAnsi" w:cstheme="minorHAnsi"/>
                <w:lang w:val="es-US"/>
              </w:rPr>
              <w:t xml:space="preserve"> Enteral </w:t>
            </w:r>
            <w:proofErr w:type="spellStart"/>
            <w:r w:rsidRPr="008F5AC1">
              <w:rPr>
                <w:rFonts w:asciiTheme="minorHAnsi" w:hAnsiTheme="minorHAnsi" w:cstheme="minorHAnsi"/>
                <w:lang w:val="es-US"/>
              </w:rPr>
              <w:t>Nutr</w:t>
            </w:r>
            <w:proofErr w:type="spellEnd"/>
            <w:r w:rsidRPr="008F5AC1">
              <w:rPr>
                <w:rFonts w:asciiTheme="minorHAnsi" w:hAnsiTheme="minorHAnsi" w:cstheme="minorHAnsi"/>
                <w:lang w:val="es-US"/>
              </w:rPr>
              <w:t>. 2011;35: 16-24.</w:t>
            </w:r>
          </w:p>
          <w:p w14:paraId="197693ED" w14:textId="77777777" w:rsidR="00340780" w:rsidRPr="008F5AC1" w:rsidRDefault="00340780" w:rsidP="00340780">
            <w:pPr>
              <w:pStyle w:val="TableParagraph"/>
              <w:rPr>
                <w:rFonts w:asciiTheme="minorHAnsi" w:hAnsiTheme="minorHAnsi" w:cstheme="minorHAnsi"/>
                <w:lang w:val="es-US"/>
              </w:rPr>
            </w:pPr>
            <w:r w:rsidRPr="008F5AC1">
              <w:rPr>
                <w:lang w:val="es-US"/>
              </w:rPr>
              <w:t>https://onlinelibrary.wiley.com/doi/epdf/10.1177/0148607110389335</w:t>
            </w:r>
          </w:p>
          <w:p w14:paraId="7515B367" w14:textId="77777777" w:rsidR="00340780" w:rsidRPr="008F5AC1" w:rsidRDefault="00340780" w:rsidP="00340780">
            <w:pPr>
              <w:pStyle w:val="TableParagraph"/>
              <w:ind w:left="0"/>
              <w:rPr>
                <w:rFonts w:asciiTheme="minorHAnsi" w:hAnsiTheme="minorHAnsi" w:cstheme="minorHAnsi"/>
                <w:lang w:val="es-US"/>
              </w:rPr>
            </w:pPr>
          </w:p>
        </w:tc>
      </w:tr>
      <w:tr w:rsidR="00340780" w14:paraId="3393F9D7" w14:textId="77777777" w:rsidTr="00340780">
        <w:trPr>
          <w:trHeight w:val="1341"/>
        </w:trPr>
        <w:tc>
          <w:tcPr>
            <w:tcW w:w="4068" w:type="dxa"/>
          </w:tcPr>
          <w:p w14:paraId="290492E6" w14:textId="77777777" w:rsidR="00340780" w:rsidRDefault="00340780" w:rsidP="00340780">
            <w:pPr>
              <w:pStyle w:val="TableParagraph"/>
              <w:ind w:right="200"/>
            </w:pPr>
            <w:r>
              <w:t>Quote the guideline or recommendation verbatim about the process, structure or intermediate outcome being measured. If not a guideline, summarize the</w:t>
            </w:r>
          </w:p>
          <w:p w14:paraId="2F8444D7" w14:textId="77777777" w:rsidR="00340780" w:rsidRDefault="00340780" w:rsidP="00340780">
            <w:pPr>
              <w:pStyle w:val="TableParagraph"/>
              <w:spacing w:line="248" w:lineRule="exact"/>
            </w:pPr>
            <w:r>
              <w:t>conclusions from the SR.</w:t>
            </w:r>
          </w:p>
        </w:tc>
        <w:tc>
          <w:tcPr>
            <w:tcW w:w="5131" w:type="dxa"/>
          </w:tcPr>
          <w:p w14:paraId="0051CA4B" w14:textId="77777777" w:rsidR="00340780" w:rsidRPr="009B4E4F" w:rsidRDefault="00340780" w:rsidP="00340780">
            <w:pPr>
              <w:pStyle w:val="TableParagraph"/>
              <w:rPr>
                <w:rFonts w:asciiTheme="minorHAnsi" w:hAnsiTheme="minorHAnsi" w:cstheme="minorHAnsi"/>
              </w:rPr>
            </w:pPr>
            <w:r>
              <w:rPr>
                <w:rFonts w:asciiTheme="minorHAnsi" w:hAnsiTheme="minorHAnsi" w:cstheme="minorHAnsi"/>
              </w:rPr>
              <w:t>“</w:t>
            </w:r>
            <w:r w:rsidRPr="009B4E4F">
              <w:rPr>
                <w:rFonts w:asciiTheme="minorHAnsi" w:hAnsiTheme="minorHAnsi" w:cstheme="minorHAnsi"/>
              </w:rPr>
              <w:t>Nutrition support intervention is recommended for patients identified by screening and assessment as at risk for malnutrition or malnourished</w:t>
            </w:r>
            <w:r>
              <w:rPr>
                <w:rFonts w:asciiTheme="minorHAnsi" w:hAnsiTheme="minorHAnsi" w:cstheme="minorHAnsi"/>
              </w:rPr>
              <w:t>. Grade C” (Page 22)</w:t>
            </w:r>
          </w:p>
          <w:p w14:paraId="5CCA5F15" w14:textId="77777777" w:rsidR="00340780" w:rsidRPr="009B4E4F" w:rsidRDefault="00340780" w:rsidP="00340780">
            <w:pPr>
              <w:pStyle w:val="TableParagraph"/>
              <w:rPr>
                <w:rFonts w:asciiTheme="minorHAnsi" w:hAnsiTheme="minorHAnsi" w:cstheme="minorHAnsi"/>
              </w:rPr>
            </w:pPr>
          </w:p>
          <w:p w14:paraId="5AAE9F8A" w14:textId="77777777" w:rsidR="00340780" w:rsidRPr="009B4E4F" w:rsidRDefault="00340780" w:rsidP="00340780">
            <w:pPr>
              <w:pStyle w:val="TableParagraph"/>
              <w:rPr>
                <w:rFonts w:asciiTheme="minorHAnsi" w:hAnsiTheme="minorHAnsi" w:cstheme="minorHAnsi"/>
              </w:rPr>
            </w:pPr>
            <w:r>
              <w:rPr>
                <w:rFonts w:asciiTheme="minorHAnsi" w:hAnsiTheme="minorHAnsi" w:cstheme="minorHAnsi"/>
              </w:rPr>
              <w:t>“</w:t>
            </w:r>
            <w:r w:rsidRPr="009B4E4F">
              <w:rPr>
                <w:rFonts w:asciiTheme="minorHAnsi" w:hAnsiTheme="minorHAnsi" w:cstheme="minorHAnsi"/>
              </w:rPr>
              <w:t>Rationale - Nutrition support intervention in patients identified by screening and assessment as at risk for malnutrition or malnourished may improve clinical outcomes. This guideline places nutrition assessment and screening in the context of intervention as part of nutrition care. Nutrition intervention in malnourished patients was associated with improved nutrition status nutrient intake physical function and quality of life. In addition, hospital readmissions were reduced.</w:t>
            </w:r>
            <w:r>
              <w:rPr>
                <w:rFonts w:asciiTheme="minorHAnsi" w:hAnsiTheme="minorHAnsi" w:cstheme="minorHAnsi"/>
              </w:rPr>
              <w:t>” (Page 23)</w:t>
            </w:r>
          </w:p>
          <w:p w14:paraId="782B6378" w14:textId="77777777" w:rsidR="00340780" w:rsidRPr="003B73E6" w:rsidRDefault="00340780" w:rsidP="00340780">
            <w:pPr>
              <w:pStyle w:val="TableParagraph"/>
              <w:ind w:left="0"/>
              <w:rPr>
                <w:rFonts w:asciiTheme="minorHAnsi" w:hAnsiTheme="minorHAnsi" w:cstheme="minorHAnsi"/>
              </w:rPr>
            </w:pPr>
          </w:p>
        </w:tc>
      </w:tr>
      <w:tr w:rsidR="00340780" w14:paraId="3276F471" w14:textId="77777777" w:rsidTr="00340780">
        <w:trPr>
          <w:trHeight w:val="806"/>
        </w:trPr>
        <w:tc>
          <w:tcPr>
            <w:tcW w:w="4068" w:type="dxa"/>
          </w:tcPr>
          <w:p w14:paraId="4EE481B3" w14:textId="77777777" w:rsidR="00340780" w:rsidRDefault="00340780" w:rsidP="00340780">
            <w:pPr>
              <w:pStyle w:val="TableParagraph"/>
              <w:ind w:right="116"/>
            </w:pPr>
            <w:r>
              <w:t xml:space="preserve">Grade assigned to the </w:t>
            </w:r>
            <w:r>
              <w:rPr>
                <w:b/>
              </w:rPr>
              <w:t xml:space="preserve">evidence </w:t>
            </w:r>
            <w:r>
              <w:t>associated with the recommendation with the</w:t>
            </w:r>
          </w:p>
          <w:p w14:paraId="2F508CA4" w14:textId="77777777" w:rsidR="00340780" w:rsidRDefault="00340780" w:rsidP="00340780">
            <w:pPr>
              <w:pStyle w:val="TableParagraph"/>
              <w:spacing w:line="249" w:lineRule="exact"/>
            </w:pPr>
            <w:r>
              <w:t>definition of the grade</w:t>
            </w:r>
          </w:p>
        </w:tc>
        <w:tc>
          <w:tcPr>
            <w:tcW w:w="5131" w:type="dxa"/>
          </w:tcPr>
          <w:p w14:paraId="40303689" w14:textId="77777777" w:rsidR="00340780" w:rsidRDefault="00340780" w:rsidP="00340780">
            <w:pPr>
              <w:pStyle w:val="TableParagraph"/>
              <w:ind w:left="0"/>
              <w:rPr>
                <w:rFonts w:asciiTheme="minorHAnsi" w:hAnsiTheme="minorHAnsi" w:cstheme="minorHAnsi"/>
              </w:rPr>
            </w:pPr>
            <w:r>
              <w:rPr>
                <w:rFonts w:asciiTheme="minorHAnsi" w:hAnsiTheme="minorHAnsi" w:cstheme="minorHAnsi"/>
              </w:rPr>
              <w:t xml:space="preserve">Grade </w:t>
            </w:r>
            <w:r w:rsidRPr="003B73E6">
              <w:rPr>
                <w:rFonts w:asciiTheme="minorHAnsi" w:hAnsiTheme="minorHAnsi" w:cstheme="minorHAnsi"/>
              </w:rPr>
              <w:t>C- Supported by at least 1 level II investigation</w:t>
            </w:r>
          </w:p>
          <w:p w14:paraId="14A90023" w14:textId="77777777" w:rsidR="00340780" w:rsidRPr="003B73E6" w:rsidRDefault="00340780" w:rsidP="00340780">
            <w:pPr>
              <w:pStyle w:val="TableParagraph"/>
              <w:ind w:left="0"/>
              <w:rPr>
                <w:rFonts w:asciiTheme="minorHAnsi" w:hAnsiTheme="minorHAnsi" w:cstheme="minorHAnsi"/>
              </w:rPr>
            </w:pPr>
            <w:r>
              <w:rPr>
                <w:rFonts w:asciiTheme="minorHAnsi" w:hAnsiTheme="minorHAnsi" w:cstheme="minorHAnsi"/>
              </w:rPr>
              <w:br/>
              <w:t xml:space="preserve">Level III Evidence: </w:t>
            </w:r>
            <w:r w:rsidRPr="00CE4EFB">
              <w:rPr>
                <w:rFonts w:asciiTheme="minorHAnsi" w:hAnsiTheme="minorHAnsi" w:cstheme="minorHAnsi"/>
              </w:rPr>
              <w:t>Nonrandomized cohort with contemporaneous controls.</w:t>
            </w:r>
          </w:p>
        </w:tc>
      </w:tr>
      <w:tr w:rsidR="00340780" w14:paraId="09E30EE8" w14:textId="77777777" w:rsidTr="00340780">
        <w:trPr>
          <w:trHeight w:val="537"/>
        </w:trPr>
        <w:tc>
          <w:tcPr>
            <w:tcW w:w="4068" w:type="dxa"/>
          </w:tcPr>
          <w:p w14:paraId="188C4F98" w14:textId="77777777" w:rsidR="00340780" w:rsidRPr="003B73E6" w:rsidRDefault="00340780" w:rsidP="00340780">
            <w:pPr>
              <w:pStyle w:val="TableParagraph"/>
              <w:spacing w:line="268" w:lineRule="exact"/>
              <w:rPr>
                <w:rFonts w:asciiTheme="minorHAnsi" w:hAnsiTheme="minorHAnsi" w:cstheme="minorHAnsi"/>
              </w:rPr>
            </w:pPr>
            <w:r w:rsidRPr="003B73E6">
              <w:rPr>
                <w:rFonts w:asciiTheme="minorHAnsi" w:hAnsiTheme="minorHAnsi" w:cstheme="minorHAnsi"/>
              </w:rPr>
              <w:lastRenderedPageBreak/>
              <w:t>Provide all other grades and definitions</w:t>
            </w:r>
          </w:p>
          <w:p w14:paraId="59D64B11" w14:textId="77777777" w:rsidR="00340780" w:rsidRPr="003B73E6" w:rsidRDefault="00340780" w:rsidP="00340780">
            <w:pPr>
              <w:pStyle w:val="TableParagraph"/>
              <w:spacing w:line="249" w:lineRule="exact"/>
              <w:rPr>
                <w:rFonts w:asciiTheme="minorHAnsi" w:hAnsiTheme="minorHAnsi" w:cstheme="minorHAnsi"/>
              </w:rPr>
            </w:pPr>
            <w:r w:rsidRPr="003B73E6">
              <w:rPr>
                <w:rFonts w:asciiTheme="minorHAnsi" w:hAnsiTheme="minorHAnsi" w:cstheme="minorHAnsi"/>
              </w:rPr>
              <w:t>from the evidence grading system</w:t>
            </w:r>
          </w:p>
        </w:tc>
        <w:tc>
          <w:tcPr>
            <w:tcW w:w="5131" w:type="dxa"/>
          </w:tcPr>
          <w:p w14:paraId="0D0AA4A5" w14:textId="77777777" w:rsidR="00340780" w:rsidRDefault="00340780" w:rsidP="00340780">
            <w:pPr>
              <w:pStyle w:val="TableParagraph"/>
              <w:ind w:left="0"/>
              <w:rPr>
                <w:rFonts w:asciiTheme="minorHAnsi" w:hAnsiTheme="minorHAnsi" w:cstheme="minorHAnsi"/>
              </w:rPr>
            </w:pPr>
            <w:r>
              <w:rPr>
                <w:rFonts w:asciiTheme="minorHAnsi" w:hAnsiTheme="minorHAnsi" w:cstheme="minorHAnsi"/>
              </w:rPr>
              <w:t xml:space="preserve">Level I Evidence: </w:t>
            </w:r>
            <w:r w:rsidRPr="00CE4EFB">
              <w:rPr>
                <w:rFonts w:asciiTheme="minorHAnsi" w:hAnsiTheme="minorHAnsi" w:cstheme="minorHAnsi"/>
              </w:rPr>
              <w:t>Large randomized trials with clear‐cut results; low risk of false‐positive (α) and/or false‐negative (β) error</w:t>
            </w:r>
          </w:p>
          <w:p w14:paraId="6C5AFCC5" w14:textId="77777777" w:rsidR="00340780" w:rsidRDefault="00340780" w:rsidP="00340780">
            <w:pPr>
              <w:pStyle w:val="TableParagraph"/>
              <w:rPr>
                <w:rFonts w:asciiTheme="minorHAnsi" w:hAnsiTheme="minorHAnsi" w:cstheme="minorHAnsi"/>
              </w:rPr>
            </w:pPr>
          </w:p>
          <w:p w14:paraId="799FFF8F" w14:textId="77777777" w:rsidR="00340780" w:rsidRDefault="00340780" w:rsidP="00340780">
            <w:pPr>
              <w:pStyle w:val="TableParagraph"/>
              <w:ind w:left="0"/>
              <w:rPr>
                <w:rFonts w:asciiTheme="minorHAnsi" w:hAnsiTheme="minorHAnsi" w:cstheme="minorHAnsi"/>
              </w:rPr>
            </w:pPr>
            <w:r>
              <w:rPr>
                <w:rFonts w:asciiTheme="minorHAnsi" w:hAnsiTheme="minorHAnsi" w:cstheme="minorHAnsi"/>
              </w:rPr>
              <w:t xml:space="preserve">Level II Evidence: </w:t>
            </w:r>
            <w:r w:rsidRPr="00CE4EFB">
              <w:rPr>
                <w:rFonts w:asciiTheme="minorHAnsi" w:hAnsiTheme="minorHAnsi" w:cstheme="minorHAnsi"/>
              </w:rPr>
              <w:t>Small, randomized trials with uncertain results; moderate to high risk of false‐positive (α) and/or false‐negative (β) error</w:t>
            </w:r>
          </w:p>
          <w:p w14:paraId="0A1C03AB" w14:textId="77777777" w:rsidR="00340780" w:rsidRDefault="00340780" w:rsidP="00340780">
            <w:pPr>
              <w:pStyle w:val="TableParagraph"/>
              <w:rPr>
                <w:rFonts w:asciiTheme="minorHAnsi" w:hAnsiTheme="minorHAnsi" w:cstheme="minorHAnsi"/>
              </w:rPr>
            </w:pPr>
          </w:p>
          <w:p w14:paraId="6FC56E31" w14:textId="77777777" w:rsidR="00340780" w:rsidRDefault="00340780" w:rsidP="00340780">
            <w:pPr>
              <w:pStyle w:val="TableParagraph"/>
              <w:ind w:left="0"/>
              <w:rPr>
                <w:rFonts w:asciiTheme="minorHAnsi" w:hAnsiTheme="minorHAnsi" w:cstheme="minorHAnsi"/>
              </w:rPr>
            </w:pPr>
            <w:r>
              <w:rPr>
                <w:rFonts w:asciiTheme="minorHAnsi" w:hAnsiTheme="minorHAnsi" w:cstheme="minorHAnsi"/>
              </w:rPr>
              <w:t xml:space="preserve">Level IV Evidence: </w:t>
            </w:r>
            <w:r w:rsidRPr="00BB7867">
              <w:rPr>
                <w:rFonts w:asciiTheme="minorHAnsi" w:hAnsiTheme="minorHAnsi" w:cstheme="minorHAnsi"/>
              </w:rPr>
              <w:t>Nonrandomized cohort with historical controls</w:t>
            </w:r>
            <w:r>
              <w:rPr>
                <w:rFonts w:asciiTheme="minorHAnsi" w:hAnsiTheme="minorHAnsi" w:cstheme="minorHAnsi"/>
              </w:rPr>
              <w:br/>
            </w:r>
          </w:p>
          <w:p w14:paraId="04213B0D" w14:textId="77777777" w:rsidR="00340780" w:rsidRPr="003B73E6" w:rsidRDefault="00340780" w:rsidP="00340780">
            <w:pPr>
              <w:pStyle w:val="TableParagraph"/>
              <w:ind w:left="0"/>
              <w:rPr>
                <w:rFonts w:asciiTheme="minorHAnsi" w:hAnsiTheme="minorHAnsi" w:cstheme="minorHAnsi"/>
              </w:rPr>
            </w:pPr>
            <w:r>
              <w:rPr>
                <w:rFonts w:asciiTheme="minorHAnsi" w:hAnsiTheme="minorHAnsi" w:cstheme="minorHAnsi"/>
              </w:rPr>
              <w:t xml:space="preserve">Level V Evidence: </w:t>
            </w:r>
            <w:r w:rsidRPr="00CE4EFB">
              <w:rPr>
                <w:rFonts w:asciiTheme="minorHAnsi" w:hAnsiTheme="minorHAnsi" w:cstheme="minorHAnsi"/>
              </w:rPr>
              <w:t>Case series, uncontrolled studies, and expert opinion</w:t>
            </w:r>
          </w:p>
        </w:tc>
      </w:tr>
      <w:tr w:rsidR="00340780" w14:paraId="62441514" w14:textId="77777777" w:rsidTr="00340780">
        <w:trPr>
          <w:trHeight w:val="537"/>
        </w:trPr>
        <w:tc>
          <w:tcPr>
            <w:tcW w:w="4068" w:type="dxa"/>
          </w:tcPr>
          <w:p w14:paraId="66BFA20F" w14:textId="77777777" w:rsidR="00340780" w:rsidRDefault="00340780" w:rsidP="00340780">
            <w:pPr>
              <w:pStyle w:val="TableParagraph"/>
              <w:spacing w:line="268" w:lineRule="exact"/>
              <w:rPr>
                <w:b/>
              </w:rPr>
            </w:pPr>
            <w:r>
              <w:t xml:space="preserve">Grade assigned to the </w:t>
            </w:r>
            <w:r>
              <w:rPr>
                <w:b/>
              </w:rPr>
              <w:t>recommendation</w:t>
            </w:r>
          </w:p>
          <w:p w14:paraId="60B91A19" w14:textId="77777777" w:rsidR="00340780" w:rsidRDefault="00340780" w:rsidP="00340780">
            <w:pPr>
              <w:pStyle w:val="TableParagraph"/>
              <w:spacing w:line="249" w:lineRule="exact"/>
            </w:pPr>
            <w:r>
              <w:t>with definition of the grade</w:t>
            </w:r>
          </w:p>
        </w:tc>
        <w:tc>
          <w:tcPr>
            <w:tcW w:w="5131" w:type="dxa"/>
          </w:tcPr>
          <w:p w14:paraId="382B2C91" w14:textId="77777777" w:rsidR="00340780" w:rsidRPr="003B73E6" w:rsidRDefault="00340780" w:rsidP="00340780">
            <w:pPr>
              <w:pStyle w:val="TableParagraph"/>
              <w:ind w:left="0"/>
              <w:rPr>
                <w:rFonts w:asciiTheme="minorHAnsi" w:hAnsiTheme="minorHAnsi" w:cstheme="minorHAnsi"/>
              </w:rPr>
            </w:pPr>
            <w:r w:rsidRPr="003B73E6">
              <w:rPr>
                <w:rFonts w:asciiTheme="minorHAnsi" w:hAnsiTheme="minorHAnsi" w:cstheme="minorHAnsi"/>
              </w:rPr>
              <w:t>C- Supported by at least 1 level III investigation</w:t>
            </w:r>
          </w:p>
          <w:p w14:paraId="6B597756" w14:textId="77777777" w:rsidR="00340780" w:rsidRDefault="00340780" w:rsidP="00340780">
            <w:pPr>
              <w:pStyle w:val="TableParagraph"/>
              <w:ind w:left="0"/>
              <w:rPr>
                <w:rFonts w:ascii="Times New Roman"/>
              </w:rPr>
            </w:pPr>
          </w:p>
        </w:tc>
      </w:tr>
      <w:tr w:rsidR="00340780" w14:paraId="396DEBAE" w14:textId="77777777" w:rsidTr="00340780">
        <w:trPr>
          <w:trHeight w:val="537"/>
        </w:trPr>
        <w:tc>
          <w:tcPr>
            <w:tcW w:w="4068" w:type="dxa"/>
          </w:tcPr>
          <w:p w14:paraId="68E97D66" w14:textId="77777777" w:rsidR="00340780" w:rsidRDefault="00340780" w:rsidP="00340780">
            <w:pPr>
              <w:pStyle w:val="TableParagraph"/>
              <w:spacing w:line="268" w:lineRule="exact"/>
            </w:pPr>
            <w:r>
              <w:t>Provide all other grades and definitions</w:t>
            </w:r>
          </w:p>
          <w:p w14:paraId="607CA9CA" w14:textId="77777777" w:rsidR="00340780" w:rsidRDefault="00340780" w:rsidP="00340780">
            <w:pPr>
              <w:pStyle w:val="TableParagraph"/>
              <w:spacing w:line="249" w:lineRule="exact"/>
            </w:pPr>
            <w:r>
              <w:t>from the recommendation grading system</w:t>
            </w:r>
          </w:p>
        </w:tc>
        <w:tc>
          <w:tcPr>
            <w:tcW w:w="5131" w:type="dxa"/>
          </w:tcPr>
          <w:p w14:paraId="298A8E44" w14:textId="77777777" w:rsidR="00340780" w:rsidRPr="003B73E6" w:rsidRDefault="00340780" w:rsidP="00340780">
            <w:pPr>
              <w:pStyle w:val="TableParagraph"/>
              <w:ind w:left="0"/>
              <w:rPr>
                <w:rFonts w:asciiTheme="minorHAnsi" w:hAnsiTheme="minorHAnsi" w:cstheme="minorHAnsi"/>
              </w:rPr>
            </w:pPr>
            <w:r w:rsidRPr="003B73E6">
              <w:rPr>
                <w:rFonts w:asciiTheme="minorHAnsi" w:hAnsiTheme="minorHAnsi" w:cstheme="minorHAnsi"/>
              </w:rPr>
              <w:t>A- Supported by at least 2 level I investigations</w:t>
            </w:r>
          </w:p>
          <w:p w14:paraId="43807F0D" w14:textId="77777777" w:rsidR="00340780" w:rsidRDefault="00340780" w:rsidP="00340780">
            <w:pPr>
              <w:pStyle w:val="TableParagraph"/>
              <w:ind w:left="0"/>
              <w:rPr>
                <w:rFonts w:asciiTheme="minorHAnsi" w:hAnsiTheme="minorHAnsi" w:cstheme="minorHAnsi"/>
              </w:rPr>
            </w:pPr>
            <w:r w:rsidRPr="003B73E6">
              <w:rPr>
                <w:rFonts w:asciiTheme="minorHAnsi" w:hAnsiTheme="minorHAnsi" w:cstheme="minorHAnsi"/>
              </w:rPr>
              <w:t>B- Supported by 1 level I investigation</w:t>
            </w:r>
          </w:p>
          <w:p w14:paraId="3396DFFA" w14:textId="77777777" w:rsidR="00340780" w:rsidRDefault="00340780" w:rsidP="00340780">
            <w:pPr>
              <w:pStyle w:val="TableParagraph"/>
              <w:ind w:left="0"/>
              <w:rPr>
                <w:rFonts w:asciiTheme="minorHAnsi" w:hAnsiTheme="minorHAnsi" w:cstheme="minorHAnsi"/>
              </w:rPr>
            </w:pPr>
            <w:r w:rsidRPr="003B73E6">
              <w:rPr>
                <w:rFonts w:asciiTheme="minorHAnsi" w:hAnsiTheme="minorHAnsi" w:cstheme="minorHAnsi"/>
              </w:rPr>
              <w:t>D- Supported by at least 1 level III investigation</w:t>
            </w:r>
          </w:p>
          <w:p w14:paraId="3E1B53E2" w14:textId="77777777" w:rsidR="00340780" w:rsidRPr="009B4E4F" w:rsidRDefault="00340780" w:rsidP="00340780">
            <w:pPr>
              <w:pStyle w:val="TableParagraph"/>
              <w:ind w:left="0"/>
              <w:rPr>
                <w:rFonts w:asciiTheme="minorHAnsi" w:hAnsiTheme="minorHAnsi" w:cstheme="minorHAnsi"/>
              </w:rPr>
            </w:pPr>
            <w:r w:rsidRPr="003B73E6">
              <w:rPr>
                <w:rFonts w:asciiTheme="minorHAnsi" w:hAnsiTheme="minorHAnsi" w:cstheme="minorHAnsi"/>
              </w:rPr>
              <w:t>E – Supported by level IV or V evidence</w:t>
            </w:r>
          </w:p>
        </w:tc>
      </w:tr>
      <w:tr w:rsidR="00340780" w14:paraId="61A8AB1A" w14:textId="77777777" w:rsidTr="00340780">
        <w:trPr>
          <w:trHeight w:val="1110"/>
        </w:trPr>
        <w:tc>
          <w:tcPr>
            <w:tcW w:w="4068" w:type="dxa"/>
          </w:tcPr>
          <w:p w14:paraId="48F73F3D" w14:textId="77777777" w:rsidR="00340780" w:rsidRDefault="00340780" w:rsidP="00340780">
            <w:pPr>
              <w:pStyle w:val="TableParagraph"/>
              <w:spacing w:line="268" w:lineRule="exact"/>
            </w:pPr>
            <w:r>
              <w:t>Body of evidence:</w:t>
            </w:r>
          </w:p>
          <w:p w14:paraId="5041D682" w14:textId="77777777" w:rsidR="00340780" w:rsidRDefault="00340780" w:rsidP="00340780">
            <w:pPr>
              <w:pStyle w:val="TableParagraph"/>
              <w:numPr>
                <w:ilvl w:val="0"/>
                <w:numId w:val="16"/>
              </w:numPr>
              <w:tabs>
                <w:tab w:val="left" w:pos="827"/>
                <w:tab w:val="left" w:pos="828"/>
              </w:tabs>
            </w:pPr>
            <w:r>
              <w:t>Quantity – how many</w:t>
            </w:r>
            <w:r>
              <w:rPr>
                <w:spacing w:val="-7"/>
              </w:rPr>
              <w:t xml:space="preserve"> </w:t>
            </w:r>
            <w:r>
              <w:t>studies?</w:t>
            </w:r>
          </w:p>
          <w:p w14:paraId="08CF20C8" w14:textId="77777777" w:rsidR="00340780" w:rsidRDefault="00340780" w:rsidP="00340780">
            <w:pPr>
              <w:pStyle w:val="TableParagraph"/>
              <w:numPr>
                <w:ilvl w:val="0"/>
                <w:numId w:val="16"/>
              </w:numPr>
              <w:tabs>
                <w:tab w:val="left" w:pos="827"/>
                <w:tab w:val="left" w:pos="828"/>
              </w:tabs>
              <w:spacing w:before="42"/>
            </w:pPr>
            <w:r>
              <w:t>Quality – what type of</w:t>
            </w:r>
            <w:r>
              <w:rPr>
                <w:spacing w:val="-8"/>
              </w:rPr>
              <w:t xml:space="preserve"> </w:t>
            </w:r>
            <w:r>
              <w:t>studies?</w:t>
            </w:r>
          </w:p>
        </w:tc>
        <w:tc>
          <w:tcPr>
            <w:tcW w:w="5131" w:type="dxa"/>
          </w:tcPr>
          <w:p w14:paraId="0D294D2F" w14:textId="77777777" w:rsidR="00340780" w:rsidRDefault="00340780" w:rsidP="00340780">
            <w:pPr>
              <w:ind w:left="0" w:firstLine="0"/>
            </w:pPr>
            <w:r>
              <w:rPr>
                <w:rFonts w:eastAsiaTheme="minorEastAsia"/>
              </w:rPr>
              <w:t xml:space="preserve">3 small, randomized trials  </w:t>
            </w:r>
          </w:p>
          <w:p w14:paraId="0482C437" w14:textId="77777777" w:rsidR="00340780" w:rsidRDefault="00340780" w:rsidP="00340780">
            <w:r>
              <w:rPr>
                <w:rFonts w:eastAsiaTheme="minorEastAsia"/>
              </w:rPr>
              <w:t>1 nonrandomized cohort with historical controls</w:t>
            </w:r>
          </w:p>
          <w:p w14:paraId="27AE380A" w14:textId="77777777" w:rsidR="00340780" w:rsidRPr="00E03385" w:rsidRDefault="00340780" w:rsidP="00340780">
            <w:pPr>
              <w:ind w:left="0" w:firstLine="0"/>
            </w:pPr>
            <w:r>
              <w:rPr>
                <w:rFonts w:eastAsiaTheme="minorEastAsia"/>
              </w:rPr>
              <w:t>1 nonrandomized cohort with contemporaneous controls</w:t>
            </w:r>
          </w:p>
        </w:tc>
      </w:tr>
      <w:tr w:rsidR="00340780" w14:paraId="4AAD5F1E" w14:textId="77777777" w:rsidTr="00340780">
        <w:trPr>
          <w:trHeight w:val="537"/>
        </w:trPr>
        <w:tc>
          <w:tcPr>
            <w:tcW w:w="4068" w:type="dxa"/>
          </w:tcPr>
          <w:p w14:paraId="1EB8EBA0" w14:textId="77777777" w:rsidR="00340780" w:rsidRPr="00E03385" w:rsidRDefault="00340780" w:rsidP="00340780">
            <w:pPr>
              <w:pStyle w:val="TableParagraph"/>
              <w:spacing w:line="268" w:lineRule="exact"/>
            </w:pPr>
            <w:r w:rsidRPr="00E03385">
              <w:t>Estimates of benefit and consistency</w:t>
            </w:r>
          </w:p>
          <w:p w14:paraId="3734112C" w14:textId="77777777" w:rsidR="00340780" w:rsidRPr="00E03385" w:rsidRDefault="00340780" w:rsidP="00340780">
            <w:pPr>
              <w:pStyle w:val="TableParagraph"/>
              <w:spacing w:line="249" w:lineRule="exact"/>
            </w:pPr>
            <w:r w:rsidRPr="00E03385">
              <w:t>across studies</w:t>
            </w:r>
          </w:p>
        </w:tc>
        <w:tc>
          <w:tcPr>
            <w:tcW w:w="5131" w:type="dxa"/>
          </w:tcPr>
          <w:p w14:paraId="638399BA" w14:textId="77777777" w:rsidR="00340780" w:rsidRDefault="00340780" w:rsidP="00340780">
            <w:pPr>
              <w:pStyle w:val="TableParagraph"/>
              <w:ind w:left="0"/>
              <w:rPr>
                <w:rFonts w:ascii="Times New Roman"/>
              </w:rPr>
            </w:pPr>
            <w:r>
              <w:rPr>
                <w:rFonts w:asciiTheme="minorHAnsi" w:hAnsiTheme="minorHAnsi" w:cstheme="minorHAnsi"/>
              </w:rPr>
              <w:t>Although</w:t>
            </w:r>
            <w:r w:rsidRPr="003A4EB6">
              <w:rPr>
                <w:rFonts w:asciiTheme="minorHAnsi" w:hAnsiTheme="minorHAnsi" w:cstheme="minorHAnsi"/>
              </w:rPr>
              <w:t xml:space="preserve"> the two SR’s cited for this measure are not explicit systematic reviews of the “diagnosis of malnutrition” they do demonstrate the impact of nutrition intervention that is a result of a malnutrition diagnosis.</w:t>
            </w:r>
            <w:r>
              <w:rPr>
                <w:rFonts w:asciiTheme="minorHAnsi" w:hAnsiTheme="minorHAnsi" w:cstheme="minorHAnsi"/>
              </w:rPr>
              <w:t xml:space="preserve"> More recent individual studies have modeled the impacts of a malnutrition diagnosis more thoroughly.</w:t>
            </w:r>
          </w:p>
        </w:tc>
      </w:tr>
      <w:tr w:rsidR="00340780" w14:paraId="1CD6A8DF" w14:textId="77777777" w:rsidTr="00340780">
        <w:trPr>
          <w:trHeight w:val="268"/>
        </w:trPr>
        <w:tc>
          <w:tcPr>
            <w:tcW w:w="4068" w:type="dxa"/>
          </w:tcPr>
          <w:p w14:paraId="7826E6F9" w14:textId="77777777" w:rsidR="00340780" w:rsidRPr="00E03385" w:rsidRDefault="00340780" w:rsidP="00340780">
            <w:pPr>
              <w:pStyle w:val="TableParagraph"/>
              <w:spacing w:line="248" w:lineRule="exact"/>
            </w:pPr>
            <w:r w:rsidRPr="00E03385">
              <w:t>What harms were identified?</w:t>
            </w:r>
          </w:p>
        </w:tc>
        <w:tc>
          <w:tcPr>
            <w:tcW w:w="5131" w:type="dxa"/>
          </w:tcPr>
          <w:p w14:paraId="0777DFF0" w14:textId="77777777" w:rsidR="00340780" w:rsidRPr="00D43B2D" w:rsidRDefault="00340780" w:rsidP="00340780">
            <w:pPr>
              <w:pStyle w:val="TableParagraph"/>
              <w:ind w:left="0"/>
              <w:rPr>
                <w:rFonts w:asciiTheme="minorHAnsi" w:hAnsiTheme="minorHAnsi" w:cstheme="minorHAnsi"/>
              </w:rPr>
            </w:pPr>
            <w:r w:rsidRPr="00D43B2D">
              <w:rPr>
                <w:rFonts w:asciiTheme="minorHAnsi" w:hAnsiTheme="minorHAnsi" w:cstheme="minorHAnsi"/>
              </w:rPr>
              <w:t>No adverse events were identified</w:t>
            </w:r>
          </w:p>
        </w:tc>
      </w:tr>
      <w:tr w:rsidR="00340780" w14:paraId="5D8484BE" w14:textId="77777777" w:rsidTr="00340780">
        <w:trPr>
          <w:trHeight w:val="805"/>
        </w:trPr>
        <w:tc>
          <w:tcPr>
            <w:tcW w:w="4068" w:type="dxa"/>
          </w:tcPr>
          <w:p w14:paraId="72192CB4" w14:textId="77777777" w:rsidR="00340780" w:rsidRPr="00E03385" w:rsidRDefault="00340780" w:rsidP="00340780">
            <w:pPr>
              <w:pStyle w:val="TableParagraph"/>
              <w:spacing w:line="268" w:lineRule="exact"/>
            </w:pPr>
            <w:r w:rsidRPr="00E03385">
              <w:t>Identify any new studies conducted since</w:t>
            </w:r>
          </w:p>
          <w:p w14:paraId="4AD4F059" w14:textId="77777777" w:rsidR="00340780" w:rsidRPr="00E03385" w:rsidRDefault="00340780" w:rsidP="00340780">
            <w:pPr>
              <w:pStyle w:val="TableParagraph"/>
              <w:spacing w:line="270" w:lineRule="atLeast"/>
              <w:ind w:right="497"/>
            </w:pPr>
            <w:r w:rsidRPr="00E03385">
              <w:t>the SR. Do the new studies change the conclusions from the SR?</w:t>
            </w:r>
          </w:p>
        </w:tc>
        <w:tc>
          <w:tcPr>
            <w:tcW w:w="5131" w:type="dxa"/>
          </w:tcPr>
          <w:p w14:paraId="66156304" w14:textId="77777777" w:rsidR="00340780" w:rsidRPr="003A4EB6" w:rsidRDefault="00340780" w:rsidP="00340780">
            <w:pPr>
              <w:pStyle w:val="TableParagraph"/>
              <w:ind w:left="0"/>
              <w:rPr>
                <w:rFonts w:asciiTheme="minorHAnsi" w:hAnsiTheme="minorHAnsi" w:cstheme="minorHAnsi"/>
              </w:rPr>
            </w:pPr>
            <w:r w:rsidRPr="003A4EB6">
              <w:rPr>
                <w:rFonts w:asciiTheme="minorHAnsi" w:hAnsiTheme="minorHAnsi" w:cstheme="minorHAnsi"/>
              </w:rPr>
              <w:t>New evidence since the publication of these SR’s suggest that malnutrition diagnosis is a strong predictor of increase length of stay, 30-day readmission risk, mortality risk, infections, complications and high hospital costs.</w:t>
            </w:r>
          </w:p>
        </w:tc>
      </w:tr>
    </w:tbl>
    <w:p w14:paraId="3FE54344" w14:textId="77777777" w:rsidR="00340780" w:rsidRDefault="00340780" w:rsidP="00340780">
      <w:pPr>
        <w:ind w:left="0" w:firstLine="0"/>
        <w:rPr>
          <w:rFonts w:eastAsiaTheme="minorEastAsia"/>
          <w:highlight w:val="green"/>
        </w:rPr>
      </w:pPr>
    </w:p>
    <w:p w14:paraId="5952642A" w14:textId="77777777" w:rsidR="00340780" w:rsidRPr="003B1CC5" w:rsidRDefault="00340780" w:rsidP="00340780">
      <w:pPr>
        <w:ind w:left="432" w:hanging="432"/>
      </w:pPr>
      <w:r w:rsidRPr="0471561F">
        <w:rPr>
          <w:rFonts w:eastAsiaTheme="minorEastAsia"/>
          <w:b/>
          <w:bCs/>
        </w:rPr>
        <w:t>OTHER SYSTEMATIC REVIEW OF THE BODY OF EVIDENCE</w:t>
      </w:r>
    </w:p>
    <w:p w14:paraId="48D97EA4" w14:textId="77777777" w:rsidR="00340780" w:rsidRDefault="00340780" w:rsidP="00340780">
      <w:pPr>
        <w:ind w:left="0" w:firstLine="0"/>
        <w:rPr>
          <w:rFonts w:eastAsiaTheme="minorEastAsia"/>
          <w:i/>
          <w:iCs/>
          <w:highlight w:val="green"/>
        </w:rPr>
      </w:pPr>
    </w:p>
    <w:p w14:paraId="5ADC3C2F" w14:textId="77777777" w:rsidR="00340780" w:rsidRPr="00F21E28" w:rsidRDefault="00340780" w:rsidP="00340780">
      <w:pPr>
        <w:ind w:left="0" w:firstLine="0"/>
        <w:rPr>
          <w:rFonts w:eastAsiaTheme="minorEastAsia"/>
        </w:rPr>
      </w:pPr>
      <w:r w:rsidRPr="00F21E28">
        <w:rPr>
          <w:rFonts w:eastAsiaTheme="minorEastAsia"/>
        </w:rPr>
        <w:t xml:space="preserve">Milne AC, Potter J, </w:t>
      </w:r>
      <w:proofErr w:type="spellStart"/>
      <w:r w:rsidRPr="00F21E28">
        <w:rPr>
          <w:rFonts w:eastAsiaTheme="minorEastAsia"/>
        </w:rPr>
        <w:t>Vivanti</w:t>
      </w:r>
      <w:proofErr w:type="spellEnd"/>
      <w:r w:rsidRPr="00F21E28">
        <w:rPr>
          <w:rFonts w:eastAsiaTheme="minorEastAsia"/>
        </w:rPr>
        <w:t xml:space="preserve"> A, </w:t>
      </w:r>
      <w:proofErr w:type="spellStart"/>
      <w:r w:rsidRPr="00F21E28">
        <w:rPr>
          <w:rFonts w:eastAsiaTheme="minorEastAsia"/>
        </w:rPr>
        <w:t>Avenell</w:t>
      </w:r>
      <w:proofErr w:type="spellEnd"/>
      <w:r w:rsidRPr="00F21E28">
        <w:rPr>
          <w:rFonts w:eastAsiaTheme="minorEastAsia"/>
        </w:rPr>
        <w:t xml:space="preserve"> A. Protein and energy supplementation in elderly people at risk from malnutrition. Cochrane Database Syst Rev. 2009;(2):CD003288.</w:t>
      </w:r>
    </w:p>
    <w:p w14:paraId="4DFDB269" w14:textId="77777777" w:rsidR="00340780" w:rsidRPr="00F21E28" w:rsidRDefault="00340780" w:rsidP="00340780">
      <w:pPr>
        <w:ind w:left="0" w:firstLine="0"/>
        <w:rPr>
          <w:rFonts w:eastAsiaTheme="minorEastAsia"/>
        </w:rPr>
      </w:pPr>
    </w:p>
    <w:p w14:paraId="18B25019" w14:textId="77777777" w:rsidR="00340780" w:rsidRPr="00F21E28" w:rsidRDefault="00340780" w:rsidP="00340780">
      <w:pPr>
        <w:ind w:left="0" w:firstLine="0"/>
        <w:rPr>
          <w:rFonts w:eastAsiaTheme="minorEastAsia"/>
          <w:highlight w:val="green"/>
        </w:rPr>
      </w:pPr>
      <w:r w:rsidRPr="00F21E28">
        <w:rPr>
          <w:rFonts w:eastAsiaTheme="minorEastAsia"/>
        </w:rPr>
        <w:t>URL: http://onlinelibrary.wiley.com/doi/10.1002/14651858.CD003288.pub3/abstract?systemMessage=Wiley+Online+Library+will+be+unavailable+on+Saturday+14th+May+11:00-14:00+BST+/+06:00-09:00+EDT+/+18:00-21:00+SGT+for+essential+maintenance.Apologies+for+the+inconvenience</w:t>
      </w:r>
    </w:p>
    <w:p w14:paraId="0BB77C6B" w14:textId="77777777" w:rsidR="00340780" w:rsidRDefault="00340780" w:rsidP="00340780">
      <w:pPr>
        <w:ind w:left="0" w:firstLine="0"/>
        <w:rPr>
          <w:b/>
          <w:bCs/>
        </w:rPr>
      </w:pPr>
    </w:p>
    <w:p w14:paraId="192CC43A" w14:textId="77777777" w:rsidR="00340780" w:rsidRPr="003B1CC5" w:rsidRDefault="00340780" w:rsidP="00340780">
      <w:pPr>
        <w:ind w:left="0" w:firstLine="0"/>
      </w:pPr>
      <w:r w:rsidRPr="4E1B4D23" w:rsidDel="005D0FDB">
        <w:rPr>
          <w:b/>
          <w:bCs/>
        </w:rPr>
        <w:t xml:space="preserve">FINDINGS FROM SYSTEMATIC REVIEW OF BODY OF THE EVIDENCE </w:t>
      </w:r>
      <w:r w:rsidRPr="4E1B4D23" w:rsidDel="005D0FDB">
        <w:rPr>
          <w:b/>
          <w:bCs/>
          <w:caps/>
          <w:noProof/>
        </w:rPr>
        <w:t>supporting the measure</w:t>
      </w:r>
    </w:p>
    <w:p w14:paraId="6570B71D" w14:textId="77777777" w:rsidR="00340780" w:rsidRPr="003B1CC5" w:rsidRDefault="00340780" w:rsidP="00340780">
      <w:pPr>
        <w:ind w:left="0" w:firstLine="0"/>
        <w:rPr>
          <w:b/>
          <w:i/>
          <w:color w:val="0000FF"/>
        </w:rPr>
      </w:pPr>
      <w:r w:rsidRPr="38AF9500">
        <w:rPr>
          <w:i/>
          <w:iCs/>
        </w:rPr>
        <w:lastRenderedPageBreak/>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302DCFC4" w14:textId="77777777" w:rsidR="00340780" w:rsidRPr="003B1CC5" w:rsidRDefault="00340780" w:rsidP="00340780">
      <w:pPr>
        <w:ind w:left="0" w:firstLine="0"/>
        <w:rPr>
          <w:b/>
          <w:color w:val="0000FF"/>
        </w:rPr>
      </w:pPr>
    </w:p>
    <w:p w14:paraId="6888722F" w14:textId="77777777" w:rsidR="00340780" w:rsidRDefault="00340780" w:rsidP="00340780"/>
    <w:p w14:paraId="55916910" w14:textId="77777777" w:rsidR="00340780" w:rsidRPr="003B1CC5" w:rsidRDefault="00340780" w:rsidP="00340780">
      <w:pPr>
        <w:ind w:left="0" w:firstLine="0"/>
        <w:rPr>
          <w:b/>
        </w:rPr>
      </w:pPr>
      <w:r w:rsidRPr="38AF9500">
        <w:rPr>
          <w:b/>
          <w:bCs/>
        </w:rPr>
        <w:t>ESTIMATES OF BENEFIT AND CONSISTENCY ACROSS STUDIES IN BODY OF EVIDENCE</w:t>
      </w:r>
    </w:p>
    <w:p w14:paraId="46786B8B" w14:textId="77777777" w:rsidR="00340780" w:rsidRDefault="00340780" w:rsidP="00340780">
      <w:pPr>
        <w:ind w:left="432" w:hanging="432"/>
      </w:pPr>
      <w:r w:rsidRPr="38AF9500">
        <w:rPr>
          <w:b/>
          <w:bCs/>
        </w:rPr>
        <w:t xml:space="preserve">What are the estimates of benefit—magnitude and direction of effect on outcome(s) </w:t>
      </w:r>
      <w:r w:rsidRPr="38AF9500">
        <w:rPr>
          <w:b/>
          <w:bCs/>
          <w:u w:val="single"/>
        </w:rPr>
        <w:t>across studies</w:t>
      </w:r>
      <w:r w:rsidRPr="38AF9500">
        <w:rPr>
          <w:b/>
          <w:bCs/>
        </w:rPr>
        <w:t xml:space="preserve"> in the body of evidence</w:t>
      </w:r>
      <w:r>
        <w:t>? (</w:t>
      </w:r>
      <w:r w:rsidRPr="38AF9500">
        <w:rPr>
          <w:i/>
          <w:iCs/>
        </w:rPr>
        <w:t>e.g., ranges of percentages or odds ratios for improvement/ decline across studies, results of meta-analysis, and statistical significance</w:t>
      </w:r>
      <w:r>
        <w:t xml:space="preserve">)  </w:t>
      </w:r>
    </w:p>
    <w:p w14:paraId="14C2A072" w14:textId="77777777" w:rsidR="00340780" w:rsidRDefault="00340780" w:rsidP="00340780">
      <w:pPr>
        <w:ind w:left="432" w:hanging="432"/>
      </w:pPr>
    </w:p>
    <w:p w14:paraId="0991ECF1" w14:textId="77777777" w:rsidR="00340780" w:rsidRPr="003B1CC5" w:rsidRDefault="00340780" w:rsidP="00340780">
      <w:pPr>
        <w:ind w:left="432" w:hanging="432"/>
      </w:pPr>
      <w:r>
        <w:t xml:space="preserve">Mueller et al. </w:t>
      </w:r>
      <w:r w:rsidRPr="0471561F">
        <w:rPr>
          <w:rFonts w:eastAsiaTheme="minorEastAsia"/>
        </w:rPr>
        <w:t>Findings from</w:t>
      </w:r>
      <w:r w:rsidRPr="0471561F">
        <w:rPr>
          <w:rFonts w:eastAsiaTheme="minorEastAsia"/>
          <w:b/>
          <w:bCs/>
        </w:rPr>
        <w:t xml:space="preserve"> </w:t>
      </w:r>
      <w:r w:rsidRPr="0471561F">
        <w:rPr>
          <w:rFonts w:eastAsiaTheme="minorEastAsia"/>
        </w:rPr>
        <w:t>Clinical Guideline</w:t>
      </w:r>
    </w:p>
    <w:p w14:paraId="3E3B7D84" w14:textId="77777777" w:rsidR="00340780" w:rsidRDefault="00340780" w:rsidP="00340780">
      <w:pPr>
        <w:ind w:left="0" w:firstLine="0"/>
        <w:rPr>
          <w:rFonts w:eastAsiaTheme="minorEastAsia" w:cstheme="minorEastAsia"/>
          <w:b/>
          <w:bCs/>
        </w:rPr>
      </w:pPr>
    </w:p>
    <w:tbl>
      <w:tblPr>
        <w:tblStyle w:val="TableGrid"/>
        <w:tblW w:w="0" w:type="auto"/>
        <w:tblLook w:val="04A0" w:firstRow="1" w:lastRow="0" w:firstColumn="1" w:lastColumn="0" w:noHBand="0" w:noVBand="1"/>
      </w:tblPr>
      <w:tblGrid>
        <w:gridCol w:w="2155"/>
        <w:gridCol w:w="7195"/>
      </w:tblGrid>
      <w:tr w:rsidR="00340780" w14:paraId="79949AC3" w14:textId="77777777" w:rsidTr="00340780">
        <w:tc>
          <w:tcPr>
            <w:tcW w:w="2155" w:type="dxa"/>
          </w:tcPr>
          <w:p w14:paraId="0B4B11FD" w14:textId="77777777" w:rsidR="00340780" w:rsidRDefault="00340780" w:rsidP="00340780">
            <w:pPr>
              <w:ind w:left="0" w:firstLine="0"/>
              <w:rPr>
                <w:rFonts w:eastAsiaTheme="minorEastAsia"/>
                <w:b/>
              </w:rPr>
            </w:pPr>
            <w:r>
              <w:rPr>
                <w:rFonts w:eastAsiaTheme="minorEastAsia"/>
                <w:b/>
              </w:rPr>
              <w:t>Outcome of Interest</w:t>
            </w:r>
          </w:p>
        </w:tc>
        <w:tc>
          <w:tcPr>
            <w:tcW w:w="7195" w:type="dxa"/>
          </w:tcPr>
          <w:p w14:paraId="59FDD300" w14:textId="77777777" w:rsidR="00340780" w:rsidRDefault="00340780" w:rsidP="00340780">
            <w:pPr>
              <w:ind w:left="0" w:firstLine="0"/>
              <w:rPr>
                <w:rFonts w:eastAsiaTheme="minorEastAsia"/>
                <w:b/>
              </w:rPr>
            </w:pPr>
            <w:r>
              <w:rPr>
                <w:rFonts w:eastAsiaTheme="minorEastAsia"/>
                <w:b/>
              </w:rPr>
              <w:t>Study Findings from Review</w:t>
            </w:r>
          </w:p>
        </w:tc>
      </w:tr>
      <w:tr w:rsidR="00340780" w14:paraId="75151DF4" w14:textId="77777777" w:rsidTr="00340780">
        <w:tc>
          <w:tcPr>
            <w:tcW w:w="2155" w:type="dxa"/>
          </w:tcPr>
          <w:p w14:paraId="55021D08" w14:textId="77777777" w:rsidR="00340780" w:rsidRPr="006956A8" w:rsidRDefault="00340780" w:rsidP="00340780">
            <w:pPr>
              <w:ind w:left="0" w:firstLine="0"/>
              <w:rPr>
                <w:rFonts w:eastAsiaTheme="minorEastAsia"/>
              </w:rPr>
            </w:pPr>
            <w:r w:rsidRPr="006956A8">
              <w:rPr>
                <w:rFonts w:eastAsiaTheme="minorEastAsia"/>
              </w:rPr>
              <w:t>Body Composition</w:t>
            </w:r>
          </w:p>
        </w:tc>
        <w:tc>
          <w:tcPr>
            <w:tcW w:w="7195" w:type="dxa"/>
          </w:tcPr>
          <w:p w14:paraId="4D208EDA" w14:textId="77777777" w:rsidR="00340780" w:rsidRPr="004A402C" w:rsidRDefault="00340780" w:rsidP="00340780">
            <w:pPr>
              <w:ind w:left="0" w:firstLine="0"/>
              <w:rPr>
                <w:rFonts w:eastAsiaTheme="minorEastAsia" w:cstheme="minorEastAsia"/>
              </w:rPr>
            </w:pPr>
            <w:r>
              <w:t>Norman (2008)</w:t>
            </w:r>
            <w:r w:rsidRPr="001860BE">
              <w:t xml:space="preserve"> study predicted significant improvement in body weight and body cell mass follow a three-month intervention of high-protein and energy supplements </w:t>
            </w:r>
            <w:r>
              <w:t xml:space="preserve">while </w:t>
            </w:r>
            <w:proofErr w:type="spellStart"/>
            <w:r>
              <w:t>Odeli</w:t>
            </w:r>
            <w:proofErr w:type="spellEnd"/>
            <w:r>
              <w:t xml:space="preserve"> (2005), </w:t>
            </w:r>
            <w:r w:rsidRPr="001860BE">
              <w:rPr>
                <w:rFonts w:eastAsiaTheme="minorEastAsia" w:cstheme="minorEastAsia"/>
              </w:rPr>
              <w:t>found that patients managed using the</w:t>
            </w:r>
            <w:r>
              <w:rPr>
                <w:rFonts w:eastAsiaTheme="minorEastAsia" w:cstheme="minorEastAsia"/>
              </w:rPr>
              <w:t xml:space="preserve"> nutrition care process</w:t>
            </w:r>
            <w:r w:rsidRPr="001860BE">
              <w:rPr>
                <w:rFonts w:eastAsiaTheme="minorEastAsia" w:cstheme="minorEastAsia"/>
              </w:rPr>
              <w:t xml:space="preserve"> experienced less weight loss (mean weight change -4.2 kg +/-6.4 cf. -8.9 kg</w:t>
            </w:r>
            <w:r>
              <w:rPr>
                <w:rFonts w:eastAsiaTheme="minorEastAsia" w:cstheme="minorEastAsia"/>
              </w:rPr>
              <w:t xml:space="preserve"> +/- 5.9, P = 0.03) </w:t>
            </w:r>
            <w:r w:rsidRPr="0471561F">
              <w:rPr>
                <w:rFonts w:eastAsiaTheme="minorEastAsia"/>
              </w:rPr>
              <w:t>(</w:t>
            </w:r>
            <w:proofErr w:type="spellStart"/>
            <w:r w:rsidRPr="0471561F">
              <w:rPr>
                <w:rFonts w:eastAsiaTheme="minorEastAsia"/>
              </w:rPr>
              <w:t>Odeli</w:t>
            </w:r>
            <w:proofErr w:type="spellEnd"/>
            <w:r w:rsidRPr="0471561F">
              <w:rPr>
                <w:rFonts w:eastAsiaTheme="minorEastAsia"/>
              </w:rPr>
              <w:t>, 2005).</w:t>
            </w:r>
          </w:p>
        </w:tc>
      </w:tr>
      <w:tr w:rsidR="00340780" w14:paraId="51C3E28E" w14:textId="77777777" w:rsidTr="00340780">
        <w:tc>
          <w:tcPr>
            <w:tcW w:w="2155" w:type="dxa"/>
          </w:tcPr>
          <w:p w14:paraId="462B14E6" w14:textId="77777777" w:rsidR="00340780" w:rsidRPr="006956A8" w:rsidRDefault="00340780" w:rsidP="00340780">
            <w:pPr>
              <w:ind w:left="0" w:firstLine="0"/>
              <w:rPr>
                <w:rFonts w:eastAsiaTheme="minorEastAsia"/>
              </w:rPr>
            </w:pPr>
            <w:r w:rsidRPr="006956A8">
              <w:rPr>
                <w:rFonts w:eastAsiaTheme="minorEastAsia"/>
              </w:rPr>
              <w:t>Cost</w:t>
            </w:r>
          </w:p>
        </w:tc>
        <w:tc>
          <w:tcPr>
            <w:tcW w:w="7195" w:type="dxa"/>
          </w:tcPr>
          <w:p w14:paraId="7DCD8DBF" w14:textId="77777777" w:rsidR="00340780" w:rsidRPr="006956A8" w:rsidRDefault="00340780" w:rsidP="00340780">
            <w:pPr>
              <w:ind w:left="0" w:firstLine="0"/>
              <w:rPr>
                <w:rFonts w:eastAsiaTheme="minorEastAsia"/>
              </w:rPr>
            </w:pPr>
            <w:proofErr w:type="spellStart"/>
            <w:r>
              <w:rPr>
                <w:rFonts w:eastAsiaTheme="minorEastAsia"/>
              </w:rPr>
              <w:t>Kruizenga</w:t>
            </w:r>
            <w:proofErr w:type="spellEnd"/>
            <w:r>
              <w:rPr>
                <w:rFonts w:eastAsiaTheme="minorEastAsia"/>
              </w:rPr>
              <w:t xml:space="preserve"> (2005)</w:t>
            </w:r>
            <w:r w:rsidRPr="00FB4E5E">
              <w:rPr>
                <w:rFonts w:eastAsiaTheme="minorEastAsia"/>
              </w:rPr>
              <w:t xml:space="preserve"> found that, to shorten the mean length of hospital stay by 1 d for all malnourished patients, a mean investment of 76 euros (91 US dollars) in nutritional screening and treatment was needed. </w:t>
            </w:r>
          </w:p>
        </w:tc>
      </w:tr>
      <w:tr w:rsidR="00340780" w14:paraId="3F511985" w14:textId="77777777" w:rsidTr="00340780">
        <w:tc>
          <w:tcPr>
            <w:tcW w:w="2155" w:type="dxa"/>
          </w:tcPr>
          <w:p w14:paraId="62D73953" w14:textId="77777777" w:rsidR="00340780" w:rsidRPr="006956A8" w:rsidRDefault="00340780" w:rsidP="00340780">
            <w:pPr>
              <w:ind w:left="0" w:firstLine="0"/>
              <w:rPr>
                <w:rFonts w:eastAsiaTheme="minorEastAsia"/>
              </w:rPr>
            </w:pPr>
            <w:r w:rsidRPr="006956A8">
              <w:rPr>
                <w:rFonts w:eastAsiaTheme="minorEastAsia"/>
              </w:rPr>
              <w:t>Length of Stay (LOS)</w:t>
            </w:r>
          </w:p>
        </w:tc>
        <w:tc>
          <w:tcPr>
            <w:tcW w:w="7195" w:type="dxa"/>
          </w:tcPr>
          <w:p w14:paraId="75BF19E3" w14:textId="77777777" w:rsidR="00340780" w:rsidRPr="006956A8" w:rsidRDefault="00340780" w:rsidP="00340780">
            <w:pPr>
              <w:ind w:left="0" w:firstLine="0"/>
              <w:rPr>
                <w:rFonts w:eastAsiaTheme="minorEastAsia"/>
              </w:rPr>
            </w:pPr>
            <w:proofErr w:type="spellStart"/>
            <w:r w:rsidRPr="00FB4E5E">
              <w:rPr>
                <w:rFonts w:eastAsiaTheme="minorEastAsia"/>
              </w:rPr>
              <w:t>Kruizenga</w:t>
            </w:r>
            <w:proofErr w:type="spellEnd"/>
            <w:r w:rsidRPr="00FB4E5E">
              <w:rPr>
                <w:rFonts w:eastAsiaTheme="minorEastAsia"/>
              </w:rPr>
              <w:t xml:space="preserve"> </w:t>
            </w:r>
            <w:r>
              <w:rPr>
                <w:rFonts w:eastAsiaTheme="minorEastAsia"/>
              </w:rPr>
              <w:t>(</w:t>
            </w:r>
            <w:r w:rsidRPr="00FB4E5E">
              <w:rPr>
                <w:rFonts w:eastAsiaTheme="minorEastAsia"/>
              </w:rPr>
              <w:t>2005)</w:t>
            </w:r>
            <w:r>
              <w:rPr>
                <w:rFonts w:eastAsiaTheme="minorEastAsia"/>
              </w:rPr>
              <w:t xml:space="preserve"> </w:t>
            </w:r>
            <w:r w:rsidRPr="00FB4E5E">
              <w:rPr>
                <w:rFonts w:eastAsiaTheme="minorEastAsia"/>
              </w:rPr>
              <w:t xml:space="preserve">found early screening and treatment of malnourished patients reduced the </w:t>
            </w:r>
            <w:r>
              <w:rPr>
                <w:rFonts w:eastAsiaTheme="minorEastAsia"/>
              </w:rPr>
              <w:t>LOS</w:t>
            </w:r>
            <w:r w:rsidRPr="00FB4E5E">
              <w:rPr>
                <w:rFonts w:eastAsiaTheme="minorEastAsia"/>
              </w:rPr>
              <w:t xml:space="preserve"> in malnourished patients with low handgrip strength (i</w:t>
            </w:r>
            <w:r>
              <w:rPr>
                <w:rFonts w:eastAsiaTheme="minorEastAsia"/>
              </w:rPr>
              <w:t>.</w:t>
            </w:r>
            <w:r w:rsidRPr="00FB4E5E">
              <w:rPr>
                <w:rFonts w:eastAsiaTheme="minorEastAsia"/>
              </w:rPr>
              <w:t>e</w:t>
            </w:r>
            <w:r>
              <w:rPr>
                <w:rFonts w:eastAsiaTheme="minorEastAsia"/>
              </w:rPr>
              <w:t>.</w:t>
            </w:r>
            <w:r w:rsidRPr="00FB4E5E">
              <w:rPr>
                <w:rFonts w:eastAsiaTheme="minorEastAsia"/>
              </w:rPr>
              <w:t>, frail patients)</w:t>
            </w:r>
            <w:r>
              <w:rPr>
                <w:rFonts w:eastAsiaTheme="minorEastAsia"/>
              </w:rPr>
              <w:t xml:space="preserve"> and another </w:t>
            </w:r>
            <w:r w:rsidRPr="00FB4E5E">
              <w:rPr>
                <w:rFonts w:eastAsiaTheme="minorEastAsia"/>
              </w:rPr>
              <w:t>study found that patients managed using the NP had a shorter length of stay (3.2 days +/- 5.4 cf. 13.5 days +/- 14.1, P = 0.002)</w:t>
            </w:r>
            <w:r>
              <w:rPr>
                <w:rFonts w:eastAsiaTheme="minorEastAsia"/>
              </w:rPr>
              <w:t xml:space="preserve"> </w:t>
            </w:r>
            <w:r w:rsidRPr="00FB4E5E">
              <w:rPr>
                <w:rFonts w:eastAsiaTheme="minorEastAsia"/>
              </w:rPr>
              <w:t>(</w:t>
            </w:r>
            <w:proofErr w:type="spellStart"/>
            <w:r w:rsidRPr="00FB4E5E">
              <w:rPr>
                <w:rFonts w:eastAsiaTheme="minorEastAsia"/>
              </w:rPr>
              <w:t>Odeli</w:t>
            </w:r>
            <w:proofErr w:type="spellEnd"/>
            <w:r w:rsidRPr="00FB4E5E">
              <w:rPr>
                <w:rFonts w:eastAsiaTheme="minorEastAsia"/>
              </w:rPr>
              <w:t xml:space="preserve"> 2005)</w:t>
            </w:r>
            <w:r>
              <w:rPr>
                <w:rFonts w:eastAsiaTheme="minorEastAsia"/>
              </w:rPr>
              <w:t>.</w:t>
            </w:r>
          </w:p>
        </w:tc>
      </w:tr>
      <w:tr w:rsidR="00340780" w14:paraId="026F1D6E" w14:textId="77777777" w:rsidTr="00340780">
        <w:tc>
          <w:tcPr>
            <w:tcW w:w="2155" w:type="dxa"/>
          </w:tcPr>
          <w:p w14:paraId="254CC721" w14:textId="77777777" w:rsidR="00340780" w:rsidRPr="006956A8" w:rsidRDefault="00340780" w:rsidP="00340780">
            <w:pPr>
              <w:ind w:left="0" w:firstLine="0"/>
              <w:rPr>
                <w:rFonts w:eastAsiaTheme="minorEastAsia"/>
              </w:rPr>
            </w:pPr>
            <w:r w:rsidRPr="006956A8">
              <w:rPr>
                <w:rFonts w:eastAsiaTheme="minorEastAsia"/>
              </w:rPr>
              <w:t>Muscle Function</w:t>
            </w:r>
          </w:p>
        </w:tc>
        <w:tc>
          <w:tcPr>
            <w:tcW w:w="7195" w:type="dxa"/>
          </w:tcPr>
          <w:p w14:paraId="0D7FFF3A" w14:textId="77777777" w:rsidR="00340780" w:rsidRPr="006956A8" w:rsidRDefault="00340780" w:rsidP="00340780">
            <w:pPr>
              <w:ind w:left="0" w:firstLine="0"/>
              <w:rPr>
                <w:rFonts w:eastAsiaTheme="minorEastAsia"/>
              </w:rPr>
            </w:pPr>
            <w:r>
              <w:rPr>
                <w:rFonts w:eastAsiaTheme="minorEastAsia"/>
              </w:rPr>
              <w:t>Persson (2007)</w:t>
            </w:r>
            <w:r w:rsidRPr="00FB4E5E">
              <w:rPr>
                <w:rFonts w:eastAsiaTheme="minorEastAsia"/>
              </w:rPr>
              <w:t xml:space="preserve"> found that treated-as-protocol analyses showed that Katz ADL index improved in the I-group (p&lt;0.0</w:t>
            </w:r>
            <w:r>
              <w:rPr>
                <w:rFonts w:eastAsiaTheme="minorEastAsia"/>
              </w:rPr>
              <w:t>01; p&lt;0.05 between the groups).</w:t>
            </w:r>
          </w:p>
        </w:tc>
      </w:tr>
      <w:tr w:rsidR="00340780" w14:paraId="2BAD538C" w14:textId="77777777" w:rsidTr="00340780">
        <w:tc>
          <w:tcPr>
            <w:tcW w:w="2155" w:type="dxa"/>
          </w:tcPr>
          <w:p w14:paraId="7BC8B1C4" w14:textId="77777777" w:rsidR="00340780" w:rsidRPr="006956A8" w:rsidRDefault="00340780" w:rsidP="00340780">
            <w:pPr>
              <w:ind w:left="0" w:firstLine="0"/>
              <w:rPr>
                <w:rFonts w:eastAsiaTheme="minorEastAsia"/>
              </w:rPr>
            </w:pPr>
            <w:r>
              <w:rPr>
                <w:rFonts w:eastAsiaTheme="minorEastAsia"/>
              </w:rPr>
              <w:t>Nutritional Intake</w:t>
            </w:r>
          </w:p>
        </w:tc>
        <w:tc>
          <w:tcPr>
            <w:tcW w:w="7195" w:type="dxa"/>
          </w:tcPr>
          <w:p w14:paraId="5D589DDF" w14:textId="77777777" w:rsidR="00340780" w:rsidRPr="00580508" w:rsidRDefault="00340780" w:rsidP="00340780">
            <w:pPr>
              <w:ind w:left="0" w:firstLine="0"/>
            </w:pPr>
            <w:proofErr w:type="spellStart"/>
            <w:r>
              <w:t>Babineau</w:t>
            </w:r>
            <w:proofErr w:type="spellEnd"/>
            <w:r>
              <w:t xml:space="preserve"> (2008) reported</w:t>
            </w:r>
            <w:r w:rsidRPr="001860BE">
              <w:t xml:space="preserve"> significant increases in energy (p=0.0001) and protein (p=0.01) intakes, and in serum albumin (p=0.001), prealbumin (p=0.003), transferrin (p=0.024), </w:t>
            </w:r>
            <w:r>
              <w:t xml:space="preserve">and hematocrit (p=0.026) levels. </w:t>
            </w:r>
            <w:r>
              <w:rPr>
                <w:rFonts w:eastAsiaTheme="minorEastAsia" w:cstheme="minorEastAsia"/>
              </w:rPr>
              <w:t>An additional study of standardized nutrition care</w:t>
            </w:r>
            <w:r w:rsidRPr="001860BE">
              <w:rPr>
                <w:rFonts w:eastAsiaTheme="minorEastAsia" w:cstheme="minorEastAsia"/>
              </w:rPr>
              <w:t xml:space="preserve"> added approximately 600 kcal and 12 g protein to the daily intake of malnourished patients (</w:t>
            </w:r>
            <w:proofErr w:type="spellStart"/>
            <w:r w:rsidRPr="001860BE">
              <w:rPr>
                <w:rFonts w:eastAsiaTheme="minorEastAsia" w:cstheme="minorEastAsia"/>
              </w:rPr>
              <w:t>Kruizenga</w:t>
            </w:r>
            <w:proofErr w:type="spellEnd"/>
            <w:r w:rsidRPr="001860BE">
              <w:rPr>
                <w:rFonts w:eastAsiaTheme="minorEastAsia" w:cstheme="minorEastAsia"/>
              </w:rPr>
              <w:t xml:space="preserve"> 2005)</w:t>
            </w:r>
          </w:p>
        </w:tc>
      </w:tr>
      <w:tr w:rsidR="00340780" w14:paraId="72B7E044" w14:textId="77777777" w:rsidTr="00340780">
        <w:tc>
          <w:tcPr>
            <w:tcW w:w="2155" w:type="dxa"/>
          </w:tcPr>
          <w:p w14:paraId="336AEC0A" w14:textId="77777777" w:rsidR="00340780" w:rsidRPr="006956A8" w:rsidRDefault="00340780" w:rsidP="00340780">
            <w:pPr>
              <w:ind w:left="0" w:firstLine="0"/>
              <w:rPr>
                <w:rFonts w:eastAsiaTheme="minorEastAsia"/>
              </w:rPr>
            </w:pPr>
            <w:r w:rsidRPr="006956A8">
              <w:rPr>
                <w:rFonts w:eastAsiaTheme="minorEastAsia"/>
              </w:rPr>
              <w:t>Readmission</w:t>
            </w:r>
          </w:p>
        </w:tc>
        <w:tc>
          <w:tcPr>
            <w:tcW w:w="7195" w:type="dxa"/>
          </w:tcPr>
          <w:p w14:paraId="27EE0EBB" w14:textId="77777777" w:rsidR="00340780" w:rsidRPr="006956A8" w:rsidRDefault="00340780" w:rsidP="00340780">
            <w:pPr>
              <w:ind w:left="0" w:firstLine="0"/>
              <w:rPr>
                <w:rFonts w:eastAsiaTheme="minorEastAsia"/>
              </w:rPr>
            </w:pPr>
            <w:r>
              <w:rPr>
                <w:rFonts w:eastAsiaTheme="minorEastAsia"/>
              </w:rPr>
              <w:t>Norman (2008)</w:t>
            </w:r>
            <w:r w:rsidRPr="00FB4E5E">
              <w:rPr>
                <w:rFonts w:eastAsiaTheme="minorEastAsia"/>
              </w:rPr>
              <w:t xml:space="preserve"> study found dietary counselling patients experienced significantly more readmissions (n=20) than oral nutritional supplement patients (n=10) during the stud</w:t>
            </w:r>
            <w:r>
              <w:rPr>
                <w:rFonts w:eastAsiaTheme="minorEastAsia"/>
              </w:rPr>
              <w:t xml:space="preserve">y period (p=0.041). </w:t>
            </w:r>
            <w:r w:rsidRPr="00FB4E5E">
              <w:rPr>
                <w:rFonts w:eastAsiaTheme="minorEastAsia"/>
              </w:rPr>
              <w:t>One</w:t>
            </w:r>
            <w:r>
              <w:rPr>
                <w:rFonts w:eastAsiaTheme="minorEastAsia"/>
              </w:rPr>
              <w:t xml:space="preserve"> additional</w:t>
            </w:r>
            <w:r w:rsidRPr="00FB4E5E">
              <w:rPr>
                <w:rFonts w:eastAsiaTheme="minorEastAsia"/>
              </w:rPr>
              <w:t xml:space="preserve"> study found that fewer patients managed using </w:t>
            </w:r>
            <w:r>
              <w:rPr>
                <w:rFonts w:eastAsiaTheme="minorEastAsia"/>
              </w:rPr>
              <w:t>standardized nutrition care</w:t>
            </w:r>
            <w:r w:rsidRPr="00FB4E5E">
              <w:rPr>
                <w:rFonts w:eastAsiaTheme="minorEastAsia"/>
              </w:rPr>
              <w:t xml:space="preserve"> had an unplanned hospital admission (46% cf. 75%, P = 0.04) (</w:t>
            </w:r>
            <w:proofErr w:type="spellStart"/>
            <w:r w:rsidRPr="00FB4E5E">
              <w:rPr>
                <w:rFonts w:eastAsiaTheme="minorEastAsia"/>
              </w:rPr>
              <w:t>Odeli</w:t>
            </w:r>
            <w:proofErr w:type="spellEnd"/>
            <w:r>
              <w:rPr>
                <w:rFonts w:eastAsiaTheme="minorEastAsia"/>
              </w:rPr>
              <w:t>,</w:t>
            </w:r>
            <w:r w:rsidRPr="00FB4E5E">
              <w:rPr>
                <w:rFonts w:eastAsiaTheme="minorEastAsia"/>
              </w:rPr>
              <w:t xml:space="preserve"> 2005)</w:t>
            </w:r>
            <w:r>
              <w:rPr>
                <w:rFonts w:eastAsiaTheme="minorEastAsia"/>
              </w:rPr>
              <w:t xml:space="preserve">. </w:t>
            </w:r>
          </w:p>
        </w:tc>
      </w:tr>
    </w:tbl>
    <w:p w14:paraId="132383B9" w14:textId="77777777" w:rsidR="00340780" w:rsidRDefault="00340780" w:rsidP="00340780">
      <w:pPr>
        <w:ind w:left="0" w:firstLine="0"/>
      </w:pPr>
    </w:p>
    <w:p w14:paraId="5480FCCA" w14:textId="77777777" w:rsidR="00340780" w:rsidRPr="00C441DD" w:rsidRDefault="00340780" w:rsidP="00340780">
      <w:pPr>
        <w:rPr>
          <w:rFonts w:eastAsiaTheme="minorEastAsia"/>
        </w:rPr>
      </w:pPr>
      <w:r>
        <w:t xml:space="preserve">Milne et al. </w:t>
      </w:r>
      <w:r w:rsidRPr="0471561F">
        <w:rPr>
          <w:rFonts w:eastAsiaTheme="minorEastAsia"/>
        </w:rPr>
        <w:t>Findings from</w:t>
      </w:r>
      <w:r w:rsidRPr="0471561F">
        <w:rPr>
          <w:rFonts w:eastAsiaTheme="minorEastAsia"/>
          <w:b/>
          <w:bCs/>
        </w:rPr>
        <w:t xml:space="preserve"> </w:t>
      </w:r>
      <w:r w:rsidRPr="0471561F">
        <w:rPr>
          <w:rFonts w:eastAsiaTheme="minorEastAsia"/>
        </w:rPr>
        <w:t>Clinical Guideline</w:t>
      </w:r>
    </w:p>
    <w:p w14:paraId="736EAE24" w14:textId="77777777" w:rsidR="00340780" w:rsidRDefault="00340780" w:rsidP="00340780"/>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185"/>
      </w:tblGrid>
      <w:tr w:rsidR="00340780" w:rsidRPr="00C441DD" w14:paraId="59B93391" w14:textId="77777777" w:rsidTr="00340780">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781B9655"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b/>
                <w:bCs/>
              </w:rPr>
              <w:t>Outcome of Interest</w:t>
            </w:r>
            <w:r w:rsidRPr="00C441DD">
              <w:rPr>
                <w:rFonts w:ascii="Calibri" w:eastAsia="Times New Roman" w:hAnsi="Calibri" w:cs="Calibri"/>
              </w:rPr>
              <w:t> </w:t>
            </w:r>
          </w:p>
        </w:tc>
        <w:tc>
          <w:tcPr>
            <w:tcW w:w="7185" w:type="dxa"/>
            <w:tcBorders>
              <w:top w:val="single" w:sz="6" w:space="0" w:color="auto"/>
              <w:left w:val="nil"/>
              <w:bottom w:val="single" w:sz="6" w:space="0" w:color="auto"/>
              <w:right w:val="single" w:sz="6" w:space="0" w:color="auto"/>
            </w:tcBorders>
            <w:shd w:val="clear" w:color="auto" w:fill="auto"/>
            <w:hideMark/>
          </w:tcPr>
          <w:p w14:paraId="55633370"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b/>
                <w:bCs/>
              </w:rPr>
              <w:t>Study Findings from Review</w:t>
            </w:r>
            <w:r w:rsidRPr="00C441DD">
              <w:rPr>
                <w:rFonts w:ascii="Calibri" w:eastAsia="Times New Roman" w:hAnsi="Calibri" w:cs="Calibri"/>
              </w:rPr>
              <w:t> </w:t>
            </w:r>
          </w:p>
        </w:tc>
      </w:tr>
      <w:tr w:rsidR="00340780" w:rsidRPr="00C441DD" w14:paraId="06A5C22E" w14:textId="77777777" w:rsidTr="00340780">
        <w:tc>
          <w:tcPr>
            <w:tcW w:w="2145" w:type="dxa"/>
            <w:tcBorders>
              <w:top w:val="nil"/>
              <w:left w:val="single" w:sz="6" w:space="0" w:color="auto"/>
              <w:bottom w:val="single" w:sz="6" w:space="0" w:color="auto"/>
              <w:right w:val="single" w:sz="6" w:space="0" w:color="auto"/>
            </w:tcBorders>
            <w:shd w:val="clear" w:color="auto" w:fill="auto"/>
            <w:hideMark/>
          </w:tcPr>
          <w:p w14:paraId="30FC2063"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Mortality </w:t>
            </w:r>
          </w:p>
        </w:tc>
        <w:tc>
          <w:tcPr>
            <w:tcW w:w="7185" w:type="dxa"/>
            <w:tcBorders>
              <w:top w:val="nil"/>
              <w:left w:val="nil"/>
              <w:bottom w:val="single" w:sz="6" w:space="0" w:color="auto"/>
              <w:right w:val="single" w:sz="6" w:space="0" w:color="auto"/>
            </w:tcBorders>
            <w:shd w:val="clear" w:color="auto" w:fill="auto"/>
            <w:hideMark/>
          </w:tcPr>
          <w:p w14:paraId="53734038"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48 included studies with a total of 8,031 participants when meta-analyzed, reported an overall relative risk (RR) of 0.92.  </w:t>
            </w:r>
          </w:p>
          <w:p w14:paraId="07737E69"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 </w:t>
            </w:r>
          </w:p>
          <w:p w14:paraId="74C5425B"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lastRenderedPageBreak/>
              <w:t>The subgroup analyses suggested that the results were statistically significant or approaching statistical significance when limited to trials in which participants (N = 2461) were defined as undernourished (RR 0.79), and when 400 kcal or more was offered per day in the supplement (N = 7307), (RR 0.89). </w:t>
            </w:r>
          </w:p>
          <w:p w14:paraId="4E8F9073"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 </w:t>
            </w:r>
          </w:p>
          <w:p w14:paraId="74A55B20"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The results were consistent when analysis was restricted to 15 trials (N = 6604) with clearly concealed randomization (RR 0.91) </w:t>
            </w:r>
          </w:p>
        </w:tc>
      </w:tr>
      <w:tr w:rsidR="00340780" w:rsidRPr="00C441DD" w14:paraId="6388EDCA" w14:textId="77777777" w:rsidTr="00340780">
        <w:tc>
          <w:tcPr>
            <w:tcW w:w="2145" w:type="dxa"/>
            <w:tcBorders>
              <w:top w:val="nil"/>
              <w:left w:val="single" w:sz="6" w:space="0" w:color="auto"/>
              <w:bottom w:val="single" w:sz="6" w:space="0" w:color="auto"/>
              <w:right w:val="single" w:sz="6" w:space="0" w:color="auto"/>
            </w:tcBorders>
            <w:shd w:val="clear" w:color="auto" w:fill="auto"/>
            <w:hideMark/>
          </w:tcPr>
          <w:p w14:paraId="20171363"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lastRenderedPageBreak/>
              <w:t>Cost </w:t>
            </w:r>
          </w:p>
        </w:tc>
        <w:tc>
          <w:tcPr>
            <w:tcW w:w="7185" w:type="dxa"/>
            <w:tcBorders>
              <w:top w:val="nil"/>
              <w:left w:val="nil"/>
              <w:bottom w:val="single" w:sz="6" w:space="0" w:color="auto"/>
              <w:right w:val="single" w:sz="6" w:space="0" w:color="auto"/>
            </w:tcBorders>
            <w:shd w:val="clear" w:color="auto" w:fill="auto"/>
            <w:hideMark/>
          </w:tcPr>
          <w:p w14:paraId="304F8B0B"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24 trials with a total of 6,225 participants were meta-analyzed and overall, reported a statistically significant difference between intervention and control for risk of complications (RR=0.86).  </w:t>
            </w:r>
          </w:p>
          <w:p w14:paraId="7695E2CF"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 </w:t>
            </w:r>
          </w:p>
          <w:p w14:paraId="6F2B19C8"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In subgroup analyses, hip fracture patients were also at reduced risk of complications (RR=0.60). </w:t>
            </w:r>
          </w:p>
        </w:tc>
      </w:tr>
      <w:tr w:rsidR="00340780" w:rsidRPr="00C441DD" w14:paraId="01B2B402" w14:textId="77777777" w:rsidTr="00340780">
        <w:tc>
          <w:tcPr>
            <w:tcW w:w="2145" w:type="dxa"/>
            <w:tcBorders>
              <w:top w:val="nil"/>
              <w:left w:val="single" w:sz="6" w:space="0" w:color="auto"/>
              <w:bottom w:val="single" w:sz="6" w:space="0" w:color="auto"/>
              <w:right w:val="single" w:sz="6" w:space="0" w:color="auto"/>
            </w:tcBorders>
            <w:shd w:val="clear" w:color="auto" w:fill="auto"/>
            <w:hideMark/>
          </w:tcPr>
          <w:p w14:paraId="17173A06"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Length of Stay (LOS) </w:t>
            </w:r>
          </w:p>
        </w:tc>
        <w:tc>
          <w:tcPr>
            <w:tcW w:w="7185" w:type="dxa"/>
            <w:tcBorders>
              <w:top w:val="nil"/>
              <w:left w:val="nil"/>
              <w:bottom w:val="single" w:sz="6" w:space="0" w:color="auto"/>
              <w:right w:val="single" w:sz="6" w:space="0" w:color="auto"/>
            </w:tcBorders>
            <w:shd w:val="clear" w:color="auto" w:fill="auto"/>
            <w:hideMark/>
          </w:tcPr>
          <w:p w14:paraId="7119B146"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12 studies were meta-analyzed and pooled weighted mean difference for LOS using a random-effects model showed no benefit from supplementation -0.8 days (-2.8 to 1.3) with significant heterogeneity (chi-square 25.53; df 13; P = 0.02; I2 = 49%). Subgroup analyses for length of stay were too limited to suggest any difference between diagnostic groups. </w:t>
            </w:r>
          </w:p>
        </w:tc>
      </w:tr>
      <w:tr w:rsidR="00340780" w:rsidRPr="00C441DD" w14:paraId="32BFA46C" w14:textId="77777777" w:rsidTr="00340780">
        <w:tc>
          <w:tcPr>
            <w:tcW w:w="2145" w:type="dxa"/>
            <w:tcBorders>
              <w:top w:val="nil"/>
              <w:left w:val="single" w:sz="6" w:space="0" w:color="auto"/>
              <w:bottom w:val="single" w:sz="6" w:space="0" w:color="auto"/>
              <w:right w:val="single" w:sz="6" w:space="0" w:color="auto"/>
            </w:tcBorders>
            <w:shd w:val="clear" w:color="auto" w:fill="auto"/>
            <w:hideMark/>
          </w:tcPr>
          <w:p w14:paraId="3FB061A8"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Quality of Life </w:t>
            </w:r>
          </w:p>
        </w:tc>
        <w:tc>
          <w:tcPr>
            <w:tcW w:w="7185" w:type="dxa"/>
            <w:tcBorders>
              <w:top w:val="nil"/>
              <w:left w:val="nil"/>
              <w:bottom w:val="single" w:sz="6" w:space="0" w:color="auto"/>
              <w:right w:val="single" w:sz="6" w:space="0" w:color="auto"/>
            </w:tcBorders>
            <w:shd w:val="clear" w:color="auto" w:fill="auto"/>
            <w:hideMark/>
          </w:tcPr>
          <w:p w14:paraId="6C9F34F6" w14:textId="77777777" w:rsidR="00340780" w:rsidRPr="00C441DD" w:rsidRDefault="00340780" w:rsidP="00340780">
            <w:pPr>
              <w:ind w:left="0" w:firstLine="0"/>
              <w:textAlignment w:val="baseline"/>
              <w:rPr>
                <w:rFonts w:ascii="Segoe UI" w:eastAsia="Times New Roman" w:hAnsi="Segoe UI" w:cs="Segoe UI"/>
                <w:sz w:val="18"/>
                <w:szCs w:val="18"/>
              </w:rPr>
            </w:pPr>
            <w:r w:rsidRPr="00C441DD">
              <w:rPr>
                <w:rFonts w:ascii="Calibri" w:eastAsia="Times New Roman" w:hAnsi="Calibri" w:cs="Calibri"/>
              </w:rPr>
              <w:t>Few studies were able to provide data on improvements in functional status or quality of life in general, apart from handgrip data. Measures were too diverse or too limited to combine for meta-analyses. </w:t>
            </w:r>
          </w:p>
        </w:tc>
      </w:tr>
    </w:tbl>
    <w:p w14:paraId="7D13A22A" w14:textId="77777777" w:rsidR="00340780" w:rsidRDefault="00340780" w:rsidP="00340780"/>
    <w:p w14:paraId="75412AC7" w14:textId="77777777" w:rsidR="00340780" w:rsidRDefault="00340780" w:rsidP="00340780"/>
    <w:p w14:paraId="60130881" w14:textId="77777777" w:rsidR="00340780" w:rsidRPr="003B1CC5" w:rsidRDefault="00340780" w:rsidP="00340780">
      <w:pPr>
        <w:ind w:left="0" w:firstLine="0"/>
      </w:pPr>
      <w:r w:rsidRPr="38AF9500">
        <w:rPr>
          <w:b/>
          <w:bCs/>
        </w:rPr>
        <w:t>What harms were studied and how do they affect the net benefit (benefits over harms)?</w:t>
      </w:r>
      <w:r>
        <w:t xml:space="preserve"> </w:t>
      </w:r>
    </w:p>
    <w:p w14:paraId="553A3293" w14:textId="77777777" w:rsidR="00340780" w:rsidRDefault="00340780" w:rsidP="00340780">
      <w:pPr>
        <w:ind w:left="0" w:firstLine="0"/>
      </w:pPr>
    </w:p>
    <w:p w14:paraId="34B318F4" w14:textId="77777777" w:rsidR="00340780" w:rsidRPr="003B1CC5" w:rsidRDefault="00340780" w:rsidP="00340780">
      <w:pPr>
        <w:ind w:left="0" w:firstLine="0"/>
      </w:pPr>
      <w:r w:rsidRPr="00BB7867">
        <w:t xml:space="preserve">18 trials discussed adverse effects from nutritional supplementation, but no studies compared intervention group with control groups. Problems with tolerance and side-effects were reported in 12 studies including nausea, vomiting and diarrhea in the intervention group. </w:t>
      </w:r>
    </w:p>
    <w:p w14:paraId="55D12387" w14:textId="77777777" w:rsidR="00340780" w:rsidRPr="003B1CC5" w:rsidRDefault="00340780" w:rsidP="00340780">
      <w:pPr>
        <w:ind w:left="0" w:firstLine="0"/>
      </w:pPr>
    </w:p>
    <w:p w14:paraId="534CD88B" w14:textId="77777777" w:rsidR="00340780" w:rsidRPr="003B1CC5" w:rsidRDefault="00340780" w:rsidP="00340780">
      <w:pPr>
        <w:ind w:left="0" w:firstLine="0"/>
        <w:rPr>
          <w:b/>
          <w:noProof/>
        </w:rPr>
      </w:pPr>
      <w:r w:rsidRPr="003B1CC5">
        <w:rPr>
          <w:b/>
          <w:noProof/>
        </w:rPr>
        <w:t>UPDATE TO THE SYSTEMATIC REVIEW(S) OF THE BODY OF EVIDENCE</w:t>
      </w:r>
    </w:p>
    <w:p w14:paraId="461C38EB" w14:textId="5C1AB895" w:rsidR="00340780" w:rsidRDefault="00340780" w:rsidP="00340780">
      <w:pPr>
        <w:ind w:left="0" w:firstLine="0"/>
        <w:rPr>
          <w:rStyle w:val="apple-converted-space"/>
          <w:rFonts w:cs="Arial"/>
          <w:color w:val="000000" w:themeColor="text1"/>
        </w:rPr>
      </w:pPr>
    </w:p>
    <w:p w14:paraId="029F2B17" w14:textId="77777777" w:rsidR="001B6561" w:rsidRDefault="001B6561" w:rsidP="001B6561">
      <w:pPr>
        <w:ind w:left="0" w:firstLine="0"/>
        <w:rPr>
          <w:rFonts w:eastAsiaTheme="minorEastAsia"/>
          <w:b/>
        </w:rPr>
      </w:pPr>
      <w:r w:rsidRPr="00DD3A26">
        <w:rPr>
          <w:rFonts w:eastAsiaTheme="minorEastAsia"/>
          <w:b/>
        </w:rPr>
        <w:t xml:space="preserve">Valladares AF, Kilgore KM, Partridge J, Sulo S, Kerr KW, McCauley S. How a malnutrition quality improvement initiative furthers malnutrition measurement and care: results from a hospital learning collaborative. JPEN J </w:t>
      </w:r>
      <w:proofErr w:type="spellStart"/>
      <w:r w:rsidRPr="00DD3A26">
        <w:rPr>
          <w:rFonts w:eastAsiaTheme="minorEastAsia"/>
          <w:b/>
        </w:rPr>
        <w:t>Parenter</w:t>
      </w:r>
      <w:proofErr w:type="spellEnd"/>
      <w:r w:rsidRPr="00DD3A26">
        <w:rPr>
          <w:rFonts w:eastAsiaTheme="minorEastAsia"/>
          <w:b/>
        </w:rPr>
        <w:t xml:space="preserve"> Enteral </w:t>
      </w:r>
      <w:proofErr w:type="spellStart"/>
      <w:r w:rsidRPr="00DD3A26">
        <w:rPr>
          <w:rFonts w:eastAsiaTheme="minorEastAsia"/>
          <w:b/>
        </w:rPr>
        <w:t>Nutr</w:t>
      </w:r>
      <w:proofErr w:type="spellEnd"/>
      <w:r w:rsidRPr="00DD3A26">
        <w:rPr>
          <w:rFonts w:eastAsiaTheme="minorEastAsia"/>
          <w:b/>
        </w:rPr>
        <w:t>. Published online April 13, 2020.</w:t>
      </w:r>
    </w:p>
    <w:p w14:paraId="2F44B52C" w14:textId="77777777" w:rsidR="001B6561" w:rsidRDefault="001B6561" w:rsidP="001B6561">
      <w:pPr>
        <w:ind w:left="0" w:firstLine="0"/>
        <w:rPr>
          <w:rFonts w:eastAsiaTheme="minorEastAsia"/>
          <w:b/>
        </w:rPr>
      </w:pPr>
    </w:p>
    <w:p w14:paraId="79E72C14" w14:textId="77777777" w:rsidR="001B6561" w:rsidRDefault="001B6561" w:rsidP="001B6561">
      <w:pPr>
        <w:ind w:left="0" w:firstLine="0"/>
        <w:rPr>
          <w:rFonts w:eastAsiaTheme="minorEastAsia"/>
          <w:b/>
        </w:rPr>
      </w:pPr>
      <w:r>
        <w:rPr>
          <w:rFonts w:ascii="Segoe UI" w:hAnsi="Segoe UI" w:cs="Segoe UI"/>
          <w:color w:val="212121"/>
          <w:shd w:val="clear" w:color="auto" w:fill="FFFFFF"/>
        </w:rPr>
        <w:t xml:space="preserve">In this study, the implementation of malnutrition-focused quality improvement practices significantly improved the identification of malnutrition. The prompt identification and treatment of patients at malnutrition risk can improve patient care and health, as well as reduce costly readmissions. </w:t>
      </w:r>
      <w:r>
        <w:rPr>
          <w:rStyle w:val="Strong"/>
          <w:rFonts w:ascii="Segoe UI" w:hAnsi="Segoe UI" w:cs="Segoe UI"/>
          <w:color w:val="212121"/>
          <w:shd w:val="clear" w:color="auto" w:fill="FFFFFF"/>
        </w:rPr>
        <w:t> </w:t>
      </w:r>
      <w:r>
        <w:rPr>
          <w:rFonts w:ascii="Segoe UI" w:hAnsi="Segoe UI" w:cs="Segoe UI"/>
          <w:color w:val="212121"/>
          <w:shd w:val="clear" w:color="auto" w:fill="FFFFFF"/>
        </w:rPr>
        <w:t>Improvements were observed for all 4 malnutrition quality measures. The greatest improvements were achieved as a result of timely nutrition assessment (P = .06) and malnutrition diagnosis (P = .02). Patients ≥65 years with a malnutrition diagnosis and nutrition care plan had a 24% lower likelihood of 30-day readmission but a longer mean LOS than did those without a care plan.</w:t>
      </w:r>
    </w:p>
    <w:p w14:paraId="5C8B03B9" w14:textId="77777777" w:rsidR="001B6561" w:rsidRDefault="001B6561" w:rsidP="004933D7">
      <w:pPr>
        <w:ind w:left="0" w:firstLine="0"/>
        <w:rPr>
          <w:rFonts w:ascii="Calibri" w:eastAsia="Times New Roman" w:hAnsi="Calibri" w:cs="Calibri"/>
          <w:b/>
          <w:bCs/>
          <w:color w:val="000000"/>
        </w:rPr>
      </w:pPr>
    </w:p>
    <w:p w14:paraId="458C4B86" w14:textId="4C2C5A24" w:rsidR="004933D7" w:rsidRPr="004933D7" w:rsidRDefault="004933D7" w:rsidP="004933D7">
      <w:pPr>
        <w:ind w:left="0" w:firstLine="0"/>
        <w:rPr>
          <w:rFonts w:ascii="Calibri" w:eastAsia="Times New Roman" w:hAnsi="Calibri" w:cs="Calibri"/>
          <w:b/>
          <w:bCs/>
          <w:color w:val="000000"/>
        </w:rPr>
      </w:pPr>
      <w:r w:rsidRPr="004933D7">
        <w:rPr>
          <w:rFonts w:ascii="Calibri" w:eastAsia="Times New Roman" w:hAnsi="Calibri" w:cs="Calibri"/>
          <w:b/>
          <w:bCs/>
          <w:color w:val="000000"/>
        </w:rPr>
        <w:t>Danis K, et al. Identifying and Managing Malnourished</w:t>
      </w:r>
      <w:r>
        <w:rPr>
          <w:rFonts w:ascii="Calibri" w:eastAsia="Times New Roman" w:hAnsi="Calibri" w:cs="Calibri"/>
          <w:b/>
          <w:bCs/>
          <w:color w:val="000000"/>
        </w:rPr>
        <w:t xml:space="preserve"> </w:t>
      </w:r>
      <w:r w:rsidRPr="004933D7">
        <w:rPr>
          <w:rFonts w:ascii="Calibri" w:eastAsia="Times New Roman" w:hAnsi="Calibri" w:cs="Calibri"/>
          <w:b/>
          <w:bCs/>
          <w:color w:val="000000"/>
        </w:rPr>
        <w:t>Hospitalized Patients Utilizing the Malnutrition</w:t>
      </w:r>
    </w:p>
    <w:p w14:paraId="1404EA9C" w14:textId="08329ACE" w:rsidR="004933D7" w:rsidRDefault="004933D7" w:rsidP="004933D7">
      <w:pPr>
        <w:ind w:left="0" w:firstLine="0"/>
        <w:rPr>
          <w:rFonts w:ascii="Calibri" w:eastAsia="Times New Roman" w:hAnsi="Calibri" w:cs="Calibri"/>
          <w:b/>
          <w:bCs/>
          <w:color w:val="000000"/>
        </w:rPr>
      </w:pPr>
      <w:r w:rsidRPr="004933D7">
        <w:rPr>
          <w:rFonts w:ascii="Calibri" w:eastAsia="Times New Roman" w:hAnsi="Calibri" w:cs="Calibri"/>
          <w:b/>
          <w:bCs/>
          <w:color w:val="000000"/>
        </w:rPr>
        <w:t>Quality Improvement Initiative:</w:t>
      </w:r>
      <w:r>
        <w:rPr>
          <w:rFonts w:ascii="Calibri" w:eastAsia="Times New Roman" w:hAnsi="Calibri" w:cs="Calibri"/>
          <w:b/>
          <w:bCs/>
          <w:color w:val="000000"/>
        </w:rPr>
        <w:t xml:space="preserve"> </w:t>
      </w:r>
      <w:r w:rsidRPr="004933D7">
        <w:rPr>
          <w:rFonts w:ascii="Calibri" w:eastAsia="Times New Roman" w:hAnsi="Calibri" w:cs="Calibri"/>
          <w:b/>
          <w:bCs/>
          <w:color w:val="000000"/>
        </w:rPr>
        <w:t>The UPMC Experience. JAND</w:t>
      </w:r>
      <w:r w:rsidR="00DD3A26">
        <w:rPr>
          <w:rFonts w:ascii="Calibri" w:eastAsia="Times New Roman" w:hAnsi="Calibri" w:cs="Calibri"/>
          <w:b/>
          <w:bCs/>
          <w:color w:val="000000"/>
        </w:rPr>
        <w:t>. 2019</w:t>
      </w:r>
      <w:r w:rsidRPr="004933D7">
        <w:rPr>
          <w:rFonts w:ascii="Calibri" w:eastAsia="Times New Roman" w:hAnsi="Calibri" w:cs="Calibri"/>
          <w:b/>
          <w:bCs/>
          <w:color w:val="000000"/>
        </w:rPr>
        <w:t>;119(9):S40-S43.</w:t>
      </w:r>
    </w:p>
    <w:p w14:paraId="30C33F87" w14:textId="4D68DBEF" w:rsidR="004933D7" w:rsidRDefault="004933D7" w:rsidP="004933D7">
      <w:pPr>
        <w:ind w:left="0" w:firstLine="0"/>
        <w:rPr>
          <w:rFonts w:ascii="Calibri" w:eastAsia="Times New Roman" w:hAnsi="Calibri" w:cs="Calibri"/>
          <w:b/>
          <w:bCs/>
          <w:color w:val="000000"/>
        </w:rPr>
      </w:pPr>
    </w:p>
    <w:p w14:paraId="4ACA3B03" w14:textId="3F6774E5" w:rsidR="004933D7" w:rsidRPr="004933D7" w:rsidRDefault="004933D7" w:rsidP="004933D7">
      <w:pPr>
        <w:ind w:left="0" w:firstLine="0"/>
        <w:rPr>
          <w:rFonts w:ascii="Calibri" w:eastAsia="Times New Roman" w:hAnsi="Calibri" w:cs="Calibri"/>
          <w:color w:val="000000"/>
        </w:rPr>
      </w:pPr>
      <w:r w:rsidRPr="004933D7">
        <w:rPr>
          <w:rFonts w:ascii="Calibri" w:eastAsia="Times New Roman" w:hAnsi="Calibri" w:cs="Calibri"/>
          <w:color w:val="000000"/>
        </w:rPr>
        <w:lastRenderedPageBreak/>
        <w:t>The quality improvement implementation focused on hospital-wide adoption of the Nutrition Focused Physical Examination (NFPE)</w:t>
      </w:r>
      <w:r>
        <w:rPr>
          <w:rFonts w:ascii="Calibri" w:eastAsia="Times New Roman" w:hAnsi="Calibri" w:cs="Calibri"/>
          <w:color w:val="000000"/>
        </w:rPr>
        <w:t xml:space="preserve"> and improvement of coordination between registered dietitians and physicians</w:t>
      </w:r>
      <w:r w:rsidRPr="004933D7">
        <w:rPr>
          <w:rFonts w:ascii="Calibri" w:eastAsia="Times New Roman" w:hAnsi="Calibri" w:cs="Calibri"/>
          <w:color w:val="000000"/>
        </w:rPr>
        <w:t xml:space="preserve">. The </w:t>
      </w:r>
      <w:r>
        <w:rPr>
          <w:rFonts w:ascii="Calibri" w:eastAsia="Times New Roman" w:hAnsi="Calibri" w:cs="Calibri"/>
          <w:color w:val="000000"/>
        </w:rPr>
        <w:t>care</w:t>
      </w:r>
      <w:r w:rsidRPr="004933D7">
        <w:rPr>
          <w:rFonts w:ascii="Calibri" w:eastAsia="Times New Roman" w:hAnsi="Calibri" w:cs="Calibri"/>
          <w:color w:val="000000"/>
        </w:rPr>
        <w:t xml:space="preserve"> team was guided by the malnutrition electronic clinical quality measures focused on completing a nutrition assessment (the NFPE) within 24 hours of identification of malnutrition risk and ensuring documentation of a malnutrition diagnosis when it was identified. Performance on both measures improved significantly (P&lt;0.01).</w:t>
      </w:r>
    </w:p>
    <w:p w14:paraId="43C2FEF2" w14:textId="77777777" w:rsidR="004933D7" w:rsidRDefault="004933D7" w:rsidP="00340780">
      <w:pPr>
        <w:ind w:left="0" w:firstLine="0"/>
        <w:rPr>
          <w:rFonts w:ascii="Calibri" w:eastAsia="Times New Roman" w:hAnsi="Calibri" w:cs="Calibri"/>
          <w:b/>
          <w:bCs/>
          <w:color w:val="000000"/>
        </w:rPr>
      </w:pPr>
    </w:p>
    <w:p w14:paraId="43C062D7" w14:textId="59BF1E94" w:rsidR="00340780" w:rsidRPr="00E03385" w:rsidRDefault="00340780" w:rsidP="00340780">
      <w:pPr>
        <w:ind w:left="0" w:firstLine="0"/>
        <w:rPr>
          <w:rFonts w:ascii="Calibri" w:eastAsia="Times New Roman" w:hAnsi="Calibri" w:cs="Calibri"/>
          <w:b/>
          <w:bCs/>
          <w:color w:val="000000"/>
        </w:rPr>
      </w:pPr>
      <w:proofErr w:type="spellStart"/>
      <w:r w:rsidRPr="00E03385">
        <w:rPr>
          <w:rFonts w:ascii="Calibri" w:eastAsia="Times New Roman" w:hAnsi="Calibri" w:cs="Calibri"/>
          <w:b/>
          <w:bCs/>
          <w:color w:val="000000"/>
        </w:rPr>
        <w:t>Tobert</w:t>
      </w:r>
      <w:proofErr w:type="spellEnd"/>
      <w:r w:rsidRPr="00E03385">
        <w:rPr>
          <w:rFonts w:ascii="Calibri" w:eastAsia="Times New Roman" w:hAnsi="Calibri" w:cs="Calibri"/>
          <w:b/>
          <w:bCs/>
          <w:color w:val="000000"/>
        </w:rPr>
        <w:t xml:space="preserve"> CM, Mott SL, Nepple KG. Malnutrition Diagnosis during Adult Inpatient Hospitalizations: Analysis of a Multi-Institutional Collaborative Database of Academic Medical Centers. J </w:t>
      </w:r>
      <w:proofErr w:type="spellStart"/>
      <w:r w:rsidRPr="00E03385">
        <w:rPr>
          <w:rFonts w:ascii="Calibri" w:eastAsia="Times New Roman" w:hAnsi="Calibri" w:cs="Calibri"/>
          <w:b/>
          <w:bCs/>
          <w:color w:val="000000"/>
        </w:rPr>
        <w:t>Acad</w:t>
      </w:r>
      <w:proofErr w:type="spellEnd"/>
      <w:r w:rsidRPr="00E03385">
        <w:rPr>
          <w:rFonts w:ascii="Calibri" w:eastAsia="Times New Roman" w:hAnsi="Calibri" w:cs="Calibri"/>
          <w:b/>
          <w:bCs/>
          <w:color w:val="000000"/>
        </w:rPr>
        <w:t xml:space="preserve"> </w:t>
      </w:r>
      <w:proofErr w:type="spellStart"/>
      <w:r w:rsidRPr="00E03385">
        <w:rPr>
          <w:rFonts w:ascii="Calibri" w:eastAsia="Times New Roman" w:hAnsi="Calibri" w:cs="Calibri"/>
          <w:b/>
          <w:bCs/>
          <w:color w:val="000000"/>
        </w:rPr>
        <w:t>Nutr</w:t>
      </w:r>
      <w:proofErr w:type="spellEnd"/>
      <w:r w:rsidRPr="00E03385">
        <w:rPr>
          <w:rFonts w:ascii="Calibri" w:eastAsia="Times New Roman" w:hAnsi="Calibri" w:cs="Calibri"/>
          <w:b/>
          <w:bCs/>
          <w:color w:val="000000"/>
        </w:rPr>
        <w:t xml:space="preserve"> Diet. 2018;118(1):125-131.</w:t>
      </w:r>
    </w:p>
    <w:p w14:paraId="469CB948" w14:textId="77777777" w:rsidR="00340780" w:rsidRPr="00E03385" w:rsidRDefault="00340780" w:rsidP="00340780">
      <w:pPr>
        <w:ind w:left="0" w:firstLine="0"/>
        <w:rPr>
          <w:rFonts w:ascii="Calibri" w:eastAsia="Times New Roman" w:hAnsi="Calibri" w:cs="Calibri"/>
          <w:b/>
          <w:bCs/>
          <w:color w:val="000000"/>
        </w:rPr>
      </w:pPr>
    </w:p>
    <w:p w14:paraId="057CDD92" w14:textId="77777777" w:rsidR="00340780" w:rsidRPr="00E03385" w:rsidRDefault="00340780" w:rsidP="00340780">
      <w:pPr>
        <w:ind w:left="0" w:firstLine="0"/>
        <w:rPr>
          <w:rFonts w:ascii="Calibri" w:eastAsia="Times New Roman" w:hAnsi="Calibri" w:cs="Calibri"/>
          <w:color w:val="000000"/>
        </w:rPr>
      </w:pPr>
      <w:r w:rsidRPr="00E03385">
        <w:rPr>
          <w:rFonts w:ascii="Calibri" w:eastAsia="Times New Roman" w:hAnsi="Calibri" w:cs="Calibri"/>
          <w:color w:val="000000"/>
        </w:rPr>
        <w:t>The University Health System Consortium (Vizient) database was retrospectively reviewed for reported rates of malnutrition diagnosis. All adult inpatient hospitalization at 105 member institutions during fiscal years 2014 and 2015 were evaluated for malnutrition diagnosis based on the presence of an International Classification of Diseases (ICD) -Ninth Revision diagnosis code.</w:t>
      </w:r>
      <w:r>
        <w:rPr>
          <w:rFonts w:ascii="Calibri" w:eastAsia="Times New Roman" w:hAnsi="Calibri" w:cs="Calibri"/>
          <w:color w:val="000000"/>
        </w:rPr>
        <w:t xml:space="preserve"> </w:t>
      </w:r>
      <w:r w:rsidRPr="00E03385">
        <w:rPr>
          <w:rFonts w:ascii="Calibri" w:eastAsia="Times New Roman" w:hAnsi="Calibri" w:cs="Calibri"/>
          <w:color w:val="000000"/>
        </w:rPr>
        <w:t>Hospital volume and publicly available hospital rankings and patient satisfaction scores were obtained. Multiple regression analysis was performed to assess the association between these variables and reported rates of malnutrition.</w:t>
      </w:r>
    </w:p>
    <w:p w14:paraId="224CD86C" w14:textId="77777777" w:rsidR="00340780" w:rsidRPr="00E03385" w:rsidRDefault="00340780" w:rsidP="00340780">
      <w:pPr>
        <w:ind w:left="0" w:firstLine="0"/>
        <w:rPr>
          <w:rFonts w:ascii="Calibri" w:eastAsia="Times New Roman" w:hAnsi="Calibri" w:cs="Calibri"/>
          <w:color w:val="000000"/>
        </w:rPr>
      </w:pPr>
    </w:p>
    <w:p w14:paraId="79176B6A" w14:textId="77777777" w:rsidR="00340780" w:rsidRPr="00E03385" w:rsidRDefault="00340780" w:rsidP="00340780">
      <w:pPr>
        <w:ind w:left="0" w:firstLine="0"/>
        <w:rPr>
          <w:rFonts w:ascii="Calibri" w:eastAsia="Times New Roman" w:hAnsi="Calibri" w:cs="Calibri"/>
          <w:color w:val="000000"/>
        </w:rPr>
      </w:pPr>
      <w:r w:rsidRPr="00E03385">
        <w:rPr>
          <w:rFonts w:ascii="Calibri" w:eastAsia="Times New Roman" w:hAnsi="Calibri" w:cs="Calibri"/>
          <w:color w:val="000000"/>
        </w:rPr>
        <w:t>A total of 5,896,792 hospitalizations were identified from 105 institutions during the 2-year period. It was found that 292,754 patients (5.0%) had a malnutrition diagnosis during their hospital stay. By institution, median rate of malnutrition diagnosis during hospitalization was 4.0%, whereas the rate of severe malnutrition diagnosis was 0.9%. There was a statistically significant increase in malnutrition diagnosis from 4.0% to 4.9% between 2014 and 2015 (P&lt;0.01). Institutional factors associated with increased diagnosis of malnutrition were higher hospital volume, hospital ranking, and patient satisfaction scores (P&lt;0.01).</w:t>
      </w:r>
    </w:p>
    <w:p w14:paraId="1280CCF4" w14:textId="77777777" w:rsidR="00340780" w:rsidRDefault="00340780" w:rsidP="00340780">
      <w:pPr>
        <w:ind w:left="0" w:firstLine="0"/>
        <w:rPr>
          <w:rFonts w:eastAsiaTheme="minorEastAsia"/>
          <w:b/>
        </w:rPr>
      </w:pPr>
    </w:p>
    <w:p w14:paraId="72436176" w14:textId="77777777" w:rsidR="00340780" w:rsidRDefault="00340780" w:rsidP="00340780">
      <w:pPr>
        <w:ind w:left="0" w:firstLine="0"/>
        <w:rPr>
          <w:rFonts w:eastAsiaTheme="minorEastAsia"/>
          <w:b/>
        </w:rPr>
      </w:pPr>
      <w:r w:rsidRPr="002B41D2">
        <w:rPr>
          <w:rFonts w:eastAsiaTheme="minorEastAsia"/>
          <w:b/>
        </w:rPr>
        <w:t xml:space="preserve">Meehan A, Loose C, Bell J, Partridge J, Nelson J, </w:t>
      </w:r>
      <w:proofErr w:type="spellStart"/>
      <w:r w:rsidRPr="002B41D2">
        <w:rPr>
          <w:rFonts w:eastAsiaTheme="minorEastAsia"/>
          <w:b/>
        </w:rPr>
        <w:t>Goates</w:t>
      </w:r>
      <w:proofErr w:type="spellEnd"/>
      <w:r w:rsidRPr="002B41D2">
        <w:rPr>
          <w:rFonts w:eastAsiaTheme="minorEastAsia"/>
          <w:b/>
        </w:rPr>
        <w:t xml:space="preserve"> S. Health System Quality Improvement: Impact of Prompt Nutrition Care on Patient Outcomes and Health Care Costs. J </w:t>
      </w:r>
      <w:proofErr w:type="spellStart"/>
      <w:r w:rsidRPr="002B41D2">
        <w:rPr>
          <w:rFonts w:eastAsiaTheme="minorEastAsia"/>
          <w:b/>
        </w:rPr>
        <w:t>Nurs</w:t>
      </w:r>
      <w:proofErr w:type="spellEnd"/>
      <w:r w:rsidRPr="002B41D2">
        <w:rPr>
          <w:rFonts w:eastAsiaTheme="minorEastAsia"/>
          <w:b/>
        </w:rPr>
        <w:t xml:space="preserve"> Care Qual. 2016.</w:t>
      </w:r>
    </w:p>
    <w:p w14:paraId="1DFEEE3F" w14:textId="77777777" w:rsidR="00340780" w:rsidRPr="002B41D2" w:rsidRDefault="00340780" w:rsidP="00340780">
      <w:pPr>
        <w:ind w:left="0" w:firstLine="0"/>
        <w:rPr>
          <w:b/>
        </w:rPr>
      </w:pPr>
    </w:p>
    <w:p w14:paraId="58069C76" w14:textId="77777777" w:rsidR="00340780" w:rsidRDefault="00340780" w:rsidP="00340780">
      <w:pPr>
        <w:ind w:left="0" w:firstLine="0"/>
      </w:pPr>
      <w:r w:rsidRPr="0471561F">
        <w:rPr>
          <w:rFonts w:eastAsiaTheme="minorEastAsia"/>
        </w:rPr>
        <w:t>Quality improvement program that positioned early nutritional care into the nursing workflow. Nurses screened formal nutrition risk at patient admission and then immediately ordered oral nutritional supplements for those at risk. Supplements were given as regular medications, guided and monitored by medication administration records.</w:t>
      </w:r>
    </w:p>
    <w:p w14:paraId="10AD2FD7" w14:textId="77777777" w:rsidR="00340780" w:rsidRDefault="00340780" w:rsidP="00340780">
      <w:pPr>
        <w:ind w:left="0" w:firstLine="0"/>
      </w:pPr>
    </w:p>
    <w:p w14:paraId="5F10FDD5" w14:textId="77777777" w:rsidR="00340780" w:rsidRDefault="00340780" w:rsidP="00340780">
      <w:pPr>
        <w:ind w:left="0" w:firstLine="0"/>
      </w:pPr>
      <w:r w:rsidRPr="0471561F">
        <w:rPr>
          <w:rFonts w:eastAsiaTheme="minorEastAsia"/>
        </w:rPr>
        <w:t xml:space="preserve">Length of stay (-0.77 days or 13.4%), probability of readmissions (-17%) and cost of care (-$969 or 8.8%) were all reduced (p&lt;0.01). </w:t>
      </w:r>
    </w:p>
    <w:p w14:paraId="29E6AD18" w14:textId="77777777" w:rsidR="00340780" w:rsidRDefault="00340780" w:rsidP="00340780">
      <w:pPr>
        <w:ind w:left="0" w:firstLine="0"/>
      </w:pPr>
    </w:p>
    <w:p w14:paraId="118B4DF5" w14:textId="77777777" w:rsidR="00340780" w:rsidRDefault="00340780" w:rsidP="00340780">
      <w:pPr>
        <w:ind w:left="0" w:firstLine="0"/>
      </w:pPr>
      <w:r w:rsidRPr="0471561F">
        <w:rPr>
          <w:rFonts w:eastAsiaTheme="minorEastAsia"/>
        </w:rPr>
        <w:t>This observational study supports early intervention on patients who are found to be at-risk of malnutrition.</w:t>
      </w:r>
    </w:p>
    <w:p w14:paraId="283A7A7C" w14:textId="77777777" w:rsidR="00340780" w:rsidRPr="002B41D2" w:rsidRDefault="00340780" w:rsidP="00340780">
      <w:pPr>
        <w:ind w:left="0" w:firstLine="0"/>
        <w:rPr>
          <w:b/>
        </w:rPr>
      </w:pPr>
    </w:p>
    <w:p w14:paraId="6679AFA6" w14:textId="77777777" w:rsidR="00340780" w:rsidRDefault="00340780" w:rsidP="00340780">
      <w:pPr>
        <w:ind w:left="0" w:firstLine="0"/>
        <w:rPr>
          <w:rFonts w:eastAsiaTheme="minorEastAsia"/>
          <w:b/>
        </w:rPr>
      </w:pPr>
      <w:r w:rsidRPr="002B41D2">
        <w:rPr>
          <w:rFonts w:eastAsiaTheme="minorEastAsia"/>
          <w:b/>
        </w:rPr>
        <w:t>Snider JT, Jena AB, Linthicum MT, et al. Effect of hospital use of oral nutritional supplementation on length of stay, hospital cost, and 30-day readmissions among Medicare patients with COPD. Chest. 2015;147(6):1477-84.</w:t>
      </w:r>
    </w:p>
    <w:p w14:paraId="655473E1" w14:textId="77777777" w:rsidR="00340780" w:rsidRPr="002B41D2" w:rsidRDefault="00340780" w:rsidP="00340780">
      <w:pPr>
        <w:ind w:left="0" w:firstLine="0"/>
        <w:rPr>
          <w:b/>
        </w:rPr>
      </w:pPr>
    </w:p>
    <w:p w14:paraId="73EE7340" w14:textId="77777777" w:rsidR="00340780" w:rsidRDefault="00340780" w:rsidP="00340780">
      <w:pPr>
        <w:ind w:left="0" w:firstLine="0"/>
      </w:pPr>
      <w:r w:rsidRPr="0471561F">
        <w:rPr>
          <w:rFonts w:eastAsiaTheme="minorEastAsia"/>
        </w:rPr>
        <w:t>Retrospective cohort study identified hospitalizations in which ONS was provided, and u</w:t>
      </w:r>
      <w:r>
        <w:t>sed propensity-score matching to compare LOS, hospitalization cost, and 30-day readmission rates in a one-to-one matched sample of ONS and non-ONS hospitalizations.</w:t>
      </w:r>
    </w:p>
    <w:p w14:paraId="1DC84966" w14:textId="77777777" w:rsidR="00340780" w:rsidRDefault="00340780" w:rsidP="00340780">
      <w:pPr>
        <w:ind w:left="0" w:firstLine="0"/>
      </w:pPr>
    </w:p>
    <w:p w14:paraId="27B49E4E" w14:textId="77777777" w:rsidR="00340780" w:rsidRDefault="00340780" w:rsidP="00340780">
      <w:pPr>
        <w:ind w:left="0" w:firstLine="0"/>
      </w:pPr>
      <w:r>
        <w:t>One-to-one matched sample was created with 14,326 cases. In unadjusted comparisons in the matched sample, ONS use was associated with longer LOS (8.7 days vs 6.9 days, P &lt; .0001), higher hospitalization cost ($14,223 vs $9,340, P &lt; .0001), and lower readmission rates (24.8% vs 26.6%, P = .0116). However, in instrumental variables analysis, ONS use was associated with a 1.9-day (21.5%) decrease in LOS, from 8.8 to 6.9 days (P &lt; .01); a hospitalization cost reduction of $1,570 (12.5%), from $12,523 to $10,953 (P &lt; .01); and a 13.1% decrease in probability of 30-day readmission, from 0.34 to 0.29 (P &lt; .01).</w:t>
      </w:r>
    </w:p>
    <w:p w14:paraId="5729DE6A" w14:textId="77777777" w:rsidR="00340780" w:rsidRDefault="00340780" w:rsidP="00340780">
      <w:pPr>
        <w:ind w:left="0" w:firstLine="0"/>
      </w:pPr>
    </w:p>
    <w:p w14:paraId="7C467EAB" w14:textId="77777777" w:rsidR="00340780" w:rsidRDefault="00340780" w:rsidP="00340780">
      <w:pPr>
        <w:ind w:left="0" w:firstLine="0"/>
      </w:pPr>
      <w:r>
        <w:t>ONS may be associated with reduced LOS, hospitalization cost, and readmission risk in hospitalized Medicare patients with existing morbidities such as COPD.</w:t>
      </w:r>
    </w:p>
    <w:p w14:paraId="3776511F" w14:textId="77777777" w:rsidR="00340780" w:rsidRDefault="00340780" w:rsidP="00340780">
      <w:pPr>
        <w:ind w:left="0" w:firstLine="0"/>
      </w:pPr>
    </w:p>
    <w:p w14:paraId="5112D46C" w14:textId="77777777" w:rsidR="00340780" w:rsidRDefault="00340780" w:rsidP="00340780">
      <w:pPr>
        <w:ind w:left="0" w:firstLine="0"/>
        <w:rPr>
          <w:b/>
        </w:rPr>
      </w:pPr>
      <w:r w:rsidRPr="002B41D2">
        <w:rPr>
          <w:b/>
        </w:rPr>
        <w:t xml:space="preserve"> </w:t>
      </w:r>
      <w:proofErr w:type="spellStart"/>
      <w:r w:rsidRPr="002B41D2">
        <w:rPr>
          <w:b/>
        </w:rPr>
        <w:t>Cawood</w:t>
      </w:r>
      <w:proofErr w:type="spellEnd"/>
      <w:r w:rsidRPr="002B41D2">
        <w:rPr>
          <w:b/>
        </w:rPr>
        <w:t xml:space="preserve"> AL, Elia M, Stratton RJ. Systematic review and meta-analysis of the effects of high protein oral nutritional supplements. Ageing Res Rev. 2012;11(2):278-96.</w:t>
      </w:r>
    </w:p>
    <w:p w14:paraId="5A6C1BFC" w14:textId="77777777" w:rsidR="00340780" w:rsidRPr="002B41D2" w:rsidRDefault="00340780" w:rsidP="00340780">
      <w:pPr>
        <w:ind w:left="0" w:firstLine="0"/>
        <w:rPr>
          <w:b/>
        </w:rPr>
      </w:pPr>
    </w:p>
    <w:p w14:paraId="007A69D8" w14:textId="77777777" w:rsidR="00340780" w:rsidRDefault="00340780" w:rsidP="00340780">
      <w:pPr>
        <w:ind w:left="0" w:firstLine="0"/>
      </w:pPr>
      <w:r>
        <w:t xml:space="preserve">The review concluded that high protein oral nutritional supplements had significant clinical, nutritional and functional benefits in a range of patient groups and health settings. </w:t>
      </w:r>
    </w:p>
    <w:p w14:paraId="733B2808" w14:textId="77777777" w:rsidR="00340780" w:rsidRDefault="00340780" w:rsidP="00340780">
      <w:pPr>
        <w:ind w:left="0" w:firstLine="0"/>
      </w:pPr>
    </w:p>
    <w:p w14:paraId="3F7BAD53" w14:textId="77777777" w:rsidR="00340780" w:rsidRDefault="00340780" w:rsidP="00340780">
      <w:pPr>
        <w:ind w:left="0" w:firstLine="0"/>
      </w:pPr>
      <w:r>
        <w:t>The authors' conclusions are reasonable but considerable clinical diversity in the included studies causes some uncertainty as to their generalizability. This systematic review involving 36 randomized controlled trials (RCT) (n=3790) (mean age 74 years; 83% of trials in patients &gt;65 years) and a series of meta-analyses of high protein ONS (&gt;20% energy from protein) demonstrated a range of effects across settings and patient groups in favor of the high protein ONS group.</w:t>
      </w:r>
    </w:p>
    <w:p w14:paraId="06B51642" w14:textId="77777777" w:rsidR="00340780" w:rsidRDefault="00340780" w:rsidP="00340780">
      <w:pPr>
        <w:ind w:left="0" w:firstLine="0"/>
      </w:pPr>
    </w:p>
    <w:p w14:paraId="6C2391EE" w14:textId="77777777" w:rsidR="00340780" w:rsidRDefault="00340780" w:rsidP="00340780">
      <w:pPr>
        <w:ind w:left="0" w:firstLine="0"/>
      </w:pPr>
      <w:r>
        <w:t xml:space="preserve">The outcomes analyzed in this meta-analysis support the conclusions made in the systematic review and guideline cited above which include reduced complications (odds ratio (OR) 0.68 (95%CI 0.55-0.83), p&lt;0.001, 10 RCT, n=1830); reduced readmissions to hospital (OR 0.59 (95%CI 0.41-0.84), p=0.004, 2 RCT, n=546). </w:t>
      </w:r>
    </w:p>
    <w:p w14:paraId="2BA23AE4" w14:textId="77777777" w:rsidR="00340780" w:rsidRDefault="00340780" w:rsidP="00340780">
      <w:pPr>
        <w:ind w:left="0" w:firstLine="0"/>
        <w:rPr>
          <w:rStyle w:val="apple-converted-space"/>
          <w:rFonts w:cs="Arial"/>
          <w:color w:val="000000" w:themeColor="text1"/>
        </w:rPr>
      </w:pPr>
    </w:p>
    <w:p w14:paraId="09BA182B" w14:textId="77777777" w:rsidR="00340780" w:rsidRDefault="00340780" w:rsidP="00340780">
      <w:pPr>
        <w:ind w:left="0" w:firstLine="0"/>
        <w:rPr>
          <w:rStyle w:val="apple-converted-space"/>
          <w:rFonts w:cs="Arial"/>
          <w:color w:val="000000" w:themeColor="text1"/>
        </w:rPr>
      </w:pPr>
    </w:p>
    <w:p w14:paraId="433DED35" w14:textId="77777777" w:rsidR="00340780" w:rsidRPr="00713780" w:rsidRDefault="00340780" w:rsidP="00340780">
      <w:pPr>
        <w:ind w:left="0" w:firstLine="0"/>
        <w:rPr>
          <w:rStyle w:val="apple-converted-space"/>
          <w:rFonts w:cs="Arial"/>
          <w:b/>
          <w:bCs/>
          <w:color w:val="000000" w:themeColor="text1"/>
        </w:rPr>
      </w:pPr>
      <w:proofErr w:type="spellStart"/>
      <w:r w:rsidRPr="00713780">
        <w:rPr>
          <w:rStyle w:val="apple-converted-space"/>
          <w:rFonts w:cs="Arial"/>
          <w:b/>
          <w:bCs/>
          <w:color w:val="000000" w:themeColor="text1"/>
        </w:rPr>
        <w:t>Somanchi</w:t>
      </w:r>
      <w:proofErr w:type="spellEnd"/>
      <w:r w:rsidRPr="00713780">
        <w:rPr>
          <w:rStyle w:val="apple-converted-space"/>
          <w:rFonts w:cs="Arial"/>
          <w:b/>
          <w:bCs/>
          <w:color w:val="000000" w:themeColor="text1"/>
        </w:rPr>
        <w:t xml:space="preserve"> M et al. The facilitated early enteral and dietary management effectiveness trial in hospitalized patients with malnutrition. JPEN 2011 Mar;35(2):209-16.</w:t>
      </w:r>
    </w:p>
    <w:p w14:paraId="39C1DDF3" w14:textId="77777777" w:rsidR="00340780" w:rsidRPr="00713780" w:rsidRDefault="00340780" w:rsidP="00340780">
      <w:pPr>
        <w:ind w:left="0" w:firstLine="0"/>
        <w:rPr>
          <w:rStyle w:val="apple-converted-space"/>
          <w:rFonts w:cs="Arial"/>
          <w:b/>
          <w:bCs/>
          <w:color w:val="000000" w:themeColor="text1"/>
        </w:rPr>
      </w:pPr>
    </w:p>
    <w:p w14:paraId="5D6C88FE" w14:textId="77777777" w:rsidR="00340780" w:rsidRPr="00713780" w:rsidRDefault="00340780" w:rsidP="00340780">
      <w:pPr>
        <w:ind w:left="0" w:firstLine="0"/>
        <w:rPr>
          <w:rStyle w:val="apple-converted-space"/>
          <w:rFonts w:cs="Arial"/>
          <w:color w:val="000000" w:themeColor="text1"/>
        </w:rPr>
      </w:pPr>
      <w:r w:rsidRPr="00713780">
        <w:rPr>
          <w:rStyle w:val="apple-converted-space"/>
          <w:rFonts w:cs="Arial"/>
          <w:color w:val="000000" w:themeColor="text1"/>
        </w:rPr>
        <w:t>A retrospective cohort analysis using demographic data, anthropometric measurements, LOS, and serum albumin levels were collected from 400 patients in 2 medical wards to determine the prevalence of malnutrition and potential delays in nutrition consultation. Based on these results, a nutrition intervention study was conducted in 1 ward; the other ward served as a control. Patients were classified as normally nourished or malnourished. Multivariate general linear regressions were used to reveal the impact of intervention on the change in LOS, controlling for other potential confounding factors on the cohort and a subset with severe malnutrition.</w:t>
      </w:r>
    </w:p>
    <w:p w14:paraId="27D070AF" w14:textId="77777777" w:rsidR="00340780" w:rsidRPr="00713780" w:rsidRDefault="00340780" w:rsidP="00340780">
      <w:pPr>
        <w:ind w:left="0" w:firstLine="0"/>
        <w:rPr>
          <w:rStyle w:val="apple-converted-space"/>
          <w:rFonts w:cs="Arial"/>
          <w:color w:val="000000" w:themeColor="text1"/>
        </w:rPr>
      </w:pPr>
    </w:p>
    <w:p w14:paraId="027FBF72" w14:textId="77777777" w:rsidR="00340780" w:rsidRDefault="00340780" w:rsidP="00340780">
      <w:pPr>
        <w:ind w:left="0" w:firstLine="0"/>
        <w:rPr>
          <w:rStyle w:val="apple-converted-space"/>
          <w:rFonts w:cs="Arial"/>
          <w:color w:val="000000" w:themeColor="text1"/>
        </w:rPr>
      </w:pPr>
      <w:r w:rsidRPr="00713780">
        <w:rPr>
          <w:rStyle w:val="apple-converted-space"/>
          <w:rFonts w:cs="Arial"/>
          <w:color w:val="000000" w:themeColor="text1"/>
        </w:rPr>
        <w:t xml:space="preserve">Of the 400 patients assessed, 53% had malnutrition. Multiple general linear regressions showed that nutrition intervention reduced LOS an average of 1.93 days in the cohort group and 3.2 days in the severe malnourished group. Case mix index and female gender were positively associated with LOS in the </w:t>
      </w:r>
      <w:r w:rsidRPr="00713780">
        <w:rPr>
          <w:rStyle w:val="apple-converted-space"/>
          <w:rFonts w:cs="Arial"/>
        </w:rPr>
        <w:t>malnourished group. Nutrition intervention reduced the delays in implementing nutrition support to patients by 47%.</w:t>
      </w:r>
    </w:p>
    <w:p w14:paraId="79E03208" w14:textId="77777777" w:rsidR="00340780" w:rsidRDefault="00340780" w:rsidP="00340780">
      <w:pPr>
        <w:ind w:left="0" w:firstLine="0"/>
        <w:rPr>
          <w:rStyle w:val="apple-converted-space"/>
          <w:rFonts w:cs="Arial"/>
          <w:color w:val="000000" w:themeColor="text1"/>
        </w:rPr>
      </w:pPr>
    </w:p>
    <w:p w14:paraId="28EC50E6" w14:textId="77777777" w:rsidR="00340780" w:rsidRDefault="00340780" w:rsidP="00340780">
      <w:pPr>
        <w:ind w:left="0" w:firstLine="0"/>
        <w:rPr>
          <w:rFonts w:ascii="Calibri" w:eastAsia="Times New Roman" w:hAnsi="Calibri" w:cs="Calibri"/>
          <w:color w:val="000000"/>
          <w:sz w:val="20"/>
          <w:szCs w:val="20"/>
        </w:rPr>
      </w:pPr>
    </w:p>
    <w:p w14:paraId="0CE85901" w14:textId="77777777" w:rsidR="00340780" w:rsidRPr="00E03385" w:rsidRDefault="00340780" w:rsidP="00340780">
      <w:pPr>
        <w:ind w:left="0" w:firstLine="0"/>
        <w:rPr>
          <w:rFonts w:ascii="Calibri" w:eastAsia="Times New Roman" w:hAnsi="Calibri" w:cs="Calibri"/>
          <w:b/>
          <w:bCs/>
        </w:rPr>
      </w:pPr>
      <w:r w:rsidRPr="00E03385">
        <w:rPr>
          <w:rFonts w:ascii="Calibri" w:eastAsia="Times New Roman" w:hAnsi="Calibri" w:cs="Calibri"/>
          <w:b/>
          <w:bCs/>
        </w:rPr>
        <w:lastRenderedPageBreak/>
        <w:t xml:space="preserve">Weiss AJ, </w:t>
      </w:r>
      <w:proofErr w:type="spellStart"/>
      <w:r w:rsidRPr="00E03385">
        <w:rPr>
          <w:rFonts w:ascii="Calibri" w:eastAsia="Times New Roman" w:hAnsi="Calibri" w:cs="Calibri"/>
          <w:b/>
          <w:bCs/>
        </w:rPr>
        <w:t>Fingar</w:t>
      </w:r>
      <w:proofErr w:type="spellEnd"/>
      <w:r w:rsidRPr="00E03385">
        <w:rPr>
          <w:rFonts w:ascii="Calibri" w:eastAsia="Times New Roman" w:hAnsi="Calibri" w:cs="Calibri"/>
          <w:b/>
          <w:bCs/>
        </w:rPr>
        <w:t xml:space="preserve"> KR, Barrett ML, </w:t>
      </w:r>
      <w:proofErr w:type="spellStart"/>
      <w:r w:rsidRPr="00E03385">
        <w:rPr>
          <w:rFonts w:ascii="Calibri" w:eastAsia="Times New Roman" w:hAnsi="Calibri" w:cs="Calibri"/>
          <w:b/>
          <w:bCs/>
        </w:rPr>
        <w:t>Elixhauser</w:t>
      </w:r>
      <w:proofErr w:type="spellEnd"/>
      <w:r w:rsidRPr="00E03385">
        <w:rPr>
          <w:rFonts w:ascii="Calibri" w:eastAsia="Times New Roman" w:hAnsi="Calibri" w:cs="Calibri"/>
          <w:b/>
          <w:bCs/>
        </w:rPr>
        <w:t xml:space="preserve"> A, Steiner CA, Guenter P, Brown MH. Characteristics of Hospital Stays Involving Malnutrition, 2013. HCUP Statistical Brief #210. September 2016. Agency for Healthcare Research and Quality, Rockville, MD.</w:t>
      </w:r>
    </w:p>
    <w:p w14:paraId="48AB3FD9" w14:textId="77777777" w:rsidR="00340780" w:rsidRPr="00E03385" w:rsidRDefault="00340780" w:rsidP="00340780">
      <w:pPr>
        <w:ind w:left="0" w:firstLine="0"/>
        <w:rPr>
          <w:rFonts w:ascii="Calibri" w:eastAsia="Times New Roman" w:hAnsi="Calibri" w:cs="Calibri"/>
          <w:b/>
          <w:bCs/>
        </w:rPr>
      </w:pPr>
    </w:p>
    <w:p w14:paraId="6CBD426B" w14:textId="77777777" w:rsidR="00340780" w:rsidRPr="00E03385" w:rsidRDefault="00340780" w:rsidP="00340780">
      <w:pPr>
        <w:ind w:left="0" w:firstLine="0"/>
        <w:rPr>
          <w:rFonts w:ascii="Calibri" w:eastAsia="Times New Roman" w:hAnsi="Calibri" w:cs="Calibri"/>
        </w:rPr>
      </w:pPr>
      <w:r w:rsidRPr="00E03385">
        <w:rPr>
          <w:rFonts w:ascii="Calibri" w:eastAsia="Times New Roman" w:hAnsi="Calibri" w:cs="Calibri"/>
        </w:rPr>
        <w:t xml:space="preserve">Healthcare Cost and Utilization Project (HCUP) Statistical Brief presents national estimates on the characteristics of malnutrition reported during nonmaternal and </w:t>
      </w:r>
      <w:proofErr w:type="spellStart"/>
      <w:r w:rsidRPr="00E03385">
        <w:rPr>
          <w:rFonts w:ascii="Calibri" w:eastAsia="Times New Roman" w:hAnsi="Calibri" w:cs="Calibri"/>
        </w:rPr>
        <w:t>nonneonatal</w:t>
      </w:r>
      <w:proofErr w:type="spellEnd"/>
      <w:r w:rsidRPr="00E03385">
        <w:rPr>
          <w:rFonts w:ascii="Calibri" w:eastAsia="Times New Roman" w:hAnsi="Calibri" w:cs="Calibri"/>
        </w:rPr>
        <w:t xml:space="preserve"> hospital inpatient stays in 2013. Although malnutrition can include high caloric intake associated with overweight and obesity when defined broadly as nutritional imbalance, this Statistical Brief examines undernutrition only.</w:t>
      </w:r>
    </w:p>
    <w:p w14:paraId="33A9F3DD" w14:textId="77777777" w:rsidR="00340780" w:rsidRPr="00E03385" w:rsidRDefault="00340780" w:rsidP="00340780">
      <w:pPr>
        <w:ind w:left="0" w:firstLine="0"/>
        <w:rPr>
          <w:rFonts w:ascii="Calibri" w:eastAsia="Times New Roman" w:hAnsi="Calibri" w:cs="Calibri"/>
        </w:rPr>
      </w:pPr>
    </w:p>
    <w:p w14:paraId="19FD3BD4" w14:textId="77777777" w:rsidR="00340780" w:rsidRPr="00E03385" w:rsidRDefault="00340780" w:rsidP="00340780">
      <w:pPr>
        <w:ind w:left="0" w:firstLine="0"/>
        <w:rPr>
          <w:rFonts w:ascii="Calibri" w:eastAsia="Times New Roman" w:hAnsi="Calibri" w:cs="Calibri"/>
        </w:rPr>
      </w:pPr>
      <w:r w:rsidRPr="00E03385">
        <w:rPr>
          <w:rFonts w:ascii="Calibri" w:eastAsia="Times New Roman" w:hAnsi="Calibri" w:cs="Calibri"/>
        </w:rPr>
        <w:t xml:space="preserve">Association of a malnutrition diagnosis with up to 5x risk of in-hospital mortality, up to 2x higher hospital costs, up to 2x longer length of stay. Average hospital costs were higher for stays involving protein-calorie malnutrition ($25,200) and postsurgical </w:t>
      </w:r>
      <w:proofErr w:type="spellStart"/>
      <w:r w:rsidRPr="00E03385">
        <w:rPr>
          <w:rFonts w:ascii="Calibri" w:eastAsia="Times New Roman" w:hAnsi="Calibri" w:cs="Calibri"/>
        </w:rPr>
        <w:t>nonabsorption</w:t>
      </w:r>
      <w:proofErr w:type="spellEnd"/>
      <w:r w:rsidRPr="00E03385">
        <w:rPr>
          <w:rFonts w:ascii="Calibri" w:eastAsia="Times New Roman" w:hAnsi="Calibri" w:cs="Calibri"/>
        </w:rPr>
        <w:t xml:space="preserve"> ($23,000) than for other stays without malnutrition ($12,500).</w:t>
      </w:r>
    </w:p>
    <w:p w14:paraId="22ED05FD" w14:textId="77777777" w:rsidR="00340780" w:rsidRPr="00E03385" w:rsidRDefault="00340780" w:rsidP="00340780">
      <w:pPr>
        <w:ind w:left="0" w:firstLine="0"/>
        <w:rPr>
          <w:rFonts w:ascii="Calibri" w:eastAsia="Times New Roman" w:hAnsi="Calibri" w:cs="Calibri"/>
          <w:b/>
          <w:bCs/>
        </w:rPr>
      </w:pPr>
    </w:p>
    <w:p w14:paraId="7A0B89CE" w14:textId="77777777" w:rsidR="00340780" w:rsidRPr="00E03385" w:rsidRDefault="00340780" w:rsidP="00340780">
      <w:pPr>
        <w:ind w:left="0" w:firstLine="0"/>
        <w:rPr>
          <w:rFonts w:ascii="Calibri" w:eastAsia="Times New Roman" w:hAnsi="Calibri" w:cs="Calibri"/>
          <w:b/>
          <w:bCs/>
        </w:rPr>
      </w:pPr>
      <w:proofErr w:type="spellStart"/>
      <w:r w:rsidRPr="00E03385">
        <w:rPr>
          <w:rFonts w:ascii="Calibri" w:eastAsia="Times New Roman" w:hAnsi="Calibri" w:cs="Calibri"/>
          <w:b/>
          <w:bCs/>
        </w:rPr>
        <w:t>Fingar</w:t>
      </w:r>
      <w:proofErr w:type="spellEnd"/>
      <w:r w:rsidRPr="00E03385">
        <w:rPr>
          <w:rFonts w:ascii="Calibri" w:eastAsia="Times New Roman" w:hAnsi="Calibri" w:cs="Calibri"/>
          <w:b/>
          <w:bCs/>
        </w:rPr>
        <w:t xml:space="preserve"> KR, et al. Statistical Brief #281: All-Cause Readmissions Following Hospital Stays for Patients With Malnutrition, 2013. Agency for Healthcare Research and Quality, Healthcare Cost and Utilization Project. September 2016.</w:t>
      </w:r>
    </w:p>
    <w:p w14:paraId="27B2AE4E" w14:textId="77777777" w:rsidR="00340780" w:rsidRPr="00E03385" w:rsidRDefault="00340780" w:rsidP="00340780">
      <w:pPr>
        <w:ind w:left="0" w:firstLine="0"/>
        <w:rPr>
          <w:rFonts w:ascii="Calibri" w:eastAsia="Times New Roman" w:hAnsi="Calibri" w:cs="Calibri"/>
          <w:b/>
          <w:bCs/>
        </w:rPr>
      </w:pPr>
    </w:p>
    <w:p w14:paraId="0CD5B397" w14:textId="77777777" w:rsidR="00340780" w:rsidRPr="00E03385" w:rsidRDefault="00340780" w:rsidP="00340780">
      <w:pPr>
        <w:ind w:left="0" w:firstLine="0"/>
        <w:rPr>
          <w:rFonts w:ascii="Calibri" w:eastAsia="Times New Roman" w:hAnsi="Calibri" w:cs="Calibri"/>
          <w:color w:val="000000"/>
        </w:rPr>
      </w:pPr>
      <w:r w:rsidRPr="00E03385">
        <w:rPr>
          <w:rFonts w:ascii="Calibri" w:eastAsia="Times New Roman" w:hAnsi="Calibri" w:cs="Calibri"/>
          <w:color w:val="000000"/>
        </w:rPr>
        <w:t xml:space="preserve">Healthcare Cost and Utilization Project (HCUP) Statistical Brief supplements a 2013 HCUP Statistical Brief that describes inpatient hospital stays among patients with six types of malnutrition: postsurgical </w:t>
      </w:r>
      <w:proofErr w:type="spellStart"/>
      <w:r w:rsidRPr="00E03385">
        <w:rPr>
          <w:rFonts w:ascii="Calibri" w:eastAsia="Times New Roman" w:hAnsi="Calibri" w:cs="Calibri"/>
          <w:color w:val="000000"/>
        </w:rPr>
        <w:t>nonabsorption</w:t>
      </w:r>
      <w:proofErr w:type="spellEnd"/>
      <w:r w:rsidRPr="00E03385">
        <w:rPr>
          <w:rFonts w:ascii="Calibri" w:eastAsia="Times New Roman" w:hAnsi="Calibri" w:cs="Calibri"/>
          <w:color w:val="000000"/>
        </w:rPr>
        <w:t>, nutritional neglect, cachexia, protein-calorie malnutrition, weight loss or failure to thrive, and underweight. The current Statistical Brief presents additional information on the all-cause 30-day rate of readmissions following an initial inpatient hospital stay for patients with malnutrition in the United States in 2013, following the same typology of malnutrition presented in the earlier Statistical Brief.</w:t>
      </w:r>
    </w:p>
    <w:p w14:paraId="7D5765BE" w14:textId="77777777" w:rsidR="00340780" w:rsidRDefault="00340780" w:rsidP="00340780">
      <w:pPr>
        <w:ind w:left="0" w:firstLine="0"/>
        <w:rPr>
          <w:rFonts w:ascii="Calibri" w:eastAsia="Times New Roman" w:hAnsi="Calibri" w:cs="Calibri"/>
          <w:color w:val="000000"/>
          <w:sz w:val="20"/>
          <w:szCs w:val="20"/>
        </w:rPr>
      </w:pPr>
    </w:p>
    <w:p w14:paraId="1CE72B94" w14:textId="77777777" w:rsidR="00340780" w:rsidRPr="00E03385" w:rsidRDefault="00340780" w:rsidP="00340780">
      <w:pPr>
        <w:ind w:left="0" w:firstLine="0"/>
        <w:rPr>
          <w:rFonts w:ascii="Calibri" w:eastAsia="Times New Roman" w:hAnsi="Calibri" w:cs="Calibri"/>
          <w:color w:val="000000"/>
        </w:rPr>
      </w:pPr>
      <w:r w:rsidRPr="00E03385">
        <w:rPr>
          <w:rFonts w:ascii="Calibri" w:eastAsia="Times New Roman" w:hAnsi="Calibri" w:cs="Calibri"/>
          <w:color w:val="000000"/>
        </w:rPr>
        <w:t xml:space="preserve">In 2013, the all-cause 30-day readmission rate for patients with malnutrition was 23.0 per 100, compared with 14.9 per 100 for patients without malnutrition. The average cost per readmission was $16,900 for patients with protein-calorie malnutrition during an index stay and $17,900 for patients with postsurgical </w:t>
      </w:r>
      <w:proofErr w:type="spellStart"/>
      <w:r w:rsidRPr="00E03385">
        <w:rPr>
          <w:rFonts w:ascii="Calibri" w:eastAsia="Times New Roman" w:hAnsi="Calibri" w:cs="Calibri"/>
          <w:color w:val="000000"/>
        </w:rPr>
        <w:t>nonabsorption</w:t>
      </w:r>
      <w:proofErr w:type="spellEnd"/>
      <w:r w:rsidRPr="00E03385">
        <w:rPr>
          <w:rFonts w:ascii="Calibri" w:eastAsia="Times New Roman" w:hAnsi="Calibri" w:cs="Calibri"/>
          <w:color w:val="000000"/>
        </w:rPr>
        <w:t>—26 and 34 percent higher, respectively, than the readmission cost for patients without malnutrition during an index stay ($13,400).</w:t>
      </w:r>
    </w:p>
    <w:p w14:paraId="6B7F827D" w14:textId="77777777" w:rsidR="00340780" w:rsidRPr="00713780" w:rsidRDefault="00340780" w:rsidP="00340780">
      <w:pPr>
        <w:ind w:left="0" w:firstLine="0"/>
        <w:rPr>
          <w:rFonts w:ascii="Calibri" w:eastAsia="Times New Roman" w:hAnsi="Calibri" w:cs="Calibri"/>
          <w:b/>
          <w:bCs/>
          <w:color w:val="000000"/>
          <w:sz w:val="20"/>
          <w:szCs w:val="20"/>
        </w:rPr>
      </w:pPr>
    </w:p>
    <w:p w14:paraId="15BDD852" w14:textId="77777777" w:rsidR="00340780" w:rsidRDefault="00340780" w:rsidP="00340780">
      <w:pPr>
        <w:ind w:left="0" w:firstLine="0"/>
        <w:rPr>
          <w:rFonts w:ascii="Calibri" w:eastAsia="Times New Roman" w:hAnsi="Calibri" w:cs="Calibri"/>
          <w:b/>
          <w:bCs/>
          <w:color w:val="000000"/>
        </w:rPr>
      </w:pPr>
      <w:r w:rsidRPr="008F5AC1">
        <w:rPr>
          <w:rFonts w:ascii="Calibri" w:eastAsia="Times New Roman" w:hAnsi="Calibri" w:cs="Calibri"/>
          <w:b/>
          <w:bCs/>
          <w:color w:val="000000"/>
          <w:lang w:val="es-US"/>
        </w:rPr>
        <w:t xml:space="preserve">Deutz NE, Matheson EM, </w:t>
      </w:r>
      <w:proofErr w:type="spellStart"/>
      <w:r w:rsidRPr="008F5AC1">
        <w:rPr>
          <w:rFonts w:ascii="Calibri" w:eastAsia="Times New Roman" w:hAnsi="Calibri" w:cs="Calibri"/>
          <w:b/>
          <w:bCs/>
          <w:color w:val="000000"/>
          <w:lang w:val="es-US"/>
        </w:rPr>
        <w:t>Matarese</w:t>
      </w:r>
      <w:proofErr w:type="spellEnd"/>
      <w:r w:rsidRPr="008F5AC1">
        <w:rPr>
          <w:rFonts w:ascii="Calibri" w:eastAsia="Times New Roman" w:hAnsi="Calibri" w:cs="Calibri"/>
          <w:b/>
          <w:bCs/>
          <w:color w:val="000000"/>
          <w:lang w:val="es-US"/>
        </w:rPr>
        <w:t xml:space="preserve"> LE, et al. </w:t>
      </w:r>
      <w:r w:rsidRPr="003C3AB0">
        <w:rPr>
          <w:rFonts w:ascii="Calibri" w:eastAsia="Times New Roman" w:hAnsi="Calibri" w:cs="Calibri"/>
          <w:b/>
          <w:bCs/>
          <w:color w:val="000000"/>
        </w:rPr>
        <w:t>Readmission and mortality in malnourished, older, hospitalized adults treated with a specialized oral nutritional supplement: A randomized clinical trial. Clinical nutrition (Edinburgh, Scotland). 2016;35(1):18-26.</w:t>
      </w:r>
    </w:p>
    <w:p w14:paraId="2F206C46" w14:textId="77777777" w:rsidR="00340780" w:rsidRDefault="00340780" w:rsidP="00340780">
      <w:pPr>
        <w:ind w:left="0" w:firstLine="0"/>
        <w:rPr>
          <w:rFonts w:ascii="Calibri" w:eastAsia="Times New Roman" w:hAnsi="Calibri" w:cs="Calibri"/>
          <w:b/>
          <w:bCs/>
          <w:color w:val="000000"/>
        </w:rPr>
      </w:pPr>
    </w:p>
    <w:p w14:paraId="09E692E6" w14:textId="77777777" w:rsidR="00340780" w:rsidRDefault="00340780" w:rsidP="00340780">
      <w:pPr>
        <w:ind w:left="0" w:firstLine="0"/>
        <w:rPr>
          <w:rFonts w:ascii="Calibri" w:eastAsia="Times New Roman" w:hAnsi="Calibri" w:cs="Calibri"/>
          <w:color w:val="000000"/>
        </w:rPr>
      </w:pPr>
      <w:r w:rsidRPr="00E03385">
        <w:rPr>
          <w:rFonts w:ascii="Calibri" w:eastAsia="Times New Roman" w:hAnsi="Calibri" w:cs="Calibri"/>
          <w:color w:val="000000"/>
        </w:rPr>
        <w:t>Patients found at-risk from screening and subsequently assessed for malnutrition (per S</w:t>
      </w:r>
      <w:r>
        <w:rPr>
          <w:rFonts w:ascii="Calibri" w:eastAsia="Times New Roman" w:hAnsi="Calibri" w:cs="Calibri"/>
          <w:color w:val="000000"/>
        </w:rPr>
        <w:t xml:space="preserve">ubjective </w:t>
      </w:r>
      <w:r w:rsidRPr="00E03385">
        <w:rPr>
          <w:rFonts w:ascii="Calibri" w:eastAsia="Times New Roman" w:hAnsi="Calibri" w:cs="Calibri"/>
          <w:color w:val="000000"/>
        </w:rPr>
        <w:t>G</w:t>
      </w:r>
      <w:r>
        <w:rPr>
          <w:rFonts w:ascii="Calibri" w:eastAsia="Times New Roman" w:hAnsi="Calibri" w:cs="Calibri"/>
          <w:color w:val="000000"/>
        </w:rPr>
        <w:t xml:space="preserve">lobal </w:t>
      </w:r>
      <w:r w:rsidRPr="00E03385">
        <w:rPr>
          <w:rFonts w:ascii="Calibri" w:eastAsia="Times New Roman" w:hAnsi="Calibri" w:cs="Calibri"/>
          <w:color w:val="000000"/>
        </w:rPr>
        <w:t>A</w:t>
      </w:r>
      <w:r>
        <w:rPr>
          <w:rFonts w:ascii="Calibri" w:eastAsia="Times New Roman" w:hAnsi="Calibri" w:cs="Calibri"/>
          <w:color w:val="000000"/>
        </w:rPr>
        <w:t>ssessment</w:t>
      </w:r>
      <w:r w:rsidRPr="00E03385">
        <w:rPr>
          <w:rFonts w:ascii="Calibri" w:eastAsia="Times New Roman" w:hAnsi="Calibri" w:cs="Calibri"/>
          <w:color w:val="000000"/>
        </w:rPr>
        <w:t xml:space="preserve">), malnourished received nutrition support which was associated with decreased 30, 60, 90-day mortality.  The primary composite endpoint was similar between </w:t>
      </w:r>
      <w:r w:rsidRPr="00D67AD9">
        <w:rPr>
          <w:rFonts w:ascii="Calibri" w:eastAsia="Times New Roman" w:hAnsi="Calibri" w:cs="Calibri"/>
          <w:color w:val="000000"/>
        </w:rPr>
        <w:t xml:space="preserve">high-protein oral nutritional supplement </w:t>
      </w:r>
      <w:r>
        <w:rPr>
          <w:rFonts w:ascii="Calibri" w:eastAsia="Times New Roman" w:hAnsi="Calibri" w:cs="Calibri"/>
          <w:color w:val="000000"/>
        </w:rPr>
        <w:t>(</w:t>
      </w:r>
      <w:r w:rsidRPr="00E03385">
        <w:rPr>
          <w:rFonts w:ascii="Calibri" w:eastAsia="Times New Roman" w:hAnsi="Calibri" w:cs="Calibri"/>
          <w:color w:val="000000"/>
        </w:rPr>
        <w:t>HP-HMB</w:t>
      </w:r>
      <w:r>
        <w:rPr>
          <w:rFonts w:ascii="Calibri" w:eastAsia="Times New Roman" w:hAnsi="Calibri" w:cs="Calibri"/>
          <w:color w:val="000000"/>
        </w:rPr>
        <w:t>)</w:t>
      </w:r>
      <w:r w:rsidRPr="00E03385">
        <w:rPr>
          <w:rFonts w:ascii="Calibri" w:eastAsia="Times New Roman" w:hAnsi="Calibri" w:cs="Calibri"/>
          <w:color w:val="000000"/>
        </w:rPr>
        <w:t xml:space="preserve"> (26.8%) and placebo (31.1%). No between-group differences were observed for 90-day readmission rate, but 90-day mortality was significantly lower with HP-HMB relative to placebo (4.8% vs. 9.7%; relative risk 0.49, 95% confidence interval [CI], 0.27 to 0.90; p = 0.018). The number-needed-to-treat to prevent 1 death was 20.3 (95% CI: 10.9, 121.4). Compared with placebo, HP-HMB resulted in improved odds of better nutritional status (SGA class, OR, 2.04, 95% CI: 1.28, 3.25, p = 0.009) at day 90, and an increase in body weight at day 30 (p = 0.035). </w:t>
      </w:r>
    </w:p>
    <w:p w14:paraId="6D9E3062" w14:textId="77777777" w:rsidR="00340780" w:rsidRDefault="00340780" w:rsidP="00340780">
      <w:pPr>
        <w:ind w:left="0" w:firstLine="0"/>
        <w:rPr>
          <w:rFonts w:ascii="Calibri" w:eastAsia="Times New Roman" w:hAnsi="Calibri" w:cs="Calibri"/>
          <w:color w:val="000000"/>
        </w:rPr>
      </w:pPr>
    </w:p>
    <w:p w14:paraId="68B30D98" w14:textId="77777777" w:rsidR="00340780" w:rsidRPr="00E03385" w:rsidRDefault="00340780" w:rsidP="00340780">
      <w:pPr>
        <w:ind w:left="0" w:firstLine="0"/>
        <w:rPr>
          <w:rFonts w:ascii="Calibri" w:eastAsia="Times New Roman" w:hAnsi="Calibri" w:cs="Calibri"/>
          <w:color w:val="000000"/>
        </w:rPr>
      </w:pPr>
      <w:r>
        <w:rPr>
          <w:rFonts w:ascii="Calibri" w:eastAsia="Times New Roman" w:hAnsi="Calibri" w:cs="Calibri"/>
          <w:color w:val="000000"/>
        </w:rPr>
        <w:t xml:space="preserve">The study found that </w:t>
      </w:r>
      <w:r w:rsidRPr="00D67AD9">
        <w:rPr>
          <w:rFonts w:ascii="Calibri" w:eastAsia="Times New Roman" w:hAnsi="Calibri" w:cs="Calibri"/>
          <w:color w:val="000000"/>
        </w:rPr>
        <w:t>compared with placebo HP-HMB decreased mortality and improved indices of nutritional status during the 90-day observation period.</w:t>
      </w:r>
    </w:p>
    <w:p w14:paraId="381D72EF" w14:textId="77777777" w:rsidR="00340780" w:rsidRDefault="00340780" w:rsidP="00340780">
      <w:pPr>
        <w:ind w:left="0" w:firstLine="0"/>
        <w:rPr>
          <w:rFonts w:ascii="Calibri" w:eastAsia="Times New Roman" w:hAnsi="Calibri" w:cs="Calibri"/>
          <w:b/>
          <w:bCs/>
          <w:color w:val="000000"/>
        </w:rPr>
      </w:pPr>
    </w:p>
    <w:p w14:paraId="5CCF182F" w14:textId="77777777" w:rsidR="00340780" w:rsidRPr="00E03385" w:rsidRDefault="00340780" w:rsidP="00340780">
      <w:pPr>
        <w:ind w:left="0" w:firstLine="0"/>
        <w:rPr>
          <w:rFonts w:ascii="Calibri" w:eastAsia="Times New Roman" w:hAnsi="Calibri" w:cs="Calibri"/>
          <w:b/>
          <w:bCs/>
          <w:color w:val="000000"/>
        </w:rPr>
      </w:pPr>
      <w:proofErr w:type="spellStart"/>
      <w:r w:rsidRPr="00E03385">
        <w:rPr>
          <w:rFonts w:ascii="Calibri" w:eastAsia="Times New Roman" w:hAnsi="Calibri" w:cs="Calibri"/>
          <w:b/>
          <w:bCs/>
          <w:color w:val="000000"/>
        </w:rPr>
        <w:t>Corkins</w:t>
      </w:r>
      <w:proofErr w:type="spellEnd"/>
      <w:r w:rsidRPr="00E03385">
        <w:rPr>
          <w:rFonts w:ascii="Calibri" w:eastAsia="Times New Roman" w:hAnsi="Calibri" w:cs="Calibri"/>
          <w:b/>
          <w:bCs/>
          <w:color w:val="000000"/>
        </w:rPr>
        <w:t xml:space="preserve">  MR et al. Malnutrition diagnoses in hospitalized patients: United States, 2010.2014 Feb;38(2):186-95.</w:t>
      </w:r>
    </w:p>
    <w:p w14:paraId="0FDFA95B" w14:textId="77777777" w:rsidR="00340780" w:rsidRPr="00E03385" w:rsidRDefault="00340780" w:rsidP="00340780">
      <w:pPr>
        <w:ind w:left="0" w:firstLine="0"/>
        <w:rPr>
          <w:rFonts w:ascii="Calibri" w:eastAsia="Times New Roman" w:hAnsi="Calibri" w:cs="Calibri"/>
          <w:b/>
          <w:bCs/>
          <w:color w:val="000000"/>
        </w:rPr>
      </w:pPr>
    </w:p>
    <w:p w14:paraId="1270B937" w14:textId="77777777" w:rsidR="00340780" w:rsidRPr="00E03385" w:rsidRDefault="00340780" w:rsidP="00340780">
      <w:pPr>
        <w:ind w:left="0" w:firstLine="0"/>
        <w:rPr>
          <w:rFonts w:ascii="Calibri" w:eastAsia="Times New Roman" w:hAnsi="Calibri" w:cs="Calibri"/>
          <w:color w:val="000000"/>
        </w:rPr>
      </w:pPr>
      <w:r w:rsidRPr="00E03385">
        <w:rPr>
          <w:rFonts w:ascii="Calibri" w:eastAsia="Times New Roman" w:hAnsi="Calibri" w:cs="Calibri"/>
          <w:color w:val="000000"/>
        </w:rPr>
        <w:t>Examined data from the 2010 Healthcare Cost and Utilization Project (HCUP), the most recent nationally-representative data describing U.S. hospital discharges. Using ICD-9 codes, we constructed a composite variable indicating a diagnosis of malnutrition. 3.2% of all U.S. hospital discharges in 2010 had this diagnosis. Relative to patients without a malnutrition diagnosis, those with the diagnosis were older, had longer lengths of stay and incurred higher costs. These patients were more likely to have 27 of 29 comorbidities assessed in HCUP. Finally, discharge to home care was twice as common among malnourished patients, and a discharge of death was more than 5 times as common among patients with a malnutrition diagnosis. Taken together, these nationally representative, cross-sectional data indicate that hospitalized patients discharged with a diagnosis of malnutrition are older and sicker and their inpatient care is more expensive than their counterparts without this diagnosis.</w:t>
      </w:r>
    </w:p>
    <w:p w14:paraId="097E2C74" w14:textId="77777777" w:rsidR="00340780" w:rsidRDefault="00340780" w:rsidP="00340780">
      <w:pPr>
        <w:ind w:left="0" w:firstLine="0"/>
        <w:rPr>
          <w:b/>
          <w:bCs/>
          <w:caps/>
        </w:rPr>
      </w:pPr>
    </w:p>
    <w:p w14:paraId="487C1DD4" w14:textId="77777777" w:rsidR="00340780" w:rsidRPr="003B1CC5" w:rsidRDefault="00340780" w:rsidP="00340780">
      <w:pPr>
        <w:ind w:left="0" w:firstLine="0"/>
        <w:rPr>
          <w:b/>
          <w:color w:val="0070C0"/>
        </w:rPr>
      </w:pPr>
      <w:r w:rsidRPr="4E1B4D23">
        <w:rPr>
          <w:b/>
          <w:bCs/>
          <w:caps/>
        </w:rPr>
        <w:t>_________________________</w:t>
      </w:r>
    </w:p>
    <w:p w14:paraId="5C9136FD" w14:textId="77777777" w:rsidR="00340780" w:rsidRPr="004619D6" w:rsidRDefault="00340780" w:rsidP="00340780">
      <w:pPr>
        <w:ind w:left="0" w:firstLine="0"/>
        <w:rPr>
          <w:b/>
          <w:bCs/>
        </w:rPr>
      </w:pPr>
      <w:r w:rsidRPr="004619D6">
        <w:rPr>
          <w:b/>
          <w:bCs/>
        </w:rPr>
        <w:t>1a.4 OTHER SOURCE OF EVIDENCE</w:t>
      </w:r>
    </w:p>
    <w:p w14:paraId="49F7741B" w14:textId="77777777" w:rsidR="00340780" w:rsidRPr="004619D6" w:rsidRDefault="00340780" w:rsidP="00340780">
      <w:pPr>
        <w:ind w:left="0" w:firstLine="0"/>
      </w:pPr>
      <w:r w:rsidRPr="004619D6">
        <w:t>If source of evidence is NOT from a clinical practice guideline, USPSTF, or systematic review, please describe the evidence on which you are basing the performance measure.</w:t>
      </w:r>
    </w:p>
    <w:p w14:paraId="352E14BD" w14:textId="77777777" w:rsidR="00340780" w:rsidRPr="004619D6" w:rsidRDefault="00340780" w:rsidP="00340780">
      <w:pPr>
        <w:ind w:left="0" w:firstLine="0"/>
        <w:rPr>
          <w:b/>
          <w:bCs/>
        </w:rPr>
      </w:pPr>
    </w:p>
    <w:p w14:paraId="43DE63D6" w14:textId="77777777" w:rsidR="00340780" w:rsidRPr="004619D6" w:rsidRDefault="00340780" w:rsidP="00340780">
      <w:pPr>
        <w:ind w:left="0" w:firstLine="0"/>
        <w:rPr>
          <w:b/>
          <w:bCs/>
        </w:rPr>
      </w:pPr>
      <w:r w:rsidRPr="004619D6">
        <w:rPr>
          <w:b/>
          <w:bCs/>
        </w:rPr>
        <w:t xml:space="preserve">1a.4.1 Briefly SYNTHESIZE the evidence that supports the measure. </w:t>
      </w:r>
      <w:r w:rsidRPr="004619D6">
        <w:t>A list of references without a summary is not acceptable.</w:t>
      </w:r>
    </w:p>
    <w:p w14:paraId="45A8E607" w14:textId="77777777" w:rsidR="00340780" w:rsidRPr="004619D6" w:rsidRDefault="00340780" w:rsidP="00340780">
      <w:pPr>
        <w:ind w:left="0" w:firstLine="0"/>
        <w:rPr>
          <w:b/>
          <w:bCs/>
        </w:rPr>
      </w:pPr>
    </w:p>
    <w:p w14:paraId="7B8D79D9" w14:textId="77777777" w:rsidR="00340780" w:rsidRPr="004619D6" w:rsidRDefault="00340780" w:rsidP="00340780">
      <w:pPr>
        <w:ind w:left="0" w:firstLine="0"/>
        <w:rPr>
          <w:b/>
          <w:bCs/>
        </w:rPr>
      </w:pPr>
      <w:r w:rsidRPr="004619D6">
        <w:rPr>
          <w:b/>
          <w:bCs/>
        </w:rPr>
        <w:t xml:space="preserve">1a.4.2 What process was used to identify the evidence? </w:t>
      </w:r>
    </w:p>
    <w:p w14:paraId="7D887BD4" w14:textId="77777777" w:rsidR="00340780" w:rsidRPr="004619D6" w:rsidRDefault="00340780" w:rsidP="00340780">
      <w:pPr>
        <w:ind w:left="0" w:firstLine="0"/>
        <w:rPr>
          <w:b/>
          <w:bCs/>
        </w:rPr>
      </w:pPr>
    </w:p>
    <w:p w14:paraId="780379E9" w14:textId="77777777" w:rsidR="00340780" w:rsidRPr="004619D6" w:rsidRDefault="00340780" w:rsidP="00340780">
      <w:pPr>
        <w:ind w:left="0" w:firstLine="0"/>
        <w:rPr>
          <w:b/>
          <w:bCs/>
        </w:rPr>
      </w:pPr>
      <w:r w:rsidRPr="004619D6">
        <w:rPr>
          <w:b/>
          <w:bCs/>
        </w:rPr>
        <w:t>1a.4.3. Provide the citation(s) for the evidence.</w:t>
      </w:r>
    </w:p>
    <w:p w14:paraId="3868D043" w14:textId="77777777" w:rsidR="00340780" w:rsidRDefault="00340780" w:rsidP="00340780">
      <w:pPr>
        <w:ind w:left="0" w:firstLine="0"/>
        <w:rPr>
          <w:b/>
          <w:bCs/>
        </w:rPr>
      </w:pPr>
    </w:p>
    <w:p w14:paraId="2CF87CF4" w14:textId="4BBA9F15" w:rsidR="00595D45" w:rsidRDefault="00595D45">
      <w:r>
        <w:br w:type="page"/>
      </w:r>
    </w:p>
    <w:p w14:paraId="4FFD7085" w14:textId="77777777" w:rsidR="00595D45" w:rsidRPr="001A6D05" w:rsidRDefault="00595D45" w:rsidP="00595D45">
      <w:pPr>
        <w:jc w:val="center"/>
        <w:rPr>
          <w:b/>
          <w:noProof/>
          <w:sz w:val="24"/>
          <w:szCs w:val="24"/>
        </w:rPr>
      </w:pPr>
      <w:r w:rsidRPr="00E316C7">
        <w:rPr>
          <w:rFonts w:eastAsiaTheme="minorEastAsia"/>
          <w:b/>
          <w:bCs/>
          <w:smallCaps/>
          <w:noProof/>
        </w:rPr>
        <w:lastRenderedPageBreak/>
        <w:t>National Quality Forum</w:t>
      </w:r>
      <w:r w:rsidRPr="00E316C7">
        <w:rPr>
          <w:rFonts w:eastAsiaTheme="minorEastAsia"/>
          <w:b/>
          <w:bCs/>
          <w:noProof/>
        </w:rPr>
        <w:t xml:space="preserve">—Evidence (subcriterion 1a) </w:t>
      </w:r>
    </w:p>
    <w:p w14:paraId="48D27469" w14:textId="77777777" w:rsidR="00595D45" w:rsidRPr="00496AF8" w:rsidRDefault="00595D45" w:rsidP="00595D45">
      <w:pPr>
        <w:ind w:left="0" w:firstLine="0"/>
        <w:rPr>
          <w:noProof/>
        </w:rPr>
      </w:pPr>
    </w:p>
    <w:p w14:paraId="4CC8AEAB" w14:textId="77777777" w:rsidR="00595D45" w:rsidRPr="003B1CC5" w:rsidRDefault="00595D45" w:rsidP="00595D45">
      <w:pPr>
        <w:ind w:left="0" w:firstLine="0"/>
        <w:rPr>
          <w:b/>
          <w:noProof/>
        </w:rPr>
      </w:pPr>
      <w:r w:rsidRPr="00E316C7">
        <w:rPr>
          <w:rFonts w:eastAsiaTheme="minorEastAsia"/>
          <w:b/>
          <w:bCs/>
          <w:noProof/>
        </w:rPr>
        <w:t xml:space="preserve">Measure Number </w:t>
      </w:r>
      <w:r w:rsidRPr="00E316C7">
        <w:rPr>
          <w:rFonts w:eastAsiaTheme="minorEastAsia"/>
          <w:noProof/>
        </w:rPr>
        <w:t>(</w:t>
      </w:r>
      <w:r w:rsidRPr="00E316C7">
        <w:rPr>
          <w:rFonts w:eastAsiaTheme="minorEastAsia"/>
          <w:i/>
          <w:iCs/>
          <w:noProof/>
        </w:rPr>
        <w:t>if previously endorsed</w:t>
      </w:r>
      <w:r w:rsidRPr="00E316C7">
        <w:rPr>
          <w:rFonts w:eastAsiaTheme="minorEastAsia"/>
          <w:noProof/>
        </w:rPr>
        <w:t>)</w:t>
      </w:r>
      <w:r w:rsidRPr="00E316C7">
        <w:rPr>
          <w:rFonts w:eastAsiaTheme="minorEastAsia"/>
          <w:b/>
          <w:bCs/>
          <w:noProof/>
        </w:rPr>
        <w:t xml:space="preserve">: </w:t>
      </w:r>
      <w:sdt>
        <w:sdtPr>
          <w:rPr>
            <w:rStyle w:val="Style1"/>
          </w:rPr>
          <w:id w:val="1510328634"/>
          <w:placeholder>
            <w:docPart w:val="264C011699CC43D699F56AD9877A0578"/>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49E1BDBF" w14:textId="235F9364" w:rsidR="00595D45" w:rsidRDefault="00595D45" w:rsidP="00595D45">
      <w:pPr>
        <w:ind w:left="0" w:firstLine="0"/>
      </w:pPr>
      <w:r w:rsidRPr="00E316C7">
        <w:rPr>
          <w:rFonts w:eastAsiaTheme="minorEastAsia"/>
          <w:b/>
          <w:bCs/>
          <w:noProof/>
        </w:rPr>
        <w:t>Measure Title</w:t>
      </w:r>
      <w:r w:rsidRPr="00E316C7">
        <w:rPr>
          <w:rFonts w:eastAsiaTheme="minorEastAsia"/>
          <w:noProof/>
        </w:rPr>
        <w:t xml:space="preserve">: </w:t>
      </w:r>
      <w:r w:rsidR="006B4660" w:rsidRPr="00595D45">
        <w:rPr>
          <w:rFonts w:eastAsiaTheme="minorEastAsia"/>
        </w:rPr>
        <w:t>Development of a Nutrition Care Plan for Malnourished</w:t>
      </w:r>
      <w:r w:rsidR="006B4660">
        <w:rPr>
          <w:rFonts w:eastAsiaTheme="minorEastAsia"/>
        </w:rPr>
        <w:t xml:space="preserve"> Patients</w:t>
      </w:r>
    </w:p>
    <w:p w14:paraId="74392A3D" w14:textId="77777777" w:rsidR="00595D45" w:rsidRPr="003B1CC5" w:rsidRDefault="00595D45" w:rsidP="00595D45">
      <w:pPr>
        <w:ind w:left="0" w:firstLine="0"/>
        <w:rPr>
          <w:b/>
          <w:noProof/>
        </w:rPr>
      </w:pPr>
      <w:r w:rsidRPr="00E316C7">
        <w:rPr>
          <w:rFonts w:eastAsiaTheme="minorEastAsia"/>
          <w:i/>
          <w:iCs/>
          <w:noProof/>
        </w:rPr>
        <w:t xml:space="preserve"> </w:t>
      </w:r>
      <w:r w:rsidRPr="00E316C7">
        <w:rPr>
          <w:rFonts w:eastAsiaTheme="minorEastAsia"/>
          <w:b/>
          <w:bCs/>
          <w:noProof/>
        </w:rPr>
        <w:t>IF the measure is a component in a composite performance measure, provide the title of the Composite Measure here:</w:t>
      </w:r>
      <w:r w:rsidRPr="00E316C7">
        <w:rPr>
          <w:rFonts w:eastAsiaTheme="minorEastAsia"/>
          <w:noProof/>
        </w:rPr>
        <w:t xml:space="preserve"> </w:t>
      </w:r>
      <w:sdt>
        <w:sdtPr>
          <w:rPr>
            <w:rStyle w:val="Style1"/>
          </w:rPr>
          <w:id w:val="-1733295371"/>
          <w:placeholder>
            <w:docPart w:val="2D573B4773EF4EEF90685410B2E33B71"/>
          </w:placeholder>
        </w:sdtPr>
        <w:sdtEndPr>
          <w:rPr>
            <w:rStyle w:val="DefaultParagraphFont"/>
            <w:noProof/>
            <w:color w:val="auto"/>
          </w:rPr>
        </w:sdtEndPr>
        <w:sdtContent>
          <w:r>
            <w:rPr>
              <w:rStyle w:val="Style1"/>
            </w:rPr>
            <w:t>Global Malnutrition Composite Score</w:t>
          </w:r>
        </w:sdtContent>
      </w:sdt>
    </w:p>
    <w:p w14:paraId="50166EE7" w14:textId="77777777" w:rsidR="00595D45" w:rsidRPr="003B1CC5" w:rsidRDefault="00595D45" w:rsidP="00595D45">
      <w:pPr>
        <w:ind w:left="0" w:firstLine="0"/>
        <w:rPr>
          <w:b/>
          <w:noProof/>
        </w:rPr>
      </w:pPr>
    </w:p>
    <w:p w14:paraId="07A980CB" w14:textId="77777777" w:rsidR="00595D45" w:rsidRPr="003B1CC5" w:rsidRDefault="00595D45" w:rsidP="00595D45">
      <w:pPr>
        <w:ind w:left="0" w:firstLine="0"/>
        <w:rPr>
          <w:rStyle w:val="Style2"/>
        </w:rPr>
      </w:pPr>
      <w:r w:rsidRPr="00E316C7">
        <w:rPr>
          <w:rFonts w:eastAsiaTheme="minorEastAsia"/>
          <w:b/>
          <w:bCs/>
          <w:noProof/>
        </w:rPr>
        <w:t>Date of Submission</w:t>
      </w:r>
      <w:r w:rsidRPr="00E316C7">
        <w:rPr>
          <w:rFonts w:eastAsiaTheme="minorEastAsia"/>
          <w:noProof/>
        </w:rPr>
        <w:t xml:space="preserve">:  </w:t>
      </w:r>
      <w:r>
        <w:rPr>
          <w:rFonts w:eastAsiaTheme="minorEastAsia"/>
          <w:color w:val="4F81BD" w:themeColor="accent1"/>
        </w:rPr>
        <w:t>N/A</w:t>
      </w:r>
    </w:p>
    <w:p w14:paraId="0CBE9C4E" w14:textId="77777777" w:rsidR="00595D45" w:rsidRPr="003B1CC5" w:rsidRDefault="00595D45" w:rsidP="00595D45">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595D45" w:rsidRPr="003B1CC5" w14:paraId="1272C4F8" w14:textId="77777777" w:rsidTr="00123FDE">
        <w:trPr>
          <w:jc w:val="center"/>
        </w:trPr>
        <w:tc>
          <w:tcPr>
            <w:tcW w:w="9576" w:type="dxa"/>
          </w:tcPr>
          <w:p w14:paraId="077F046D" w14:textId="77777777" w:rsidR="00595D45" w:rsidRPr="003B1CC5" w:rsidRDefault="00595D45" w:rsidP="00123FDE">
            <w:pPr>
              <w:pStyle w:val="CommentText"/>
              <w:ind w:left="0" w:firstLine="0"/>
              <w:rPr>
                <w:b/>
                <w:i/>
                <w:sz w:val="22"/>
                <w:szCs w:val="22"/>
              </w:rPr>
            </w:pPr>
            <w:r w:rsidRPr="003B1CC5">
              <w:rPr>
                <w:rFonts w:cstheme="minorHAnsi"/>
                <w:b/>
                <w:noProof/>
                <w:sz w:val="22"/>
                <w:szCs w:val="22"/>
              </w:rPr>
              <w:t>Instructions</w:t>
            </w:r>
          </w:p>
          <w:p w14:paraId="2ED983E5" w14:textId="77777777" w:rsidR="00595D45" w:rsidRPr="003B1CC5" w:rsidRDefault="00595D45" w:rsidP="00123FDE">
            <w:pPr>
              <w:pStyle w:val="CommentText"/>
              <w:numPr>
                <w:ilvl w:val="0"/>
                <w:numId w:val="8"/>
              </w:numPr>
              <w:rPr>
                <w:i/>
                <w:iCs/>
                <w:sz w:val="22"/>
                <w:szCs w:val="22"/>
              </w:rPr>
            </w:pPr>
            <w:r w:rsidRPr="00E316C7">
              <w:rPr>
                <w:rFonts w:eastAsiaTheme="minorEastAsia"/>
                <w:i/>
                <w:iCs/>
                <w:sz w:val="22"/>
                <w:szCs w:val="22"/>
              </w:rPr>
              <w:t xml:space="preserve">For composite performance measures:  </w:t>
            </w:r>
          </w:p>
          <w:p w14:paraId="69A5A7CE" w14:textId="77777777" w:rsidR="00595D45" w:rsidRPr="003B1CC5" w:rsidRDefault="00595D45" w:rsidP="00123FDE">
            <w:pPr>
              <w:pStyle w:val="CommentText"/>
              <w:numPr>
                <w:ilvl w:val="1"/>
                <w:numId w:val="8"/>
              </w:numPr>
              <w:ind w:left="792"/>
              <w:rPr>
                <w:i/>
                <w:iCs/>
                <w:sz w:val="22"/>
                <w:szCs w:val="22"/>
              </w:rPr>
            </w:pPr>
            <w:r w:rsidRPr="00E316C7">
              <w:rPr>
                <w:rFonts w:eastAsiaTheme="minorEastAsia"/>
                <w:i/>
                <w:iCs/>
                <w:sz w:val="22"/>
                <w:szCs w:val="22"/>
              </w:rPr>
              <w:t xml:space="preserve"> A separate evidence form is required for each component measure unless several components were studied together.</w:t>
            </w:r>
          </w:p>
          <w:p w14:paraId="13236BD8" w14:textId="77777777" w:rsidR="00595D45" w:rsidRPr="003B1CC5" w:rsidRDefault="00595D45" w:rsidP="00123FDE">
            <w:pPr>
              <w:pStyle w:val="CommentText"/>
              <w:numPr>
                <w:ilvl w:val="1"/>
                <w:numId w:val="8"/>
              </w:numPr>
              <w:ind w:left="792"/>
              <w:rPr>
                <w:i/>
                <w:iCs/>
                <w:sz w:val="22"/>
                <w:szCs w:val="22"/>
              </w:rPr>
            </w:pPr>
            <w:r w:rsidRPr="00E316C7">
              <w:rPr>
                <w:rFonts w:eastAsiaTheme="minorEastAsia"/>
                <w:i/>
                <w:iCs/>
                <w:sz w:val="22"/>
                <w:szCs w:val="22"/>
              </w:rPr>
              <w:t xml:space="preserve"> If a component measure is submitted as an individual performance measure, attach the evidence form to the individual measure submission.</w:t>
            </w:r>
          </w:p>
          <w:p w14:paraId="50ED076C" w14:textId="77777777" w:rsidR="00595D45" w:rsidRPr="003B1CC5" w:rsidRDefault="00595D45" w:rsidP="00123FDE">
            <w:pPr>
              <w:pStyle w:val="ListParagraph"/>
              <w:numPr>
                <w:ilvl w:val="0"/>
                <w:numId w:val="8"/>
              </w:numPr>
              <w:spacing w:after="0" w:line="240" w:lineRule="auto"/>
            </w:pPr>
            <w:r w:rsidRPr="233E403E">
              <w:t xml:space="preserve">Respond to </w:t>
            </w:r>
            <w:r w:rsidRPr="233E403E">
              <w:rPr>
                <w:u w:val="single"/>
              </w:rPr>
              <w:t>all</w:t>
            </w:r>
            <w:r w:rsidRPr="233E403E">
              <w:t xml:space="preserve"> questions as instructed with answers immediately following the question. All information needed to demonstrate meeting the evidence </w:t>
            </w:r>
            <w:proofErr w:type="spellStart"/>
            <w:r w:rsidRPr="233E403E">
              <w:t>subcriterion</w:t>
            </w:r>
            <w:proofErr w:type="spellEnd"/>
            <w:r w:rsidRPr="233E403E">
              <w:t xml:space="preserve"> (1a) must be in this form.  An appendix of </w:t>
            </w:r>
            <w:r w:rsidRPr="233E403E">
              <w:rPr>
                <w:i/>
                <w:iCs/>
              </w:rPr>
              <w:t>supplemental</w:t>
            </w:r>
            <w:r w:rsidRPr="233E403E">
              <w:t xml:space="preserve"> materials may be submitted, but there is no guarantee it will be reviewed.</w:t>
            </w:r>
          </w:p>
          <w:p w14:paraId="30429ECA" w14:textId="77777777" w:rsidR="00595D45" w:rsidRPr="003B1CC5" w:rsidRDefault="00595D45" w:rsidP="00123FDE">
            <w:pPr>
              <w:pStyle w:val="ListParagraph"/>
              <w:numPr>
                <w:ilvl w:val="0"/>
                <w:numId w:val="8"/>
              </w:numPr>
              <w:spacing w:after="0" w:line="240" w:lineRule="auto"/>
            </w:pPr>
            <w:r w:rsidRPr="233E403E">
              <w:t>If you are unable to check a box, please highlight or shade the box for your response.</w:t>
            </w:r>
          </w:p>
          <w:p w14:paraId="06D27C16" w14:textId="77777777" w:rsidR="00595D45" w:rsidRPr="003B1CC5" w:rsidRDefault="00595D45" w:rsidP="00123FDE">
            <w:pPr>
              <w:pStyle w:val="ListParagraph"/>
              <w:numPr>
                <w:ilvl w:val="0"/>
                <w:numId w:val="8"/>
              </w:numPr>
              <w:spacing w:after="0" w:line="240" w:lineRule="auto"/>
            </w:pPr>
            <w:r w:rsidRPr="233E403E">
              <w:t>Maximum of 10 pages (</w:t>
            </w:r>
            <w:r w:rsidRPr="233E403E">
              <w:rPr>
                <w:i/>
                <w:iCs/>
              </w:rPr>
              <w:t>incudes questions/instructions</w:t>
            </w:r>
            <w:r w:rsidRPr="233E403E">
              <w:t xml:space="preserve">; minimum font size 11 </w:t>
            </w:r>
            <w:proofErr w:type="spellStart"/>
            <w:r w:rsidRPr="233E403E">
              <w:t>pt</w:t>
            </w:r>
            <w:proofErr w:type="spellEnd"/>
            <w:r w:rsidRPr="233E403E">
              <w:t xml:space="preserve">; do not change margins). </w:t>
            </w:r>
            <w:r w:rsidRPr="233E403E">
              <w:rPr>
                <w:b/>
                <w:bCs/>
                <w:i/>
                <w:iCs/>
              </w:rPr>
              <w:t>Contact NQF staff if more pages are needed.</w:t>
            </w:r>
          </w:p>
          <w:p w14:paraId="53EEFD28" w14:textId="77777777" w:rsidR="00595D45" w:rsidRPr="003B1CC5" w:rsidRDefault="00595D45" w:rsidP="00123FDE">
            <w:pPr>
              <w:pStyle w:val="ListParagraph"/>
              <w:numPr>
                <w:ilvl w:val="0"/>
                <w:numId w:val="8"/>
              </w:numPr>
              <w:spacing w:after="0" w:line="240" w:lineRule="auto"/>
              <w:rPr>
                <w:u w:val="single"/>
              </w:rPr>
            </w:pPr>
            <w:r w:rsidRPr="233E403E">
              <w:t xml:space="preserve">Contact NQF staff regarding questions. Check for resources at </w:t>
            </w:r>
            <w:hyperlink r:id="rId35">
              <w:r w:rsidRPr="233E403E">
                <w:rPr>
                  <w:rStyle w:val="Hyperlink"/>
                </w:rPr>
                <w:t>Submitting Standards webpage</w:t>
              </w:r>
            </w:hyperlink>
            <w:r w:rsidRPr="233E403E">
              <w:t>.</w:t>
            </w:r>
          </w:p>
        </w:tc>
      </w:tr>
    </w:tbl>
    <w:p w14:paraId="57FB24FA" w14:textId="77777777" w:rsidR="00595D45" w:rsidRPr="003B1CC5" w:rsidRDefault="00595D45" w:rsidP="00595D45">
      <w:pPr>
        <w:ind w:left="0" w:firstLine="0"/>
      </w:pPr>
    </w:p>
    <w:tbl>
      <w:tblPr>
        <w:tblStyle w:val="TableGrid"/>
        <w:tblW w:w="5500" w:type="pct"/>
        <w:jc w:val="center"/>
        <w:tblLook w:val="04A0" w:firstRow="1" w:lastRow="0" w:firstColumn="1" w:lastColumn="0" w:noHBand="0" w:noVBand="1"/>
      </w:tblPr>
      <w:tblGrid>
        <w:gridCol w:w="10285"/>
      </w:tblGrid>
      <w:tr w:rsidR="00595D45" w:rsidRPr="003B1CC5" w14:paraId="1A70CF48" w14:textId="77777777" w:rsidTr="00123FDE">
        <w:trPr>
          <w:jc w:val="center"/>
        </w:trPr>
        <w:tc>
          <w:tcPr>
            <w:tcW w:w="9576" w:type="dxa"/>
          </w:tcPr>
          <w:p w14:paraId="58C65E37" w14:textId="77777777" w:rsidR="00595D45" w:rsidRPr="003B1CC5" w:rsidRDefault="00595D45" w:rsidP="00123FDE">
            <w:pPr>
              <w:ind w:left="0" w:firstLine="0"/>
              <w:rPr>
                <w:sz w:val="20"/>
                <w:szCs w:val="20"/>
              </w:rPr>
            </w:pPr>
            <w:r w:rsidRPr="00E316C7">
              <w:rPr>
                <w:rFonts w:eastAsiaTheme="minorEastAsia"/>
                <w:b/>
                <w:bCs/>
                <w:u w:val="single"/>
              </w:rPr>
              <w:t>Note</w:t>
            </w:r>
            <w:r w:rsidRPr="00E316C7">
              <w:rPr>
                <w:rFonts w:eastAsiaTheme="minorEastAsia"/>
                <w:b/>
                <w:bCs/>
              </w:rPr>
              <w:t>: The information provided in this form is intended to aid the Steering Committee and other stakeholders in understanding to what degree the evidence for this measure meets NQF’s evaluation criteria.</w:t>
            </w:r>
          </w:p>
          <w:p w14:paraId="4D194430" w14:textId="77777777" w:rsidR="00595D45" w:rsidRPr="003B1CC5" w:rsidRDefault="00595D45" w:rsidP="00123FDE">
            <w:pPr>
              <w:ind w:left="90" w:hanging="90"/>
              <w:rPr>
                <w:sz w:val="20"/>
                <w:szCs w:val="20"/>
              </w:rPr>
            </w:pPr>
          </w:p>
          <w:p w14:paraId="5D59C7F7" w14:textId="77777777" w:rsidR="00595D45" w:rsidRDefault="00595D45" w:rsidP="00123FDE">
            <w:pPr>
              <w:spacing w:line="243" w:lineRule="exact"/>
              <w:ind w:left="224"/>
              <w:rPr>
                <w:b/>
                <w:sz w:val="20"/>
              </w:rPr>
            </w:pPr>
            <w:r>
              <w:rPr>
                <w:b/>
                <w:sz w:val="20"/>
              </w:rPr>
              <w:t>1a. Evidence to Support the Measure Focus</w:t>
            </w:r>
          </w:p>
          <w:p w14:paraId="58594976" w14:textId="77777777" w:rsidR="00595D45" w:rsidRDefault="00595D45" w:rsidP="00123FDE">
            <w:pPr>
              <w:pStyle w:val="BodyText"/>
              <w:spacing w:line="243" w:lineRule="exact"/>
              <w:ind w:left="224"/>
            </w:pPr>
            <w:r>
              <w:t>The measure focus is evidence-based, demonstrated as follows:</w:t>
            </w:r>
          </w:p>
          <w:p w14:paraId="746421EF" w14:textId="77777777" w:rsidR="00595D45" w:rsidRDefault="00595D45" w:rsidP="00123FDE">
            <w:pPr>
              <w:pStyle w:val="ListParagraph"/>
              <w:widowControl w:val="0"/>
              <w:numPr>
                <w:ilvl w:val="0"/>
                <w:numId w:val="19"/>
              </w:numPr>
              <w:tabs>
                <w:tab w:val="left" w:pos="441"/>
              </w:tabs>
              <w:autoSpaceDE w:val="0"/>
              <w:autoSpaceDN w:val="0"/>
              <w:spacing w:after="0" w:line="240" w:lineRule="auto"/>
              <w:ind w:right="400" w:hanging="216"/>
              <w:contextualSpacing w:val="0"/>
              <w:rPr>
                <w:sz w:val="20"/>
              </w:rPr>
            </w:pPr>
            <w:r>
              <w:rPr>
                <w:noProof/>
              </w:rPr>
              <mc:AlternateContent>
                <mc:Choice Requires="wps">
                  <w:drawing>
                    <wp:anchor distT="0" distB="0" distL="114300" distR="114300" simplePos="0" relativeHeight="251681792" behindDoc="1" locked="0" layoutInCell="1" allowOverlap="1" wp14:anchorId="67D37F4A" wp14:editId="37C7342B">
                      <wp:simplePos x="0" y="0"/>
                      <wp:positionH relativeFrom="page">
                        <wp:posOffset>1367155</wp:posOffset>
                      </wp:positionH>
                      <wp:positionV relativeFrom="paragraph">
                        <wp:posOffset>92710</wp:posOffset>
                      </wp:positionV>
                      <wp:extent cx="41275" cy="6350"/>
                      <wp:effectExtent l="0" t="0" r="1270" b="317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08601" id="Rectangle 22" o:spid="_x0000_s1026" style="position:absolute;margin-left:107.65pt;margin-top:7.3pt;width:3.25pt;height:.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" fillcolor="blue" stroked="f">
                      <w10:wrap anchorx="page"/>
                    </v:rect>
                  </w:pict>
                </mc:Fallback>
              </mc:AlternateContent>
            </w:r>
            <w:r>
              <w:rPr>
                <w:sz w:val="20"/>
                <w:u w:val="single"/>
              </w:rPr>
              <w:t>Outcome</w:t>
            </w:r>
            <w:r>
              <w:rPr>
                <w:color w:val="0000FF"/>
                <w:sz w:val="20"/>
              </w:rPr>
              <w:t xml:space="preserve">: </w:t>
            </w:r>
            <w:hyperlink w:anchor="_bookmark0" w:history="1">
              <w:r>
                <w:rPr>
                  <w:b/>
                  <w:color w:val="0000FF"/>
                  <w:sz w:val="20"/>
                  <w:vertAlign w:val="superscript"/>
                </w:rPr>
                <w:t>3</w:t>
              </w:r>
              <w:r>
                <w:rPr>
                  <w:b/>
                  <w:color w:val="0000FF"/>
                  <w:sz w:val="20"/>
                </w:rPr>
                <w:t xml:space="preserve"> </w:t>
              </w:r>
            </w:hyperlink>
            <w:r>
              <w:rPr>
                <w:sz w:val="20"/>
              </w:rPr>
              <w:t>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w:t>
            </w:r>
            <w:r>
              <w:rPr>
                <w:spacing w:val="-13"/>
                <w:sz w:val="20"/>
              </w:rPr>
              <w:t xml:space="preserve"> </w:t>
            </w:r>
            <w:r>
              <w:rPr>
                <w:sz w:val="20"/>
              </w:rPr>
              <w:t>bias.</w:t>
            </w:r>
          </w:p>
          <w:p w14:paraId="4076C782" w14:textId="77777777" w:rsidR="00595D45" w:rsidRDefault="00595D45" w:rsidP="00123FDE">
            <w:pPr>
              <w:pStyle w:val="ListParagraph"/>
              <w:widowControl w:val="0"/>
              <w:numPr>
                <w:ilvl w:val="0"/>
                <w:numId w:val="19"/>
              </w:numPr>
              <w:tabs>
                <w:tab w:val="left" w:pos="441"/>
              </w:tabs>
              <w:autoSpaceDE w:val="0"/>
              <w:autoSpaceDN w:val="0"/>
              <w:spacing w:before="1" w:after="0" w:line="240" w:lineRule="auto"/>
              <w:ind w:right="267" w:hanging="216"/>
              <w:contextualSpacing w:val="0"/>
              <w:rPr>
                <w:sz w:val="20"/>
              </w:rPr>
            </w:pPr>
            <w:r>
              <w:rPr>
                <w:noProof/>
              </w:rPr>
              <mc:AlternateContent>
                <mc:Choice Requires="wps">
                  <w:drawing>
                    <wp:anchor distT="0" distB="0" distL="114300" distR="114300" simplePos="0" relativeHeight="251682816" behindDoc="1" locked="0" layoutInCell="1" allowOverlap="1" wp14:anchorId="702919E1" wp14:editId="73D2B8C8">
                      <wp:simplePos x="0" y="0"/>
                      <wp:positionH relativeFrom="page">
                        <wp:posOffset>1450975</wp:posOffset>
                      </wp:positionH>
                      <wp:positionV relativeFrom="paragraph">
                        <wp:posOffset>248920</wp:posOffset>
                      </wp:positionV>
                      <wp:extent cx="42545" cy="6350"/>
                      <wp:effectExtent l="3175" t="0" r="1905" b="381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E6191" id="Rectangle 23" o:spid="_x0000_s1026" style="position:absolute;margin-left:114.25pt;margin-top:19.6pt;width:3.35pt;height:.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" fillcolor="blue" stroked="f">
                      <w10:wrap anchorx="page"/>
                    </v:rect>
                  </w:pict>
                </mc:Fallback>
              </mc:AlternateContent>
            </w:r>
            <w:r>
              <w:rPr>
                <w:sz w:val="20"/>
                <w:u w:val="single"/>
              </w:rPr>
              <w:t>Intermediate clinical outcome</w:t>
            </w:r>
            <w:r>
              <w:rPr>
                <w:sz w:val="20"/>
              </w:rPr>
              <w:t xml:space="preserve">: 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intermediate clinical outcome leads to a desired health</w:t>
            </w:r>
            <w:r>
              <w:rPr>
                <w:spacing w:val="-28"/>
                <w:sz w:val="20"/>
              </w:rPr>
              <w:t xml:space="preserve"> </w:t>
            </w:r>
            <w:r>
              <w:rPr>
                <w:sz w:val="20"/>
              </w:rPr>
              <w:t>outcome.</w:t>
            </w:r>
          </w:p>
          <w:p w14:paraId="27D09F78" w14:textId="77777777" w:rsidR="00595D45" w:rsidRDefault="00595D45" w:rsidP="00123FDE">
            <w:pPr>
              <w:pStyle w:val="ListParagraph"/>
              <w:widowControl w:val="0"/>
              <w:numPr>
                <w:ilvl w:val="0"/>
                <w:numId w:val="19"/>
              </w:numPr>
              <w:tabs>
                <w:tab w:val="left" w:pos="441"/>
              </w:tabs>
              <w:autoSpaceDE w:val="0"/>
              <w:autoSpaceDN w:val="0"/>
              <w:spacing w:after="0" w:line="240" w:lineRule="auto"/>
              <w:ind w:right="496" w:hanging="216"/>
              <w:contextualSpacing w:val="0"/>
              <w:rPr>
                <w:sz w:val="20"/>
              </w:rPr>
            </w:pPr>
            <w:r>
              <w:rPr>
                <w:noProof/>
              </w:rPr>
              <mc:AlternateContent>
                <mc:Choice Requires="wps">
                  <w:drawing>
                    <wp:anchor distT="0" distB="0" distL="114300" distR="114300" simplePos="0" relativeHeight="251683840" behindDoc="1" locked="0" layoutInCell="1" allowOverlap="1" wp14:anchorId="7607CE28" wp14:editId="247CDE54">
                      <wp:simplePos x="0" y="0"/>
                      <wp:positionH relativeFrom="page">
                        <wp:posOffset>1281430</wp:posOffset>
                      </wp:positionH>
                      <wp:positionV relativeFrom="paragraph">
                        <wp:posOffset>92710</wp:posOffset>
                      </wp:positionV>
                      <wp:extent cx="41275" cy="6350"/>
                      <wp:effectExtent l="0" t="0" r="1270" b="444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52D96" id="Rectangle 24" o:spid="_x0000_s1026" style="position:absolute;margin-left:100.9pt;margin-top:7.3pt;width:3.25pt;height:.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" fillcolor="blue" stroked="f">
                      <w10:wrap anchorx="page"/>
                    </v:rect>
                  </w:pict>
                </mc:Fallback>
              </mc:AlternateContent>
            </w:r>
            <w:r>
              <w:rPr>
                <w:noProof/>
              </w:rPr>
              <mc:AlternateContent>
                <mc:Choice Requires="wps">
                  <w:drawing>
                    <wp:anchor distT="0" distB="0" distL="114300" distR="114300" simplePos="0" relativeHeight="251684864" behindDoc="1" locked="0" layoutInCell="1" allowOverlap="1" wp14:anchorId="6569F17D" wp14:editId="2C62325C">
                      <wp:simplePos x="0" y="0"/>
                      <wp:positionH relativeFrom="page">
                        <wp:posOffset>6626225</wp:posOffset>
                      </wp:positionH>
                      <wp:positionV relativeFrom="paragraph">
                        <wp:posOffset>92710</wp:posOffset>
                      </wp:positionV>
                      <wp:extent cx="41275" cy="6350"/>
                      <wp:effectExtent l="0" t="0" r="0" b="444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0FBBC" id="Rectangle 25" o:spid="_x0000_s1026" style="position:absolute;margin-left:521.75pt;margin-top:7.3pt;width:3.25pt;height:.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" fillcolor="blue" stroked="f">
                      <w10:wrap anchorx="page"/>
                    </v:rect>
                  </w:pict>
                </mc:Fallback>
              </mc:AlternateContent>
            </w:r>
            <w:r>
              <w:rPr>
                <w:sz w:val="20"/>
                <w:u w:val="single"/>
              </w:rPr>
              <w:t>Process</w:t>
            </w:r>
            <w:r>
              <w:rPr>
                <w:sz w:val="20"/>
              </w:rPr>
              <w:t xml:space="preserve">: </w:t>
            </w:r>
            <w:hyperlink w:anchor="_bookmark2" w:history="1">
              <w:r>
                <w:rPr>
                  <w:b/>
                  <w:color w:val="0000FF"/>
                  <w:sz w:val="20"/>
                  <w:vertAlign w:val="superscript"/>
                </w:rPr>
                <w:t>5</w:t>
              </w:r>
              <w:r>
                <w:rPr>
                  <w:b/>
                  <w:color w:val="0000FF"/>
                  <w:sz w:val="20"/>
                </w:rPr>
                <w:t xml:space="preserve"> </w:t>
              </w:r>
            </w:hyperlink>
            <w:r>
              <w:rPr>
                <w:sz w:val="20"/>
              </w:rPr>
              <w:t xml:space="preserve">a systematic assessment and grading of the quantity, quality, and consistency of the body of evidence </w:t>
            </w:r>
            <w:hyperlink w:anchor="_bookmark1" w:history="1">
              <w:r>
                <w:rPr>
                  <w:b/>
                  <w:color w:val="0000FF"/>
                  <w:sz w:val="20"/>
                  <w:vertAlign w:val="superscript"/>
                </w:rPr>
                <w:t>4</w:t>
              </w:r>
              <w:r>
                <w:rPr>
                  <w:b/>
                  <w:color w:val="0000FF"/>
                  <w:sz w:val="20"/>
                </w:rPr>
                <w:t xml:space="preserve"> </w:t>
              </w:r>
            </w:hyperlink>
            <w:r>
              <w:rPr>
                <w:sz w:val="20"/>
              </w:rPr>
              <w:t>that the measured process leads to a desired health</w:t>
            </w:r>
            <w:r>
              <w:rPr>
                <w:spacing w:val="-2"/>
                <w:sz w:val="20"/>
              </w:rPr>
              <w:t xml:space="preserve"> </w:t>
            </w:r>
            <w:r>
              <w:rPr>
                <w:sz w:val="20"/>
              </w:rPr>
              <w:t>outcome.</w:t>
            </w:r>
          </w:p>
          <w:p w14:paraId="09827EE3" w14:textId="77777777" w:rsidR="00595D45" w:rsidRDefault="00595D45" w:rsidP="00123FDE">
            <w:pPr>
              <w:pStyle w:val="ListParagraph"/>
              <w:widowControl w:val="0"/>
              <w:numPr>
                <w:ilvl w:val="0"/>
                <w:numId w:val="19"/>
              </w:numPr>
              <w:tabs>
                <w:tab w:val="left" w:pos="441"/>
              </w:tabs>
              <w:autoSpaceDE w:val="0"/>
              <w:autoSpaceDN w:val="0"/>
              <w:spacing w:after="0" w:line="240" w:lineRule="auto"/>
              <w:ind w:right="439" w:hanging="216"/>
              <w:contextualSpacing w:val="0"/>
              <w:rPr>
                <w:sz w:val="20"/>
              </w:rPr>
            </w:pPr>
            <w:r>
              <w:rPr>
                <w:noProof/>
              </w:rPr>
              <mc:AlternateContent>
                <mc:Choice Requires="wps">
                  <w:drawing>
                    <wp:anchor distT="0" distB="0" distL="114300" distR="114300" simplePos="0" relativeHeight="251685888" behindDoc="1" locked="0" layoutInCell="1" allowOverlap="1" wp14:anchorId="4E32C71E" wp14:editId="0D0D9F9F">
                      <wp:simplePos x="0" y="0"/>
                      <wp:positionH relativeFrom="page">
                        <wp:posOffset>6644640</wp:posOffset>
                      </wp:positionH>
                      <wp:positionV relativeFrom="paragraph">
                        <wp:posOffset>92710</wp:posOffset>
                      </wp:positionV>
                      <wp:extent cx="41275" cy="6350"/>
                      <wp:effectExtent l="0" t="635" r="635" b="254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6C67B" id="Rectangle 26" o:spid="_x0000_s1026" style="position:absolute;margin-left:523.2pt;margin-top:7.3pt;width:3.25pt;height:.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" fillcolor="blue" stroked="f">
                      <w10:wrap anchorx="page"/>
                    </v:rect>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sz w:val="20"/>
                  <w:vertAlign w:val="superscript"/>
                </w:rPr>
                <w:t>4</w:t>
              </w:r>
            </w:hyperlink>
            <w:r>
              <w:rPr>
                <w:b/>
                <w:color w:val="0000FF"/>
                <w:sz w:val="20"/>
              </w:rPr>
              <w:t xml:space="preserve"> </w:t>
            </w:r>
            <w:r>
              <w:rPr>
                <w:sz w:val="20"/>
              </w:rPr>
              <w:t>that the measured structure leads to a desired health</w:t>
            </w:r>
            <w:r>
              <w:rPr>
                <w:spacing w:val="-2"/>
                <w:sz w:val="20"/>
              </w:rPr>
              <w:t xml:space="preserve"> </w:t>
            </w:r>
            <w:r>
              <w:rPr>
                <w:sz w:val="20"/>
              </w:rPr>
              <w:t>outcome.</w:t>
            </w:r>
          </w:p>
          <w:p w14:paraId="6E4A7818" w14:textId="77777777" w:rsidR="00595D45" w:rsidRDefault="00595D45" w:rsidP="00123FDE">
            <w:pPr>
              <w:pStyle w:val="ListParagraph"/>
              <w:widowControl w:val="0"/>
              <w:numPr>
                <w:ilvl w:val="0"/>
                <w:numId w:val="19"/>
              </w:numPr>
              <w:tabs>
                <w:tab w:val="left" w:pos="441"/>
              </w:tabs>
              <w:autoSpaceDE w:val="0"/>
              <w:autoSpaceDN w:val="0"/>
              <w:spacing w:after="0" w:line="255" w:lineRule="exact"/>
              <w:ind w:left="441"/>
              <w:contextualSpacing w:val="0"/>
              <w:rPr>
                <w:sz w:val="20"/>
              </w:rPr>
            </w:pPr>
            <w:r>
              <w:rPr>
                <w:noProof/>
              </w:rPr>
              <mc:AlternateContent>
                <mc:Choice Requires="wps">
                  <w:drawing>
                    <wp:anchor distT="0" distB="0" distL="114300" distR="114300" simplePos="0" relativeHeight="251686912" behindDoc="1" locked="0" layoutInCell="1" allowOverlap="1" wp14:anchorId="5EB14272" wp14:editId="514EE548">
                      <wp:simplePos x="0" y="0"/>
                      <wp:positionH relativeFrom="page">
                        <wp:posOffset>1380490</wp:posOffset>
                      </wp:positionH>
                      <wp:positionV relativeFrom="paragraph">
                        <wp:posOffset>92710</wp:posOffset>
                      </wp:positionV>
                      <wp:extent cx="41275" cy="6350"/>
                      <wp:effectExtent l="0" t="3175"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635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4E80B" id="Rectangle 27" o:spid="_x0000_s1026" style="position:absolute;margin-left:108.7pt;margin-top:7.3pt;width:3.25pt;height:.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" fillcolor="blue" stroked="f">
                      <w10:wrap anchorx="page"/>
                    </v:rect>
                  </w:pict>
                </mc:Fallback>
              </mc:AlternateContent>
            </w:r>
            <w:r>
              <w:rPr>
                <w:sz w:val="20"/>
                <w:u w:val="single"/>
              </w:rPr>
              <w:t>Efficiency</w:t>
            </w:r>
            <w:r>
              <w:rPr>
                <w:sz w:val="20"/>
              </w:rPr>
              <w:t xml:space="preserve">: </w:t>
            </w:r>
            <w:hyperlink w:anchor="_bookmark3" w:history="1">
              <w:r>
                <w:rPr>
                  <w:b/>
                  <w:color w:val="0000FF"/>
                  <w:sz w:val="20"/>
                  <w:vertAlign w:val="superscript"/>
                </w:rPr>
                <w:t>6</w:t>
              </w:r>
              <w:r>
                <w:rPr>
                  <w:b/>
                  <w:color w:val="0000FF"/>
                  <w:sz w:val="20"/>
                </w:rPr>
                <w:t xml:space="preserve"> </w:t>
              </w:r>
            </w:hyperlink>
            <w:r>
              <w:rPr>
                <w:sz w:val="20"/>
              </w:rPr>
              <w:t>evidence not required for the resource use</w:t>
            </w:r>
            <w:r>
              <w:rPr>
                <w:spacing w:val="-8"/>
                <w:sz w:val="20"/>
              </w:rPr>
              <w:t xml:space="preserve"> </w:t>
            </w:r>
            <w:r>
              <w:rPr>
                <w:sz w:val="20"/>
              </w:rPr>
              <w:t>component.</w:t>
            </w:r>
          </w:p>
          <w:p w14:paraId="39EE2250" w14:textId="77777777" w:rsidR="00595D45" w:rsidRDefault="00595D45" w:rsidP="00123FDE">
            <w:pPr>
              <w:pStyle w:val="ListParagraph"/>
              <w:widowControl w:val="0"/>
              <w:numPr>
                <w:ilvl w:val="0"/>
                <w:numId w:val="19"/>
              </w:numPr>
              <w:tabs>
                <w:tab w:val="left" w:pos="441"/>
              </w:tabs>
              <w:autoSpaceDE w:val="0"/>
              <w:autoSpaceDN w:val="0"/>
              <w:spacing w:after="0" w:line="240" w:lineRule="auto"/>
              <w:ind w:right="1052" w:hanging="216"/>
              <w:contextualSpacing w:val="0"/>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 it</w:t>
            </w:r>
            <w:r>
              <w:rPr>
                <w:spacing w:val="-2"/>
                <w:sz w:val="20"/>
              </w:rPr>
              <w:t xml:space="preserve"> </w:t>
            </w:r>
            <w:r>
              <w:rPr>
                <w:sz w:val="20"/>
              </w:rPr>
              <w:t>meaningful.</w:t>
            </w:r>
          </w:p>
          <w:p w14:paraId="7FA7189F" w14:textId="77777777" w:rsidR="00595D45" w:rsidRDefault="00595D45" w:rsidP="00123FDE">
            <w:pPr>
              <w:pStyle w:val="ListParagraph"/>
              <w:widowControl w:val="0"/>
              <w:numPr>
                <w:ilvl w:val="0"/>
                <w:numId w:val="19"/>
              </w:numPr>
              <w:tabs>
                <w:tab w:val="left" w:pos="441"/>
              </w:tabs>
              <w:autoSpaceDE w:val="0"/>
              <w:autoSpaceDN w:val="0"/>
              <w:spacing w:before="1" w:after="0" w:line="240" w:lineRule="auto"/>
              <w:ind w:right="634" w:hanging="216"/>
              <w:contextualSpacing w:val="0"/>
              <w:rPr>
                <w:sz w:val="20"/>
              </w:rPr>
            </w:pPr>
            <w:r>
              <w:rPr>
                <w:sz w:val="20"/>
                <w:u w:val="single"/>
              </w:rPr>
              <w:t>Process measures incorporating Appropriate Use Criteria:</w:t>
            </w:r>
            <w:r>
              <w:rPr>
                <w:sz w:val="20"/>
              </w:rPr>
              <w:t xml:space="preserve"> See NQF’s guidance for evidence for measures, in general; guidance for measures specifically based on clinical practice guidelines apply as</w:t>
            </w:r>
            <w:r>
              <w:rPr>
                <w:spacing w:val="-7"/>
                <w:sz w:val="20"/>
              </w:rPr>
              <w:t xml:space="preserve"> </w:t>
            </w:r>
            <w:r>
              <w:rPr>
                <w:sz w:val="20"/>
              </w:rPr>
              <w:t>well.</w:t>
            </w:r>
          </w:p>
          <w:p w14:paraId="4868897E" w14:textId="77777777" w:rsidR="00595D45" w:rsidRDefault="00595D45" w:rsidP="00123FDE">
            <w:pPr>
              <w:pStyle w:val="BodyText"/>
              <w:spacing w:before="12"/>
              <w:rPr>
                <w:sz w:val="17"/>
              </w:rPr>
            </w:pPr>
          </w:p>
          <w:p w14:paraId="6D6F78D1" w14:textId="77777777" w:rsidR="00595D45" w:rsidRDefault="00595D45" w:rsidP="00123FDE">
            <w:pPr>
              <w:pStyle w:val="Heading3"/>
            </w:pPr>
            <w:r>
              <w:t>Notes</w:t>
            </w:r>
          </w:p>
          <w:p w14:paraId="687AE628" w14:textId="77777777" w:rsidR="00595D45" w:rsidRDefault="00595D45" w:rsidP="00123FDE">
            <w:pPr>
              <w:pStyle w:val="ListParagraph"/>
              <w:widowControl w:val="0"/>
              <w:numPr>
                <w:ilvl w:val="0"/>
                <w:numId w:val="18"/>
              </w:numPr>
              <w:tabs>
                <w:tab w:val="left" w:pos="424"/>
              </w:tabs>
              <w:autoSpaceDE w:val="0"/>
              <w:autoSpaceDN w:val="0"/>
              <w:spacing w:after="0" w:line="240" w:lineRule="auto"/>
              <w:ind w:right="736" w:firstLine="0"/>
              <w:contextualSpacing w:val="0"/>
              <w:rPr>
                <w:sz w:val="20"/>
              </w:rPr>
            </w:pPr>
            <w:r>
              <w:rPr>
                <w:sz w:val="20"/>
              </w:rPr>
              <w:t>Generally,</w:t>
            </w:r>
            <w:r>
              <w:rPr>
                <w:spacing w:val="-4"/>
                <w:sz w:val="20"/>
              </w:rPr>
              <w:t xml:space="preserve"> </w:t>
            </w:r>
            <w:r>
              <w:rPr>
                <w:sz w:val="20"/>
              </w:rPr>
              <w:t>rare</w:t>
            </w:r>
            <w:r>
              <w:rPr>
                <w:spacing w:val="-5"/>
                <w:sz w:val="20"/>
              </w:rPr>
              <w:t xml:space="preserve"> </w:t>
            </w:r>
            <w:r>
              <w:rPr>
                <w:sz w:val="20"/>
              </w:rPr>
              <w:t>event</w:t>
            </w:r>
            <w:r>
              <w:rPr>
                <w:spacing w:val="-4"/>
                <w:sz w:val="20"/>
              </w:rPr>
              <w:t xml:space="preserve"> </w:t>
            </w:r>
            <w:r>
              <w:rPr>
                <w:sz w:val="20"/>
              </w:rPr>
              <w:t>outcomes</w:t>
            </w:r>
            <w:r>
              <w:rPr>
                <w:spacing w:val="-5"/>
                <w:sz w:val="20"/>
              </w:rPr>
              <w:t xml:space="preserve"> </w:t>
            </w:r>
            <w:r>
              <w:rPr>
                <w:sz w:val="20"/>
              </w:rPr>
              <w:t>do</w:t>
            </w:r>
            <w:r>
              <w:rPr>
                <w:spacing w:val="-4"/>
                <w:sz w:val="20"/>
              </w:rPr>
              <w:t xml:space="preserve"> </w:t>
            </w:r>
            <w:r>
              <w:rPr>
                <w:sz w:val="20"/>
              </w:rPr>
              <w:t>not</w:t>
            </w:r>
            <w:r>
              <w:rPr>
                <w:spacing w:val="-4"/>
                <w:sz w:val="20"/>
              </w:rPr>
              <w:t xml:space="preserve"> </w:t>
            </w:r>
            <w:r>
              <w:rPr>
                <w:sz w:val="20"/>
              </w:rPr>
              <w:t>provide</w:t>
            </w:r>
            <w:r>
              <w:rPr>
                <w:spacing w:val="-5"/>
                <w:sz w:val="20"/>
              </w:rPr>
              <w:t xml:space="preserve"> </w:t>
            </w:r>
            <w:r>
              <w:rPr>
                <w:sz w:val="20"/>
              </w:rPr>
              <w:t>adequate</w:t>
            </w:r>
            <w:r>
              <w:rPr>
                <w:spacing w:val="-5"/>
                <w:sz w:val="20"/>
              </w:rPr>
              <w:t xml:space="preserve"> </w:t>
            </w:r>
            <w:r>
              <w:rPr>
                <w:sz w:val="20"/>
              </w:rPr>
              <w:t>information</w:t>
            </w:r>
            <w:r>
              <w:rPr>
                <w:spacing w:val="-3"/>
                <w:sz w:val="20"/>
              </w:rPr>
              <w:t xml:space="preserve"> </w:t>
            </w:r>
            <w:r>
              <w:rPr>
                <w:sz w:val="20"/>
              </w:rPr>
              <w:t>for</w:t>
            </w:r>
            <w:r>
              <w:rPr>
                <w:spacing w:val="-5"/>
                <w:sz w:val="20"/>
              </w:rPr>
              <w:t xml:space="preserve"> </w:t>
            </w:r>
            <w:r>
              <w:rPr>
                <w:sz w:val="20"/>
              </w:rPr>
              <w:t>improvement</w:t>
            </w:r>
            <w:r>
              <w:rPr>
                <w:spacing w:val="-1"/>
                <w:sz w:val="20"/>
              </w:rPr>
              <w:t xml:space="preserve"> </w:t>
            </w:r>
            <w:r>
              <w:rPr>
                <w:sz w:val="20"/>
              </w:rPr>
              <w:t>or</w:t>
            </w:r>
            <w:r>
              <w:rPr>
                <w:spacing w:val="-4"/>
                <w:sz w:val="20"/>
              </w:rPr>
              <w:t xml:space="preserve"> </w:t>
            </w:r>
            <w:r>
              <w:rPr>
                <w:sz w:val="20"/>
              </w:rPr>
              <w:t>discrimination;</w:t>
            </w:r>
            <w:r>
              <w:rPr>
                <w:spacing w:val="-5"/>
                <w:sz w:val="20"/>
              </w:rPr>
              <w:t xml:space="preserve"> </w:t>
            </w:r>
            <w:r>
              <w:rPr>
                <w:sz w:val="20"/>
              </w:rPr>
              <w:t>however, serious reportable events that are compared to zero are appropriate outcomes for public reporting and quality improvement.</w:t>
            </w:r>
          </w:p>
          <w:p w14:paraId="4DDC6CAA" w14:textId="77777777" w:rsidR="00595D45" w:rsidRDefault="00595D45" w:rsidP="00123FDE">
            <w:pPr>
              <w:pStyle w:val="ListParagraph"/>
              <w:widowControl w:val="0"/>
              <w:numPr>
                <w:ilvl w:val="0"/>
                <w:numId w:val="18"/>
              </w:numPr>
              <w:tabs>
                <w:tab w:val="left" w:pos="424"/>
              </w:tabs>
              <w:autoSpaceDE w:val="0"/>
              <w:autoSpaceDN w:val="0"/>
              <w:spacing w:after="0" w:line="240" w:lineRule="auto"/>
              <w:ind w:right="547" w:firstLine="0"/>
              <w:contextualSpacing w:val="0"/>
              <w:rPr>
                <w:sz w:val="20"/>
              </w:rPr>
            </w:pPr>
            <w:r>
              <w:rPr>
                <w:sz w:val="20"/>
              </w:rPr>
              <w:t>The</w:t>
            </w:r>
            <w:r>
              <w:rPr>
                <w:spacing w:val="-5"/>
                <w:sz w:val="20"/>
              </w:rPr>
              <w:t xml:space="preserve"> </w:t>
            </w:r>
            <w:r>
              <w:rPr>
                <w:sz w:val="20"/>
              </w:rPr>
              <w:t>preferred</w:t>
            </w:r>
            <w:r>
              <w:rPr>
                <w:spacing w:val="-2"/>
                <w:sz w:val="20"/>
              </w:rPr>
              <w:t xml:space="preserve"> </w:t>
            </w:r>
            <w:r>
              <w:rPr>
                <w:sz w:val="20"/>
              </w:rPr>
              <w:t>systems</w:t>
            </w:r>
            <w:r>
              <w:rPr>
                <w:spacing w:val="-4"/>
                <w:sz w:val="20"/>
              </w:rPr>
              <w:t xml:space="preserve"> </w:t>
            </w:r>
            <w:r>
              <w:rPr>
                <w:sz w:val="20"/>
              </w:rPr>
              <w:t>for</w:t>
            </w:r>
            <w:r>
              <w:rPr>
                <w:spacing w:val="-4"/>
                <w:sz w:val="20"/>
              </w:rPr>
              <w:t xml:space="preserve"> </w:t>
            </w:r>
            <w:r>
              <w:rPr>
                <w:sz w:val="20"/>
              </w:rPr>
              <w:t>grading</w:t>
            </w:r>
            <w:r>
              <w:rPr>
                <w:spacing w:val="-3"/>
                <w:sz w:val="20"/>
              </w:rPr>
              <w:t xml:space="preserve"> </w:t>
            </w:r>
            <w:r>
              <w:rPr>
                <w:sz w:val="20"/>
              </w:rPr>
              <w:t>the</w:t>
            </w:r>
            <w:r>
              <w:rPr>
                <w:spacing w:val="-4"/>
                <w:sz w:val="20"/>
              </w:rPr>
              <w:t xml:space="preserve"> </w:t>
            </w:r>
            <w:r>
              <w:rPr>
                <w:sz w:val="20"/>
              </w:rPr>
              <w:t>evidence</w:t>
            </w:r>
            <w:r>
              <w:rPr>
                <w:spacing w:val="-4"/>
                <w:sz w:val="20"/>
              </w:rPr>
              <w:t xml:space="preserve"> </w:t>
            </w:r>
            <w:r>
              <w:rPr>
                <w:sz w:val="20"/>
              </w:rPr>
              <w:t>are</w:t>
            </w:r>
            <w:r>
              <w:rPr>
                <w:spacing w:val="-4"/>
                <w:sz w:val="20"/>
              </w:rPr>
              <w:t xml:space="preserve"> </w:t>
            </w:r>
            <w:r>
              <w:rPr>
                <w:sz w:val="20"/>
              </w:rPr>
              <w:t>the</w:t>
            </w:r>
            <w:r>
              <w:rPr>
                <w:spacing w:val="-5"/>
                <w:sz w:val="20"/>
              </w:rPr>
              <w:t xml:space="preserve"> </w:t>
            </w:r>
            <w:r>
              <w:rPr>
                <w:sz w:val="20"/>
              </w:rPr>
              <w:t>Grading</w:t>
            </w:r>
            <w:r>
              <w:rPr>
                <w:spacing w:val="-3"/>
                <w:sz w:val="20"/>
              </w:rPr>
              <w:t xml:space="preserve"> </w:t>
            </w:r>
            <w:r>
              <w:rPr>
                <w:sz w:val="20"/>
              </w:rPr>
              <w:t>of</w:t>
            </w:r>
            <w:r>
              <w:rPr>
                <w:spacing w:val="-4"/>
                <w:sz w:val="20"/>
              </w:rPr>
              <w:t xml:space="preserve"> </w:t>
            </w:r>
            <w:r>
              <w:rPr>
                <w:sz w:val="20"/>
              </w:rPr>
              <w:t>Recommendations,</w:t>
            </w:r>
            <w:r>
              <w:rPr>
                <w:spacing w:val="-1"/>
                <w:sz w:val="20"/>
              </w:rPr>
              <w:t xml:space="preserve"> </w:t>
            </w:r>
            <w:r>
              <w:rPr>
                <w:sz w:val="20"/>
              </w:rPr>
              <w:t>Assessment,</w:t>
            </w:r>
            <w:r>
              <w:rPr>
                <w:spacing w:val="-2"/>
                <w:sz w:val="20"/>
              </w:rPr>
              <w:t xml:space="preserve"> </w:t>
            </w:r>
            <w:r>
              <w:rPr>
                <w:sz w:val="20"/>
              </w:rPr>
              <w:lastRenderedPageBreak/>
              <w:t>Development</w:t>
            </w:r>
            <w:r>
              <w:rPr>
                <w:spacing w:val="-3"/>
                <w:sz w:val="20"/>
              </w:rPr>
              <w:t xml:space="preserve"> </w:t>
            </w:r>
            <w:r>
              <w:rPr>
                <w:sz w:val="20"/>
              </w:rPr>
              <w:t>and Evaluation</w:t>
            </w:r>
            <w:r>
              <w:rPr>
                <w:color w:val="0000FF"/>
                <w:sz w:val="20"/>
              </w:rPr>
              <w:t xml:space="preserve"> </w:t>
            </w:r>
            <w:hyperlink r:id="rId36">
              <w:r>
                <w:rPr>
                  <w:color w:val="0000FF"/>
                  <w:sz w:val="20"/>
                  <w:u w:val="single" w:color="0000FF"/>
                </w:rPr>
                <w:t>(GRADE) guidelines</w:t>
              </w:r>
              <w:r>
                <w:rPr>
                  <w:color w:val="0000FF"/>
                  <w:sz w:val="20"/>
                </w:rPr>
                <w:t xml:space="preserve"> </w:t>
              </w:r>
            </w:hyperlink>
            <w:r>
              <w:rPr>
                <w:sz w:val="20"/>
              </w:rPr>
              <w:t>and/or modified</w:t>
            </w:r>
            <w:r>
              <w:rPr>
                <w:spacing w:val="1"/>
                <w:sz w:val="20"/>
              </w:rPr>
              <w:t xml:space="preserve"> </w:t>
            </w:r>
            <w:r>
              <w:rPr>
                <w:sz w:val="20"/>
              </w:rPr>
              <w:t>GRADE.</w:t>
            </w:r>
          </w:p>
          <w:p w14:paraId="1C419153" w14:textId="77777777" w:rsidR="00595D45" w:rsidRPr="005B2574" w:rsidRDefault="00595D45" w:rsidP="00123FDE">
            <w:pPr>
              <w:pStyle w:val="ListParagraph"/>
              <w:widowControl w:val="0"/>
              <w:numPr>
                <w:ilvl w:val="0"/>
                <w:numId w:val="18"/>
              </w:numPr>
              <w:tabs>
                <w:tab w:val="left" w:pos="424"/>
              </w:tabs>
              <w:autoSpaceDE w:val="0"/>
              <w:autoSpaceDN w:val="0"/>
              <w:spacing w:after="0" w:line="240" w:lineRule="auto"/>
              <w:ind w:right="468" w:firstLine="0"/>
              <w:contextualSpacing w:val="0"/>
              <w:rPr>
                <w:sz w:val="20"/>
              </w:rPr>
            </w:pPr>
            <w:r>
              <w:rPr>
                <w:sz w:val="20"/>
              </w:rPr>
              <w:t xml:space="preserve">Clinical care processes typically include multiple steps: assess </w:t>
            </w:r>
            <w:r>
              <w:rPr>
                <w:rFonts w:ascii="Symbol" w:hAnsi="Symbol"/>
                <w:sz w:val="20"/>
              </w:rPr>
              <w:t></w:t>
            </w:r>
            <w:r>
              <w:rPr>
                <w:rFonts w:ascii="Times New Roman" w:hAnsi="Times New Roman"/>
                <w:sz w:val="20"/>
              </w:rPr>
              <w:t xml:space="preserve"> </w:t>
            </w:r>
            <w:r>
              <w:rPr>
                <w:sz w:val="20"/>
              </w:rPr>
              <w:t xml:space="preserve">identify problem/potential problem </w:t>
            </w:r>
            <w:r>
              <w:rPr>
                <w:rFonts w:ascii="Symbol" w:hAnsi="Symbol"/>
                <w:sz w:val="20"/>
              </w:rPr>
              <w:t></w:t>
            </w:r>
            <w:r>
              <w:rPr>
                <w:rFonts w:ascii="Times New Roman" w:hAnsi="Times New Roman"/>
                <w:sz w:val="20"/>
              </w:rPr>
              <w:t xml:space="preserve"> </w:t>
            </w:r>
            <w:r>
              <w:rPr>
                <w:sz w:val="20"/>
              </w:rPr>
              <w:t>choose/plan intervention</w:t>
            </w:r>
            <w:r>
              <w:rPr>
                <w:spacing w:val="-3"/>
                <w:sz w:val="20"/>
              </w:rPr>
              <w:t xml:space="preserve"> </w:t>
            </w:r>
            <w:r>
              <w:rPr>
                <w:sz w:val="20"/>
              </w:rPr>
              <w:t>(with</w:t>
            </w:r>
            <w:r>
              <w:rPr>
                <w:spacing w:val="-2"/>
                <w:sz w:val="20"/>
              </w:rPr>
              <w:t xml:space="preserve"> </w:t>
            </w:r>
            <w:r>
              <w:rPr>
                <w:sz w:val="20"/>
              </w:rPr>
              <w:t>patient</w:t>
            </w:r>
            <w:r>
              <w:rPr>
                <w:spacing w:val="-3"/>
                <w:sz w:val="20"/>
              </w:rPr>
              <w:t xml:space="preserve"> </w:t>
            </w:r>
            <w:r>
              <w:rPr>
                <w:sz w:val="20"/>
              </w:rPr>
              <w:t>input)</w:t>
            </w:r>
            <w:r>
              <w:rPr>
                <w:spacing w:val="-4"/>
                <w:sz w:val="20"/>
              </w:rPr>
              <w:t xml:space="preserve"> </w:t>
            </w:r>
            <w:r>
              <w:rPr>
                <w:rFonts w:ascii="Symbol" w:hAnsi="Symbol"/>
                <w:sz w:val="20"/>
              </w:rPr>
              <w:t></w:t>
            </w:r>
            <w:r>
              <w:rPr>
                <w:rFonts w:ascii="Times New Roman" w:hAnsi="Times New Roman"/>
                <w:spacing w:val="-8"/>
                <w:sz w:val="20"/>
              </w:rPr>
              <w:t xml:space="preserve"> </w:t>
            </w:r>
            <w:r>
              <w:rPr>
                <w:sz w:val="20"/>
              </w:rPr>
              <w:t>provide</w:t>
            </w:r>
            <w:r>
              <w:rPr>
                <w:spacing w:val="-4"/>
                <w:sz w:val="20"/>
              </w:rPr>
              <w:t xml:space="preserve"> </w:t>
            </w:r>
            <w:r>
              <w:rPr>
                <w:sz w:val="20"/>
              </w:rPr>
              <w:t>intervention</w:t>
            </w:r>
            <w:r>
              <w:rPr>
                <w:spacing w:val="-2"/>
                <w:sz w:val="20"/>
              </w:rPr>
              <w:t xml:space="preserve"> </w:t>
            </w:r>
            <w:r>
              <w:rPr>
                <w:rFonts w:ascii="Symbol" w:hAnsi="Symbol"/>
                <w:sz w:val="20"/>
              </w:rPr>
              <w:t></w:t>
            </w:r>
            <w:r>
              <w:rPr>
                <w:rFonts w:ascii="Times New Roman" w:hAnsi="Times New Roman"/>
                <w:spacing w:val="-6"/>
                <w:sz w:val="20"/>
              </w:rPr>
              <w:t xml:space="preserve"> </w:t>
            </w:r>
            <w:r>
              <w:rPr>
                <w:sz w:val="20"/>
              </w:rPr>
              <w:t>evaluate</w:t>
            </w:r>
            <w:r>
              <w:rPr>
                <w:spacing w:val="-4"/>
                <w:sz w:val="20"/>
              </w:rPr>
              <w:t xml:space="preserve"> </w:t>
            </w:r>
            <w:r>
              <w:rPr>
                <w:sz w:val="20"/>
              </w:rPr>
              <w:t>impact</w:t>
            </w:r>
            <w:r>
              <w:rPr>
                <w:spacing w:val="-3"/>
                <w:sz w:val="20"/>
              </w:rPr>
              <w:t xml:space="preserve"> </w:t>
            </w:r>
            <w:r>
              <w:rPr>
                <w:sz w:val="20"/>
              </w:rPr>
              <w:t>on</w:t>
            </w:r>
            <w:r>
              <w:rPr>
                <w:spacing w:val="-2"/>
                <w:sz w:val="20"/>
              </w:rPr>
              <w:t xml:space="preserve"> </w:t>
            </w:r>
            <w:r>
              <w:rPr>
                <w:sz w:val="20"/>
              </w:rPr>
              <w:t>health</w:t>
            </w:r>
            <w:r>
              <w:rPr>
                <w:spacing w:val="-3"/>
                <w:sz w:val="20"/>
              </w:rPr>
              <w:t xml:space="preserve"> </w:t>
            </w:r>
            <w:r>
              <w:rPr>
                <w:sz w:val="20"/>
              </w:rPr>
              <w:t>status.</w:t>
            </w:r>
            <w:r>
              <w:rPr>
                <w:spacing w:val="-3"/>
                <w:sz w:val="20"/>
              </w:rPr>
              <w:t xml:space="preserve"> </w:t>
            </w:r>
            <w:r>
              <w:rPr>
                <w:sz w:val="20"/>
              </w:rPr>
              <w:t>If</w:t>
            </w:r>
            <w:r>
              <w:rPr>
                <w:spacing w:val="-4"/>
                <w:sz w:val="20"/>
              </w:rPr>
              <w:t xml:space="preserve"> </w:t>
            </w:r>
            <w:r>
              <w:rPr>
                <w:sz w:val="20"/>
              </w:rPr>
              <w:t>the</w:t>
            </w:r>
            <w:r>
              <w:rPr>
                <w:spacing w:val="-4"/>
                <w:sz w:val="20"/>
              </w:rPr>
              <w:t xml:space="preserve"> </w:t>
            </w:r>
            <w:r>
              <w:rPr>
                <w:sz w:val="20"/>
              </w:rPr>
              <w:t>measure</w:t>
            </w:r>
            <w:r>
              <w:rPr>
                <w:spacing w:val="-2"/>
                <w:sz w:val="20"/>
              </w:rPr>
              <w:t xml:space="preserve"> </w:t>
            </w:r>
            <w:r>
              <w:rPr>
                <w:sz w:val="20"/>
              </w:rPr>
              <w:t>focus</w:t>
            </w:r>
            <w:r>
              <w:rPr>
                <w:spacing w:val="-4"/>
                <w:sz w:val="20"/>
              </w:rPr>
              <w:t xml:space="preserve"> </w:t>
            </w:r>
            <w:r>
              <w:rPr>
                <w:sz w:val="20"/>
              </w:rPr>
              <w:t>is</w:t>
            </w:r>
            <w:r>
              <w:rPr>
                <w:spacing w:val="-4"/>
                <w:sz w:val="20"/>
              </w:rPr>
              <w:t xml:space="preserve"> </w:t>
            </w:r>
            <w:r>
              <w:rPr>
                <w:sz w:val="20"/>
              </w:rPr>
              <w:t>one</w:t>
            </w:r>
          </w:p>
        </w:tc>
      </w:tr>
    </w:tbl>
    <w:p w14:paraId="74CCC47C" w14:textId="77777777" w:rsidR="00595D45" w:rsidRDefault="00595D45" w:rsidP="00595D45">
      <w:pPr>
        <w:ind w:left="0" w:firstLine="0"/>
        <w:rPr>
          <w:rFonts w:eastAsiaTheme="minorEastAsia"/>
          <w:b/>
          <w:bCs/>
          <w:color w:val="0000FF"/>
        </w:rPr>
      </w:pPr>
    </w:p>
    <w:p w14:paraId="6E9AC640" w14:textId="77777777" w:rsidR="00595D45" w:rsidRPr="003B1CC5" w:rsidRDefault="00595D45" w:rsidP="00595D45">
      <w:pPr>
        <w:ind w:left="0" w:firstLine="0"/>
        <w:rPr>
          <w:bCs/>
          <w:i/>
        </w:rPr>
      </w:pPr>
      <w:r w:rsidRPr="00E316C7">
        <w:rPr>
          <w:rFonts w:eastAsiaTheme="minorEastAsia"/>
          <w:b/>
          <w:bCs/>
          <w:color w:val="0000FF"/>
        </w:rPr>
        <w:t>1a.1.</w:t>
      </w:r>
      <w:r w:rsidRPr="00E316C7">
        <w:rPr>
          <w:rFonts w:eastAsiaTheme="minorEastAsia"/>
          <w:b/>
          <w:bCs/>
        </w:rPr>
        <w:t>This is a measure of</w:t>
      </w:r>
      <w:r w:rsidRPr="00E316C7">
        <w:rPr>
          <w:rFonts w:eastAsiaTheme="minorEastAsia"/>
        </w:rPr>
        <w:t>: (</w:t>
      </w:r>
      <w:r w:rsidRPr="00E316C7">
        <w:rPr>
          <w:rFonts w:eastAsiaTheme="minorEastAsia"/>
          <w:i/>
          <w:iCs/>
        </w:rPr>
        <w:t>should be consistent with type of measure entered in De.1</w:t>
      </w:r>
      <w:r w:rsidRPr="00E316C7">
        <w:rPr>
          <w:rFonts w:eastAsiaTheme="minorEastAsia"/>
        </w:rPr>
        <w:t xml:space="preserve">) </w:t>
      </w:r>
    </w:p>
    <w:p w14:paraId="42B4732C" w14:textId="77777777" w:rsidR="00595D45" w:rsidRPr="003B1CC5" w:rsidRDefault="00595D45" w:rsidP="00595D45">
      <w:pPr>
        <w:ind w:left="432" w:hanging="432"/>
        <w:rPr>
          <w:rFonts w:cs="Calibri"/>
          <w:bCs/>
        </w:rPr>
      </w:pPr>
      <w:r w:rsidRPr="00E316C7">
        <w:rPr>
          <w:rFonts w:eastAsiaTheme="minorEastAsia"/>
        </w:rPr>
        <w:t>Outcome</w:t>
      </w:r>
    </w:p>
    <w:p w14:paraId="1FB32472" w14:textId="77777777" w:rsidR="00595D45" w:rsidRPr="003B1CC5" w:rsidRDefault="00F86A6A" w:rsidP="00595D45">
      <w:pPr>
        <w:ind w:left="720" w:hanging="432"/>
        <w:rPr>
          <w:rStyle w:val="Style2"/>
          <w:rFonts w:cstheme="minorHAnsi"/>
        </w:rPr>
      </w:pPr>
      <w:sdt>
        <w:sdtPr>
          <w:rPr>
            <w:bCs/>
            <w:color w:val="0000FF"/>
            <w:u w:val="single"/>
          </w:rPr>
          <w:id w:val="-1315410284"/>
          <w14:checkbox>
            <w14:checked w14:val="0"/>
            <w14:checkedState w14:val="2612" w14:font="MS Gothic"/>
            <w14:uncheckedState w14:val="2610" w14:font="MS Gothic"/>
          </w14:checkbox>
        </w:sdtPr>
        <w:sdtContent>
          <w:r w:rsidR="00595D45" w:rsidRPr="003B1CC5">
            <w:rPr>
              <w:rFonts w:ascii="MS Gothic" w:eastAsia="MS Gothic" w:hAnsi="MS Gothic" w:cs="MS Gothic" w:hint="eastAsia"/>
              <w:bCs/>
              <w:color w:val="0000FF"/>
            </w:rPr>
            <w:t>☐</w:t>
          </w:r>
        </w:sdtContent>
      </w:sdt>
      <w:r w:rsidR="00595D45" w:rsidRPr="00E316C7">
        <w:rPr>
          <w:rFonts w:eastAsiaTheme="minorEastAsia"/>
          <w:color w:val="0000FF"/>
        </w:rPr>
        <w:t xml:space="preserve"> </w:t>
      </w:r>
      <w:r w:rsidR="00595D45" w:rsidRPr="00E316C7">
        <w:rPr>
          <w:rFonts w:eastAsiaTheme="minorEastAsia"/>
        </w:rPr>
        <w:t xml:space="preserve">Health outcome: </w:t>
      </w:r>
      <w:sdt>
        <w:sdtPr>
          <w:rPr>
            <w:rStyle w:val="Style2"/>
            <w:rFonts w:cstheme="minorHAnsi"/>
          </w:rPr>
          <w:id w:val="2020654386"/>
          <w:placeholder>
            <w:docPart w:val="CD8283A0DC15403DB672FA47A6DE60D4"/>
          </w:placeholder>
          <w:showingPlcHdr/>
        </w:sdtPr>
        <w:sdtEndPr>
          <w:rPr>
            <w:rStyle w:val="DefaultParagraphFont"/>
            <w:rFonts w:cstheme="minorBidi"/>
            <w:color w:val="auto"/>
            <w:u w:val="none"/>
          </w:rPr>
        </w:sdtEndPr>
        <w:sdtContent>
          <w:r w:rsidR="00595D45" w:rsidRPr="003B1CC5">
            <w:rPr>
              <w:color w:val="A6A6A6" w:themeColor="background1" w:themeShade="A6"/>
            </w:rPr>
            <w:t>Click here to n</w:t>
          </w:r>
          <w:r w:rsidR="00595D45" w:rsidRPr="003B1CC5">
            <w:rPr>
              <w:rStyle w:val="PlaceholderText"/>
              <w:rFonts w:cstheme="minorHAnsi"/>
              <w:color w:val="A6A6A6" w:themeColor="background1" w:themeShade="A6"/>
            </w:rPr>
            <w:t>ame the health outcome</w:t>
          </w:r>
        </w:sdtContent>
      </w:sdt>
    </w:p>
    <w:p w14:paraId="3689EB80" w14:textId="77777777" w:rsidR="00595D45" w:rsidRPr="003B1CC5" w:rsidRDefault="00F86A6A" w:rsidP="00595D45">
      <w:pPr>
        <w:ind w:left="720" w:hanging="432"/>
        <w:rPr>
          <w:b/>
          <w:bCs/>
        </w:rPr>
      </w:pPr>
      <w:sdt>
        <w:sdtPr>
          <w:rPr>
            <w:bCs/>
            <w:color w:val="0000FF"/>
          </w:rPr>
          <w:id w:val="-1695213755"/>
          <w14:checkbox>
            <w14:checked w14:val="0"/>
            <w14:checkedState w14:val="2612" w14:font="MS Gothic"/>
            <w14:uncheckedState w14:val="2610" w14:font="MS Gothic"/>
          </w14:checkbox>
        </w:sdtPr>
        <w:sdtContent>
          <w:r w:rsidR="00595D45" w:rsidRPr="003B1CC5">
            <w:rPr>
              <w:rFonts w:ascii="MS Gothic" w:eastAsia="MS Gothic" w:hAnsi="MS Gothic" w:cs="MS Gothic" w:hint="eastAsia"/>
              <w:bCs/>
              <w:color w:val="0000FF"/>
            </w:rPr>
            <w:t>☐</w:t>
          </w:r>
        </w:sdtContent>
      </w:sdt>
      <w:r w:rsidR="00595D45" w:rsidRPr="00E316C7">
        <w:rPr>
          <w:rFonts w:eastAsiaTheme="minorEastAsia"/>
        </w:rPr>
        <w:t xml:space="preserve">Patient-reported outcome (PRO): </w:t>
      </w:r>
      <w:sdt>
        <w:sdtPr>
          <w:rPr>
            <w:rStyle w:val="Style2"/>
            <w:rFonts w:cstheme="minorHAnsi"/>
          </w:rPr>
          <w:id w:val="-203713227"/>
          <w:placeholder>
            <w:docPart w:val="C7326E5B500A43D5AA9E4BF719C301FA"/>
          </w:placeholder>
          <w:showingPlcHdr/>
        </w:sdtPr>
        <w:sdtEndPr>
          <w:rPr>
            <w:rStyle w:val="DefaultParagraphFont"/>
            <w:rFonts w:cstheme="minorBidi"/>
            <w:color w:val="auto"/>
            <w:u w:val="none"/>
          </w:rPr>
        </w:sdtEndPr>
        <w:sdtContent>
          <w:r w:rsidR="00595D45" w:rsidRPr="003B1CC5">
            <w:rPr>
              <w:color w:val="A6A6A6" w:themeColor="background1" w:themeShade="A6"/>
            </w:rPr>
            <w:t>Click here to n</w:t>
          </w:r>
          <w:r w:rsidR="00595D45" w:rsidRPr="003B1CC5">
            <w:rPr>
              <w:rStyle w:val="PlaceholderText"/>
              <w:rFonts w:cstheme="minorHAnsi"/>
              <w:color w:val="A6A6A6" w:themeColor="background1" w:themeShade="A6"/>
            </w:rPr>
            <w:t xml:space="preserve">ame the </w:t>
          </w:r>
          <w:r w:rsidR="00595D45">
            <w:rPr>
              <w:rStyle w:val="PlaceholderText"/>
              <w:rFonts w:cstheme="minorHAnsi"/>
              <w:color w:val="A6A6A6" w:themeColor="background1" w:themeShade="A6"/>
            </w:rPr>
            <w:t>PRO</w:t>
          </w:r>
        </w:sdtContent>
      </w:sdt>
    </w:p>
    <w:p w14:paraId="641C6F48" w14:textId="77777777" w:rsidR="00595D45" w:rsidRDefault="00595D45" w:rsidP="00595D45">
      <w:pPr>
        <w:ind w:left="720" w:firstLine="0"/>
        <w:rPr>
          <w:rFonts w:eastAsiaTheme="minorEastAsia"/>
          <w:i/>
          <w:iCs/>
        </w:rPr>
      </w:pPr>
      <w:r w:rsidRPr="00815622">
        <w:rPr>
          <w:rFonts w:eastAsiaTheme="minorEastAsia"/>
          <w:i/>
          <w:iCs/>
        </w:rPr>
        <w:t xml:space="preserve">PROs include </w:t>
      </w:r>
      <w:proofErr w:type="spellStart"/>
      <w:r w:rsidRPr="00815622">
        <w:rPr>
          <w:rFonts w:eastAsiaTheme="minorEastAsia"/>
          <w:i/>
          <w:iCs/>
        </w:rPr>
        <w:t>HRQoL</w:t>
      </w:r>
      <w:proofErr w:type="spellEnd"/>
      <w:r w:rsidRPr="00815622">
        <w:rPr>
          <w:rFonts w:eastAsiaTheme="minorEastAsia"/>
          <w:i/>
          <w:iCs/>
        </w:rPr>
        <w:t>/functional status, symptom/symptom burden, experience with care, health-related behaviors. (A PRO-based performance measure is not a survey instrument. Data may be collected using a survey instrument to construct a PRO measure.)</w:t>
      </w:r>
    </w:p>
    <w:p w14:paraId="31E5F892" w14:textId="77777777" w:rsidR="00595D45" w:rsidRPr="003B1CC5" w:rsidRDefault="00F86A6A" w:rsidP="00595D45">
      <w:pPr>
        <w:rPr>
          <w:bCs/>
        </w:rPr>
      </w:pPr>
      <w:sdt>
        <w:sdtPr>
          <w:rPr>
            <w:bCs/>
            <w:color w:val="0000FF"/>
          </w:rPr>
          <w:id w:val="1615395360"/>
          <w14:checkbox>
            <w14:checked w14:val="0"/>
            <w14:checkedState w14:val="2612" w14:font="MS Gothic"/>
            <w14:uncheckedState w14:val="2610" w14:font="MS Gothic"/>
          </w14:checkbox>
        </w:sdtPr>
        <w:sdtContent>
          <w:r w:rsidR="00595D45">
            <w:rPr>
              <w:rFonts w:ascii="MS Gothic" w:eastAsia="MS Gothic" w:hAnsi="MS Gothic" w:hint="eastAsia"/>
              <w:bCs/>
              <w:color w:val="0000FF"/>
            </w:rPr>
            <w:t>☐</w:t>
          </w:r>
        </w:sdtContent>
      </w:sdt>
      <w:r w:rsidR="00595D45" w:rsidRPr="00E316C7">
        <w:rPr>
          <w:rFonts w:eastAsiaTheme="minorEastAsia"/>
        </w:rPr>
        <w:t xml:space="preserve"> Intermediate clinical outcome (</w:t>
      </w:r>
      <w:r w:rsidR="00595D45" w:rsidRPr="00E316C7">
        <w:rPr>
          <w:rFonts w:eastAsiaTheme="minorEastAsia"/>
          <w:i/>
          <w:iCs/>
        </w:rPr>
        <w:t>e.g., lab value</w:t>
      </w:r>
      <w:r w:rsidR="00595D45" w:rsidRPr="00E316C7">
        <w:rPr>
          <w:rFonts w:eastAsiaTheme="minorEastAsia"/>
        </w:rPr>
        <w:t xml:space="preserve">):  </w:t>
      </w:r>
      <w:sdt>
        <w:sdtPr>
          <w:rPr>
            <w:rStyle w:val="Style2"/>
            <w:rFonts w:cstheme="minorHAnsi"/>
          </w:rPr>
          <w:id w:val="119966396"/>
          <w:showingPlcHdr/>
        </w:sdtPr>
        <w:sdtEndPr>
          <w:rPr>
            <w:rStyle w:val="DefaultParagraphFont"/>
            <w:rFonts w:cstheme="minorBidi"/>
            <w:bCs/>
            <w:color w:val="auto"/>
            <w:u w:val="none"/>
          </w:rPr>
        </w:sdtEndPr>
        <w:sdtContent>
          <w:r w:rsidR="00595D45" w:rsidRPr="003B1CC5">
            <w:rPr>
              <w:rStyle w:val="PlaceholderText"/>
              <w:rFonts w:cstheme="minorHAnsi"/>
              <w:color w:val="A6A6A6" w:themeColor="background1" w:themeShade="A6"/>
            </w:rPr>
            <w:t>Click here to name the intermediate outcome</w:t>
          </w:r>
        </w:sdtContent>
      </w:sdt>
    </w:p>
    <w:p w14:paraId="5E7DC397" w14:textId="77777777" w:rsidR="00595D45" w:rsidRPr="003B1CC5" w:rsidRDefault="00F86A6A" w:rsidP="00595D45">
      <w:pPr>
        <w:ind w:left="432" w:hanging="432"/>
        <w:rPr>
          <w:bCs/>
        </w:rPr>
      </w:pPr>
      <w:sdt>
        <w:sdtPr>
          <w:rPr>
            <w:bCs/>
            <w:color w:val="0000FF"/>
          </w:rPr>
          <w:id w:val="-1654139392"/>
          <w14:checkbox>
            <w14:checked w14:val="1"/>
            <w14:checkedState w14:val="2612" w14:font="MS Gothic"/>
            <w14:uncheckedState w14:val="2610" w14:font="MS Gothic"/>
          </w14:checkbox>
        </w:sdtPr>
        <w:sdtContent>
          <w:r w:rsidR="00595D45">
            <w:rPr>
              <w:rFonts w:ascii="MS Gothic" w:eastAsia="MS Gothic" w:hAnsi="MS Gothic" w:hint="eastAsia"/>
              <w:bCs/>
              <w:color w:val="0000FF"/>
            </w:rPr>
            <w:t>☒</w:t>
          </w:r>
        </w:sdtContent>
      </w:sdt>
      <w:r w:rsidR="00595D45" w:rsidRPr="00E316C7">
        <w:rPr>
          <w:rFonts w:eastAsiaTheme="minorEastAsia"/>
        </w:rPr>
        <w:t xml:space="preserve"> Process:  </w:t>
      </w:r>
      <w:sdt>
        <w:sdtPr>
          <w:rPr>
            <w:rStyle w:val="Style2"/>
            <w:rFonts w:cstheme="minorHAnsi"/>
          </w:rPr>
          <w:id w:val="510495755"/>
        </w:sdtPr>
        <w:sdtEndPr>
          <w:rPr>
            <w:rStyle w:val="DefaultParagraphFont"/>
            <w:rFonts w:cstheme="minorBidi"/>
            <w:bCs/>
            <w:color w:val="auto"/>
            <w:u w:val="none"/>
          </w:rPr>
        </w:sdtEndPr>
        <w:sdtContent>
          <w:r w:rsidR="00595D45">
            <w:rPr>
              <w:rStyle w:val="Style2"/>
              <w:rFonts w:cstheme="minorHAnsi"/>
            </w:rPr>
            <w:t>Completion of a nutrition assessment for patients identified to be at-risk of malnutrition from a completed malnutrition screening</w:t>
          </w:r>
        </w:sdtContent>
      </w:sdt>
    </w:p>
    <w:p w14:paraId="19C56DCC" w14:textId="77777777" w:rsidR="00595D45" w:rsidRPr="003B1CC5" w:rsidRDefault="00F86A6A" w:rsidP="00595D45">
      <w:pPr>
        <w:ind w:left="432" w:firstLine="288"/>
        <w:rPr>
          <w:bCs/>
        </w:rPr>
      </w:pPr>
      <w:sdt>
        <w:sdtPr>
          <w:rPr>
            <w:bCs/>
            <w:color w:val="0000FF"/>
          </w:rPr>
          <w:id w:val="-477611272"/>
          <w14:checkbox>
            <w14:checked w14:val="0"/>
            <w14:checkedState w14:val="2612" w14:font="MS Gothic"/>
            <w14:uncheckedState w14:val="2610" w14:font="MS Gothic"/>
          </w14:checkbox>
        </w:sdtPr>
        <w:sdtContent>
          <w:r w:rsidR="00595D45">
            <w:rPr>
              <w:rFonts w:ascii="MS Gothic" w:eastAsia="MS Gothic" w:hAnsi="MS Gothic" w:hint="eastAsia"/>
              <w:bCs/>
              <w:color w:val="0000FF"/>
            </w:rPr>
            <w:t>☐</w:t>
          </w:r>
        </w:sdtContent>
      </w:sdt>
      <w:r w:rsidR="00595D45" w:rsidRPr="00E316C7">
        <w:rPr>
          <w:rFonts w:eastAsiaTheme="minorEastAsia"/>
        </w:rPr>
        <w:t xml:space="preserve"> </w:t>
      </w:r>
      <w:r w:rsidR="00595D45">
        <w:rPr>
          <w:rFonts w:eastAsiaTheme="minorEastAsia"/>
        </w:rPr>
        <w:t>Appropriate Use Measure</w:t>
      </w:r>
      <w:r w:rsidR="00595D45" w:rsidRPr="00E316C7">
        <w:rPr>
          <w:rFonts w:eastAsiaTheme="minorEastAsia"/>
        </w:rPr>
        <w:t xml:space="preserve">:  </w:t>
      </w:r>
      <w:sdt>
        <w:sdtPr>
          <w:rPr>
            <w:rStyle w:val="Style2"/>
            <w:rFonts w:cstheme="minorHAnsi"/>
          </w:rPr>
          <w:id w:val="-1649731471"/>
          <w:showingPlcHdr/>
        </w:sdtPr>
        <w:sdtEndPr>
          <w:rPr>
            <w:rStyle w:val="DefaultParagraphFont"/>
            <w:rFonts w:cstheme="minorBidi"/>
            <w:bCs/>
            <w:color w:val="auto"/>
            <w:u w:val="none"/>
          </w:rPr>
        </w:sdtEndPr>
        <w:sdtContent>
          <w:r w:rsidR="00595D45" w:rsidRPr="003B1CC5">
            <w:rPr>
              <w:rStyle w:val="PlaceholderText"/>
              <w:rFonts w:cstheme="minorHAnsi"/>
              <w:color w:val="A6A6A6" w:themeColor="background1" w:themeShade="A6"/>
            </w:rPr>
            <w:t>Click here to name what is being measured</w:t>
          </w:r>
        </w:sdtContent>
      </w:sdt>
    </w:p>
    <w:p w14:paraId="4611DAD7" w14:textId="77777777" w:rsidR="00595D45" w:rsidRPr="003B1CC5" w:rsidRDefault="00F86A6A" w:rsidP="00595D45">
      <w:pPr>
        <w:rPr>
          <w:bCs/>
        </w:rPr>
      </w:pPr>
      <w:sdt>
        <w:sdtPr>
          <w:rPr>
            <w:bCs/>
            <w:color w:val="0000FF"/>
          </w:rPr>
          <w:id w:val="-231075740"/>
          <w14:checkbox>
            <w14:checked w14:val="0"/>
            <w14:checkedState w14:val="2612" w14:font="MS Gothic"/>
            <w14:uncheckedState w14:val="2610" w14:font="MS Gothic"/>
          </w14:checkbox>
        </w:sdtPr>
        <w:sdtContent>
          <w:r w:rsidR="00595D45">
            <w:rPr>
              <w:rFonts w:ascii="MS Gothic" w:eastAsia="MS Gothic" w:hAnsi="MS Gothic" w:hint="eastAsia"/>
              <w:bCs/>
              <w:color w:val="0000FF"/>
            </w:rPr>
            <w:t>☐</w:t>
          </w:r>
        </w:sdtContent>
      </w:sdt>
      <w:r w:rsidR="00595D45" w:rsidRPr="00E316C7">
        <w:rPr>
          <w:rFonts w:eastAsiaTheme="minorEastAsia"/>
        </w:rPr>
        <w:t xml:space="preserve"> Structure:  </w:t>
      </w:r>
      <w:sdt>
        <w:sdtPr>
          <w:rPr>
            <w:rStyle w:val="Style2"/>
            <w:rFonts w:cstheme="minorHAnsi"/>
          </w:rPr>
          <w:id w:val="450524330"/>
          <w:showingPlcHdr/>
        </w:sdtPr>
        <w:sdtEndPr>
          <w:rPr>
            <w:rStyle w:val="DefaultParagraphFont"/>
            <w:rFonts w:cstheme="minorBidi"/>
            <w:bCs/>
            <w:color w:val="auto"/>
            <w:u w:val="none"/>
          </w:rPr>
        </w:sdtEndPr>
        <w:sdtContent>
          <w:r w:rsidR="00595D45" w:rsidRPr="003B1CC5">
            <w:rPr>
              <w:rStyle w:val="PlaceholderText"/>
              <w:rFonts w:cstheme="minorHAnsi"/>
              <w:color w:val="A6A6A6" w:themeColor="background1" w:themeShade="A6"/>
            </w:rPr>
            <w:t>Click here to name the structure</w:t>
          </w:r>
        </w:sdtContent>
      </w:sdt>
    </w:p>
    <w:p w14:paraId="360538A2" w14:textId="77777777" w:rsidR="00595D45" w:rsidRPr="003B1CC5" w:rsidRDefault="00F86A6A" w:rsidP="00595D45">
      <w:pPr>
        <w:ind w:left="432" w:hanging="432"/>
        <w:rPr>
          <w:bCs/>
        </w:rPr>
      </w:pPr>
      <w:sdt>
        <w:sdtPr>
          <w:rPr>
            <w:bCs/>
            <w:color w:val="0000FF"/>
          </w:rPr>
          <w:id w:val="-224608336"/>
          <w14:checkbox>
            <w14:checked w14:val="0"/>
            <w14:checkedState w14:val="2612" w14:font="MS Gothic"/>
            <w14:uncheckedState w14:val="2610" w14:font="MS Gothic"/>
          </w14:checkbox>
        </w:sdtPr>
        <w:sdtContent>
          <w:r w:rsidR="00595D45">
            <w:rPr>
              <w:rFonts w:ascii="MS Gothic" w:eastAsia="MS Gothic" w:hAnsi="MS Gothic" w:hint="eastAsia"/>
              <w:bCs/>
              <w:color w:val="0000FF"/>
            </w:rPr>
            <w:t>☐</w:t>
          </w:r>
        </w:sdtContent>
      </w:sdt>
      <w:r w:rsidR="00595D45" w:rsidRPr="00E316C7">
        <w:rPr>
          <w:rFonts w:eastAsiaTheme="minorEastAsia"/>
        </w:rPr>
        <w:t xml:space="preserve"> </w:t>
      </w:r>
      <w:r w:rsidR="00595D45">
        <w:rPr>
          <w:rFonts w:eastAsiaTheme="minorEastAsia"/>
        </w:rPr>
        <w:t>Composite</w:t>
      </w:r>
      <w:r w:rsidR="00595D45" w:rsidRPr="00E316C7">
        <w:rPr>
          <w:rFonts w:eastAsiaTheme="minorEastAsia"/>
        </w:rPr>
        <w:t xml:space="preserve">:  </w:t>
      </w:r>
      <w:sdt>
        <w:sdtPr>
          <w:rPr>
            <w:rStyle w:val="Style2"/>
            <w:rFonts w:cstheme="minorHAnsi"/>
          </w:rPr>
          <w:id w:val="436718612"/>
          <w:showingPlcHdr/>
        </w:sdtPr>
        <w:sdtEndPr>
          <w:rPr>
            <w:rStyle w:val="DefaultParagraphFont"/>
            <w:rFonts w:cstheme="minorBidi"/>
            <w:bCs/>
            <w:color w:val="auto"/>
            <w:u w:val="none"/>
          </w:rPr>
        </w:sdtEndPr>
        <w:sdtContent>
          <w:r w:rsidR="00595D45" w:rsidRPr="003B1CC5">
            <w:rPr>
              <w:rStyle w:val="PlaceholderText"/>
              <w:rFonts w:cstheme="minorHAnsi"/>
              <w:color w:val="A6A6A6" w:themeColor="background1" w:themeShade="A6"/>
            </w:rPr>
            <w:t>Click here to name what is being measured</w:t>
          </w:r>
        </w:sdtContent>
      </w:sdt>
    </w:p>
    <w:p w14:paraId="015A601E" w14:textId="77777777" w:rsidR="00595D45" w:rsidRDefault="00595D45" w:rsidP="00595D45">
      <w:pPr>
        <w:ind w:left="0" w:firstLine="0"/>
        <w:rPr>
          <w:rFonts w:eastAsiaTheme="minorEastAsia"/>
          <w:b/>
          <w:bCs/>
          <w:caps/>
        </w:rPr>
      </w:pPr>
    </w:p>
    <w:p w14:paraId="03261A65" w14:textId="77777777" w:rsidR="00595D45" w:rsidRDefault="00595D45" w:rsidP="00595D45">
      <w:pPr>
        <w:ind w:left="432" w:hanging="432"/>
        <w:rPr>
          <w:iCs/>
          <w:noProof/>
        </w:rPr>
      </w:pPr>
      <w:r w:rsidRPr="00E316C7">
        <w:rPr>
          <w:rFonts w:eastAsiaTheme="minorEastAsia"/>
          <w:b/>
          <w:bCs/>
          <w:color w:val="0000FF"/>
        </w:rPr>
        <w:t>1a.2.</w:t>
      </w:r>
      <w:r>
        <w:rPr>
          <w:rFonts w:eastAsiaTheme="minorEastAsia"/>
        </w:rPr>
        <w:t xml:space="preserve"> </w:t>
      </w:r>
      <w:r>
        <w:rPr>
          <w:rFonts w:eastAsiaTheme="minorEastAsia"/>
          <w:b/>
          <w:bCs/>
        </w:rPr>
        <w:t xml:space="preserve">LOGIC MODEL: </w:t>
      </w:r>
      <w:r w:rsidRPr="004A7315">
        <w:rPr>
          <w:rFonts w:eastAsiaTheme="minorEastAsia"/>
        </w:rPr>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67CF50B5" w14:textId="77777777" w:rsidR="00595D45" w:rsidRDefault="00595D45" w:rsidP="00595D45">
      <w:pPr>
        <w:ind w:left="432" w:hanging="432"/>
        <w:rPr>
          <w:iCs/>
        </w:rPr>
      </w:pPr>
    </w:p>
    <w:p w14:paraId="1758280D" w14:textId="77777777" w:rsidR="00595D45" w:rsidRDefault="00595D45" w:rsidP="00595D45">
      <w:pPr>
        <w:ind w:left="432" w:hanging="432"/>
        <w:rPr>
          <w:iCs/>
        </w:rPr>
      </w:pPr>
      <w:r w:rsidRPr="004A7315">
        <w:rPr>
          <w:iCs/>
          <w:noProof/>
        </w:rPr>
        <w:drawing>
          <wp:anchor distT="0" distB="0" distL="114300" distR="114300" simplePos="0" relativeHeight="251687936" behindDoc="1" locked="0" layoutInCell="1" allowOverlap="1" wp14:anchorId="5ABEDB23" wp14:editId="66E9C1B4">
            <wp:simplePos x="0" y="0"/>
            <wp:positionH relativeFrom="margin">
              <wp:align>left</wp:align>
            </wp:positionH>
            <wp:positionV relativeFrom="paragraph">
              <wp:posOffset>9525</wp:posOffset>
            </wp:positionV>
            <wp:extent cx="6400800" cy="1333500"/>
            <wp:effectExtent l="0" t="0" r="19050" b="0"/>
            <wp:wrapTight wrapText="bothSides">
              <wp:wrapPolygon edited="0">
                <wp:start x="11121" y="4011"/>
                <wp:lineTo x="0" y="4629"/>
                <wp:lineTo x="0" y="17280"/>
                <wp:lineTo x="21600" y="17280"/>
                <wp:lineTo x="21600" y="4629"/>
                <wp:lineTo x="16071" y="4011"/>
                <wp:lineTo x="11121" y="4011"/>
              </wp:wrapPolygon>
            </wp:wrapTight>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anchor>
        </w:drawing>
      </w:r>
    </w:p>
    <w:p w14:paraId="2C05425B" w14:textId="77777777" w:rsidR="00595D45" w:rsidRDefault="00595D45" w:rsidP="00595D45">
      <w:pPr>
        <w:ind w:left="432" w:hanging="432"/>
        <w:rPr>
          <w:iCs/>
        </w:rPr>
      </w:pPr>
    </w:p>
    <w:p w14:paraId="60CF6969" w14:textId="77777777" w:rsidR="00595D45" w:rsidRPr="003B1CC5" w:rsidRDefault="00595D45" w:rsidP="00595D45">
      <w:pPr>
        <w:ind w:left="0" w:firstLine="0"/>
      </w:pPr>
      <w:r w:rsidRPr="00E316C7">
        <w:rPr>
          <w:rFonts w:eastAsiaTheme="minorEastAsia"/>
        </w:rPr>
        <w:t>Nutrition screening completed at admission can identify patients at risk of malnutrition early in the patient stay. Those patients who are identified are then assessed by a registered dietitian who, if appropriate, may recommend a specific nutrition intervention to address the patient’s malnutrition, which if addressed early can reduce risk of mortality and post-operative complications and possibly reduce length of stay.</w:t>
      </w:r>
    </w:p>
    <w:p w14:paraId="100BBE82" w14:textId="77777777" w:rsidR="00595D45" w:rsidRDefault="00595D45" w:rsidP="00595D45">
      <w:pPr>
        <w:ind w:left="0" w:firstLine="0"/>
        <w:rPr>
          <w:iCs/>
        </w:rPr>
      </w:pPr>
    </w:p>
    <w:p w14:paraId="2D984124" w14:textId="77777777" w:rsidR="00595D45" w:rsidRDefault="00595D45" w:rsidP="00595D45">
      <w:pPr>
        <w:ind w:right="738"/>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4507D998" w14:textId="77777777" w:rsidR="00595D45" w:rsidRPr="003B1CC5" w:rsidRDefault="00595D45" w:rsidP="00595D45">
      <w:pPr>
        <w:ind w:left="0" w:firstLine="0"/>
        <w:rPr>
          <w:iCs/>
        </w:rPr>
      </w:pPr>
    </w:p>
    <w:p w14:paraId="59337C0D" w14:textId="77777777" w:rsidR="00595D45" w:rsidRPr="00C06ABD" w:rsidRDefault="00595D45" w:rsidP="00595D45">
      <w:pPr>
        <w:widowControl w:val="0"/>
        <w:autoSpaceDE w:val="0"/>
        <w:autoSpaceDN w:val="0"/>
        <w:outlineLvl w:val="0"/>
        <w:rPr>
          <w:rFonts w:ascii="Calibri" w:eastAsia="Calibri" w:hAnsi="Calibri" w:cs="Calibri"/>
          <w:b/>
          <w:bCs/>
          <w:lang w:bidi="en-US"/>
        </w:rPr>
      </w:pPr>
      <w:r w:rsidRPr="00C06ABD">
        <w:rPr>
          <w:rFonts w:ascii="Calibri" w:eastAsia="Calibri" w:hAnsi="Calibri" w:cs="Calibri"/>
          <w:b/>
          <w:bCs/>
          <w:lang w:bidi="en-US"/>
        </w:rPr>
        <w:t>**RESPOND TO ONLY ONE SECTION BELOW -EITHER 1a.2, 1a.3 or 1a.4) **</w:t>
      </w:r>
    </w:p>
    <w:p w14:paraId="272AE4C7" w14:textId="77777777" w:rsidR="00595D45" w:rsidRPr="00C06ABD" w:rsidRDefault="00595D45" w:rsidP="00595D45">
      <w:pPr>
        <w:widowControl w:val="0"/>
        <w:autoSpaceDE w:val="0"/>
        <w:autoSpaceDN w:val="0"/>
        <w:ind w:left="0" w:firstLine="0"/>
        <w:rPr>
          <w:rFonts w:ascii="Calibri" w:eastAsia="Calibri" w:hAnsi="Calibri" w:cs="Calibri"/>
          <w:b/>
          <w:szCs w:val="20"/>
          <w:lang w:bidi="en-US"/>
        </w:rPr>
      </w:pPr>
    </w:p>
    <w:p w14:paraId="339768E8" w14:textId="77777777" w:rsidR="00595D45" w:rsidRPr="00C06ABD" w:rsidRDefault="00595D45" w:rsidP="00595D45">
      <w:pPr>
        <w:widowControl w:val="0"/>
        <w:autoSpaceDE w:val="0"/>
        <w:autoSpaceDN w:val="0"/>
        <w:spacing w:before="1"/>
        <w:ind w:right="945"/>
        <w:rPr>
          <w:rFonts w:ascii="Calibri" w:eastAsia="Calibri" w:hAnsi="Calibri" w:cs="Calibri"/>
          <w:b/>
          <w:lang w:bidi="en-US"/>
        </w:rPr>
      </w:pPr>
      <w:r w:rsidRPr="00C06ABD">
        <w:rPr>
          <w:rFonts w:ascii="Calibri" w:eastAsia="Calibri" w:hAnsi="Calibri" w:cs="Calibri"/>
          <w:b/>
          <w:lang w:bidi="en-US"/>
        </w:rPr>
        <w:t>1a.2 FOR OUTCOME MEASURES including PATIENT REPORTED OUTCOMES - Provide empirical data demonstrating the relationship between the outcome (or PRO) to at least one healthcare structure, process, intervention, or service.</w:t>
      </w:r>
    </w:p>
    <w:p w14:paraId="52A0521D" w14:textId="77777777" w:rsidR="00595D45" w:rsidRPr="00C06ABD" w:rsidRDefault="00595D45" w:rsidP="00595D45">
      <w:pPr>
        <w:widowControl w:val="0"/>
        <w:autoSpaceDE w:val="0"/>
        <w:autoSpaceDN w:val="0"/>
        <w:ind w:left="0" w:firstLine="0"/>
        <w:rPr>
          <w:rFonts w:ascii="Calibri" w:eastAsia="Calibri" w:hAnsi="Calibri" w:cs="Calibri"/>
          <w:b/>
          <w:szCs w:val="20"/>
          <w:lang w:bidi="en-US"/>
        </w:rPr>
      </w:pPr>
    </w:p>
    <w:p w14:paraId="6B7B0776" w14:textId="77777777" w:rsidR="00595D45" w:rsidRPr="00C06ABD" w:rsidRDefault="00595D45" w:rsidP="00595D45">
      <w:pPr>
        <w:widowControl w:val="0"/>
        <w:autoSpaceDE w:val="0"/>
        <w:autoSpaceDN w:val="0"/>
        <w:spacing w:before="10"/>
        <w:ind w:left="0" w:firstLine="0"/>
        <w:rPr>
          <w:rFonts w:ascii="Calibri" w:eastAsia="Calibri" w:hAnsi="Calibri" w:cs="Calibri"/>
          <w:b/>
          <w:sz w:val="21"/>
          <w:szCs w:val="20"/>
          <w:lang w:bidi="en-US"/>
        </w:rPr>
      </w:pPr>
    </w:p>
    <w:p w14:paraId="69DA2D68" w14:textId="77777777" w:rsidR="00595D45" w:rsidRPr="00C06ABD" w:rsidRDefault="00595D45" w:rsidP="00595D45">
      <w:pPr>
        <w:widowControl w:val="0"/>
        <w:autoSpaceDE w:val="0"/>
        <w:autoSpaceDN w:val="0"/>
        <w:ind w:left="0" w:right="991" w:firstLine="0"/>
        <w:rPr>
          <w:rFonts w:ascii="Calibri" w:eastAsia="Calibri" w:hAnsi="Calibri" w:cs="Calibri"/>
          <w:b/>
          <w:lang w:bidi="en-US"/>
        </w:rPr>
      </w:pPr>
      <w:r w:rsidRPr="00C06ABD">
        <w:rPr>
          <w:rFonts w:ascii="Calibri" w:eastAsia="Calibri" w:hAnsi="Calibri" w:cs="Calibri"/>
          <w:b/>
          <w:lang w:bidi="en-US"/>
        </w:rPr>
        <w:t>1a.3. SYSTEMATIC REVIEW(SR) OF THE EVIDENCE (for INTERMEDIATE OUTCOME, PROCESS, OR STRUCTURE PERFORMANCE MEASURES, INCLUDING THOSE THAT ARE INSTRUMENT-BASED) If the</w:t>
      </w:r>
      <w:r>
        <w:rPr>
          <w:rFonts w:ascii="Calibri" w:eastAsia="Calibri" w:hAnsi="Calibri" w:cs="Calibri"/>
          <w:b/>
          <w:lang w:bidi="en-US"/>
        </w:rPr>
        <w:t xml:space="preserve"> </w:t>
      </w:r>
      <w:r w:rsidRPr="00C06ABD">
        <w:rPr>
          <w:rFonts w:ascii="Calibri" w:eastAsia="Calibri" w:hAnsi="Calibri" w:cs="Calibri"/>
          <w:b/>
          <w:lang w:bidi="en-US"/>
        </w:rPr>
        <w:t>evidence is not based on a systematic review go to section 1a.4) If you wish to include more than one systematic review, add additional tables.</w:t>
      </w:r>
    </w:p>
    <w:p w14:paraId="720CCC37" w14:textId="77777777" w:rsidR="00595D45" w:rsidRPr="00C06ABD" w:rsidRDefault="00595D45" w:rsidP="00595D45">
      <w:pPr>
        <w:widowControl w:val="0"/>
        <w:autoSpaceDE w:val="0"/>
        <w:autoSpaceDN w:val="0"/>
        <w:spacing w:before="2"/>
        <w:ind w:left="0" w:firstLine="0"/>
        <w:rPr>
          <w:rFonts w:ascii="Calibri" w:eastAsia="Calibri" w:hAnsi="Calibri" w:cs="Calibri"/>
          <w:b/>
          <w:szCs w:val="20"/>
          <w:lang w:bidi="en-US"/>
        </w:rPr>
      </w:pPr>
    </w:p>
    <w:p w14:paraId="70034739" w14:textId="77777777" w:rsidR="00595D45" w:rsidRPr="00C06ABD" w:rsidRDefault="00595D45" w:rsidP="00595D45">
      <w:pPr>
        <w:widowControl w:val="0"/>
        <w:autoSpaceDE w:val="0"/>
        <w:autoSpaceDN w:val="0"/>
        <w:ind w:left="0" w:right="597" w:firstLine="0"/>
        <w:rPr>
          <w:rFonts w:ascii="Calibri" w:eastAsia="Calibri" w:hAnsi="Calibri" w:cs="Calibri"/>
          <w:b/>
          <w:lang w:bidi="en-US"/>
        </w:rPr>
      </w:pPr>
      <w:r w:rsidRPr="00C06ABD">
        <w:rPr>
          <w:rFonts w:ascii="Calibri" w:eastAsia="Calibri" w:hAnsi="Calibri" w:cs="Calibri"/>
          <w:b/>
          <w:lang w:bidi="en-US"/>
        </w:rPr>
        <w:t xml:space="preserve">What is the source of the </w:t>
      </w:r>
      <w:r w:rsidRPr="00C06ABD">
        <w:rPr>
          <w:rFonts w:ascii="Calibri" w:eastAsia="Calibri" w:hAnsi="Calibri" w:cs="Calibri"/>
          <w:b/>
          <w:u w:val="single"/>
          <w:lang w:bidi="en-US"/>
        </w:rPr>
        <w:t>systematic review of the body of evidence</w:t>
      </w:r>
      <w:r w:rsidRPr="00C06ABD">
        <w:rPr>
          <w:rFonts w:ascii="Calibri" w:eastAsia="Calibri" w:hAnsi="Calibri" w:cs="Calibri"/>
          <w:b/>
          <w:lang w:bidi="en-US"/>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48D04F9D" w14:textId="77777777" w:rsidR="00595D45" w:rsidRPr="003B1CC5" w:rsidRDefault="00595D45" w:rsidP="00595D45">
      <w:pPr>
        <w:ind w:left="0" w:firstLine="0"/>
      </w:pPr>
    </w:p>
    <w:p w14:paraId="7A8B2840" w14:textId="77777777" w:rsidR="00595D45" w:rsidRPr="003B1CC5" w:rsidRDefault="00F86A6A" w:rsidP="00595D45">
      <w:pPr>
        <w:ind w:left="0" w:firstLine="0"/>
      </w:pPr>
      <w:sdt>
        <w:sdtPr>
          <w:rPr>
            <w:bCs/>
            <w:color w:val="0000FF"/>
          </w:rPr>
          <w:id w:val="2099364212"/>
          <w14:checkbox>
            <w14:checked w14:val="1"/>
            <w14:checkedState w14:val="2612" w14:font="MS Gothic"/>
            <w14:uncheckedState w14:val="2610" w14:font="MS Gothic"/>
          </w14:checkbox>
        </w:sdtPr>
        <w:sdtContent>
          <w:r w:rsidR="00595D45">
            <w:rPr>
              <w:rFonts w:ascii="MS Gothic" w:eastAsia="MS Gothic" w:hAnsi="MS Gothic" w:hint="eastAsia"/>
              <w:bCs/>
              <w:color w:val="0000FF"/>
            </w:rPr>
            <w:t>☒</w:t>
          </w:r>
        </w:sdtContent>
      </w:sdt>
      <w:r w:rsidR="00595D45" w:rsidRPr="00E316C7">
        <w:rPr>
          <w:rFonts w:eastAsiaTheme="minorEastAsia"/>
        </w:rPr>
        <w:t xml:space="preserve"> Clinical Practice Guideline recommendation </w:t>
      </w:r>
    </w:p>
    <w:p w14:paraId="479426DF" w14:textId="77777777" w:rsidR="00595D45" w:rsidRPr="003B1CC5" w:rsidRDefault="00F86A6A" w:rsidP="00595D45">
      <w:pPr>
        <w:ind w:left="0" w:firstLine="0"/>
        <w:rPr>
          <w:b/>
          <w:i/>
        </w:rPr>
      </w:pPr>
      <w:sdt>
        <w:sdtPr>
          <w:rPr>
            <w:bCs/>
            <w:color w:val="0000FF"/>
          </w:rPr>
          <w:id w:val="-466362095"/>
          <w14:checkbox>
            <w14:checked w14:val="0"/>
            <w14:checkedState w14:val="2612" w14:font="MS Gothic"/>
            <w14:uncheckedState w14:val="2610" w14:font="MS Gothic"/>
          </w14:checkbox>
        </w:sdtPr>
        <w:sdtContent>
          <w:r w:rsidR="00595D45" w:rsidRPr="003B1CC5">
            <w:rPr>
              <w:rFonts w:ascii="MS Gothic" w:eastAsia="MS Gothic" w:hAnsi="MS Gothic" w:cs="MS Gothic" w:hint="eastAsia"/>
              <w:bCs/>
              <w:color w:val="0000FF"/>
            </w:rPr>
            <w:t>☐</w:t>
          </w:r>
        </w:sdtContent>
      </w:sdt>
      <w:r w:rsidR="00595D45" w:rsidRPr="00E316C7">
        <w:rPr>
          <w:rFonts w:eastAsiaTheme="minorEastAsia"/>
        </w:rPr>
        <w:t xml:space="preserve"> US Preventive Services Task Force Recommendation </w:t>
      </w:r>
    </w:p>
    <w:p w14:paraId="19A40A29" w14:textId="77777777" w:rsidR="00595D45" w:rsidRPr="003B1CC5" w:rsidRDefault="00F86A6A" w:rsidP="00595D45">
      <w:pPr>
        <w:ind w:left="0" w:firstLine="0"/>
      </w:pPr>
      <w:sdt>
        <w:sdtPr>
          <w:rPr>
            <w:bCs/>
            <w:color w:val="0000FF"/>
          </w:rPr>
          <w:id w:val="-1022629915"/>
          <w14:checkbox>
            <w14:checked w14:val="1"/>
            <w14:checkedState w14:val="2612" w14:font="MS Gothic"/>
            <w14:uncheckedState w14:val="2610" w14:font="MS Gothic"/>
          </w14:checkbox>
        </w:sdtPr>
        <w:sdtContent>
          <w:r w:rsidR="00595D45">
            <w:rPr>
              <w:rFonts w:ascii="MS Gothic" w:eastAsia="MS Gothic" w:hAnsi="MS Gothic" w:hint="eastAsia"/>
              <w:bCs/>
              <w:color w:val="0000FF"/>
            </w:rPr>
            <w:t>☒</w:t>
          </w:r>
        </w:sdtContent>
      </w:sdt>
      <w:r w:rsidR="00595D45" w:rsidRPr="00E316C7">
        <w:rPr>
          <w:rFonts w:eastAsiaTheme="minorEastAsia"/>
        </w:rPr>
        <w:t xml:space="preserve"> Other systematic review and grading of the body of evidence (</w:t>
      </w:r>
      <w:r w:rsidR="00595D45" w:rsidRPr="00E316C7">
        <w:rPr>
          <w:rFonts w:eastAsiaTheme="minorEastAsia"/>
          <w:i/>
          <w:iCs/>
        </w:rPr>
        <w:t>e.g., Cochrane Collaboration, AHRQ Evidence Practice Center</w:t>
      </w:r>
      <w:r w:rsidR="00595D45" w:rsidRPr="00E316C7">
        <w:rPr>
          <w:rFonts w:eastAsiaTheme="minorEastAsia"/>
        </w:rPr>
        <w:t xml:space="preserve">) </w:t>
      </w:r>
    </w:p>
    <w:p w14:paraId="452695DE" w14:textId="77777777" w:rsidR="00595D45" w:rsidRPr="003B1CC5" w:rsidRDefault="00F86A6A" w:rsidP="00595D45">
      <w:pPr>
        <w:ind w:left="0" w:firstLine="0"/>
      </w:pPr>
      <w:sdt>
        <w:sdtPr>
          <w:rPr>
            <w:bCs/>
            <w:color w:val="0000FF"/>
          </w:rPr>
          <w:id w:val="-1551065127"/>
          <w14:checkbox>
            <w14:checked w14:val="0"/>
            <w14:checkedState w14:val="2612" w14:font="MS Gothic"/>
            <w14:uncheckedState w14:val="2610" w14:font="MS Gothic"/>
          </w14:checkbox>
        </w:sdtPr>
        <w:sdtContent>
          <w:r w:rsidR="00595D45" w:rsidRPr="003B1CC5">
            <w:rPr>
              <w:rFonts w:ascii="MS Gothic" w:eastAsia="MS Gothic" w:hAnsi="MS Gothic" w:cs="MS Gothic" w:hint="eastAsia"/>
              <w:bCs/>
              <w:color w:val="0000FF"/>
            </w:rPr>
            <w:t>☐</w:t>
          </w:r>
        </w:sdtContent>
      </w:sdt>
      <w:r w:rsidR="00595D45" w:rsidRPr="00E316C7">
        <w:rPr>
          <w:rFonts w:eastAsiaTheme="minorEastAsia"/>
        </w:rPr>
        <w:t xml:space="preserve"> Other </w:t>
      </w:r>
    </w:p>
    <w:p w14:paraId="745050B8" w14:textId="77777777" w:rsidR="00595D45" w:rsidRPr="003B1CC5" w:rsidRDefault="00595D45" w:rsidP="00595D45">
      <w:pPr>
        <w:ind w:left="0" w:firstLine="0"/>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595D45" w:rsidRPr="00F86A6A" w14:paraId="0A39196E" w14:textId="77777777" w:rsidTr="00123FDE">
        <w:trPr>
          <w:trHeight w:val="2073"/>
        </w:trPr>
        <w:tc>
          <w:tcPr>
            <w:tcW w:w="4068" w:type="dxa"/>
          </w:tcPr>
          <w:p w14:paraId="48359256" w14:textId="77777777" w:rsidR="00595D45" w:rsidRDefault="00595D45" w:rsidP="00123FDE">
            <w:pPr>
              <w:pStyle w:val="TableParagraph"/>
              <w:spacing w:before="1"/>
              <w:rPr>
                <w:b/>
              </w:rPr>
            </w:pPr>
            <w:r>
              <w:rPr>
                <w:b/>
              </w:rPr>
              <w:t>Source of Systematic Review:</w:t>
            </w:r>
          </w:p>
          <w:p w14:paraId="4A3BD1DF" w14:textId="77777777" w:rsidR="00595D45" w:rsidRDefault="00595D45" w:rsidP="00123FDE">
            <w:pPr>
              <w:pStyle w:val="TableParagraph"/>
              <w:numPr>
                <w:ilvl w:val="0"/>
                <w:numId w:val="17"/>
              </w:numPr>
              <w:tabs>
                <w:tab w:val="left" w:pos="827"/>
                <w:tab w:val="left" w:pos="828"/>
              </w:tabs>
              <w:spacing w:before="1"/>
              <w:rPr>
                <w:b/>
              </w:rPr>
            </w:pPr>
            <w:r>
              <w:rPr>
                <w:b/>
              </w:rPr>
              <w:t>Title</w:t>
            </w:r>
          </w:p>
          <w:p w14:paraId="73EF2FAD" w14:textId="77777777" w:rsidR="00595D45" w:rsidRDefault="00595D45" w:rsidP="00123FDE">
            <w:pPr>
              <w:pStyle w:val="TableParagraph"/>
              <w:numPr>
                <w:ilvl w:val="0"/>
                <w:numId w:val="17"/>
              </w:numPr>
              <w:tabs>
                <w:tab w:val="left" w:pos="827"/>
                <w:tab w:val="left" w:pos="828"/>
              </w:tabs>
              <w:spacing w:before="39"/>
              <w:rPr>
                <w:b/>
              </w:rPr>
            </w:pPr>
            <w:r>
              <w:rPr>
                <w:b/>
              </w:rPr>
              <w:t>Author</w:t>
            </w:r>
          </w:p>
          <w:p w14:paraId="3A04ED9E" w14:textId="77777777" w:rsidR="00595D45" w:rsidRDefault="00595D45" w:rsidP="00123FDE">
            <w:pPr>
              <w:pStyle w:val="TableParagraph"/>
              <w:numPr>
                <w:ilvl w:val="0"/>
                <w:numId w:val="17"/>
              </w:numPr>
              <w:tabs>
                <w:tab w:val="left" w:pos="827"/>
                <w:tab w:val="left" w:pos="828"/>
              </w:tabs>
              <w:spacing w:before="41"/>
              <w:rPr>
                <w:b/>
              </w:rPr>
            </w:pPr>
            <w:r>
              <w:rPr>
                <w:b/>
              </w:rPr>
              <w:t>Date</w:t>
            </w:r>
          </w:p>
          <w:p w14:paraId="6A1CA448" w14:textId="77777777" w:rsidR="00595D45" w:rsidRDefault="00595D45" w:rsidP="00123FDE">
            <w:pPr>
              <w:pStyle w:val="TableParagraph"/>
              <w:numPr>
                <w:ilvl w:val="0"/>
                <w:numId w:val="17"/>
              </w:numPr>
              <w:tabs>
                <w:tab w:val="left" w:pos="827"/>
                <w:tab w:val="left" w:pos="828"/>
              </w:tabs>
              <w:spacing w:before="39"/>
              <w:rPr>
                <w:b/>
              </w:rPr>
            </w:pPr>
            <w:r>
              <w:rPr>
                <w:b/>
              </w:rPr>
              <w:t>Citation, including page</w:t>
            </w:r>
            <w:r>
              <w:rPr>
                <w:b/>
                <w:spacing w:val="-4"/>
              </w:rPr>
              <w:t xml:space="preserve"> </w:t>
            </w:r>
            <w:r>
              <w:rPr>
                <w:b/>
              </w:rPr>
              <w:t>number</w:t>
            </w:r>
          </w:p>
          <w:p w14:paraId="67D74ED9" w14:textId="77777777" w:rsidR="00595D45" w:rsidRDefault="00595D45" w:rsidP="00123FDE">
            <w:pPr>
              <w:pStyle w:val="TableParagraph"/>
              <w:numPr>
                <w:ilvl w:val="0"/>
                <w:numId w:val="17"/>
              </w:numPr>
              <w:tabs>
                <w:tab w:val="left" w:pos="827"/>
                <w:tab w:val="left" w:pos="828"/>
              </w:tabs>
              <w:spacing w:before="42"/>
              <w:rPr>
                <w:b/>
              </w:rPr>
            </w:pPr>
            <w:r>
              <w:rPr>
                <w:b/>
              </w:rPr>
              <w:t>URL</w:t>
            </w:r>
          </w:p>
        </w:tc>
        <w:tc>
          <w:tcPr>
            <w:tcW w:w="5131" w:type="dxa"/>
          </w:tcPr>
          <w:p w14:paraId="49F8BBDD" w14:textId="77777777" w:rsidR="00595D45" w:rsidRPr="00595D45" w:rsidRDefault="00595D45" w:rsidP="00123FDE">
            <w:pPr>
              <w:pStyle w:val="TableParagraph"/>
              <w:rPr>
                <w:rFonts w:asciiTheme="minorHAnsi" w:hAnsiTheme="minorHAnsi" w:cstheme="minorHAnsi"/>
                <w:lang w:val="es-US"/>
              </w:rPr>
            </w:pPr>
            <w:r w:rsidRPr="003B73E6">
              <w:rPr>
                <w:rFonts w:asciiTheme="minorHAnsi" w:hAnsiTheme="minorHAnsi" w:cstheme="minorHAnsi"/>
              </w:rPr>
              <w:t xml:space="preserve">Mueller C, </w:t>
            </w:r>
            <w:proofErr w:type="spellStart"/>
            <w:r w:rsidRPr="003B73E6">
              <w:rPr>
                <w:rFonts w:asciiTheme="minorHAnsi" w:hAnsiTheme="minorHAnsi" w:cstheme="minorHAnsi"/>
              </w:rPr>
              <w:t>Compher</w:t>
            </w:r>
            <w:proofErr w:type="spellEnd"/>
            <w:r w:rsidRPr="003B73E6">
              <w:rPr>
                <w:rFonts w:asciiTheme="minorHAnsi" w:hAnsiTheme="minorHAnsi" w:cstheme="minorHAnsi"/>
              </w:rPr>
              <w:t xml:space="preserve"> C &amp; </w:t>
            </w:r>
            <w:proofErr w:type="spellStart"/>
            <w:r w:rsidRPr="003B73E6">
              <w:rPr>
                <w:rFonts w:asciiTheme="minorHAnsi" w:hAnsiTheme="minorHAnsi" w:cstheme="minorHAnsi"/>
              </w:rPr>
              <w:t>Druyan</w:t>
            </w:r>
            <w:proofErr w:type="spellEnd"/>
            <w:r w:rsidRPr="003B73E6">
              <w:rPr>
                <w:rFonts w:asciiTheme="minorHAnsi" w:hAnsiTheme="minorHAnsi" w:cstheme="minorHAnsi"/>
              </w:rPr>
              <w:t xml:space="preserve"> ME and the American Society for Parenteral and Enteral Nutrition (A.S.P.E.N.) Board of Directors. A.S.P.E.N. Clinical Guidelines: Nutrition Screening, Assessment, and Intervention in Adults. </w:t>
            </w:r>
            <w:r w:rsidRPr="00595D45">
              <w:rPr>
                <w:rFonts w:asciiTheme="minorHAnsi" w:hAnsiTheme="minorHAnsi" w:cstheme="minorHAnsi"/>
                <w:lang w:val="es-US"/>
              </w:rPr>
              <w:t xml:space="preserve">J </w:t>
            </w:r>
            <w:proofErr w:type="spellStart"/>
            <w:r w:rsidRPr="00595D45">
              <w:rPr>
                <w:rFonts w:asciiTheme="minorHAnsi" w:hAnsiTheme="minorHAnsi" w:cstheme="minorHAnsi"/>
                <w:lang w:val="es-US"/>
              </w:rPr>
              <w:t>Parenter</w:t>
            </w:r>
            <w:proofErr w:type="spellEnd"/>
            <w:r w:rsidRPr="00595D45">
              <w:rPr>
                <w:rFonts w:asciiTheme="minorHAnsi" w:hAnsiTheme="minorHAnsi" w:cstheme="minorHAnsi"/>
                <w:lang w:val="es-US"/>
              </w:rPr>
              <w:t xml:space="preserve"> Enteral </w:t>
            </w:r>
            <w:proofErr w:type="spellStart"/>
            <w:r w:rsidRPr="00595D45">
              <w:rPr>
                <w:rFonts w:asciiTheme="minorHAnsi" w:hAnsiTheme="minorHAnsi" w:cstheme="minorHAnsi"/>
                <w:lang w:val="es-US"/>
              </w:rPr>
              <w:t>Nutr</w:t>
            </w:r>
            <w:proofErr w:type="spellEnd"/>
            <w:r w:rsidRPr="00595D45">
              <w:rPr>
                <w:rFonts w:asciiTheme="minorHAnsi" w:hAnsiTheme="minorHAnsi" w:cstheme="minorHAnsi"/>
                <w:lang w:val="es-US"/>
              </w:rPr>
              <w:t>. 2011;35: 16-24.</w:t>
            </w:r>
          </w:p>
          <w:p w14:paraId="664BEFBD" w14:textId="77777777" w:rsidR="00595D45" w:rsidRPr="00595D45" w:rsidRDefault="00F86A6A" w:rsidP="00123FDE">
            <w:pPr>
              <w:pStyle w:val="TableParagraph"/>
              <w:rPr>
                <w:rFonts w:asciiTheme="minorHAnsi" w:hAnsiTheme="minorHAnsi" w:cstheme="minorHAnsi"/>
                <w:lang w:val="es-US"/>
              </w:rPr>
            </w:pPr>
            <w:hyperlink r:id="rId42" w:history="1">
              <w:r w:rsidR="00595D45" w:rsidRPr="00595D45">
                <w:rPr>
                  <w:rStyle w:val="Hyperlink"/>
                  <w:lang w:val="es-US"/>
                </w:rPr>
                <w:t>https://onlinelibrary.wiley.com/doi/epdf/10.1177/0148607110389335</w:t>
              </w:r>
            </w:hyperlink>
          </w:p>
        </w:tc>
      </w:tr>
      <w:tr w:rsidR="00595D45" w14:paraId="7AA55A4C" w14:textId="77777777" w:rsidTr="00123FDE">
        <w:trPr>
          <w:trHeight w:val="1341"/>
        </w:trPr>
        <w:tc>
          <w:tcPr>
            <w:tcW w:w="4068" w:type="dxa"/>
          </w:tcPr>
          <w:p w14:paraId="4B91366D" w14:textId="77777777" w:rsidR="00595D45" w:rsidRDefault="00595D45" w:rsidP="00123FDE">
            <w:pPr>
              <w:pStyle w:val="TableParagraph"/>
              <w:ind w:right="200"/>
            </w:pPr>
            <w:r>
              <w:t>Quote the guideline or recommendation verbatim about the process, structure or intermediate outcome being measured. If not a guideline, summarize the</w:t>
            </w:r>
          </w:p>
          <w:p w14:paraId="1CE1C68C" w14:textId="77777777" w:rsidR="00595D45" w:rsidRDefault="00595D45" w:rsidP="00123FDE">
            <w:pPr>
              <w:pStyle w:val="TableParagraph"/>
              <w:spacing w:line="248" w:lineRule="exact"/>
            </w:pPr>
            <w:r>
              <w:t>conclusions from the SR.</w:t>
            </w:r>
          </w:p>
        </w:tc>
        <w:tc>
          <w:tcPr>
            <w:tcW w:w="5131" w:type="dxa"/>
          </w:tcPr>
          <w:p w14:paraId="1C8A9F43" w14:textId="77777777" w:rsidR="00595D45" w:rsidRPr="009B4E4F" w:rsidRDefault="00595D45" w:rsidP="00123FDE">
            <w:pPr>
              <w:pStyle w:val="TableParagraph"/>
              <w:rPr>
                <w:rFonts w:asciiTheme="minorHAnsi" w:hAnsiTheme="minorHAnsi" w:cstheme="minorHAnsi"/>
              </w:rPr>
            </w:pPr>
            <w:r>
              <w:rPr>
                <w:rFonts w:asciiTheme="minorHAnsi" w:hAnsiTheme="minorHAnsi" w:cstheme="minorHAnsi"/>
              </w:rPr>
              <w:t>“</w:t>
            </w:r>
            <w:r w:rsidRPr="009B4E4F">
              <w:rPr>
                <w:rFonts w:asciiTheme="minorHAnsi" w:hAnsiTheme="minorHAnsi" w:cstheme="minorHAnsi"/>
              </w:rPr>
              <w:t>Nutrition support intervention is recommended for patients identified by screening and assessment as at risk for malnutrition or malnourished</w:t>
            </w:r>
            <w:r>
              <w:rPr>
                <w:rFonts w:asciiTheme="minorHAnsi" w:hAnsiTheme="minorHAnsi" w:cstheme="minorHAnsi"/>
              </w:rPr>
              <w:t>. Grade C” (Page 22)</w:t>
            </w:r>
          </w:p>
          <w:p w14:paraId="0D0C7BE0" w14:textId="77777777" w:rsidR="00595D45" w:rsidRPr="009B4E4F" w:rsidRDefault="00595D45" w:rsidP="00123FDE">
            <w:pPr>
              <w:pStyle w:val="TableParagraph"/>
              <w:rPr>
                <w:rFonts w:asciiTheme="minorHAnsi" w:hAnsiTheme="minorHAnsi" w:cstheme="minorHAnsi"/>
              </w:rPr>
            </w:pPr>
          </w:p>
          <w:p w14:paraId="32F8EC22" w14:textId="77777777" w:rsidR="00595D45" w:rsidRPr="009B4E4F" w:rsidRDefault="00595D45" w:rsidP="00123FDE">
            <w:pPr>
              <w:pStyle w:val="TableParagraph"/>
              <w:rPr>
                <w:rFonts w:asciiTheme="minorHAnsi" w:hAnsiTheme="minorHAnsi" w:cstheme="minorHAnsi"/>
              </w:rPr>
            </w:pPr>
            <w:r>
              <w:rPr>
                <w:rFonts w:asciiTheme="minorHAnsi" w:hAnsiTheme="minorHAnsi" w:cstheme="minorHAnsi"/>
              </w:rPr>
              <w:t>“</w:t>
            </w:r>
            <w:r w:rsidRPr="009B4E4F">
              <w:rPr>
                <w:rFonts w:asciiTheme="minorHAnsi" w:hAnsiTheme="minorHAnsi" w:cstheme="minorHAnsi"/>
              </w:rPr>
              <w:t>Rationale - Nutrition support intervention in patients identified by screening and assessment as at risk for malnutrition or malnourished may improve clinical outcomes. This guideline places nutrition assessment and screening in the context of intervention as part of nutrition care. Nutrition intervention in malnourished patients was associated with improved nutrition status nutrient intake physical function and quality of life. In addition, hospital readmissions were reduced.</w:t>
            </w:r>
            <w:r>
              <w:rPr>
                <w:rFonts w:asciiTheme="minorHAnsi" w:hAnsiTheme="minorHAnsi" w:cstheme="minorHAnsi"/>
              </w:rPr>
              <w:t>” (Page 23)</w:t>
            </w:r>
          </w:p>
          <w:p w14:paraId="1287B131" w14:textId="77777777" w:rsidR="00595D45" w:rsidRPr="003B73E6" w:rsidRDefault="00595D45" w:rsidP="00123FDE">
            <w:pPr>
              <w:pStyle w:val="TableParagraph"/>
              <w:ind w:left="0"/>
              <w:rPr>
                <w:rFonts w:asciiTheme="minorHAnsi" w:hAnsiTheme="minorHAnsi" w:cstheme="minorHAnsi"/>
              </w:rPr>
            </w:pPr>
          </w:p>
        </w:tc>
      </w:tr>
      <w:tr w:rsidR="00595D45" w14:paraId="029A316A" w14:textId="77777777" w:rsidTr="00123FDE">
        <w:trPr>
          <w:trHeight w:val="806"/>
        </w:trPr>
        <w:tc>
          <w:tcPr>
            <w:tcW w:w="4068" w:type="dxa"/>
          </w:tcPr>
          <w:p w14:paraId="348609F9" w14:textId="77777777" w:rsidR="00595D45" w:rsidRDefault="00595D45" w:rsidP="00123FDE">
            <w:pPr>
              <w:pStyle w:val="TableParagraph"/>
              <w:ind w:right="116"/>
            </w:pPr>
            <w:r>
              <w:t xml:space="preserve">Grade assigned to the </w:t>
            </w:r>
            <w:r>
              <w:rPr>
                <w:b/>
              </w:rPr>
              <w:t xml:space="preserve">evidence </w:t>
            </w:r>
            <w:r>
              <w:t>associated with the recommendation with the</w:t>
            </w:r>
          </w:p>
          <w:p w14:paraId="153972BF" w14:textId="77777777" w:rsidR="00595D45" w:rsidRDefault="00595D45" w:rsidP="00123FDE">
            <w:pPr>
              <w:pStyle w:val="TableParagraph"/>
              <w:spacing w:line="249" w:lineRule="exact"/>
            </w:pPr>
            <w:r>
              <w:t>definition of the grade</w:t>
            </w:r>
          </w:p>
        </w:tc>
        <w:tc>
          <w:tcPr>
            <w:tcW w:w="5131" w:type="dxa"/>
          </w:tcPr>
          <w:p w14:paraId="57F3C255" w14:textId="77777777" w:rsidR="00595D45" w:rsidRDefault="00595D45" w:rsidP="00123FDE">
            <w:pPr>
              <w:pStyle w:val="TableParagraph"/>
              <w:ind w:left="0"/>
              <w:rPr>
                <w:rFonts w:asciiTheme="minorHAnsi" w:hAnsiTheme="minorHAnsi" w:cstheme="minorHAnsi"/>
              </w:rPr>
            </w:pPr>
            <w:r>
              <w:rPr>
                <w:rFonts w:asciiTheme="minorHAnsi" w:hAnsiTheme="minorHAnsi" w:cstheme="minorHAnsi"/>
              </w:rPr>
              <w:t xml:space="preserve">Grade </w:t>
            </w:r>
            <w:r w:rsidRPr="003B73E6">
              <w:rPr>
                <w:rFonts w:asciiTheme="minorHAnsi" w:hAnsiTheme="minorHAnsi" w:cstheme="minorHAnsi"/>
              </w:rPr>
              <w:t>C- Supported by at least 1 level II investigation</w:t>
            </w:r>
          </w:p>
          <w:p w14:paraId="3D731284" w14:textId="77777777" w:rsidR="00595D45" w:rsidRPr="003B73E6" w:rsidRDefault="00595D45" w:rsidP="00123FDE">
            <w:pPr>
              <w:pStyle w:val="TableParagraph"/>
              <w:ind w:left="0"/>
              <w:rPr>
                <w:rFonts w:asciiTheme="minorHAnsi" w:hAnsiTheme="minorHAnsi" w:cstheme="minorHAnsi"/>
              </w:rPr>
            </w:pPr>
            <w:r>
              <w:rPr>
                <w:rFonts w:asciiTheme="minorHAnsi" w:hAnsiTheme="minorHAnsi" w:cstheme="minorHAnsi"/>
              </w:rPr>
              <w:br/>
              <w:t xml:space="preserve">Level III Evidence: </w:t>
            </w:r>
            <w:r w:rsidRPr="00CE4EFB">
              <w:rPr>
                <w:rFonts w:asciiTheme="minorHAnsi" w:hAnsiTheme="minorHAnsi" w:cstheme="minorHAnsi"/>
              </w:rPr>
              <w:t>Nonrandomized cohort with contemporaneous controls.</w:t>
            </w:r>
          </w:p>
        </w:tc>
      </w:tr>
      <w:tr w:rsidR="00595D45" w14:paraId="2DE011E0" w14:textId="77777777" w:rsidTr="00123FDE">
        <w:trPr>
          <w:trHeight w:val="537"/>
        </w:trPr>
        <w:tc>
          <w:tcPr>
            <w:tcW w:w="4068" w:type="dxa"/>
          </w:tcPr>
          <w:p w14:paraId="706672B7" w14:textId="77777777" w:rsidR="00595D45" w:rsidRPr="003B73E6" w:rsidRDefault="00595D45" w:rsidP="00123FDE">
            <w:pPr>
              <w:pStyle w:val="TableParagraph"/>
              <w:spacing w:line="268" w:lineRule="exact"/>
              <w:rPr>
                <w:rFonts w:asciiTheme="minorHAnsi" w:hAnsiTheme="minorHAnsi" w:cstheme="minorHAnsi"/>
              </w:rPr>
            </w:pPr>
            <w:r w:rsidRPr="003B73E6">
              <w:rPr>
                <w:rFonts w:asciiTheme="minorHAnsi" w:hAnsiTheme="minorHAnsi" w:cstheme="minorHAnsi"/>
              </w:rPr>
              <w:t>Provide all other grades and definitions</w:t>
            </w:r>
          </w:p>
          <w:p w14:paraId="254BD411" w14:textId="77777777" w:rsidR="00595D45" w:rsidRPr="003B73E6" w:rsidRDefault="00595D45" w:rsidP="00123FDE">
            <w:pPr>
              <w:pStyle w:val="TableParagraph"/>
              <w:spacing w:line="249" w:lineRule="exact"/>
              <w:rPr>
                <w:rFonts w:asciiTheme="minorHAnsi" w:hAnsiTheme="minorHAnsi" w:cstheme="minorHAnsi"/>
              </w:rPr>
            </w:pPr>
            <w:r w:rsidRPr="003B73E6">
              <w:rPr>
                <w:rFonts w:asciiTheme="minorHAnsi" w:hAnsiTheme="minorHAnsi" w:cstheme="minorHAnsi"/>
              </w:rPr>
              <w:t>from the evidence grading system</w:t>
            </w:r>
          </w:p>
        </w:tc>
        <w:tc>
          <w:tcPr>
            <w:tcW w:w="5131" w:type="dxa"/>
          </w:tcPr>
          <w:p w14:paraId="691344D9" w14:textId="77777777" w:rsidR="00595D45" w:rsidRDefault="00595D45" w:rsidP="00123FDE">
            <w:pPr>
              <w:pStyle w:val="TableParagraph"/>
              <w:rPr>
                <w:rFonts w:asciiTheme="minorHAnsi" w:hAnsiTheme="minorHAnsi" w:cstheme="minorHAnsi"/>
              </w:rPr>
            </w:pPr>
            <w:r>
              <w:rPr>
                <w:rFonts w:asciiTheme="minorHAnsi" w:hAnsiTheme="minorHAnsi" w:cstheme="minorHAnsi"/>
              </w:rPr>
              <w:t xml:space="preserve">Level I Evidence: </w:t>
            </w:r>
            <w:r w:rsidRPr="00CE4EFB">
              <w:rPr>
                <w:rFonts w:asciiTheme="minorHAnsi" w:hAnsiTheme="minorHAnsi" w:cstheme="minorHAnsi"/>
              </w:rPr>
              <w:t>Large randomized trials with clear‐cut results; low risk of false‐positive (α) and/or false‐</w:t>
            </w:r>
            <w:r w:rsidRPr="00CE4EFB">
              <w:rPr>
                <w:rFonts w:asciiTheme="minorHAnsi" w:hAnsiTheme="minorHAnsi" w:cstheme="minorHAnsi"/>
              </w:rPr>
              <w:lastRenderedPageBreak/>
              <w:t>negative (β) error</w:t>
            </w:r>
          </w:p>
          <w:p w14:paraId="23452D46" w14:textId="77777777" w:rsidR="00595D45" w:rsidRDefault="00595D45" w:rsidP="00123FDE">
            <w:pPr>
              <w:pStyle w:val="TableParagraph"/>
              <w:rPr>
                <w:rFonts w:asciiTheme="minorHAnsi" w:hAnsiTheme="minorHAnsi" w:cstheme="minorHAnsi"/>
              </w:rPr>
            </w:pPr>
          </w:p>
          <w:p w14:paraId="2FE6943F" w14:textId="77777777" w:rsidR="00595D45" w:rsidRDefault="00595D45" w:rsidP="00123FDE">
            <w:pPr>
              <w:pStyle w:val="TableParagraph"/>
              <w:rPr>
                <w:rFonts w:asciiTheme="minorHAnsi" w:hAnsiTheme="minorHAnsi" w:cstheme="minorHAnsi"/>
              </w:rPr>
            </w:pPr>
            <w:r>
              <w:rPr>
                <w:rFonts w:asciiTheme="minorHAnsi" w:hAnsiTheme="minorHAnsi" w:cstheme="minorHAnsi"/>
              </w:rPr>
              <w:t xml:space="preserve">Level II Evidence: </w:t>
            </w:r>
            <w:r w:rsidRPr="00CE4EFB">
              <w:rPr>
                <w:rFonts w:asciiTheme="minorHAnsi" w:hAnsiTheme="minorHAnsi" w:cstheme="minorHAnsi"/>
              </w:rPr>
              <w:t>Small, randomized trials with uncertain results; moderate to high risk of false‐positive (α) and/or false‐negative (β) error</w:t>
            </w:r>
          </w:p>
          <w:p w14:paraId="3BD2091B" w14:textId="77777777" w:rsidR="00595D45" w:rsidRDefault="00595D45" w:rsidP="00123FDE">
            <w:pPr>
              <w:pStyle w:val="TableParagraph"/>
              <w:rPr>
                <w:rFonts w:asciiTheme="minorHAnsi" w:hAnsiTheme="minorHAnsi" w:cstheme="minorHAnsi"/>
              </w:rPr>
            </w:pPr>
          </w:p>
          <w:p w14:paraId="03B430F2" w14:textId="77777777" w:rsidR="00595D45" w:rsidRDefault="00595D45" w:rsidP="00123FDE">
            <w:pPr>
              <w:pStyle w:val="TableParagraph"/>
              <w:rPr>
                <w:rFonts w:asciiTheme="minorHAnsi" w:hAnsiTheme="minorHAnsi" w:cstheme="minorHAnsi"/>
              </w:rPr>
            </w:pPr>
            <w:r>
              <w:rPr>
                <w:rFonts w:asciiTheme="minorHAnsi" w:hAnsiTheme="minorHAnsi" w:cstheme="minorHAnsi"/>
              </w:rPr>
              <w:t xml:space="preserve">Level IV Evidence: </w:t>
            </w:r>
            <w:r w:rsidRPr="00CE4EFB">
              <w:rPr>
                <w:rFonts w:asciiTheme="minorHAnsi" w:hAnsiTheme="minorHAnsi" w:cstheme="minorHAnsi"/>
              </w:rPr>
              <w:t>Nonrandomized cohort with historical controls</w:t>
            </w:r>
          </w:p>
          <w:p w14:paraId="32C6691D" w14:textId="77777777" w:rsidR="00595D45" w:rsidRDefault="00595D45" w:rsidP="00123FDE">
            <w:pPr>
              <w:pStyle w:val="TableParagraph"/>
              <w:rPr>
                <w:rFonts w:asciiTheme="minorHAnsi" w:hAnsiTheme="minorHAnsi" w:cstheme="minorHAnsi"/>
              </w:rPr>
            </w:pPr>
          </w:p>
          <w:p w14:paraId="00BB5608" w14:textId="77777777" w:rsidR="00595D45" w:rsidRPr="003B73E6" w:rsidRDefault="00595D45" w:rsidP="00123FDE">
            <w:pPr>
              <w:pStyle w:val="TableParagraph"/>
              <w:rPr>
                <w:rFonts w:asciiTheme="minorHAnsi" w:hAnsiTheme="minorHAnsi" w:cstheme="minorHAnsi"/>
              </w:rPr>
            </w:pPr>
            <w:r>
              <w:rPr>
                <w:rFonts w:asciiTheme="minorHAnsi" w:hAnsiTheme="minorHAnsi" w:cstheme="minorHAnsi"/>
              </w:rPr>
              <w:t xml:space="preserve">Level V Evidence: </w:t>
            </w:r>
            <w:r w:rsidRPr="00CE4EFB">
              <w:rPr>
                <w:rFonts w:asciiTheme="minorHAnsi" w:hAnsiTheme="minorHAnsi" w:cstheme="minorHAnsi"/>
              </w:rPr>
              <w:t>Case series, uncontrolled studies, and expert opinion</w:t>
            </w:r>
          </w:p>
        </w:tc>
      </w:tr>
      <w:tr w:rsidR="00595D45" w14:paraId="6CCD74C5" w14:textId="77777777" w:rsidTr="00123FDE">
        <w:trPr>
          <w:trHeight w:val="537"/>
        </w:trPr>
        <w:tc>
          <w:tcPr>
            <w:tcW w:w="4068" w:type="dxa"/>
          </w:tcPr>
          <w:p w14:paraId="081A9539" w14:textId="77777777" w:rsidR="00595D45" w:rsidRDefault="00595D45" w:rsidP="00123FDE">
            <w:pPr>
              <w:pStyle w:val="TableParagraph"/>
              <w:spacing w:line="268" w:lineRule="exact"/>
              <w:rPr>
                <w:b/>
              </w:rPr>
            </w:pPr>
            <w:r>
              <w:lastRenderedPageBreak/>
              <w:t xml:space="preserve">Grade assigned to the </w:t>
            </w:r>
            <w:r>
              <w:rPr>
                <w:b/>
              </w:rPr>
              <w:t>recommendation</w:t>
            </w:r>
          </w:p>
          <w:p w14:paraId="7EDB5853" w14:textId="77777777" w:rsidR="00595D45" w:rsidRDefault="00595D45" w:rsidP="00123FDE">
            <w:pPr>
              <w:pStyle w:val="TableParagraph"/>
              <w:spacing w:line="249" w:lineRule="exact"/>
            </w:pPr>
            <w:r>
              <w:t>with definition of the grade</w:t>
            </w:r>
          </w:p>
        </w:tc>
        <w:tc>
          <w:tcPr>
            <w:tcW w:w="5131" w:type="dxa"/>
          </w:tcPr>
          <w:p w14:paraId="3FD85B94" w14:textId="77777777" w:rsidR="00595D45" w:rsidRPr="003B73E6" w:rsidRDefault="00595D45" w:rsidP="00123FDE">
            <w:pPr>
              <w:pStyle w:val="TableParagraph"/>
              <w:ind w:left="0"/>
              <w:rPr>
                <w:rFonts w:asciiTheme="minorHAnsi" w:hAnsiTheme="minorHAnsi" w:cstheme="minorHAnsi"/>
              </w:rPr>
            </w:pPr>
            <w:r w:rsidRPr="003B73E6">
              <w:rPr>
                <w:rFonts w:asciiTheme="minorHAnsi" w:hAnsiTheme="minorHAnsi" w:cstheme="minorHAnsi"/>
              </w:rPr>
              <w:t>C- Supported by at least 1 level II investigation</w:t>
            </w:r>
          </w:p>
          <w:p w14:paraId="6A3E22E4" w14:textId="77777777" w:rsidR="00595D45" w:rsidRDefault="00595D45" w:rsidP="00123FDE">
            <w:pPr>
              <w:pStyle w:val="TableParagraph"/>
              <w:ind w:left="0"/>
              <w:rPr>
                <w:rFonts w:ascii="Times New Roman"/>
              </w:rPr>
            </w:pPr>
          </w:p>
        </w:tc>
      </w:tr>
      <w:tr w:rsidR="00595D45" w14:paraId="26F63DA8" w14:textId="77777777" w:rsidTr="00123FDE">
        <w:trPr>
          <w:trHeight w:val="537"/>
        </w:trPr>
        <w:tc>
          <w:tcPr>
            <w:tcW w:w="4068" w:type="dxa"/>
          </w:tcPr>
          <w:p w14:paraId="210591A5" w14:textId="77777777" w:rsidR="00595D45" w:rsidRDefault="00595D45" w:rsidP="00123FDE">
            <w:pPr>
              <w:pStyle w:val="TableParagraph"/>
              <w:spacing w:line="268" w:lineRule="exact"/>
            </w:pPr>
            <w:r>
              <w:t>Provide all other grades and definitions</w:t>
            </w:r>
          </w:p>
          <w:p w14:paraId="6DB125F4" w14:textId="77777777" w:rsidR="00595D45" w:rsidRDefault="00595D45" w:rsidP="00123FDE">
            <w:pPr>
              <w:pStyle w:val="TableParagraph"/>
              <w:spacing w:line="249" w:lineRule="exact"/>
            </w:pPr>
            <w:r>
              <w:t>from the recommendation grading system</w:t>
            </w:r>
          </w:p>
        </w:tc>
        <w:tc>
          <w:tcPr>
            <w:tcW w:w="5131" w:type="dxa"/>
          </w:tcPr>
          <w:p w14:paraId="4009F8A1" w14:textId="77777777" w:rsidR="00595D45" w:rsidRPr="003B73E6" w:rsidRDefault="00595D45" w:rsidP="00123FDE">
            <w:pPr>
              <w:pStyle w:val="TableParagraph"/>
              <w:ind w:left="0"/>
              <w:rPr>
                <w:rFonts w:asciiTheme="minorHAnsi" w:hAnsiTheme="minorHAnsi" w:cstheme="minorHAnsi"/>
              </w:rPr>
            </w:pPr>
            <w:r w:rsidRPr="003B73E6">
              <w:rPr>
                <w:rFonts w:asciiTheme="minorHAnsi" w:hAnsiTheme="minorHAnsi" w:cstheme="minorHAnsi"/>
              </w:rPr>
              <w:t>A- Supported by at least 2 level I investigations</w:t>
            </w:r>
          </w:p>
          <w:p w14:paraId="5993FD0C" w14:textId="77777777" w:rsidR="00595D45" w:rsidRPr="003B73E6" w:rsidRDefault="00595D45" w:rsidP="00123FDE">
            <w:pPr>
              <w:pStyle w:val="TableParagraph"/>
              <w:ind w:left="0"/>
              <w:rPr>
                <w:rFonts w:asciiTheme="minorHAnsi" w:hAnsiTheme="minorHAnsi" w:cstheme="minorHAnsi"/>
              </w:rPr>
            </w:pPr>
            <w:r w:rsidRPr="003B73E6">
              <w:rPr>
                <w:rFonts w:asciiTheme="minorHAnsi" w:hAnsiTheme="minorHAnsi" w:cstheme="minorHAnsi"/>
              </w:rPr>
              <w:t>B- Supported by 1 level I investigation</w:t>
            </w:r>
          </w:p>
          <w:p w14:paraId="1D5F96EB" w14:textId="77777777" w:rsidR="00595D45" w:rsidRDefault="00595D45" w:rsidP="00123FDE">
            <w:pPr>
              <w:pStyle w:val="TableParagraph"/>
              <w:ind w:left="0"/>
              <w:rPr>
                <w:rFonts w:asciiTheme="minorHAnsi" w:hAnsiTheme="minorHAnsi" w:cstheme="minorHAnsi"/>
              </w:rPr>
            </w:pPr>
            <w:r w:rsidRPr="003B73E6">
              <w:rPr>
                <w:rFonts w:asciiTheme="minorHAnsi" w:hAnsiTheme="minorHAnsi" w:cstheme="minorHAnsi"/>
              </w:rPr>
              <w:t>D- Supported by at least 1 level III investigation</w:t>
            </w:r>
          </w:p>
          <w:p w14:paraId="772D7BE0" w14:textId="77777777" w:rsidR="00595D45" w:rsidRPr="009B4E4F" w:rsidRDefault="00595D45" w:rsidP="00123FDE">
            <w:pPr>
              <w:pStyle w:val="TableParagraph"/>
              <w:ind w:left="0"/>
              <w:rPr>
                <w:rFonts w:asciiTheme="minorHAnsi" w:hAnsiTheme="minorHAnsi" w:cstheme="minorHAnsi"/>
              </w:rPr>
            </w:pPr>
            <w:r w:rsidRPr="003B73E6">
              <w:rPr>
                <w:rFonts w:asciiTheme="minorHAnsi" w:hAnsiTheme="minorHAnsi" w:cstheme="minorHAnsi"/>
              </w:rPr>
              <w:t>E – Supported by level IV or V evidence</w:t>
            </w:r>
          </w:p>
        </w:tc>
      </w:tr>
      <w:tr w:rsidR="00595D45" w14:paraId="58AAE1A4" w14:textId="77777777" w:rsidTr="00123FDE">
        <w:trPr>
          <w:trHeight w:val="1110"/>
        </w:trPr>
        <w:tc>
          <w:tcPr>
            <w:tcW w:w="4068" w:type="dxa"/>
          </w:tcPr>
          <w:p w14:paraId="4FA8247B" w14:textId="77777777" w:rsidR="00595D45" w:rsidRDefault="00595D45" w:rsidP="00123FDE">
            <w:pPr>
              <w:pStyle w:val="TableParagraph"/>
              <w:spacing w:line="268" w:lineRule="exact"/>
            </w:pPr>
            <w:r>
              <w:t>Body of evidence:</w:t>
            </w:r>
          </w:p>
          <w:p w14:paraId="008C6358" w14:textId="77777777" w:rsidR="00595D45" w:rsidRDefault="00595D45" w:rsidP="00123FDE">
            <w:pPr>
              <w:pStyle w:val="TableParagraph"/>
              <w:numPr>
                <w:ilvl w:val="0"/>
                <w:numId w:val="16"/>
              </w:numPr>
              <w:tabs>
                <w:tab w:val="left" w:pos="827"/>
                <w:tab w:val="left" w:pos="828"/>
              </w:tabs>
            </w:pPr>
            <w:r>
              <w:t>Quantity – how many</w:t>
            </w:r>
            <w:r>
              <w:rPr>
                <w:spacing w:val="-7"/>
              </w:rPr>
              <w:t xml:space="preserve"> </w:t>
            </w:r>
            <w:r>
              <w:t>studies?</w:t>
            </w:r>
          </w:p>
          <w:p w14:paraId="24CBE696" w14:textId="77777777" w:rsidR="00595D45" w:rsidRDefault="00595D45" w:rsidP="00123FDE">
            <w:pPr>
              <w:pStyle w:val="TableParagraph"/>
              <w:numPr>
                <w:ilvl w:val="0"/>
                <w:numId w:val="16"/>
              </w:numPr>
              <w:tabs>
                <w:tab w:val="left" w:pos="827"/>
                <w:tab w:val="left" w:pos="828"/>
              </w:tabs>
              <w:spacing w:before="42"/>
            </w:pPr>
            <w:r>
              <w:t>Quality – what type of</w:t>
            </w:r>
            <w:r>
              <w:rPr>
                <w:spacing w:val="-8"/>
              </w:rPr>
              <w:t xml:space="preserve"> </w:t>
            </w:r>
            <w:r>
              <w:t>studies?</w:t>
            </w:r>
          </w:p>
        </w:tc>
        <w:tc>
          <w:tcPr>
            <w:tcW w:w="5131" w:type="dxa"/>
          </w:tcPr>
          <w:p w14:paraId="3D59C423" w14:textId="77777777" w:rsidR="00595D45" w:rsidRDefault="00595D45" w:rsidP="00123FDE">
            <w:pPr>
              <w:ind w:left="0" w:firstLine="0"/>
            </w:pPr>
            <w:r>
              <w:rPr>
                <w:rFonts w:eastAsiaTheme="minorEastAsia"/>
              </w:rPr>
              <w:t xml:space="preserve">2 small, randomized trials  </w:t>
            </w:r>
          </w:p>
          <w:p w14:paraId="37C6482C" w14:textId="77777777" w:rsidR="00595D45" w:rsidRPr="0043305D" w:rsidRDefault="00595D45" w:rsidP="00123FDE">
            <w:pPr>
              <w:rPr>
                <w:rFonts w:eastAsiaTheme="minorEastAsia"/>
              </w:rPr>
            </w:pPr>
            <w:r>
              <w:rPr>
                <w:rFonts w:eastAsiaTheme="minorEastAsia"/>
              </w:rPr>
              <w:t xml:space="preserve">1 </w:t>
            </w:r>
            <w:r w:rsidRPr="0043305D">
              <w:rPr>
                <w:rFonts w:eastAsiaTheme="minorEastAsia"/>
              </w:rPr>
              <w:t>Nonrandomized cohort with contemporaneous</w:t>
            </w:r>
          </w:p>
          <w:p w14:paraId="4CCB8CDC" w14:textId="77777777" w:rsidR="00595D45" w:rsidRDefault="00595D45" w:rsidP="00123FDE">
            <w:r w:rsidRPr="0043305D">
              <w:rPr>
                <w:rFonts w:eastAsiaTheme="minorEastAsia"/>
              </w:rPr>
              <w:t>controls.</w:t>
            </w:r>
          </w:p>
          <w:p w14:paraId="37E7BBB3" w14:textId="77777777" w:rsidR="00595D45" w:rsidRDefault="00595D45" w:rsidP="00123FDE">
            <w:pPr>
              <w:pStyle w:val="TableParagraph"/>
              <w:ind w:left="0"/>
              <w:rPr>
                <w:rFonts w:eastAsiaTheme="minorEastAsia"/>
              </w:rPr>
            </w:pPr>
            <w:r>
              <w:rPr>
                <w:rFonts w:eastAsiaTheme="minorEastAsia"/>
              </w:rPr>
              <w:t>1 nonrandomized cohort with historic controls</w:t>
            </w:r>
          </w:p>
          <w:p w14:paraId="50188B75" w14:textId="77777777" w:rsidR="00595D45" w:rsidRPr="00CE4EFB" w:rsidRDefault="00595D45" w:rsidP="00123FDE">
            <w:pPr>
              <w:pStyle w:val="TableParagraph"/>
              <w:ind w:left="0"/>
              <w:rPr>
                <w:rFonts w:asciiTheme="minorHAnsi" w:hAnsiTheme="minorHAnsi" w:cstheme="minorHAnsi"/>
              </w:rPr>
            </w:pPr>
            <w:r>
              <w:rPr>
                <w:rFonts w:eastAsiaTheme="minorEastAsia"/>
              </w:rPr>
              <w:t>1 uncontrolled observational study</w:t>
            </w:r>
          </w:p>
        </w:tc>
      </w:tr>
      <w:tr w:rsidR="00595D45" w14:paraId="76040D04" w14:textId="77777777" w:rsidTr="00123FDE">
        <w:trPr>
          <w:trHeight w:val="537"/>
        </w:trPr>
        <w:tc>
          <w:tcPr>
            <w:tcW w:w="4068" w:type="dxa"/>
          </w:tcPr>
          <w:p w14:paraId="2E9F3E20" w14:textId="77777777" w:rsidR="00595D45" w:rsidRDefault="00595D45" w:rsidP="00123FDE">
            <w:pPr>
              <w:pStyle w:val="TableParagraph"/>
              <w:spacing w:line="268" w:lineRule="exact"/>
            </w:pPr>
            <w:r>
              <w:t>Estimates of benefit and consistency</w:t>
            </w:r>
          </w:p>
          <w:p w14:paraId="2E1F1A88" w14:textId="77777777" w:rsidR="00595D45" w:rsidRDefault="00595D45" w:rsidP="00123FDE">
            <w:pPr>
              <w:pStyle w:val="TableParagraph"/>
              <w:spacing w:line="249" w:lineRule="exact"/>
            </w:pPr>
            <w:r>
              <w:t>across studies</w:t>
            </w:r>
          </w:p>
        </w:tc>
        <w:tc>
          <w:tcPr>
            <w:tcW w:w="5131" w:type="dxa"/>
          </w:tcPr>
          <w:p w14:paraId="7A49A320" w14:textId="77777777" w:rsidR="00595D45" w:rsidRDefault="00595D45" w:rsidP="00123FDE">
            <w:pPr>
              <w:pStyle w:val="TableParagraph"/>
              <w:ind w:left="0"/>
              <w:rPr>
                <w:rFonts w:ascii="Times New Roman"/>
              </w:rPr>
            </w:pPr>
            <w:r w:rsidRPr="009B4E4F">
              <w:rPr>
                <w:rFonts w:asciiTheme="minorHAnsi" w:hAnsiTheme="minorHAnsi" w:cstheme="minorHAnsi"/>
              </w:rPr>
              <w:t>Nutrition intervention in malnourished patients was associated with improved nutrition status nutrient intake physical function and quality of life. In addition, hospital readmissions were reduced.</w:t>
            </w:r>
          </w:p>
        </w:tc>
      </w:tr>
      <w:tr w:rsidR="00595D45" w14:paraId="3A06CF14" w14:textId="77777777" w:rsidTr="00123FDE">
        <w:trPr>
          <w:trHeight w:val="268"/>
        </w:trPr>
        <w:tc>
          <w:tcPr>
            <w:tcW w:w="4068" w:type="dxa"/>
          </w:tcPr>
          <w:p w14:paraId="14743F2D" w14:textId="77777777" w:rsidR="00595D45" w:rsidRDefault="00595D45" w:rsidP="00123FDE">
            <w:pPr>
              <w:pStyle w:val="TableParagraph"/>
              <w:spacing w:line="248" w:lineRule="exact"/>
            </w:pPr>
            <w:r>
              <w:t>What harms were identified?</w:t>
            </w:r>
          </w:p>
        </w:tc>
        <w:tc>
          <w:tcPr>
            <w:tcW w:w="5131" w:type="dxa"/>
          </w:tcPr>
          <w:p w14:paraId="4AA86A67" w14:textId="77777777" w:rsidR="00595D45" w:rsidRPr="0043305D" w:rsidRDefault="00595D45" w:rsidP="00123FDE">
            <w:pPr>
              <w:pStyle w:val="TableParagraph"/>
              <w:ind w:left="0"/>
              <w:rPr>
                <w:rFonts w:asciiTheme="minorHAnsi" w:hAnsiTheme="minorHAnsi" w:cstheme="minorHAnsi"/>
              </w:rPr>
            </w:pPr>
            <w:r w:rsidRPr="0043305D">
              <w:rPr>
                <w:rFonts w:asciiTheme="minorHAnsi" w:hAnsiTheme="minorHAnsi" w:cstheme="minorHAnsi"/>
              </w:rPr>
              <w:t>No adverse events were identified</w:t>
            </w:r>
            <w:r>
              <w:rPr>
                <w:rFonts w:asciiTheme="minorHAnsi" w:hAnsiTheme="minorHAnsi" w:cstheme="minorHAnsi"/>
              </w:rPr>
              <w:t xml:space="preserve"> in this SR</w:t>
            </w:r>
          </w:p>
        </w:tc>
      </w:tr>
      <w:tr w:rsidR="00595D45" w14:paraId="46F2B566" w14:textId="77777777" w:rsidTr="00123FDE">
        <w:trPr>
          <w:trHeight w:val="805"/>
        </w:trPr>
        <w:tc>
          <w:tcPr>
            <w:tcW w:w="4068" w:type="dxa"/>
          </w:tcPr>
          <w:p w14:paraId="32430E0E" w14:textId="77777777" w:rsidR="00595D45" w:rsidRDefault="00595D45" w:rsidP="00123FDE">
            <w:pPr>
              <w:pStyle w:val="TableParagraph"/>
              <w:spacing w:line="268" w:lineRule="exact"/>
            </w:pPr>
            <w:r>
              <w:t>Identify any new studies conducted since</w:t>
            </w:r>
          </w:p>
          <w:p w14:paraId="517EF61E" w14:textId="77777777" w:rsidR="00595D45" w:rsidRDefault="00595D45" w:rsidP="00123FDE">
            <w:pPr>
              <w:pStyle w:val="TableParagraph"/>
              <w:spacing w:line="270" w:lineRule="atLeast"/>
              <w:ind w:right="497"/>
            </w:pPr>
            <w:r>
              <w:t>the SR. Do the new studies change the conclusions from the SR?</w:t>
            </w:r>
          </w:p>
        </w:tc>
        <w:tc>
          <w:tcPr>
            <w:tcW w:w="5131" w:type="dxa"/>
          </w:tcPr>
          <w:p w14:paraId="0EB4BE3C" w14:textId="77777777" w:rsidR="00595D45" w:rsidRDefault="00595D45" w:rsidP="00123FDE">
            <w:pPr>
              <w:pStyle w:val="TableParagraph"/>
              <w:ind w:left="0"/>
              <w:rPr>
                <w:rFonts w:ascii="Times New Roman"/>
              </w:rPr>
            </w:pPr>
            <w:r>
              <w:rPr>
                <w:rFonts w:ascii="Times New Roman"/>
              </w:rPr>
              <w:t xml:space="preserve">Yes, additional studies since the publication of the original SR have demonstrated further evidence of the benefits of nutrition intervention for patients with malnutrition. The studies demonstrate the impact of timely nutrition intervention on 30-day readmission risk and hospital length of stay. </w:t>
            </w:r>
          </w:p>
        </w:tc>
      </w:tr>
    </w:tbl>
    <w:p w14:paraId="6825ED55" w14:textId="77777777" w:rsidR="00595D45" w:rsidRDefault="00595D45" w:rsidP="00595D45">
      <w:pPr>
        <w:ind w:left="0" w:firstLine="0"/>
        <w:rPr>
          <w:rFonts w:eastAsiaTheme="minorEastAsia"/>
          <w:highlight w:val="green"/>
        </w:rPr>
      </w:pPr>
    </w:p>
    <w:p w14:paraId="120EC992" w14:textId="77777777" w:rsidR="00595D45" w:rsidRPr="003B1CC5" w:rsidRDefault="00595D45" w:rsidP="00595D45">
      <w:pPr>
        <w:ind w:left="432" w:hanging="432"/>
      </w:pPr>
      <w:r w:rsidRPr="0471561F">
        <w:rPr>
          <w:rFonts w:eastAsiaTheme="minorEastAsia"/>
          <w:b/>
          <w:bCs/>
        </w:rPr>
        <w:t>OTHER SYSTEMATIC REVIEW OF THE BODY OF EVIDENCE</w:t>
      </w:r>
    </w:p>
    <w:p w14:paraId="5C57AAE6" w14:textId="77777777" w:rsidR="00595D45" w:rsidRDefault="00595D45" w:rsidP="00595D45">
      <w:pPr>
        <w:ind w:left="0" w:firstLine="0"/>
        <w:rPr>
          <w:rFonts w:eastAsiaTheme="minorEastAsia"/>
          <w:i/>
          <w:iCs/>
          <w:highlight w:val="green"/>
        </w:rPr>
      </w:pPr>
    </w:p>
    <w:p w14:paraId="2A44109F" w14:textId="77777777" w:rsidR="00595D45" w:rsidRPr="00F21E28" w:rsidRDefault="00595D45" w:rsidP="00595D45">
      <w:pPr>
        <w:ind w:left="0" w:firstLine="0"/>
        <w:rPr>
          <w:rFonts w:eastAsiaTheme="minorEastAsia"/>
        </w:rPr>
      </w:pPr>
      <w:r w:rsidRPr="00F21E28">
        <w:rPr>
          <w:rFonts w:eastAsiaTheme="minorEastAsia"/>
        </w:rPr>
        <w:t xml:space="preserve">Milne AC, Potter J, </w:t>
      </w:r>
      <w:proofErr w:type="spellStart"/>
      <w:r w:rsidRPr="00F21E28">
        <w:rPr>
          <w:rFonts w:eastAsiaTheme="minorEastAsia"/>
        </w:rPr>
        <w:t>Vivanti</w:t>
      </w:r>
      <w:proofErr w:type="spellEnd"/>
      <w:r w:rsidRPr="00F21E28">
        <w:rPr>
          <w:rFonts w:eastAsiaTheme="minorEastAsia"/>
        </w:rPr>
        <w:t xml:space="preserve"> A, </w:t>
      </w:r>
      <w:proofErr w:type="spellStart"/>
      <w:r w:rsidRPr="00F21E28">
        <w:rPr>
          <w:rFonts w:eastAsiaTheme="minorEastAsia"/>
        </w:rPr>
        <w:t>Avenell</w:t>
      </w:r>
      <w:proofErr w:type="spellEnd"/>
      <w:r w:rsidRPr="00F21E28">
        <w:rPr>
          <w:rFonts w:eastAsiaTheme="minorEastAsia"/>
        </w:rPr>
        <w:t xml:space="preserve"> A. Protein and energy supplementation in elderly people at risk from malnutrition. Cochrane Database Syst Rev. 2009;(2):CD003288.</w:t>
      </w:r>
    </w:p>
    <w:p w14:paraId="103E8027" w14:textId="77777777" w:rsidR="00595D45" w:rsidRPr="00F21E28" w:rsidRDefault="00595D45" w:rsidP="00595D45">
      <w:pPr>
        <w:ind w:left="0" w:firstLine="0"/>
        <w:rPr>
          <w:rFonts w:eastAsiaTheme="minorEastAsia"/>
        </w:rPr>
      </w:pPr>
    </w:p>
    <w:p w14:paraId="48C70A38" w14:textId="77777777" w:rsidR="00595D45" w:rsidRPr="00F21E28" w:rsidRDefault="00595D45" w:rsidP="00595D45">
      <w:pPr>
        <w:ind w:left="0" w:firstLine="0"/>
        <w:rPr>
          <w:rFonts w:eastAsiaTheme="minorEastAsia"/>
          <w:highlight w:val="green"/>
        </w:rPr>
      </w:pPr>
      <w:r w:rsidRPr="00F21E28">
        <w:rPr>
          <w:rFonts w:eastAsiaTheme="minorEastAsia"/>
        </w:rPr>
        <w:t>URL: http://onlinelibrary.wiley.com/doi/10.1002/14651858.CD003288.pub3/abstract?systemMessage=Wiley+Online+Library+will+be+unavailable+on+Saturday+14th+May+11:00-14:00+BST+/+06:00-09:00+EDT+/+18:00-21:00+SGT+for+essential+maintenance.Apologies+for+the+inconvenience</w:t>
      </w:r>
    </w:p>
    <w:p w14:paraId="16DFED13" w14:textId="77777777" w:rsidR="00595D45" w:rsidRDefault="00595D45" w:rsidP="00595D45">
      <w:pPr>
        <w:ind w:left="0" w:firstLine="0"/>
        <w:rPr>
          <w:b/>
          <w:bCs/>
        </w:rPr>
      </w:pPr>
    </w:p>
    <w:p w14:paraId="2796A681" w14:textId="77777777" w:rsidR="00595D45" w:rsidRPr="003B1CC5" w:rsidRDefault="00595D45" w:rsidP="00595D45">
      <w:pPr>
        <w:ind w:left="0" w:firstLine="0"/>
      </w:pPr>
      <w:r w:rsidRPr="4E1B4D23" w:rsidDel="005D0FDB">
        <w:rPr>
          <w:b/>
          <w:bCs/>
        </w:rPr>
        <w:t xml:space="preserve">FINDINGS FROM SYSTEMATIC REVIEW OF BODY OF THE EVIDENCE </w:t>
      </w:r>
      <w:r w:rsidRPr="4E1B4D23" w:rsidDel="005D0FDB">
        <w:rPr>
          <w:b/>
          <w:bCs/>
          <w:caps/>
          <w:noProof/>
        </w:rPr>
        <w:t>supporting the measure</w:t>
      </w:r>
    </w:p>
    <w:p w14:paraId="597E69F8" w14:textId="77777777" w:rsidR="00595D45" w:rsidRPr="003B1CC5" w:rsidRDefault="00595D45" w:rsidP="00595D45">
      <w:pPr>
        <w:ind w:left="0" w:firstLine="0"/>
        <w:rPr>
          <w:b/>
          <w:i/>
          <w:color w:val="0000FF"/>
        </w:rPr>
      </w:pPr>
      <w:r w:rsidRPr="38AF9500">
        <w:rPr>
          <w:i/>
          <w:iCs/>
        </w:rPr>
        <w:t xml:space="preserve">If more than one systematic review of the evidence is identified above, you may choose to summarize the one (or more) for which the best information is available to provide a summary of the quantity, quality, </w:t>
      </w:r>
      <w:r w:rsidRPr="38AF9500">
        <w:rPr>
          <w:i/>
          <w:iCs/>
        </w:rPr>
        <w:lastRenderedPageBreak/>
        <w:t>and consistency of the body of evidence. Be sure to identify which review is the basis of the responses in this section and if more than one, provide a separate response for each review.</w:t>
      </w:r>
    </w:p>
    <w:p w14:paraId="61B43764" w14:textId="77777777" w:rsidR="00595D45" w:rsidRPr="003B1CC5" w:rsidRDefault="00595D45" w:rsidP="00595D45">
      <w:pPr>
        <w:ind w:left="0" w:firstLine="0"/>
        <w:rPr>
          <w:b/>
          <w:color w:val="0000FF"/>
        </w:rPr>
      </w:pPr>
    </w:p>
    <w:p w14:paraId="59BDF189" w14:textId="77777777" w:rsidR="00595D45" w:rsidRDefault="00595D45" w:rsidP="00595D45"/>
    <w:p w14:paraId="66E7F86C" w14:textId="77777777" w:rsidR="00595D45" w:rsidRPr="003B1CC5" w:rsidRDefault="00595D45" w:rsidP="00595D45">
      <w:pPr>
        <w:ind w:left="0" w:firstLine="0"/>
        <w:rPr>
          <w:b/>
        </w:rPr>
      </w:pPr>
      <w:r w:rsidRPr="38AF9500">
        <w:rPr>
          <w:b/>
          <w:bCs/>
        </w:rPr>
        <w:t>ESTIMATES OF BENEFIT AND CONSISTENCY ACROSS STUDIES IN BODY OF EVIDENCE</w:t>
      </w:r>
    </w:p>
    <w:p w14:paraId="6C323766" w14:textId="77777777" w:rsidR="00595D45" w:rsidRDefault="00595D45" w:rsidP="00595D45">
      <w:pPr>
        <w:ind w:left="432" w:hanging="432"/>
      </w:pPr>
      <w:r w:rsidRPr="38AF9500">
        <w:rPr>
          <w:b/>
          <w:bCs/>
        </w:rPr>
        <w:t xml:space="preserve">What are the estimates of benefit—magnitude and direction of effect on outcome(s) </w:t>
      </w:r>
      <w:r w:rsidRPr="38AF9500">
        <w:rPr>
          <w:b/>
          <w:bCs/>
          <w:u w:val="single"/>
        </w:rPr>
        <w:t>across studies</w:t>
      </w:r>
      <w:r w:rsidRPr="38AF9500">
        <w:rPr>
          <w:b/>
          <w:bCs/>
        </w:rPr>
        <w:t xml:space="preserve"> in the body of evidence</w:t>
      </w:r>
      <w:r>
        <w:t>? (</w:t>
      </w:r>
      <w:r w:rsidRPr="38AF9500">
        <w:rPr>
          <w:i/>
          <w:iCs/>
        </w:rPr>
        <w:t>e.g., ranges of percentages or odds ratios for improvement/ decline across studies, results of meta-analysis, and statistical significance</w:t>
      </w:r>
      <w:r>
        <w:t xml:space="preserve">)  </w:t>
      </w:r>
    </w:p>
    <w:p w14:paraId="5D844109" w14:textId="77777777" w:rsidR="00595D45" w:rsidRDefault="00595D45" w:rsidP="00595D45">
      <w:pPr>
        <w:ind w:left="432" w:hanging="432"/>
      </w:pPr>
    </w:p>
    <w:p w14:paraId="35BFCF36" w14:textId="77777777" w:rsidR="00595D45" w:rsidRPr="003B1CC5" w:rsidRDefault="00595D45" w:rsidP="00595D45">
      <w:pPr>
        <w:ind w:left="432" w:hanging="432"/>
      </w:pPr>
      <w:r>
        <w:t xml:space="preserve">Mueller et al. </w:t>
      </w:r>
      <w:r w:rsidRPr="0471561F">
        <w:rPr>
          <w:rFonts w:eastAsiaTheme="minorEastAsia"/>
        </w:rPr>
        <w:t>Findings from</w:t>
      </w:r>
      <w:r w:rsidRPr="0471561F">
        <w:rPr>
          <w:rFonts w:eastAsiaTheme="minorEastAsia"/>
          <w:b/>
          <w:bCs/>
        </w:rPr>
        <w:t xml:space="preserve"> </w:t>
      </w:r>
      <w:r w:rsidRPr="0471561F">
        <w:rPr>
          <w:rFonts w:eastAsiaTheme="minorEastAsia"/>
        </w:rPr>
        <w:t>Clinical Guideline</w:t>
      </w:r>
    </w:p>
    <w:p w14:paraId="1A7D1566" w14:textId="77777777" w:rsidR="00595D45" w:rsidRDefault="00595D45" w:rsidP="00595D45">
      <w:pPr>
        <w:ind w:left="0" w:firstLine="0"/>
        <w:rPr>
          <w:rFonts w:eastAsiaTheme="minorEastAsia" w:cstheme="minorEastAsia"/>
          <w:b/>
          <w:bCs/>
        </w:rPr>
      </w:pPr>
    </w:p>
    <w:tbl>
      <w:tblPr>
        <w:tblStyle w:val="TableGrid"/>
        <w:tblW w:w="0" w:type="auto"/>
        <w:tblLook w:val="04A0" w:firstRow="1" w:lastRow="0" w:firstColumn="1" w:lastColumn="0" w:noHBand="0" w:noVBand="1"/>
      </w:tblPr>
      <w:tblGrid>
        <w:gridCol w:w="2155"/>
        <w:gridCol w:w="7195"/>
      </w:tblGrid>
      <w:tr w:rsidR="00595D45" w14:paraId="109E6122" w14:textId="77777777" w:rsidTr="00123FDE">
        <w:tc>
          <w:tcPr>
            <w:tcW w:w="2155" w:type="dxa"/>
          </w:tcPr>
          <w:p w14:paraId="4BAAA82B" w14:textId="77777777" w:rsidR="00595D45" w:rsidRDefault="00595D45" w:rsidP="00123FDE">
            <w:pPr>
              <w:ind w:left="0" w:firstLine="0"/>
              <w:rPr>
                <w:rFonts w:eastAsiaTheme="minorEastAsia"/>
                <w:b/>
              </w:rPr>
            </w:pPr>
            <w:r>
              <w:rPr>
                <w:rFonts w:eastAsiaTheme="minorEastAsia"/>
                <w:b/>
              </w:rPr>
              <w:t>Outcome of Interest</w:t>
            </w:r>
          </w:p>
        </w:tc>
        <w:tc>
          <w:tcPr>
            <w:tcW w:w="7195" w:type="dxa"/>
          </w:tcPr>
          <w:p w14:paraId="6D0269B6" w14:textId="77777777" w:rsidR="00595D45" w:rsidRDefault="00595D45" w:rsidP="00123FDE">
            <w:pPr>
              <w:ind w:left="0" w:firstLine="0"/>
              <w:rPr>
                <w:rFonts w:eastAsiaTheme="minorEastAsia"/>
                <w:b/>
              </w:rPr>
            </w:pPr>
            <w:r>
              <w:rPr>
                <w:rFonts w:eastAsiaTheme="minorEastAsia"/>
                <w:b/>
              </w:rPr>
              <w:t>Study Findings from Review</w:t>
            </w:r>
          </w:p>
        </w:tc>
      </w:tr>
      <w:tr w:rsidR="00595D45" w14:paraId="676F3284" w14:textId="77777777" w:rsidTr="00123FDE">
        <w:tc>
          <w:tcPr>
            <w:tcW w:w="2155" w:type="dxa"/>
          </w:tcPr>
          <w:p w14:paraId="27010C20" w14:textId="77777777" w:rsidR="00595D45" w:rsidRPr="006956A8" w:rsidRDefault="00595D45" w:rsidP="00123FDE">
            <w:pPr>
              <w:ind w:left="0" w:firstLine="0"/>
              <w:rPr>
                <w:rFonts w:eastAsiaTheme="minorEastAsia"/>
              </w:rPr>
            </w:pPr>
            <w:r w:rsidRPr="006956A8">
              <w:rPr>
                <w:rFonts w:eastAsiaTheme="minorEastAsia"/>
              </w:rPr>
              <w:t>Body Composition</w:t>
            </w:r>
          </w:p>
        </w:tc>
        <w:tc>
          <w:tcPr>
            <w:tcW w:w="7195" w:type="dxa"/>
          </w:tcPr>
          <w:p w14:paraId="6E3AF8FF" w14:textId="77777777" w:rsidR="00595D45" w:rsidRPr="004A402C" w:rsidRDefault="00595D45" w:rsidP="00123FDE">
            <w:pPr>
              <w:ind w:left="0" w:firstLine="0"/>
              <w:rPr>
                <w:rFonts w:eastAsiaTheme="minorEastAsia" w:cstheme="minorEastAsia"/>
              </w:rPr>
            </w:pPr>
            <w:r>
              <w:t>Norman (2008)</w:t>
            </w:r>
            <w:r w:rsidRPr="001860BE">
              <w:t xml:space="preserve"> study predicted significant improvement in body weight and body cell mass follow a three-month intervention of high-protein and energy supplements </w:t>
            </w:r>
            <w:r>
              <w:t xml:space="preserve">while </w:t>
            </w:r>
            <w:proofErr w:type="spellStart"/>
            <w:r>
              <w:t>Odeli</w:t>
            </w:r>
            <w:proofErr w:type="spellEnd"/>
            <w:r>
              <w:t xml:space="preserve"> (2005), </w:t>
            </w:r>
            <w:r w:rsidRPr="001860BE">
              <w:rPr>
                <w:rFonts w:eastAsiaTheme="minorEastAsia" w:cstheme="minorEastAsia"/>
              </w:rPr>
              <w:t>found that patients managed using the</w:t>
            </w:r>
            <w:r>
              <w:rPr>
                <w:rFonts w:eastAsiaTheme="minorEastAsia" w:cstheme="minorEastAsia"/>
              </w:rPr>
              <w:t xml:space="preserve"> nutrition care process</w:t>
            </w:r>
            <w:r w:rsidRPr="001860BE">
              <w:rPr>
                <w:rFonts w:eastAsiaTheme="minorEastAsia" w:cstheme="minorEastAsia"/>
              </w:rPr>
              <w:t xml:space="preserve"> experienced less weight loss (mean weight change -4.2 kg +/-6.4 cf. -8.9 kg</w:t>
            </w:r>
            <w:r>
              <w:rPr>
                <w:rFonts w:eastAsiaTheme="minorEastAsia" w:cstheme="minorEastAsia"/>
              </w:rPr>
              <w:t xml:space="preserve"> +/- 5.9, P = 0.03) </w:t>
            </w:r>
            <w:r w:rsidRPr="0471561F">
              <w:rPr>
                <w:rFonts w:eastAsiaTheme="minorEastAsia"/>
              </w:rPr>
              <w:t>(</w:t>
            </w:r>
            <w:proofErr w:type="spellStart"/>
            <w:r w:rsidRPr="0471561F">
              <w:rPr>
                <w:rFonts w:eastAsiaTheme="minorEastAsia"/>
              </w:rPr>
              <w:t>Odeli</w:t>
            </w:r>
            <w:proofErr w:type="spellEnd"/>
            <w:r w:rsidRPr="0471561F">
              <w:rPr>
                <w:rFonts w:eastAsiaTheme="minorEastAsia"/>
              </w:rPr>
              <w:t>, 2005).</w:t>
            </w:r>
          </w:p>
        </w:tc>
      </w:tr>
      <w:tr w:rsidR="00595D45" w14:paraId="6FBEBB0B" w14:textId="77777777" w:rsidTr="00123FDE">
        <w:tc>
          <w:tcPr>
            <w:tcW w:w="2155" w:type="dxa"/>
          </w:tcPr>
          <w:p w14:paraId="2FF1D0BD" w14:textId="77777777" w:rsidR="00595D45" w:rsidRPr="006956A8" w:rsidRDefault="00595D45" w:rsidP="00123FDE">
            <w:pPr>
              <w:ind w:left="0" w:firstLine="0"/>
              <w:rPr>
                <w:rFonts w:eastAsiaTheme="minorEastAsia"/>
              </w:rPr>
            </w:pPr>
            <w:r w:rsidRPr="006956A8">
              <w:rPr>
                <w:rFonts w:eastAsiaTheme="minorEastAsia"/>
              </w:rPr>
              <w:t>Cost</w:t>
            </w:r>
          </w:p>
        </w:tc>
        <w:tc>
          <w:tcPr>
            <w:tcW w:w="7195" w:type="dxa"/>
          </w:tcPr>
          <w:p w14:paraId="6AE1B3E1" w14:textId="77777777" w:rsidR="00595D45" w:rsidRPr="006956A8" w:rsidRDefault="00595D45" w:rsidP="00123FDE">
            <w:pPr>
              <w:ind w:left="0" w:firstLine="0"/>
              <w:rPr>
                <w:rFonts w:eastAsiaTheme="minorEastAsia"/>
              </w:rPr>
            </w:pPr>
            <w:proofErr w:type="spellStart"/>
            <w:r>
              <w:rPr>
                <w:rFonts w:eastAsiaTheme="minorEastAsia"/>
              </w:rPr>
              <w:t>Kruizenga</w:t>
            </w:r>
            <w:proofErr w:type="spellEnd"/>
            <w:r>
              <w:rPr>
                <w:rFonts w:eastAsiaTheme="minorEastAsia"/>
              </w:rPr>
              <w:t xml:space="preserve"> (2005)</w:t>
            </w:r>
            <w:r w:rsidRPr="00FB4E5E">
              <w:rPr>
                <w:rFonts w:eastAsiaTheme="minorEastAsia"/>
              </w:rPr>
              <w:t xml:space="preserve"> found that, to shorten the mean length of hospital stay by 1 d for all malnourished patients, a mean investment of 76 euros (91 US dollars) in nutritional screening and treatment was needed. </w:t>
            </w:r>
          </w:p>
        </w:tc>
      </w:tr>
      <w:tr w:rsidR="00595D45" w14:paraId="797F3D86" w14:textId="77777777" w:rsidTr="00123FDE">
        <w:tc>
          <w:tcPr>
            <w:tcW w:w="2155" w:type="dxa"/>
          </w:tcPr>
          <w:p w14:paraId="031A7C07" w14:textId="77777777" w:rsidR="00595D45" w:rsidRPr="006956A8" w:rsidRDefault="00595D45" w:rsidP="00123FDE">
            <w:pPr>
              <w:ind w:left="0" w:firstLine="0"/>
              <w:rPr>
                <w:rFonts w:eastAsiaTheme="minorEastAsia"/>
              </w:rPr>
            </w:pPr>
            <w:r w:rsidRPr="006956A8">
              <w:rPr>
                <w:rFonts w:eastAsiaTheme="minorEastAsia"/>
              </w:rPr>
              <w:t>Length of Stay (LOS)</w:t>
            </w:r>
          </w:p>
        </w:tc>
        <w:tc>
          <w:tcPr>
            <w:tcW w:w="7195" w:type="dxa"/>
          </w:tcPr>
          <w:p w14:paraId="2A14C2BB" w14:textId="77777777" w:rsidR="00595D45" w:rsidRPr="006956A8" w:rsidRDefault="00595D45" w:rsidP="00123FDE">
            <w:pPr>
              <w:ind w:left="0" w:firstLine="0"/>
              <w:rPr>
                <w:rFonts w:eastAsiaTheme="minorEastAsia"/>
              </w:rPr>
            </w:pPr>
            <w:proofErr w:type="spellStart"/>
            <w:r w:rsidRPr="00FB4E5E">
              <w:rPr>
                <w:rFonts w:eastAsiaTheme="minorEastAsia"/>
              </w:rPr>
              <w:t>Kruizenga</w:t>
            </w:r>
            <w:proofErr w:type="spellEnd"/>
            <w:r w:rsidRPr="00FB4E5E">
              <w:rPr>
                <w:rFonts w:eastAsiaTheme="minorEastAsia"/>
              </w:rPr>
              <w:t xml:space="preserve"> </w:t>
            </w:r>
            <w:r>
              <w:rPr>
                <w:rFonts w:eastAsiaTheme="minorEastAsia"/>
              </w:rPr>
              <w:t>(</w:t>
            </w:r>
            <w:r w:rsidRPr="00FB4E5E">
              <w:rPr>
                <w:rFonts w:eastAsiaTheme="minorEastAsia"/>
              </w:rPr>
              <w:t>2005)</w:t>
            </w:r>
            <w:r>
              <w:rPr>
                <w:rFonts w:eastAsiaTheme="minorEastAsia"/>
              </w:rPr>
              <w:t xml:space="preserve"> </w:t>
            </w:r>
            <w:r w:rsidRPr="00FB4E5E">
              <w:rPr>
                <w:rFonts w:eastAsiaTheme="minorEastAsia"/>
              </w:rPr>
              <w:t xml:space="preserve">found early screening and treatment of malnourished patients reduced the </w:t>
            </w:r>
            <w:r>
              <w:rPr>
                <w:rFonts w:eastAsiaTheme="minorEastAsia"/>
              </w:rPr>
              <w:t>LOS</w:t>
            </w:r>
            <w:r w:rsidRPr="00FB4E5E">
              <w:rPr>
                <w:rFonts w:eastAsiaTheme="minorEastAsia"/>
              </w:rPr>
              <w:t xml:space="preserve"> in malnourished patients with low handgrip strength (i</w:t>
            </w:r>
            <w:r>
              <w:rPr>
                <w:rFonts w:eastAsiaTheme="minorEastAsia"/>
              </w:rPr>
              <w:t>.</w:t>
            </w:r>
            <w:r w:rsidRPr="00FB4E5E">
              <w:rPr>
                <w:rFonts w:eastAsiaTheme="minorEastAsia"/>
              </w:rPr>
              <w:t>e</w:t>
            </w:r>
            <w:r>
              <w:rPr>
                <w:rFonts w:eastAsiaTheme="minorEastAsia"/>
              </w:rPr>
              <w:t>.</w:t>
            </w:r>
            <w:r w:rsidRPr="00FB4E5E">
              <w:rPr>
                <w:rFonts w:eastAsiaTheme="minorEastAsia"/>
              </w:rPr>
              <w:t>, frail patients)</w:t>
            </w:r>
            <w:r>
              <w:rPr>
                <w:rFonts w:eastAsiaTheme="minorEastAsia"/>
              </w:rPr>
              <w:t xml:space="preserve"> and another </w:t>
            </w:r>
            <w:r w:rsidRPr="00FB4E5E">
              <w:rPr>
                <w:rFonts w:eastAsiaTheme="minorEastAsia"/>
              </w:rPr>
              <w:t>study found that patients managed using the NP had a shorter length of stay (3.2 days +/- 5.4 cf. 13.5 days +/- 14.1, P = 0.002)</w:t>
            </w:r>
            <w:r>
              <w:rPr>
                <w:rFonts w:eastAsiaTheme="minorEastAsia"/>
              </w:rPr>
              <w:t xml:space="preserve"> </w:t>
            </w:r>
            <w:r w:rsidRPr="00FB4E5E">
              <w:rPr>
                <w:rFonts w:eastAsiaTheme="minorEastAsia"/>
              </w:rPr>
              <w:t>(</w:t>
            </w:r>
            <w:proofErr w:type="spellStart"/>
            <w:r w:rsidRPr="00FB4E5E">
              <w:rPr>
                <w:rFonts w:eastAsiaTheme="minorEastAsia"/>
              </w:rPr>
              <w:t>Odeli</w:t>
            </w:r>
            <w:proofErr w:type="spellEnd"/>
            <w:r w:rsidRPr="00FB4E5E">
              <w:rPr>
                <w:rFonts w:eastAsiaTheme="minorEastAsia"/>
              </w:rPr>
              <w:t xml:space="preserve"> 2005)</w:t>
            </w:r>
            <w:r>
              <w:rPr>
                <w:rFonts w:eastAsiaTheme="minorEastAsia"/>
              </w:rPr>
              <w:t>.</w:t>
            </w:r>
          </w:p>
        </w:tc>
      </w:tr>
      <w:tr w:rsidR="00595D45" w14:paraId="5D0D8C75" w14:textId="77777777" w:rsidTr="00123FDE">
        <w:tc>
          <w:tcPr>
            <w:tcW w:w="2155" w:type="dxa"/>
          </w:tcPr>
          <w:p w14:paraId="21683A5D" w14:textId="77777777" w:rsidR="00595D45" w:rsidRPr="006956A8" w:rsidRDefault="00595D45" w:rsidP="00123FDE">
            <w:pPr>
              <w:ind w:left="0" w:firstLine="0"/>
              <w:rPr>
                <w:rFonts w:eastAsiaTheme="minorEastAsia"/>
              </w:rPr>
            </w:pPr>
            <w:r w:rsidRPr="006956A8">
              <w:rPr>
                <w:rFonts w:eastAsiaTheme="minorEastAsia"/>
              </w:rPr>
              <w:t>Muscle Function</w:t>
            </w:r>
          </w:p>
        </w:tc>
        <w:tc>
          <w:tcPr>
            <w:tcW w:w="7195" w:type="dxa"/>
          </w:tcPr>
          <w:p w14:paraId="3693BEDA" w14:textId="77777777" w:rsidR="00595D45" w:rsidRPr="006956A8" w:rsidRDefault="00595D45" w:rsidP="00123FDE">
            <w:pPr>
              <w:ind w:left="0" w:firstLine="0"/>
              <w:rPr>
                <w:rFonts w:eastAsiaTheme="minorEastAsia"/>
              </w:rPr>
            </w:pPr>
            <w:r>
              <w:rPr>
                <w:rFonts w:eastAsiaTheme="minorEastAsia"/>
              </w:rPr>
              <w:t>Persson (2007)</w:t>
            </w:r>
            <w:r w:rsidRPr="00FB4E5E">
              <w:rPr>
                <w:rFonts w:eastAsiaTheme="minorEastAsia"/>
              </w:rPr>
              <w:t xml:space="preserve"> found that treated-as-protocol analyses showed that Katz ADL index improved in the I-group (p&lt;0.0</w:t>
            </w:r>
            <w:r>
              <w:rPr>
                <w:rFonts w:eastAsiaTheme="minorEastAsia"/>
              </w:rPr>
              <w:t>01; p&lt;0.05 between the groups).</w:t>
            </w:r>
          </w:p>
        </w:tc>
      </w:tr>
      <w:tr w:rsidR="00595D45" w14:paraId="7F24EEA0" w14:textId="77777777" w:rsidTr="00123FDE">
        <w:tc>
          <w:tcPr>
            <w:tcW w:w="2155" w:type="dxa"/>
          </w:tcPr>
          <w:p w14:paraId="6BD2477B" w14:textId="77777777" w:rsidR="00595D45" w:rsidRPr="006956A8" w:rsidRDefault="00595D45" w:rsidP="00123FDE">
            <w:pPr>
              <w:ind w:left="0" w:firstLine="0"/>
              <w:rPr>
                <w:rFonts w:eastAsiaTheme="minorEastAsia"/>
              </w:rPr>
            </w:pPr>
            <w:r>
              <w:rPr>
                <w:rFonts w:eastAsiaTheme="minorEastAsia"/>
              </w:rPr>
              <w:t>Nutritional Intake</w:t>
            </w:r>
          </w:p>
        </w:tc>
        <w:tc>
          <w:tcPr>
            <w:tcW w:w="7195" w:type="dxa"/>
          </w:tcPr>
          <w:p w14:paraId="7D0D37DC" w14:textId="77777777" w:rsidR="00595D45" w:rsidRPr="00580508" w:rsidRDefault="00595D45" w:rsidP="00123FDE">
            <w:pPr>
              <w:ind w:left="0" w:firstLine="0"/>
            </w:pPr>
            <w:proofErr w:type="spellStart"/>
            <w:r>
              <w:t>Babineau</w:t>
            </w:r>
            <w:proofErr w:type="spellEnd"/>
            <w:r>
              <w:t xml:space="preserve"> (2008) reported</w:t>
            </w:r>
            <w:r w:rsidRPr="001860BE">
              <w:t xml:space="preserve"> significant increases in energy (p=0.0001) and protein (p=0.01) intakes, and in serum albumin (p=0.001), prealbumin (p=0.003), transferrin (p=0.024), </w:t>
            </w:r>
            <w:r>
              <w:t xml:space="preserve">and hematocrit (p=0.026) levels. </w:t>
            </w:r>
            <w:r>
              <w:rPr>
                <w:rFonts w:eastAsiaTheme="minorEastAsia" w:cstheme="minorEastAsia"/>
              </w:rPr>
              <w:t>An additional study of standardized nutrition care</w:t>
            </w:r>
            <w:r w:rsidRPr="001860BE">
              <w:rPr>
                <w:rFonts w:eastAsiaTheme="minorEastAsia" w:cstheme="minorEastAsia"/>
              </w:rPr>
              <w:t xml:space="preserve"> added approximately 600 kcal and 12 g protein to the daily intake of malnourished patients (</w:t>
            </w:r>
            <w:proofErr w:type="spellStart"/>
            <w:r w:rsidRPr="001860BE">
              <w:rPr>
                <w:rFonts w:eastAsiaTheme="minorEastAsia" w:cstheme="minorEastAsia"/>
              </w:rPr>
              <w:t>Kruizenga</w:t>
            </w:r>
            <w:proofErr w:type="spellEnd"/>
            <w:r w:rsidRPr="001860BE">
              <w:rPr>
                <w:rFonts w:eastAsiaTheme="minorEastAsia" w:cstheme="minorEastAsia"/>
              </w:rPr>
              <w:t xml:space="preserve"> 2005)</w:t>
            </w:r>
          </w:p>
        </w:tc>
      </w:tr>
      <w:tr w:rsidR="00595D45" w14:paraId="3B9D78D2" w14:textId="77777777" w:rsidTr="00123FDE">
        <w:tc>
          <w:tcPr>
            <w:tcW w:w="2155" w:type="dxa"/>
          </w:tcPr>
          <w:p w14:paraId="46E36C22" w14:textId="77777777" w:rsidR="00595D45" w:rsidRPr="006956A8" w:rsidRDefault="00595D45" w:rsidP="00123FDE">
            <w:pPr>
              <w:ind w:left="0" w:firstLine="0"/>
              <w:rPr>
                <w:rFonts w:eastAsiaTheme="minorEastAsia"/>
              </w:rPr>
            </w:pPr>
            <w:r w:rsidRPr="006956A8">
              <w:rPr>
                <w:rFonts w:eastAsiaTheme="minorEastAsia"/>
              </w:rPr>
              <w:t>Readmission</w:t>
            </w:r>
          </w:p>
        </w:tc>
        <w:tc>
          <w:tcPr>
            <w:tcW w:w="7195" w:type="dxa"/>
          </w:tcPr>
          <w:p w14:paraId="1DB81F82" w14:textId="77777777" w:rsidR="00595D45" w:rsidRPr="006956A8" w:rsidRDefault="00595D45" w:rsidP="00123FDE">
            <w:pPr>
              <w:ind w:left="0" w:firstLine="0"/>
              <w:rPr>
                <w:rFonts w:eastAsiaTheme="minorEastAsia"/>
              </w:rPr>
            </w:pPr>
            <w:r>
              <w:rPr>
                <w:rFonts w:eastAsiaTheme="minorEastAsia"/>
              </w:rPr>
              <w:t>Norman (2008)</w:t>
            </w:r>
            <w:r w:rsidRPr="00FB4E5E">
              <w:rPr>
                <w:rFonts w:eastAsiaTheme="minorEastAsia"/>
              </w:rPr>
              <w:t xml:space="preserve"> study found dietary counselling patients experienced significantly more readmissions (n=20) than oral nutritional supplement patients (n=10) during the stud</w:t>
            </w:r>
            <w:r>
              <w:rPr>
                <w:rFonts w:eastAsiaTheme="minorEastAsia"/>
              </w:rPr>
              <w:t xml:space="preserve">y period (p=0.041). </w:t>
            </w:r>
            <w:r w:rsidRPr="00FB4E5E">
              <w:rPr>
                <w:rFonts w:eastAsiaTheme="minorEastAsia"/>
              </w:rPr>
              <w:t>One</w:t>
            </w:r>
            <w:r>
              <w:rPr>
                <w:rFonts w:eastAsiaTheme="minorEastAsia"/>
              </w:rPr>
              <w:t xml:space="preserve"> additional</w:t>
            </w:r>
            <w:r w:rsidRPr="00FB4E5E">
              <w:rPr>
                <w:rFonts w:eastAsiaTheme="minorEastAsia"/>
              </w:rPr>
              <w:t xml:space="preserve"> study found that fewer patients managed using </w:t>
            </w:r>
            <w:r>
              <w:rPr>
                <w:rFonts w:eastAsiaTheme="minorEastAsia"/>
              </w:rPr>
              <w:t>standardized nutrition care</w:t>
            </w:r>
            <w:r w:rsidRPr="00FB4E5E">
              <w:rPr>
                <w:rFonts w:eastAsiaTheme="minorEastAsia"/>
              </w:rPr>
              <w:t xml:space="preserve"> had an unplanned hospital admission (46% cf. 75%, P = 0.04) (</w:t>
            </w:r>
            <w:proofErr w:type="spellStart"/>
            <w:r w:rsidRPr="00FB4E5E">
              <w:rPr>
                <w:rFonts w:eastAsiaTheme="minorEastAsia"/>
              </w:rPr>
              <w:t>Odeli</w:t>
            </w:r>
            <w:proofErr w:type="spellEnd"/>
            <w:r>
              <w:rPr>
                <w:rFonts w:eastAsiaTheme="minorEastAsia"/>
              </w:rPr>
              <w:t>,</w:t>
            </w:r>
            <w:r w:rsidRPr="00FB4E5E">
              <w:rPr>
                <w:rFonts w:eastAsiaTheme="minorEastAsia"/>
              </w:rPr>
              <w:t xml:space="preserve"> 2005)</w:t>
            </w:r>
            <w:r>
              <w:rPr>
                <w:rFonts w:eastAsiaTheme="minorEastAsia"/>
              </w:rPr>
              <w:t xml:space="preserve">. </w:t>
            </w:r>
          </w:p>
        </w:tc>
      </w:tr>
    </w:tbl>
    <w:p w14:paraId="2330EBC7" w14:textId="77777777" w:rsidR="00595D45" w:rsidRDefault="00595D45" w:rsidP="00595D45">
      <w:pPr>
        <w:ind w:left="0" w:firstLine="0"/>
      </w:pPr>
    </w:p>
    <w:p w14:paraId="26D202D1" w14:textId="77777777" w:rsidR="00595D45" w:rsidRPr="00C441DD" w:rsidRDefault="00595D45" w:rsidP="00595D45">
      <w:pPr>
        <w:rPr>
          <w:rFonts w:eastAsiaTheme="minorEastAsia"/>
        </w:rPr>
      </w:pPr>
      <w:r>
        <w:t xml:space="preserve">Milne et al. </w:t>
      </w:r>
      <w:r w:rsidRPr="0471561F">
        <w:rPr>
          <w:rFonts w:eastAsiaTheme="minorEastAsia"/>
        </w:rPr>
        <w:t>Findings from</w:t>
      </w:r>
      <w:r w:rsidRPr="0471561F">
        <w:rPr>
          <w:rFonts w:eastAsiaTheme="minorEastAsia"/>
          <w:b/>
          <w:bCs/>
        </w:rPr>
        <w:t xml:space="preserve"> </w:t>
      </w:r>
      <w:r w:rsidRPr="0471561F">
        <w:rPr>
          <w:rFonts w:eastAsiaTheme="minorEastAsia"/>
        </w:rPr>
        <w:t>Clinical Guideline</w:t>
      </w:r>
    </w:p>
    <w:p w14:paraId="61C2D760" w14:textId="77777777" w:rsidR="00595D45" w:rsidRDefault="00595D45" w:rsidP="00595D45"/>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185"/>
      </w:tblGrid>
      <w:tr w:rsidR="00595D45" w:rsidRPr="00C441DD" w14:paraId="19CCB180" w14:textId="77777777" w:rsidTr="00123FDE">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0ACD7AB6"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b/>
                <w:bCs/>
              </w:rPr>
              <w:t>Outcome of Interest</w:t>
            </w:r>
            <w:r w:rsidRPr="00C441DD">
              <w:rPr>
                <w:rFonts w:ascii="Calibri" w:eastAsia="Times New Roman" w:hAnsi="Calibri" w:cs="Calibri"/>
              </w:rPr>
              <w:t> </w:t>
            </w:r>
          </w:p>
        </w:tc>
        <w:tc>
          <w:tcPr>
            <w:tcW w:w="7185" w:type="dxa"/>
            <w:tcBorders>
              <w:top w:val="single" w:sz="6" w:space="0" w:color="auto"/>
              <w:left w:val="nil"/>
              <w:bottom w:val="single" w:sz="6" w:space="0" w:color="auto"/>
              <w:right w:val="single" w:sz="6" w:space="0" w:color="auto"/>
            </w:tcBorders>
            <w:shd w:val="clear" w:color="auto" w:fill="auto"/>
            <w:hideMark/>
          </w:tcPr>
          <w:p w14:paraId="07E93CC3"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b/>
                <w:bCs/>
              </w:rPr>
              <w:t>Study Findings from Review</w:t>
            </w:r>
            <w:r w:rsidRPr="00C441DD">
              <w:rPr>
                <w:rFonts w:ascii="Calibri" w:eastAsia="Times New Roman" w:hAnsi="Calibri" w:cs="Calibri"/>
              </w:rPr>
              <w:t> </w:t>
            </w:r>
          </w:p>
        </w:tc>
      </w:tr>
      <w:tr w:rsidR="00595D45" w:rsidRPr="00C441DD" w14:paraId="178CB2EC" w14:textId="77777777" w:rsidTr="00123FDE">
        <w:tc>
          <w:tcPr>
            <w:tcW w:w="2145" w:type="dxa"/>
            <w:tcBorders>
              <w:top w:val="nil"/>
              <w:left w:val="single" w:sz="6" w:space="0" w:color="auto"/>
              <w:bottom w:val="single" w:sz="6" w:space="0" w:color="auto"/>
              <w:right w:val="single" w:sz="6" w:space="0" w:color="auto"/>
            </w:tcBorders>
            <w:shd w:val="clear" w:color="auto" w:fill="auto"/>
            <w:hideMark/>
          </w:tcPr>
          <w:p w14:paraId="5CC238DD"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Mortality </w:t>
            </w:r>
          </w:p>
        </w:tc>
        <w:tc>
          <w:tcPr>
            <w:tcW w:w="7185" w:type="dxa"/>
            <w:tcBorders>
              <w:top w:val="nil"/>
              <w:left w:val="nil"/>
              <w:bottom w:val="single" w:sz="6" w:space="0" w:color="auto"/>
              <w:right w:val="single" w:sz="6" w:space="0" w:color="auto"/>
            </w:tcBorders>
            <w:shd w:val="clear" w:color="auto" w:fill="auto"/>
            <w:hideMark/>
          </w:tcPr>
          <w:p w14:paraId="220C6D6C"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48 included studies with a total of 8,031 participants when meta-analyzed, reported an overall relative risk (RR) of 0.92.  </w:t>
            </w:r>
          </w:p>
          <w:p w14:paraId="51CE9ABB"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 </w:t>
            </w:r>
          </w:p>
          <w:p w14:paraId="7E12D13F"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 xml:space="preserve">The subgroup analyses suggested that the results were statistically significant or approaching statistical significance when limited to trials in which participants </w:t>
            </w:r>
            <w:r w:rsidRPr="00C441DD">
              <w:rPr>
                <w:rFonts w:ascii="Calibri" w:eastAsia="Times New Roman" w:hAnsi="Calibri" w:cs="Calibri"/>
              </w:rPr>
              <w:lastRenderedPageBreak/>
              <w:t>(N = 2461) were defined as undernourished (RR 0.79), and when 400 kcal or more was offered per day in the supplement (N = 7307), (RR 0.89). </w:t>
            </w:r>
          </w:p>
          <w:p w14:paraId="32F24B82"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 </w:t>
            </w:r>
          </w:p>
          <w:p w14:paraId="14478A2E"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The results were consistent when analysis was restricted to 15 trials (N = 6604) with clearly concealed randomization (RR 0.91) </w:t>
            </w:r>
          </w:p>
        </w:tc>
      </w:tr>
      <w:tr w:rsidR="00595D45" w:rsidRPr="00C441DD" w14:paraId="51403984" w14:textId="77777777" w:rsidTr="00123FDE">
        <w:tc>
          <w:tcPr>
            <w:tcW w:w="2145" w:type="dxa"/>
            <w:tcBorders>
              <w:top w:val="nil"/>
              <w:left w:val="single" w:sz="6" w:space="0" w:color="auto"/>
              <w:bottom w:val="single" w:sz="6" w:space="0" w:color="auto"/>
              <w:right w:val="single" w:sz="6" w:space="0" w:color="auto"/>
            </w:tcBorders>
            <w:shd w:val="clear" w:color="auto" w:fill="auto"/>
            <w:hideMark/>
          </w:tcPr>
          <w:p w14:paraId="0BB8C1A8"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lastRenderedPageBreak/>
              <w:t>Cost </w:t>
            </w:r>
          </w:p>
        </w:tc>
        <w:tc>
          <w:tcPr>
            <w:tcW w:w="7185" w:type="dxa"/>
            <w:tcBorders>
              <w:top w:val="nil"/>
              <w:left w:val="nil"/>
              <w:bottom w:val="single" w:sz="6" w:space="0" w:color="auto"/>
              <w:right w:val="single" w:sz="6" w:space="0" w:color="auto"/>
            </w:tcBorders>
            <w:shd w:val="clear" w:color="auto" w:fill="auto"/>
            <w:hideMark/>
          </w:tcPr>
          <w:p w14:paraId="49EA0D2B"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24 trials with a total of 6,225 participants were meta-analyzed and overall, reported a statistically significant difference between intervention and control for risk of complications (RR=0.86).  </w:t>
            </w:r>
          </w:p>
          <w:p w14:paraId="3307FADF"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 </w:t>
            </w:r>
          </w:p>
          <w:p w14:paraId="54300518"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In subgroup analyses, hip fracture patients were also at reduced risk of complications (RR=0.60). </w:t>
            </w:r>
          </w:p>
        </w:tc>
      </w:tr>
      <w:tr w:rsidR="00595D45" w:rsidRPr="00C441DD" w14:paraId="4A214A39" w14:textId="77777777" w:rsidTr="00123FDE">
        <w:tc>
          <w:tcPr>
            <w:tcW w:w="2145" w:type="dxa"/>
            <w:tcBorders>
              <w:top w:val="nil"/>
              <w:left w:val="single" w:sz="6" w:space="0" w:color="auto"/>
              <w:bottom w:val="single" w:sz="6" w:space="0" w:color="auto"/>
              <w:right w:val="single" w:sz="6" w:space="0" w:color="auto"/>
            </w:tcBorders>
            <w:shd w:val="clear" w:color="auto" w:fill="auto"/>
            <w:hideMark/>
          </w:tcPr>
          <w:p w14:paraId="27EB67F4"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Length of Stay (LOS) </w:t>
            </w:r>
          </w:p>
        </w:tc>
        <w:tc>
          <w:tcPr>
            <w:tcW w:w="7185" w:type="dxa"/>
            <w:tcBorders>
              <w:top w:val="nil"/>
              <w:left w:val="nil"/>
              <w:bottom w:val="single" w:sz="6" w:space="0" w:color="auto"/>
              <w:right w:val="single" w:sz="6" w:space="0" w:color="auto"/>
            </w:tcBorders>
            <w:shd w:val="clear" w:color="auto" w:fill="auto"/>
            <w:hideMark/>
          </w:tcPr>
          <w:p w14:paraId="0CFFBDCE"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12 studies were meta-analyzed and pooled weighted mean difference for LOS using a random-effects model showed no benefit from supplementation -0.8 days (-2.8 to 1.3) with significant heterogeneity (chi-square 25.53; df 13; P = 0.02; I2 = 49%). Subgroup analyses for length of stay were too limited to suggest any difference between diagnostic groups. </w:t>
            </w:r>
          </w:p>
        </w:tc>
      </w:tr>
      <w:tr w:rsidR="00595D45" w:rsidRPr="00C441DD" w14:paraId="726C3C83" w14:textId="77777777" w:rsidTr="00123FDE">
        <w:tc>
          <w:tcPr>
            <w:tcW w:w="2145" w:type="dxa"/>
            <w:tcBorders>
              <w:top w:val="nil"/>
              <w:left w:val="single" w:sz="6" w:space="0" w:color="auto"/>
              <w:bottom w:val="single" w:sz="6" w:space="0" w:color="auto"/>
              <w:right w:val="single" w:sz="6" w:space="0" w:color="auto"/>
            </w:tcBorders>
            <w:shd w:val="clear" w:color="auto" w:fill="auto"/>
            <w:hideMark/>
          </w:tcPr>
          <w:p w14:paraId="7A2943FF"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Quality of Life </w:t>
            </w:r>
          </w:p>
        </w:tc>
        <w:tc>
          <w:tcPr>
            <w:tcW w:w="7185" w:type="dxa"/>
            <w:tcBorders>
              <w:top w:val="nil"/>
              <w:left w:val="nil"/>
              <w:bottom w:val="single" w:sz="6" w:space="0" w:color="auto"/>
              <w:right w:val="single" w:sz="6" w:space="0" w:color="auto"/>
            </w:tcBorders>
            <w:shd w:val="clear" w:color="auto" w:fill="auto"/>
            <w:hideMark/>
          </w:tcPr>
          <w:p w14:paraId="1C227EEE" w14:textId="77777777" w:rsidR="00595D45" w:rsidRPr="00C441DD" w:rsidRDefault="00595D45" w:rsidP="00123FDE">
            <w:pPr>
              <w:ind w:left="0" w:firstLine="0"/>
              <w:textAlignment w:val="baseline"/>
              <w:rPr>
                <w:rFonts w:ascii="Segoe UI" w:eastAsia="Times New Roman" w:hAnsi="Segoe UI" w:cs="Segoe UI"/>
                <w:sz w:val="18"/>
                <w:szCs w:val="18"/>
              </w:rPr>
            </w:pPr>
            <w:r w:rsidRPr="00C441DD">
              <w:rPr>
                <w:rFonts w:ascii="Calibri" w:eastAsia="Times New Roman" w:hAnsi="Calibri" w:cs="Calibri"/>
              </w:rPr>
              <w:t>Few studies were able to provide data on improvements in functional status or quality of life in general, apart from handgrip data. Measures were too diverse or too limited to combine for meta-analyses. </w:t>
            </w:r>
          </w:p>
        </w:tc>
      </w:tr>
    </w:tbl>
    <w:p w14:paraId="3D5A5571" w14:textId="77777777" w:rsidR="00595D45" w:rsidRDefault="00595D45" w:rsidP="00595D45"/>
    <w:p w14:paraId="4D8CA099" w14:textId="77777777" w:rsidR="00595D45" w:rsidRDefault="00595D45" w:rsidP="00595D45"/>
    <w:p w14:paraId="26F9F18A" w14:textId="77777777" w:rsidR="00595D45" w:rsidRPr="0043305D" w:rsidRDefault="00595D45" w:rsidP="00595D45">
      <w:pPr>
        <w:ind w:left="0" w:firstLine="0"/>
      </w:pPr>
      <w:r w:rsidRPr="0043305D">
        <w:rPr>
          <w:b/>
          <w:bCs/>
        </w:rPr>
        <w:t>What harms were studied and how do they affect the net benefit (benefits over harms)?</w:t>
      </w:r>
      <w:r w:rsidRPr="0043305D">
        <w:t xml:space="preserve"> </w:t>
      </w:r>
    </w:p>
    <w:p w14:paraId="5DB3FA72" w14:textId="77777777" w:rsidR="00595D45" w:rsidRPr="0043305D" w:rsidRDefault="00595D45" w:rsidP="00595D45">
      <w:pPr>
        <w:ind w:left="0" w:firstLine="0"/>
      </w:pPr>
    </w:p>
    <w:p w14:paraId="5C9BD3E9" w14:textId="77777777" w:rsidR="00595D45" w:rsidRPr="0043305D" w:rsidRDefault="00595D45" w:rsidP="00595D45">
      <w:pPr>
        <w:ind w:left="0" w:firstLine="0"/>
      </w:pPr>
      <w:r w:rsidRPr="0043305D">
        <w:rPr>
          <w:rFonts w:eastAsiaTheme="minorEastAsia"/>
        </w:rPr>
        <w:t xml:space="preserve">18 trials discussed adverse effects from nutritional supplementation, but no studies compared intervention group with control groups. Problems with tolerance and side-effects were reported in 12 studies including nausea, vomiting and diarrhea in the intervention group. </w:t>
      </w:r>
    </w:p>
    <w:p w14:paraId="611D6C15" w14:textId="77777777" w:rsidR="00595D45" w:rsidRPr="0043305D" w:rsidRDefault="00595D45" w:rsidP="00595D45">
      <w:pPr>
        <w:ind w:left="0" w:firstLine="0"/>
      </w:pPr>
    </w:p>
    <w:p w14:paraId="40C844AF" w14:textId="77777777" w:rsidR="00595D45" w:rsidRPr="0043305D" w:rsidRDefault="00595D45" w:rsidP="00595D45">
      <w:pPr>
        <w:ind w:left="0" w:firstLine="0"/>
        <w:rPr>
          <w:b/>
          <w:noProof/>
        </w:rPr>
      </w:pPr>
      <w:r w:rsidRPr="0043305D">
        <w:rPr>
          <w:b/>
          <w:noProof/>
        </w:rPr>
        <w:t>UPDATE TO THE SYSTEMATIC REVIEW(S) OF THE BODY OF EVIDENCE</w:t>
      </w:r>
    </w:p>
    <w:p w14:paraId="5DFFCC5B" w14:textId="77777777" w:rsidR="00595D45" w:rsidRPr="0043305D" w:rsidRDefault="00595D45" w:rsidP="00595D45">
      <w:pPr>
        <w:ind w:left="0" w:firstLine="0"/>
        <w:rPr>
          <w:rStyle w:val="apple-converted-space"/>
          <w:rFonts w:cs="Arial"/>
          <w:color w:val="000000" w:themeColor="text1"/>
        </w:rPr>
      </w:pPr>
    </w:p>
    <w:p w14:paraId="54E19865" w14:textId="77777777" w:rsidR="00DD3A26" w:rsidRDefault="00DD3A26" w:rsidP="00595D45">
      <w:pPr>
        <w:ind w:left="0" w:firstLine="0"/>
        <w:rPr>
          <w:rFonts w:eastAsiaTheme="minorEastAsia"/>
          <w:b/>
        </w:rPr>
      </w:pPr>
      <w:r w:rsidRPr="00DD3A26">
        <w:rPr>
          <w:rFonts w:eastAsiaTheme="minorEastAsia"/>
          <w:b/>
        </w:rPr>
        <w:t xml:space="preserve">Valladares AF, Kilgore KM, Partridge J, Sulo S, Kerr KW, McCauley S. How a malnutrition quality improvement initiative furthers malnutrition measurement and care: results from a hospital learning collaborative. JPEN J </w:t>
      </w:r>
      <w:proofErr w:type="spellStart"/>
      <w:r w:rsidRPr="00DD3A26">
        <w:rPr>
          <w:rFonts w:eastAsiaTheme="minorEastAsia"/>
          <w:b/>
        </w:rPr>
        <w:t>Parenter</w:t>
      </w:r>
      <w:proofErr w:type="spellEnd"/>
      <w:r w:rsidRPr="00DD3A26">
        <w:rPr>
          <w:rFonts w:eastAsiaTheme="minorEastAsia"/>
          <w:b/>
        </w:rPr>
        <w:t xml:space="preserve"> Enteral </w:t>
      </w:r>
      <w:proofErr w:type="spellStart"/>
      <w:r w:rsidRPr="00DD3A26">
        <w:rPr>
          <w:rFonts w:eastAsiaTheme="minorEastAsia"/>
          <w:b/>
        </w:rPr>
        <w:t>Nutr</w:t>
      </w:r>
      <w:proofErr w:type="spellEnd"/>
      <w:r w:rsidRPr="00DD3A26">
        <w:rPr>
          <w:rFonts w:eastAsiaTheme="minorEastAsia"/>
          <w:b/>
        </w:rPr>
        <w:t>. Published online April 13, 2020.</w:t>
      </w:r>
    </w:p>
    <w:p w14:paraId="377646C9" w14:textId="6D6BEA38" w:rsidR="00DD3A26" w:rsidRDefault="00DD3A26" w:rsidP="00595D45">
      <w:pPr>
        <w:ind w:left="0" w:firstLine="0"/>
        <w:rPr>
          <w:rFonts w:eastAsiaTheme="minorEastAsia"/>
          <w:b/>
        </w:rPr>
      </w:pPr>
    </w:p>
    <w:p w14:paraId="60056532" w14:textId="51727FCE" w:rsidR="00DD3A26" w:rsidRDefault="00DD3A26" w:rsidP="00595D45">
      <w:pPr>
        <w:ind w:left="0" w:firstLine="0"/>
        <w:rPr>
          <w:rFonts w:eastAsiaTheme="minorEastAsia"/>
          <w:b/>
        </w:rPr>
      </w:pPr>
      <w:r>
        <w:rPr>
          <w:rFonts w:ascii="Segoe UI" w:hAnsi="Segoe UI" w:cs="Segoe UI"/>
          <w:color w:val="212121"/>
          <w:shd w:val="clear" w:color="auto" w:fill="FFFFFF"/>
        </w:rPr>
        <w:t xml:space="preserve">In this study, the implementation of </w:t>
      </w:r>
      <w:r>
        <w:rPr>
          <w:rFonts w:ascii="Segoe UI" w:hAnsi="Segoe UI" w:cs="Segoe UI"/>
          <w:color w:val="212121"/>
          <w:shd w:val="clear" w:color="auto" w:fill="FFFFFF"/>
        </w:rPr>
        <w:t>malnutrition-focused quality improvement</w:t>
      </w:r>
      <w:r>
        <w:rPr>
          <w:rFonts w:ascii="Segoe UI" w:hAnsi="Segoe UI" w:cs="Segoe UI"/>
          <w:color w:val="212121"/>
          <w:shd w:val="clear" w:color="auto" w:fill="FFFFFF"/>
        </w:rPr>
        <w:t xml:space="preserve"> practices significantly improved the identification of malnutrition. The prompt identification and treatment of patients at malnutrition risk can improve patient care and health, as well as reduce costly readmissions.</w:t>
      </w:r>
      <w:r>
        <w:rPr>
          <w:rFonts w:ascii="Segoe UI" w:hAnsi="Segoe UI" w:cs="Segoe UI"/>
          <w:color w:val="212121"/>
          <w:shd w:val="clear" w:color="auto" w:fill="FFFFFF"/>
        </w:rPr>
        <w:t xml:space="preserve"> </w:t>
      </w:r>
      <w:r>
        <w:rPr>
          <w:rStyle w:val="Strong"/>
          <w:rFonts w:ascii="Segoe UI" w:hAnsi="Segoe UI" w:cs="Segoe UI"/>
          <w:color w:val="212121"/>
          <w:shd w:val="clear" w:color="auto" w:fill="FFFFFF"/>
        </w:rPr>
        <w:t> </w:t>
      </w:r>
      <w:r>
        <w:rPr>
          <w:rFonts w:ascii="Segoe UI" w:hAnsi="Segoe UI" w:cs="Segoe UI"/>
          <w:color w:val="212121"/>
          <w:shd w:val="clear" w:color="auto" w:fill="FFFFFF"/>
        </w:rPr>
        <w:t xml:space="preserve">Improvements were observed for all 4 </w:t>
      </w:r>
      <w:r>
        <w:rPr>
          <w:rFonts w:ascii="Segoe UI" w:hAnsi="Segoe UI" w:cs="Segoe UI"/>
          <w:color w:val="212121"/>
          <w:shd w:val="clear" w:color="auto" w:fill="FFFFFF"/>
        </w:rPr>
        <w:t>malnutrition quality measure</w:t>
      </w:r>
      <w:r>
        <w:rPr>
          <w:rFonts w:ascii="Segoe UI" w:hAnsi="Segoe UI" w:cs="Segoe UI"/>
          <w:color w:val="212121"/>
          <w:shd w:val="clear" w:color="auto" w:fill="FFFFFF"/>
        </w:rPr>
        <w:t>s. The greatest improvements were achieved as a result of timely nutrition assessment (P = .06) and malnutrition diagnosis (P = .02). Patients ≥65 years with a malnutrition diagnosis and nutrition care plan had a 24% lower likelihood of 30-day readmission but a longer mean LOS than did those without a care plan.</w:t>
      </w:r>
    </w:p>
    <w:p w14:paraId="6EFFFBCD" w14:textId="77777777" w:rsidR="00DD3A26" w:rsidRDefault="00DD3A26" w:rsidP="00595D45">
      <w:pPr>
        <w:ind w:left="0" w:firstLine="0"/>
        <w:rPr>
          <w:rFonts w:eastAsiaTheme="minorEastAsia"/>
          <w:b/>
        </w:rPr>
      </w:pPr>
    </w:p>
    <w:p w14:paraId="394FB6A5" w14:textId="4F8651E1" w:rsidR="00595D45" w:rsidRPr="0043305D" w:rsidRDefault="00595D45" w:rsidP="00595D45">
      <w:pPr>
        <w:ind w:left="0" w:firstLine="0"/>
        <w:rPr>
          <w:rFonts w:eastAsiaTheme="minorEastAsia"/>
          <w:b/>
        </w:rPr>
      </w:pPr>
      <w:r w:rsidRPr="0043305D">
        <w:rPr>
          <w:rFonts w:eastAsiaTheme="minorEastAsia"/>
          <w:b/>
        </w:rPr>
        <w:t xml:space="preserve">Mullin GE, Fan L, Sulo S, Partridge J. The Association between Oral Nutritional Supplements and 30-Day Hospital Readmissions of Malnourished Patients at a US Academic Medical Center. J </w:t>
      </w:r>
      <w:proofErr w:type="spellStart"/>
      <w:r w:rsidRPr="0043305D">
        <w:rPr>
          <w:rFonts w:eastAsiaTheme="minorEastAsia"/>
          <w:b/>
        </w:rPr>
        <w:t>Acad</w:t>
      </w:r>
      <w:proofErr w:type="spellEnd"/>
      <w:r w:rsidRPr="0043305D">
        <w:rPr>
          <w:rFonts w:eastAsiaTheme="minorEastAsia"/>
          <w:b/>
        </w:rPr>
        <w:t xml:space="preserve"> </w:t>
      </w:r>
      <w:proofErr w:type="spellStart"/>
      <w:r w:rsidRPr="0043305D">
        <w:rPr>
          <w:rFonts w:eastAsiaTheme="minorEastAsia"/>
          <w:b/>
        </w:rPr>
        <w:t>Nutr</w:t>
      </w:r>
      <w:proofErr w:type="spellEnd"/>
      <w:r w:rsidRPr="0043305D">
        <w:rPr>
          <w:rFonts w:eastAsiaTheme="minorEastAsia"/>
          <w:b/>
        </w:rPr>
        <w:t xml:space="preserve"> Diet. 2019;119(7):1168-1175.</w:t>
      </w:r>
      <w:r w:rsidRPr="0043305D">
        <w:rPr>
          <w:rFonts w:eastAsiaTheme="minorEastAsia"/>
          <w:b/>
        </w:rPr>
        <w:br/>
      </w:r>
    </w:p>
    <w:p w14:paraId="421EADE2" w14:textId="77777777" w:rsidR="00595D45" w:rsidRPr="0043305D" w:rsidRDefault="00595D45" w:rsidP="00595D45">
      <w:pPr>
        <w:ind w:left="0" w:firstLine="0"/>
        <w:rPr>
          <w:rStyle w:val="apple-converted-space"/>
          <w:rFonts w:cs="Arial"/>
          <w:color w:val="000000" w:themeColor="text1"/>
        </w:rPr>
      </w:pPr>
      <w:r w:rsidRPr="0043305D">
        <w:rPr>
          <w:rStyle w:val="apple-converted-space"/>
          <w:rFonts w:cs="Arial"/>
          <w:color w:val="000000" w:themeColor="text1"/>
        </w:rPr>
        <w:lastRenderedPageBreak/>
        <w:t>Of 153,161 inpatient encounters analyzed, a total of 8,713 (5.7%) malnourished adults admitted to an academic medical center hospital in the United States between October 1, 2016, and September 30, 2017 were included in the analyses. Only 3.1% of malnourished patients received ONS. ONS users had 38.8% fewer readmissions compared with non-ONS counterparts (P¼0.017). The reduction in hospital readmissions by ONS was even greater for oncology patients (46.1%, P&lt;0.001). A 50% reduction in time from hospital admission to ONS provision was associated with a 10.2% (P&lt;0.01), 10.2% (P¼0.014), and 16.6% (P&lt;0.01) decrease in LOS for overall, oncology, and intensive care unit encounters, respectively.</w:t>
      </w:r>
    </w:p>
    <w:p w14:paraId="2E019E0E" w14:textId="77777777" w:rsidR="00595D45" w:rsidRPr="0043305D" w:rsidRDefault="00595D45" w:rsidP="00595D45">
      <w:pPr>
        <w:ind w:left="0" w:firstLine="0"/>
        <w:rPr>
          <w:rStyle w:val="apple-converted-space"/>
          <w:rFonts w:cs="Arial"/>
          <w:color w:val="000000" w:themeColor="text1"/>
        </w:rPr>
      </w:pPr>
    </w:p>
    <w:p w14:paraId="0F194898" w14:textId="77777777" w:rsidR="00595D45" w:rsidRDefault="00595D45" w:rsidP="00595D45">
      <w:pPr>
        <w:ind w:left="0" w:firstLine="0"/>
        <w:rPr>
          <w:rStyle w:val="apple-converted-space"/>
          <w:rFonts w:cs="Arial"/>
          <w:color w:val="000000" w:themeColor="text1"/>
        </w:rPr>
      </w:pPr>
      <w:r w:rsidRPr="0043305D">
        <w:rPr>
          <w:rStyle w:val="apple-converted-space"/>
          <w:rFonts w:cs="Arial"/>
          <w:color w:val="000000" w:themeColor="text1"/>
        </w:rPr>
        <w:t xml:space="preserve">This study found that ONS intervention, when used, was associated with 38.8% fewer 30-day readmissions. This association was more pronounced for oncology encounters. Shorter LOS was observed when the interval between admission and ONS initiation was shorter. </w:t>
      </w:r>
    </w:p>
    <w:p w14:paraId="5802A9F6" w14:textId="77777777" w:rsidR="00595D45" w:rsidRDefault="00595D45" w:rsidP="00595D45">
      <w:pPr>
        <w:ind w:left="0" w:firstLine="0"/>
        <w:rPr>
          <w:rStyle w:val="apple-converted-space"/>
          <w:rFonts w:cs="Arial"/>
          <w:color w:val="000000" w:themeColor="text1"/>
        </w:rPr>
      </w:pPr>
    </w:p>
    <w:p w14:paraId="793F2BCA" w14:textId="77777777" w:rsidR="00595D45" w:rsidRDefault="00595D45" w:rsidP="00595D45">
      <w:pPr>
        <w:ind w:left="0" w:firstLine="0"/>
        <w:rPr>
          <w:rStyle w:val="apple-converted-space"/>
          <w:rFonts w:cs="Arial"/>
          <w:b/>
          <w:bCs/>
          <w:color w:val="000000" w:themeColor="text1"/>
        </w:rPr>
      </w:pPr>
      <w:r w:rsidRPr="00732A42">
        <w:rPr>
          <w:rStyle w:val="apple-converted-space"/>
          <w:rFonts w:cs="Arial"/>
          <w:b/>
          <w:bCs/>
          <w:color w:val="000000" w:themeColor="text1"/>
        </w:rPr>
        <w:t xml:space="preserve">Sharma Y, et al. Investigation of the benefits of early malnutrition screening with telehealth follow up in elderly acute medical admissions. QJM. 2017 Oct 1;110(10):639-647. </w:t>
      </w:r>
    </w:p>
    <w:p w14:paraId="077FD408" w14:textId="77777777" w:rsidR="00595D45" w:rsidRDefault="00595D45" w:rsidP="00595D45">
      <w:pPr>
        <w:ind w:left="0" w:firstLine="0"/>
        <w:rPr>
          <w:rStyle w:val="apple-converted-space"/>
          <w:rFonts w:cs="Arial"/>
          <w:b/>
          <w:bCs/>
          <w:color w:val="000000" w:themeColor="text1"/>
        </w:rPr>
      </w:pPr>
    </w:p>
    <w:p w14:paraId="4DF5DCE5" w14:textId="77777777" w:rsidR="00595D45" w:rsidRPr="00732A42" w:rsidRDefault="00595D45" w:rsidP="00595D45">
      <w:pPr>
        <w:ind w:left="0" w:firstLine="0"/>
        <w:rPr>
          <w:rStyle w:val="apple-converted-space"/>
          <w:rFonts w:cs="Arial"/>
          <w:color w:val="000000" w:themeColor="text1"/>
        </w:rPr>
      </w:pPr>
      <w:r w:rsidRPr="00732A42">
        <w:rPr>
          <w:rStyle w:val="apple-converted-space"/>
          <w:rFonts w:cs="Arial"/>
          <w:color w:val="000000" w:themeColor="text1"/>
        </w:rPr>
        <w:t>A randomized controlled trial, 148 malnourished patients were randomized to receive either a nutrition intervention for 3 months or usual care. Intervention included an individualized nutrition care plan plus monthly post-discharge telehealth follow-up whereas control patients received intervention only upon referral by their treating clinicians. Nutrition status was determined by the Patient Generated Subjective Global Assessment (PG-SGA) tool. Clinical outcomes included changes in length of hospital stay, complications during hospitalization, Quality of life (QoL), mortality and re-admission rate.</w:t>
      </w:r>
    </w:p>
    <w:p w14:paraId="6C281A8D" w14:textId="77777777" w:rsidR="00595D45" w:rsidRPr="00732A42" w:rsidRDefault="00595D45" w:rsidP="00595D45">
      <w:pPr>
        <w:ind w:left="0" w:firstLine="0"/>
        <w:rPr>
          <w:rStyle w:val="apple-converted-space"/>
          <w:rFonts w:cs="Arial"/>
          <w:color w:val="000000" w:themeColor="text1"/>
        </w:rPr>
      </w:pPr>
    </w:p>
    <w:p w14:paraId="598F7980" w14:textId="77777777" w:rsidR="00595D45" w:rsidRDefault="00595D45" w:rsidP="00595D45">
      <w:pPr>
        <w:ind w:left="0" w:firstLine="0"/>
        <w:rPr>
          <w:rStyle w:val="apple-converted-space"/>
          <w:rFonts w:cs="Arial"/>
          <w:color w:val="000000" w:themeColor="text1"/>
        </w:rPr>
      </w:pPr>
      <w:r>
        <w:rPr>
          <w:rStyle w:val="apple-converted-space"/>
          <w:rFonts w:cs="Arial"/>
          <w:color w:val="000000" w:themeColor="text1"/>
        </w:rPr>
        <w:t>54</w:t>
      </w:r>
      <w:r w:rsidRPr="00732A42">
        <w:rPr>
          <w:rStyle w:val="apple-converted-space"/>
          <w:rFonts w:cs="Arial"/>
          <w:color w:val="000000" w:themeColor="text1"/>
        </w:rPr>
        <w:t xml:space="preserve"> males and 94 females (mean age, 81.8 years) were included. Both groups significantly improved PG-SGA scores from baseline. There was no between-group differences in the change in PG-SGA scores and final PG-SGA scores were similar at 3 months 6.9 (95% CI 5.6-8.3) vs. 5.8 (95% CI 4.8-6.9) (P = 0.09), in control and intervention groups, respectively. Median total length of hospital stay was 6 days shorter in the intervention group (11.4 (IQR 16.6) vs. 5.4 (IQR 8.1) (P = 0.01). There was no significant difference in complication rate during hospitalization, QoL and mortality at 3-months or readmission rate at 1, 3 or 6 months following hospital discharge.</w:t>
      </w:r>
    </w:p>
    <w:p w14:paraId="7034FB17" w14:textId="77777777" w:rsidR="00595D45" w:rsidRDefault="00595D45" w:rsidP="00595D45">
      <w:pPr>
        <w:ind w:left="0" w:firstLine="0"/>
        <w:rPr>
          <w:rStyle w:val="apple-converted-space"/>
          <w:rFonts w:cs="Arial"/>
          <w:color w:val="000000" w:themeColor="text1"/>
        </w:rPr>
      </w:pPr>
    </w:p>
    <w:p w14:paraId="3B918828" w14:textId="77777777" w:rsidR="00595D45" w:rsidRDefault="00595D45" w:rsidP="00595D45">
      <w:pPr>
        <w:ind w:left="0" w:firstLine="0"/>
        <w:rPr>
          <w:rStyle w:val="apple-converted-space"/>
          <w:rFonts w:cs="Arial"/>
          <w:color w:val="000000" w:themeColor="text1"/>
        </w:rPr>
      </w:pPr>
    </w:p>
    <w:p w14:paraId="59214876" w14:textId="77777777" w:rsidR="00595D45" w:rsidRPr="0043305D" w:rsidRDefault="00595D45" w:rsidP="00595D45">
      <w:pPr>
        <w:ind w:left="0" w:firstLine="0"/>
        <w:rPr>
          <w:rFonts w:eastAsiaTheme="minorEastAsia"/>
          <w:b/>
        </w:rPr>
      </w:pPr>
      <w:r w:rsidRPr="0043305D">
        <w:rPr>
          <w:rFonts w:eastAsiaTheme="minorEastAsia"/>
          <w:b/>
        </w:rPr>
        <w:t xml:space="preserve">Meehan A, Loose C, Bell J, Partridge J, Nelson J, </w:t>
      </w:r>
      <w:proofErr w:type="spellStart"/>
      <w:r w:rsidRPr="0043305D">
        <w:rPr>
          <w:rFonts w:eastAsiaTheme="minorEastAsia"/>
          <w:b/>
        </w:rPr>
        <w:t>Goates</w:t>
      </w:r>
      <w:proofErr w:type="spellEnd"/>
      <w:r w:rsidRPr="0043305D">
        <w:rPr>
          <w:rFonts w:eastAsiaTheme="minorEastAsia"/>
          <w:b/>
        </w:rPr>
        <w:t xml:space="preserve"> S. Health System Quality Improvement: Impact of Prompt Nutrition Care on Patient Outcomes and Health Care Costs. J </w:t>
      </w:r>
      <w:proofErr w:type="spellStart"/>
      <w:r w:rsidRPr="0043305D">
        <w:rPr>
          <w:rFonts w:eastAsiaTheme="minorEastAsia"/>
          <w:b/>
        </w:rPr>
        <w:t>Nurs</w:t>
      </w:r>
      <w:proofErr w:type="spellEnd"/>
      <w:r w:rsidRPr="0043305D">
        <w:rPr>
          <w:rFonts w:eastAsiaTheme="minorEastAsia"/>
          <w:b/>
        </w:rPr>
        <w:t xml:space="preserve"> Care Qual. 2016.</w:t>
      </w:r>
    </w:p>
    <w:p w14:paraId="6CE5C037" w14:textId="77777777" w:rsidR="00595D45" w:rsidRPr="0043305D" w:rsidRDefault="00595D45" w:rsidP="00595D45">
      <w:pPr>
        <w:ind w:left="0" w:firstLine="0"/>
        <w:rPr>
          <w:b/>
        </w:rPr>
      </w:pPr>
    </w:p>
    <w:p w14:paraId="450BE6A8" w14:textId="77777777" w:rsidR="00595D45" w:rsidRPr="0043305D" w:rsidRDefault="00595D45" w:rsidP="00595D45">
      <w:pPr>
        <w:ind w:left="0" w:firstLine="0"/>
      </w:pPr>
      <w:r w:rsidRPr="0043305D">
        <w:rPr>
          <w:rFonts w:eastAsiaTheme="minorEastAsia"/>
        </w:rPr>
        <w:t>Quality improvement program that positioned early nutritional care into the nursing workflow. Nurses screened formal nutrition risk at patient admission and then immediately ordered oral nutritional supplements for those at risk. Supplements were given as regular medications, guided and monitored by medication administration records.</w:t>
      </w:r>
    </w:p>
    <w:p w14:paraId="749C8B6D" w14:textId="77777777" w:rsidR="00595D45" w:rsidRPr="0043305D" w:rsidRDefault="00595D45" w:rsidP="00595D45">
      <w:pPr>
        <w:ind w:left="0" w:firstLine="0"/>
      </w:pPr>
    </w:p>
    <w:p w14:paraId="349DD0FB" w14:textId="77777777" w:rsidR="00595D45" w:rsidRPr="0043305D" w:rsidRDefault="00595D45" w:rsidP="00595D45">
      <w:pPr>
        <w:ind w:left="0" w:firstLine="0"/>
      </w:pPr>
      <w:r w:rsidRPr="0043305D">
        <w:rPr>
          <w:rFonts w:eastAsiaTheme="minorEastAsia"/>
        </w:rPr>
        <w:t xml:space="preserve">Length of stay (-0.77 days or 13.4%), probability of readmissions (-17%) and cost of care (-$969 or 8.8%) were all reduced (p&lt;0.01). </w:t>
      </w:r>
    </w:p>
    <w:p w14:paraId="2566F4BE" w14:textId="77777777" w:rsidR="00595D45" w:rsidRPr="0043305D" w:rsidRDefault="00595D45" w:rsidP="00595D45">
      <w:pPr>
        <w:ind w:left="0" w:firstLine="0"/>
      </w:pPr>
    </w:p>
    <w:p w14:paraId="79C7E267" w14:textId="77777777" w:rsidR="00595D45" w:rsidRDefault="00595D45" w:rsidP="00595D45">
      <w:pPr>
        <w:ind w:left="0" w:firstLine="0"/>
        <w:rPr>
          <w:rFonts w:eastAsiaTheme="minorEastAsia"/>
        </w:rPr>
      </w:pPr>
      <w:r w:rsidRPr="0043305D">
        <w:rPr>
          <w:rFonts w:eastAsiaTheme="minorEastAsia"/>
        </w:rPr>
        <w:t>This observational study supports early intervention on patients who are found to be at-risk of malnutrition.</w:t>
      </w:r>
    </w:p>
    <w:p w14:paraId="04459144" w14:textId="77777777" w:rsidR="00595D45" w:rsidRDefault="00595D45" w:rsidP="00595D45">
      <w:pPr>
        <w:ind w:left="0" w:firstLine="0"/>
        <w:rPr>
          <w:rFonts w:eastAsiaTheme="minorEastAsia"/>
        </w:rPr>
      </w:pPr>
    </w:p>
    <w:p w14:paraId="7BE29D50" w14:textId="77777777" w:rsidR="00595D45" w:rsidRPr="0043305D" w:rsidRDefault="00595D45" w:rsidP="00595D45">
      <w:pPr>
        <w:ind w:left="0" w:firstLine="0"/>
        <w:rPr>
          <w:rStyle w:val="apple-converted-space"/>
          <w:rFonts w:cs="Arial"/>
          <w:b/>
          <w:bCs/>
          <w:color w:val="000000" w:themeColor="text1"/>
        </w:rPr>
      </w:pPr>
      <w:r w:rsidRPr="00595D45">
        <w:rPr>
          <w:rStyle w:val="apple-converted-space"/>
          <w:rFonts w:cs="Arial"/>
          <w:b/>
          <w:bCs/>
          <w:color w:val="000000" w:themeColor="text1"/>
          <w:lang w:val="es-US"/>
        </w:rPr>
        <w:t xml:space="preserve">Deutz NE, Matheson EM, </w:t>
      </w:r>
      <w:proofErr w:type="spellStart"/>
      <w:r w:rsidRPr="00595D45">
        <w:rPr>
          <w:rStyle w:val="apple-converted-space"/>
          <w:rFonts w:cs="Arial"/>
          <w:b/>
          <w:bCs/>
          <w:color w:val="000000" w:themeColor="text1"/>
          <w:lang w:val="es-US"/>
        </w:rPr>
        <w:t>Matarese</w:t>
      </w:r>
      <w:proofErr w:type="spellEnd"/>
      <w:r w:rsidRPr="00595D45">
        <w:rPr>
          <w:rStyle w:val="apple-converted-space"/>
          <w:rFonts w:cs="Arial"/>
          <w:b/>
          <w:bCs/>
          <w:color w:val="000000" w:themeColor="text1"/>
          <w:lang w:val="es-US"/>
        </w:rPr>
        <w:t xml:space="preserve"> LE, et al. </w:t>
      </w:r>
      <w:r w:rsidRPr="0043305D">
        <w:rPr>
          <w:rStyle w:val="apple-converted-space"/>
          <w:rFonts w:cs="Arial"/>
          <w:b/>
          <w:bCs/>
          <w:color w:val="000000" w:themeColor="text1"/>
        </w:rPr>
        <w:t>Readmission and mortality in malnourished, older, hospitalized adults treated with a specialized oral nutritional supplement: A randomized clinical trial. Clinical nutrition (Edinburgh, Scotland). 2016;35(1):18-26</w:t>
      </w:r>
    </w:p>
    <w:p w14:paraId="3FBA0E6F" w14:textId="77777777" w:rsidR="00595D45" w:rsidRPr="0043305D" w:rsidRDefault="00595D45" w:rsidP="00595D45">
      <w:pPr>
        <w:ind w:left="0" w:firstLine="0"/>
        <w:rPr>
          <w:rStyle w:val="apple-converted-space"/>
          <w:rFonts w:cs="Arial"/>
          <w:color w:val="000000" w:themeColor="text1"/>
        </w:rPr>
      </w:pPr>
    </w:p>
    <w:p w14:paraId="5FC88247" w14:textId="77777777" w:rsidR="00595D45" w:rsidRPr="0043305D" w:rsidRDefault="00595D45" w:rsidP="00595D45">
      <w:pPr>
        <w:ind w:left="0" w:firstLine="0"/>
        <w:rPr>
          <w:rStyle w:val="apple-converted-space"/>
          <w:rFonts w:cs="Arial"/>
          <w:color w:val="000000" w:themeColor="text1"/>
        </w:rPr>
      </w:pPr>
      <w:r w:rsidRPr="0043305D">
        <w:rPr>
          <w:rStyle w:val="apple-converted-space"/>
          <w:rFonts w:cs="Arial"/>
          <w:color w:val="000000" w:themeColor="text1"/>
        </w:rPr>
        <w:t>A Multicenter, randomized, placebo-controlled, double-blind trial of 652 older (≥65 years), malnourished (Subjective Global Assessment [SGA] class B or C) adults hospitalized for congestive heart failure, acute myocardial infarction, pneumonia, or chronic obstructive pulmonary disease with inpatient and posthospital statuses received</w:t>
      </w:r>
      <w:r w:rsidRPr="0043305D">
        <w:t xml:space="preserve"> </w:t>
      </w:r>
      <w:r w:rsidRPr="0043305D">
        <w:rPr>
          <w:rStyle w:val="apple-converted-space"/>
          <w:rFonts w:cs="Arial"/>
          <w:color w:val="000000" w:themeColor="text1"/>
        </w:rPr>
        <w:t xml:space="preserve">standard-of-care plus HP-HMB (n = 328) or a placebo supplement (n = 324), 2 servings/day. Primary composite endpoint was 90-day </w:t>
      </w:r>
      <w:proofErr w:type="spellStart"/>
      <w:r w:rsidRPr="0043305D">
        <w:rPr>
          <w:rStyle w:val="apple-converted-space"/>
          <w:rFonts w:cs="Arial"/>
          <w:color w:val="000000" w:themeColor="text1"/>
        </w:rPr>
        <w:t>postdischarge</w:t>
      </w:r>
      <w:proofErr w:type="spellEnd"/>
      <w:r w:rsidRPr="0043305D">
        <w:rPr>
          <w:rStyle w:val="apple-converted-space"/>
          <w:rFonts w:cs="Arial"/>
          <w:color w:val="000000" w:themeColor="text1"/>
        </w:rPr>
        <w:t xml:space="preserve"> incidence of death or nonelective readmission. Other endpoints included 30- and 60-day </w:t>
      </w:r>
      <w:proofErr w:type="spellStart"/>
      <w:r w:rsidRPr="0043305D">
        <w:rPr>
          <w:rStyle w:val="apple-converted-space"/>
          <w:rFonts w:cs="Arial"/>
          <w:color w:val="000000" w:themeColor="text1"/>
        </w:rPr>
        <w:t>postdischarge</w:t>
      </w:r>
      <w:proofErr w:type="spellEnd"/>
      <w:r w:rsidRPr="0043305D">
        <w:rPr>
          <w:rStyle w:val="apple-converted-space"/>
          <w:rFonts w:cs="Arial"/>
          <w:color w:val="000000" w:themeColor="text1"/>
        </w:rPr>
        <w:t xml:space="preserve"> incidence of death or readmission, length of stay (LOS), SGA class, body weight, and activities of daily living (ADL).</w:t>
      </w:r>
    </w:p>
    <w:p w14:paraId="2A3AC259" w14:textId="77777777" w:rsidR="00595D45" w:rsidRPr="0043305D" w:rsidRDefault="00595D45" w:rsidP="00595D45">
      <w:pPr>
        <w:ind w:left="0" w:firstLine="0"/>
        <w:rPr>
          <w:rStyle w:val="apple-converted-space"/>
          <w:rFonts w:cs="Arial"/>
          <w:color w:val="000000" w:themeColor="text1"/>
        </w:rPr>
      </w:pPr>
    </w:p>
    <w:p w14:paraId="2B3EA108" w14:textId="77777777" w:rsidR="00595D45" w:rsidRPr="0043305D" w:rsidRDefault="00595D45" w:rsidP="00595D45">
      <w:pPr>
        <w:ind w:left="0" w:firstLine="0"/>
        <w:rPr>
          <w:rStyle w:val="apple-converted-space"/>
          <w:rFonts w:cs="Arial"/>
          <w:color w:val="000000" w:themeColor="text1"/>
        </w:rPr>
      </w:pPr>
      <w:r w:rsidRPr="0043305D">
        <w:rPr>
          <w:rStyle w:val="apple-converted-space"/>
          <w:rFonts w:cs="Arial"/>
          <w:color w:val="000000" w:themeColor="text1"/>
        </w:rPr>
        <w:t>The primary composite endpoint was similar between HP-HMB (26.8%) and placebo (31.1%). No between-group differences were observed for 90-day readmission rate, but 90-day mortality was significantly lower with HP-HMB relative to placebo (4.8% vs. 9.7%; relative risk 0.49, 95% confidence interval [CI], 0.27 to 0.90; p = 0.018). The number-needed-to-treat to prevent 1 death was 20.3 (95% CI: 10.9, 121.4). Compared with placebo, HP-HMB resulted in improved odds of better nutritional status (SGA class, OR, 2.04, 95% CI: 1.28, 3.25, p = 0.009) at day 90, and an increase in body weight at day 30 (p = 0.035). LOS and ADL were similar between treatments.</w:t>
      </w:r>
    </w:p>
    <w:p w14:paraId="1CB47B70" w14:textId="77777777" w:rsidR="00595D45" w:rsidRPr="0043305D" w:rsidRDefault="00595D45" w:rsidP="00595D45">
      <w:pPr>
        <w:ind w:left="0" w:firstLine="0"/>
        <w:rPr>
          <w:rFonts w:eastAsiaTheme="minorEastAsia"/>
          <w:b/>
        </w:rPr>
      </w:pPr>
    </w:p>
    <w:p w14:paraId="52F02EC2" w14:textId="77777777" w:rsidR="00595D45" w:rsidRPr="0043305D" w:rsidRDefault="00595D45" w:rsidP="00595D45">
      <w:pPr>
        <w:ind w:left="0" w:firstLine="0"/>
        <w:rPr>
          <w:rFonts w:eastAsiaTheme="minorEastAsia"/>
          <w:b/>
        </w:rPr>
      </w:pPr>
      <w:r w:rsidRPr="0043305D">
        <w:rPr>
          <w:rFonts w:eastAsiaTheme="minorEastAsia"/>
          <w:b/>
        </w:rPr>
        <w:t>Snider JT, Jena AB, Linthicum MT, et al. Effect of hospital use of oral nutritional supplementation on length of stay, hospital cost, and 30-day readmissions among Medicare patients with COPD. Chest. 2015;147(6):1477-84.</w:t>
      </w:r>
    </w:p>
    <w:p w14:paraId="633EB5B8" w14:textId="77777777" w:rsidR="00595D45" w:rsidRPr="0043305D" w:rsidRDefault="00595D45" w:rsidP="00595D45">
      <w:pPr>
        <w:ind w:left="0" w:firstLine="0"/>
        <w:rPr>
          <w:b/>
        </w:rPr>
      </w:pPr>
    </w:p>
    <w:p w14:paraId="77CE4D99" w14:textId="77777777" w:rsidR="00595D45" w:rsidRPr="0043305D" w:rsidRDefault="00595D45" w:rsidP="00595D45">
      <w:pPr>
        <w:ind w:left="0" w:firstLine="0"/>
      </w:pPr>
      <w:r w:rsidRPr="0043305D">
        <w:rPr>
          <w:rFonts w:eastAsiaTheme="minorEastAsia"/>
        </w:rPr>
        <w:t>Retrospective cohort study identified hospitalizations in which ONS was provided, and u</w:t>
      </w:r>
      <w:r w:rsidRPr="0043305D">
        <w:t>sed propensity-score matching to compare LOS, hospitalization cost, and 30-day readmission rates in a one-to-one matched sample of ONS and non-ONS hospitalizations.</w:t>
      </w:r>
    </w:p>
    <w:p w14:paraId="4083ED27" w14:textId="77777777" w:rsidR="00595D45" w:rsidRPr="0043305D" w:rsidRDefault="00595D45" w:rsidP="00595D45">
      <w:pPr>
        <w:ind w:left="0" w:firstLine="0"/>
      </w:pPr>
    </w:p>
    <w:p w14:paraId="202DD3B3" w14:textId="77777777" w:rsidR="00595D45" w:rsidRPr="0043305D" w:rsidRDefault="00595D45" w:rsidP="00595D45">
      <w:pPr>
        <w:ind w:left="0" w:firstLine="0"/>
      </w:pPr>
      <w:r w:rsidRPr="0043305D">
        <w:t>One-to-one matched sample was created with 14,326 cases. In unadjusted comparisons in the matched sample, ONS use was associated with longer LOS (8.7 days vs 6.9 days, P &lt; .0001), higher hospitalization cost ($14,223 vs $9,340, P &lt; .0001), and lower readmission rates (24.8% vs 26.6%, P = .0116). However, in instrumental variables analysis, ONS use was associated with a 1.9-day (21.5%) decrease in LOS, from 8.8 to 6.9 days (P &lt; .01); a hospitalization cost reduction of $1,570 (12.5%), from $12,523 to $10,953 (P &lt; .01); and a 13.1% decrease in probability of 30-day readmission, from 0.34 to 0.29 (P &lt; .01).</w:t>
      </w:r>
    </w:p>
    <w:p w14:paraId="191F4E66" w14:textId="77777777" w:rsidR="00595D45" w:rsidRPr="0043305D" w:rsidRDefault="00595D45" w:rsidP="00595D45">
      <w:pPr>
        <w:ind w:left="0" w:firstLine="0"/>
      </w:pPr>
    </w:p>
    <w:p w14:paraId="610F66C2" w14:textId="77777777" w:rsidR="00595D45" w:rsidRPr="0043305D" w:rsidRDefault="00595D45" w:rsidP="00595D45">
      <w:pPr>
        <w:ind w:left="0" w:firstLine="0"/>
      </w:pPr>
      <w:r w:rsidRPr="0043305D">
        <w:t>ONS may be associated with reduced LOS, hospitalization cost, and readmission risk in hospitalized Medicare patients with existing morbidities such as COPD.</w:t>
      </w:r>
    </w:p>
    <w:p w14:paraId="26E61A29" w14:textId="77777777" w:rsidR="00595D45" w:rsidRPr="0043305D" w:rsidRDefault="00595D45" w:rsidP="00595D45">
      <w:pPr>
        <w:ind w:left="0" w:firstLine="0"/>
        <w:rPr>
          <w:rFonts w:eastAsiaTheme="minorEastAsia"/>
          <w:b/>
        </w:rPr>
      </w:pPr>
    </w:p>
    <w:p w14:paraId="64867022" w14:textId="77777777" w:rsidR="00595D45" w:rsidRPr="0043305D" w:rsidRDefault="00595D45" w:rsidP="00595D45">
      <w:pPr>
        <w:ind w:left="0" w:firstLine="0"/>
        <w:rPr>
          <w:b/>
        </w:rPr>
      </w:pPr>
      <w:proofErr w:type="spellStart"/>
      <w:r w:rsidRPr="0043305D">
        <w:rPr>
          <w:b/>
        </w:rPr>
        <w:t>Cawood</w:t>
      </w:r>
      <w:proofErr w:type="spellEnd"/>
      <w:r w:rsidRPr="0043305D">
        <w:rPr>
          <w:b/>
        </w:rPr>
        <w:t xml:space="preserve"> AL, Elia M, Stratton RJ. Systematic review and meta-analysis of the effects of high protein oral nutritional supplements. Ageing Res Rev. 2012;11(2):278-96.</w:t>
      </w:r>
    </w:p>
    <w:p w14:paraId="1488AF02" w14:textId="77777777" w:rsidR="00595D45" w:rsidRPr="0043305D" w:rsidRDefault="00595D45" w:rsidP="00595D45">
      <w:pPr>
        <w:ind w:left="0" w:firstLine="0"/>
        <w:rPr>
          <w:b/>
        </w:rPr>
      </w:pPr>
    </w:p>
    <w:p w14:paraId="5AAE8D5B" w14:textId="77777777" w:rsidR="00595D45" w:rsidRPr="0043305D" w:rsidRDefault="00595D45" w:rsidP="00595D45">
      <w:pPr>
        <w:ind w:left="0" w:firstLine="0"/>
      </w:pPr>
      <w:r w:rsidRPr="0043305D">
        <w:t xml:space="preserve">The review concluded that high protein oral nutritional supplements had significant clinical, nutritional and functional benefits in a range of patient groups and health settings. </w:t>
      </w:r>
    </w:p>
    <w:p w14:paraId="7571CDA6" w14:textId="77777777" w:rsidR="00595D45" w:rsidRPr="0043305D" w:rsidRDefault="00595D45" w:rsidP="00595D45">
      <w:pPr>
        <w:ind w:left="0" w:firstLine="0"/>
      </w:pPr>
    </w:p>
    <w:p w14:paraId="29EB413B" w14:textId="77777777" w:rsidR="00595D45" w:rsidRPr="0043305D" w:rsidRDefault="00595D45" w:rsidP="00595D45">
      <w:pPr>
        <w:ind w:left="0" w:firstLine="0"/>
      </w:pPr>
      <w:r w:rsidRPr="0043305D">
        <w:t>The authors' conclusions are reasonable but considerable clinical diversity in the included studies causes some uncertainty as to their generalizability. This systematic review involving 36 randomized controlled trials (RCT) (n=3790) (mean age 74 years; 83% of trials in patients &gt;65 years) and a series of meta-analyses of high protein ONS (&gt;20% energy from protein) demonstrated a range of effects across settings and patient groups in favor of the high protein ONS group.</w:t>
      </w:r>
    </w:p>
    <w:p w14:paraId="41324BE0" w14:textId="77777777" w:rsidR="00595D45" w:rsidRPr="0043305D" w:rsidRDefault="00595D45" w:rsidP="00595D45">
      <w:pPr>
        <w:ind w:left="0" w:firstLine="0"/>
      </w:pPr>
    </w:p>
    <w:p w14:paraId="4195A93D" w14:textId="77777777" w:rsidR="00595D45" w:rsidRPr="0043305D" w:rsidRDefault="00595D45" w:rsidP="00595D45">
      <w:pPr>
        <w:ind w:left="0" w:firstLine="0"/>
        <w:rPr>
          <w:rFonts w:eastAsiaTheme="minorEastAsia"/>
          <w:b/>
        </w:rPr>
      </w:pPr>
      <w:r w:rsidRPr="0043305D">
        <w:lastRenderedPageBreak/>
        <w:t xml:space="preserve">The outcomes analyzed in this meta-analysis support the conclusions made in the systematic review and guideline cited above which include reduced complications (odds ratio (OR) 0.68 (95%CI 0.55-0.83), p&lt;0.001, 10 RCT, n=1830); reduced readmissions to hospital (OR 0.59 (95%CI 0.41-0.84), p=0.004, 2 RCT, n=546). </w:t>
      </w:r>
    </w:p>
    <w:p w14:paraId="258A7356" w14:textId="77777777" w:rsidR="00595D45" w:rsidRPr="0043305D" w:rsidRDefault="00595D45" w:rsidP="00595D45">
      <w:pPr>
        <w:ind w:left="0" w:firstLine="0"/>
      </w:pPr>
    </w:p>
    <w:p w14:paraId="4B776C7A" w14:textId="77777777" w:rsidR="00595D45" w:rsidRPr="0043305D" w:rsidRDefault="00595D45" w:rsidP="00595D45">
      <w:pPr>
        <w:ind w:left="0" w:firstLine="0"/>
        <w:rPr>
          <w:rStyle w:val="apple-converted-space"/>
          <w:rFonts w:cs="Arial"/>
          <w:b/>
          <w:bCs/>
          <w:color w:val="000000" w:themeColor="text1"/>
        </w:rPr>
      </w:pPr>
      <w:proofErr w:type="spellStart"/>
      <w:r w:rsidRPr="0043305D">
        <w:rPr>
          <w:rStyle w:val="apple-converted-space"/>
          <w:rFonts w:cs="Arial"/>
          <w:b/>
          <w:bCs/>
          <w:color w:val="000000" w:themeColor="text1"/>
        </w:rPr>
        <w:t>Feldblum</w:t>
      </w:r>
      <w:proofErr w:type="spellEnd"/>
      <w:r w:rsidRPr="0043305D">
        <w:rPr>
          <w:rStyle w:val="apple-converted-space"/>
          <w:rFonts w:cs="Arial"/>
          <w:b/>
          <w:bCs/>
          <w:color w:val="000000" w:themeColor="text1"/>
        </w:rPr>
        <w:t xml:space="preserve"> I et al. Individualized nutritional intervention during and after hospitalization: the nutrition intervention study clinical trial. J Am Ger Soc 2011; Jan;59(1):10-7</w:t>
      </w:r>
    </w:p>
    <w:p w14:paraId="3F89740A" w14:textId="77777777" w:rsidR="00595D45" w:rsidRPr="0043305D" w:rsidRDefault="00595D45" w:rsidP="00595D45">
      <w:pPr>
        <w:ind w:left="0" w:firstLine="0"/>
        <w:rPr>
          <w:rStyle w:val="apple-converted-space"/>
          <w:rFonts w:cs="Arial"/>
          <w:color w:val="000000" w:themeColor="text1"/>
        </w:rPr>
      </w:pPr>
    </w:p>
    <w:p w14:paraId="173576CE" w14:textId="77777777" w:rsidR="00595D45" w:rsidRPr="0043305D" w:rsidRDefault="00595D45" w:rsidP="00595D45">
      <w:pPr>
        <w:ind w:left="0" w:firstLine="0"/>
        <w:rPr>
          <w:rStyle w:val="apple-converted-space"/>
          <w:rFonts w:cs="Arial"/>
          <w:color w:val="000000" w:themeColor="text1"/>
        </w:rPr>
      </w:pPr>
      <w:r w:rsidRPr="0043305D">
        <w:rPr>
          <w:rStyle w:val="apple-converted-space"/>
          <w:rFonts w:cs="Arial"/>
          <w:color w:val="000000" w:themeColor="text1"/>
        </w:rPr>
        <w:t>Double-blind, randomized, placebo-controlled trial conducted from March 2001 to January 2004 of 225 hospitalized acutely ill older adults. Normal hospital diet plus 400-mL oral nutritional supplements daily for 6 weeks. The composition of the supplement was such as to provide 995 kcal for energy and 100% of the Reference Nutrient Intakes for a healthy older person for vitamins and minerals. Measurements were taken at baseline, 6-week, and 6-month nutritional status and quality of life.</w:t>
      </w:r>
    </w:p>
    <w:p w14:paraId="791B8823" w14:textId="77777777" w:rsidR="00595D45" w:rsidRPr="009B4E4F" w:rsidRDefault="00595D45" w:rsidP="00595D45">
      <w:pPr>
        <w:ind w:left="0" w:firstLine="0"/>
        <w:rPr>
          <w:rStyle w:val="apple-converted-space"/>
          <w:rFonts w:cs="Arial"/>
          <w:color w:val="000000" w:themeColor="text1"/>
        </w:rPr>
      </w:pPr>
    </w:p>
    <w:p w14:paraId="3042959C" w14:textId="77777777" w:rsidR="00595D45" w:rsidRDefault="00595D45" w:rsidP="00595D45">
      <w:pPr>
        <w:ind w:left="0" w:firstLine="0"/>
        <w:rPr>
          <w:rStyle w:val="apple-converted-space"/>
          <w:rFonts w:cs="Arial"/>
          <w:color w:val="000000" w:themeColor="text1"/>
        </w:rPr>
      </w:pPr>
      <w:r w:rsidRPr="009B4E4F">
        <w:rPr>
          <w:rStyle w:val="apple-converted-space"/>
          <w:rFonts w:cs="Arial"/>
          <w:color w:val="000000" w:themeColor="text1"/>
        </w:rPr>
        <w:t>Randomization to the supplement group led to significantly better quality-of-life scores than in the placebo group at 6 months but not at 6 weeks, after adjustment for baseline quality of life, age, and sex. The effect of supplementation was seen in higher physical function, role physical, and social function scores. Corresponding treatment effects were 7.0 (95% confidence interval (CI)=0.5-13.6, P=.04), 10.2 (95% CI=0.1-20.2, P=.047), and 7.8 (95% CI=0.0-15.5, P=.05), respectively. There was no evidence of difference in Barthel scores at 6 months.</w:t>
      </w:r>
    </w:p>
    <w:p w14:paraId="057254EC" w14:textId="77777777" w:rsidR="00595D45" w:rsidRPr="00732A42" w:rsidRDefault="00595D45" w:rsidP="00595D45">
      <w:pPr>
        <w:ind w:left="0" w:firstLine="0"/>
        <w:rPr>
          <w:rStyle w:val="apple-converted-space"/>
          <w:rFonts w:cs="Arial"/>
          <w:b/>
          <w:bCs/>
          <w:color w:val="000000" w:themeColor="text1"/>
        </w:rPr>
      </w:pPr>
    </w:p>
    <w:p w14:paraId="0E308DA5" w14:textId="77777777" w:rsidR="00595D45" w:rsidRDefault="00595D45" w:rsidP="00595D45">
      <w:pPr>
        <w:ind w:left="0" w:firstLine="0"/>
        <w:rPr>
          <w:rStyle w:val="apple-converted-space"/>
          <w:rFonts w:cs="Arial"/>
          <w:b/>
          <w:bCs/>
          <w:color w:val="000000" w:themeColor="text1"/>
        </w:rPr>
      </w:pPr>
      <w:proofErr w:type="spellStart"/>
      <w:r w:rsidRPr="00EC1260">
        <w:rPr>
          <w:rStyle w:val="apple-converted-space"/>
          <w:rFonts w:cs="Arial"/>
          <w:b/>
          <w:bCs/>
          <w:color w:val="000000" w:themeColor="text1"/>
        </w:rPr>
        <w:t>Somanchi</w:t>
      </w:r>
      <w:proofErr w:type="spellEnd"/>
      <w:r w:rsidRPr="00EC1260">
        <w:rPr>
          <w:rStyle w:val="apple-converted-space"/>
          <w:rFonts w:cs="Arial"/>
          <w:b/>
          <w:bCs/>
          <w:color w:val="000000" w:themeColor="text1"/>
        </w:rPr>
        <w:t xml:space="preserve"> M et al. The facilitated early enteral and dietary management effectiveness trial in hospitalized patients with malnutrition. JPEN 2011 Mar;35(2):209-16.</w:t>
      </w:r>
    </w:p>
    <w:p w14:paraId="77B6B759" w14:textId="77777777" w:rsidR="00595D45" w:rsidRPr="00EC1260" w:rsidRDefault="00595D45" w:rsidP="00595D45">
      <w:pPr>
        <w:ind w:left="0" w:firstLine="0"/>
        <w:rPr>
          <w:rStyle w:val="apple-converted-space"/>
          <w:rFonts w:cs="Arial"/>
          <w:b/>
          <w:bCs/>
          <w:color w:val="000000" w:themeColor="text1"/>
        </w:rPr>
      </w:pPr>
    </w:p>
    <w:p w14:paraId="37A4CB51" w14:textId="77777777" w:rsidR="00595D45" w:rsidRPr="00732A42" w:rsidRDefault="00595D45" w:rsidP="00595D45">
      <w:pPr>
        <w:ind w:left="0" w:firstLine="0"/>
        <w:rPr>
          <w:rStyle w:val="apple-converted-space"/>
          <w:rFonts w:cs="Arial"/>
          <w:color w:val="000000" w:themeColor="text1"/>
        </w:rPr>
      </w:pPr>
      <w:r>
        <w:rPr>
          <w:rStyle w:val="apple-converted-space"/>
          <w:rFonts w:cs="Arial"/>
          <w:color w:val="000000" w:themeColor="text1"/>
        </w:rPr>
        <w:t>A retrospective cohort analysis using d</w:t>
      </w:r>
      <w:r w:rsidRPr="00732A42">
        <w:rPr>
          <w:rStyle w:val="apple-converted-space"/>
          <w:rFonts w:cs="Arial"/>
          <w:color w:val="000000" w:themeColor="text1"/>
        </w:rPr>
        <w:t>emographic data, anthropometric measurements, LOS, and serum albumin levels were collected from 400 patients in 2 medical wards to determine the prevalence of malnutrition and potential delays in nutrition consultation. Based on these results, a nutrition intervention study was conducted in 1 ward; the other ward served as a control. Patients were classified as normally nourished or malnourished. Multivariate general linear regressions were used to reveal the impact of intervention on the change in LOS, controlling for other potential confounding factors on the cohort and a subset with severe malnutrition.</w:t>
      </w:r>
    </w:p>
    <w:p w14:paraId="4818B12D" w14:textId="77777777" w:rsidR="00595D45" w:rsidRDefault="00595D45" w:rsidP="00595D45">
      <w:pPr>
        <w:ind w:left="0" w:firstLine="0"/>
        <w:rPr>
          <w:rStyle w:val="apple-converted-space"/>
          <w:rFonts w:cs="Arial"/>
          <w:color w:val="000000" w:themeColor="text1"/>
        </w:rPr>
      </w:pPr>
    </w:p>
    <w:p w14:paraId="7651E183" w14:textId="77777777" w:rsidR="00595D45" w:rsidRPr="00732A42" w:rsidRDefault="00595D45" w:rsidP="00595D45">
      <w:pPr>
        <w:ind w:left="0" w:firstLine="0"/>
        <w:rPr>
          <w:rStyle w:val="apple-converted-space"/>
          <w:rFonts w:cs="Arial"/>
          <w:color w:val="000000" w:themeColor="text1"/>
        </w:rPr>
      </w:pPr>
      <w:r w:rsidRPr="00732A42">
        <w:rPr>
          <w:rStyle w:val="apple-converted-space"/>
          <w:rFonts w:cs="Arial"/>
          <w:color w:val="000000" w:themeColor="text1"/>
        </w:rPr>
        <w:t>Of the 400 patients assessed, 53% had malnutrition. Multiple general linear regressions showed that nutrition intervention reduced LOS an average of 1.93 days in the cohort group and 3.2 days in the severe malnourished group. Case mix index and female gender were positively associated with LOS in the malnourished group. Nutrition intervention reduced the delays in implementing nutrition support to patients by 47%.</w:t>
      </w:r>
    </w:p>
    <w:p w14:paraId="3E455A72" w14:textId="77777777" w:rsidR="00595D45" w:rsidRPr="003B1CC5" w:rsidRDefault="00595D45" w:rsidP="00595D45">
      <w:pPr>
        <w:ind w:left="0" w:firstLine="0"/>
        <w:rPr>
          <w:b/>
          <w:color w:val="0070C0"/>
        </w:rPr>
      </w:pPr>
      <w:r w:rsidRPr="4E1B4D23">
        <w:rPr>
          <w:b/>
          <w:bCs/>
          <w:caps/>
        </w:rPr>
        <w:t>_________________________</w:t>
      </w:r>
    </w:p>
    <w:p w14:paraId="05ABAAFF" w14:textId="77777777" w:rsidR="00595D45" w:rsidRPr="004619D6" w:rsidRDefault="00595D45" w:rsidP="00595D45">
      <w:pPr>
        <w:ind w:left="0" w:firstLine="0"/>
        <w:rPr>
          <w:b/>
          <w:bCs/>
        </w:rPr>
      </w:pPr>
      <w:r w:rsidRPr="004619D6">
        <w:rPr>
          <w:b/>
          <w:bCs/>
        </w:rPr>
        <w:t>1a.4 OTHER SOURCE OF EVIDENCE</w:t>
      </w:r>
    </w:p>
    <w:p w14:paraId="25CBBB7A" w14:textId="77777777" w:rsidR="00595D45" w:rsidRPr="004619D6" w:rsidRDefault="00595D45" w:rsidP="00595D45">
      <w:pPr>
        <w:ind w:left="0" w:firstLine="0"/>
      </w:pPr>
      <w:r w:rsidRPr="004619D6">
        <w:t>If source of evidence is NOT from a clinical practice guideline, USPSTF, or systematic review, please describe the evidence on which you are basing the performance measure.</w:t>
      </w:r>
    </w:p>
    <w:p w14:paraId="13E3EBB3" w14:textId="77777777" w:rsidR="00595D45" w:rsidRPr="004619D6" w:rsidRDefault="00595D45" w:rsidP="00595D45">
      <w:pPr>
        <w:ind w:left="0" w:firstLine="0"/>
        <w:rPr>
          <w:b/>
          <w:bCs/>
        </w:rPr>
      </w:pPr>
    </w:p>
    <w:p w14:paraId="29D5E43B" w14:textId="77777777" w:rsidR="00595D45" w:rsidRPr="004619D6" w:rsidRDefault="00595D45" w:rsidP="00595D45">
      <w:pPr>
        <w:ind w:left="0" w:firstLine="0"/>
        <w:rPr>
          <w:b/>
          <w:bCs/>
        </w:rPr>
      </w:pPr>
      <w:r w:rsidRPr="004619D6">
        <w:rPr>
          <w:b/>
          <w:bCs/>
        </w:rPr>
        <w:t xml:space="preserve">1a.4.1 Briefly SYNTHESIZE the evidence that supports the measure. </w:t>
      </w:r>
      <w:r w:rsidRPr="004619D6">
        <w:t>A list of references without a summary is not acceptable.</w:t>
      </w:r>
    </w:p>
    <w:p w14:paraId="0DA179BD" w14:textId="77777777" w:rsidR="00595D45" w:rsidRPr="004619D6" w:rsidRDefault="00595D45" w:rsidP="00595D45">
      <w:pPr>
        <w:ind w:left="0" w:firstLine="0"/>
        <w:rPr>
          <w:b/>
          <w:bCs/>
        </w:rPr>
      </w:pPr>
    </w:p>
    <w:p w14:paraId="06C7F406" w14:textId="77777777" w:rsidR="00595D45" w:rsidRPr="004619D6" w:rsidRDefault="00595D45" w:rsidP="00595D45">
      <w:pPr>
        <w:ind w:left="0" w:firstLine="0"/>
        <w:rPr>
          <w:b/>
          <w:bCs/>
        </w:rPr>
      </w:pPr>
      <w:r w:rsidRPr="004619D6">
        <w:rPr>
          <w:b/>
          <w:bCs/>
        </w:rPr>
        <w:t xml:space="preserve">1a.4.2 What process was used to identify the evidence? </w:t>
      </w:r>
    </w:p>
    <w:p w14:paraId="3FE92BAC" w14:textId="77777777" w:rsidR="00595D45" w:rsidRPr="004619D6" w:rsidRDefault="00595D45" w:rsidP="00595D45">
      <w:pPr>
        <w:ind w:left="0" w:firstLine="0"/>
        <w:rPr>
          <w:b/>
          <w:bCs/>
        </w:rPr>
      </w:pPr>
    </w:p>
    <w:p w14:paraId="6F3D46BD" w14:textId="77777777" w:rsidR="00595D45" w:rsidRPr="004619D6" w:rsidRDefault="00595D45" w:rsidP="00595D45">
      <w:pPr>
        <w:ind w:left="0" w:firstLine="0"/>
        <w:rPr>
          <w:b/>
          <w:bCs/>
        </w:rPr>
      </w:pPr>
      <w:r w:rsidRPr="004619D6">
        <w:rPr>
          <w:b/>
          <w:bCs/>
        </w:rPr>
        <w:t>1a.4.3. Provide the citation(s) for the evidence.</w:t>
      </w:r>
    </w:p>
    <w:p w14:paraId="1CCFB806" w14:textId="77777777" w:rsidR="00595D45" w:rsidRDefault="00595D45" w:rsidP="00595D45">
      <w:pPr>
        <w:ind w:left="0" w:firstLine="0"/>
        <w:rPr>
          <w:b/>
          <w:bCs/>
        </w:rPr>
      </w:pPr>
    </w:p>
    <w:p w14:paraId="5175BDE6" w14:textId="77777777" w:rsidR="009F604D" w:rsidRPr="001B772D" w:rsidRDefault="009F604D" w:rsidP="007147D3">
      <w:pPr>
        <w:ind w:left="0" w:firstLine="0"/>
      </w:pPr>
    </w:p>
    <w:sectPr w:rsidR="009F604D" w:rsidRPr="001B772D" w:rsidSect="00E316C7">
      <w:headerReference w:type="default" r:id="rId43"/>
      <w:footerReference w:type="default" r:id="rI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90E64" w14:textId="77777777" w:rsidR="00064FC6" w:rsidRDefault="00064FC6" w:rsidP="007E37A5">
      <w:r>
        <w:separator/>
      </w:r>
    </w:p>
  </w:endnote>
  <w:endnote w:type="continuationSeparator" w:id="0">
    <w:p w14:paraId="5321B8F0" w14:textId="77777777" w:rsidR="00064FC6" w:rsidRDefault="00064FC6"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87974" w14:textId="77777777" w:rsidR="00F86A6A" w:rsidRDefault="00F86A6A">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rPr>
        <w:noProof/>
      </w:rPr>
      <w:fldChar w:fldCharType="begin"/>
    </w:r>
    <w:r w:rsidRPr="00395263">
      <w:instrText xml:space="preserve"> PAGE   \* MERGEFORMAT </w:instrText>
    </w:r>
    <w:r w:rsidRPr="00395263">
      <w:fldChar w:fldCharType="separate"/>
    </w:r>
    <w:r>
      <w:rPr>
        <w:noProof/>
      </w:rPr>
      <w:t>8</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05D85" w14:textId="77777777" w:rsidR="00064FC6" w:rsidRDefault="00064FC6" w:rsidP="007E37A5">
      <w:r>
        <w:separator/>
      </w:r>
    </w:p>
  </w:footnote>
  <w:footnote w:type="continuationSeparator" w:id="0">
    <w:p w14:paraId="2212293C" w14:textId="77777777" w:rsidR="00064FC6" w:rsidRDefault="00064FC6"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87973" w14:textId="77777777" w:rsidR="00F86A6A" w:rsidRDefault="00F86A6A"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404F46B"/>
    <w:multiLevelType w:val="hybridMultilevel"/>
    <w:tmpl w:val="09F195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353331"/>
    <w:multiLevelType w:val="hybridMultilevel"/>
    <w:tmpl w:val="1620369E"/>
    <w:lvl w:ilvl="0" w:tplc="C34830A0">
      <w:start w:val="1"/>
      <w:numFmt w:val="bullet"/>
      <w:lvlText w:val=""/>
      <w:lvlJc w:val="left"/>
      <w:pPr>
        <w:ind w:left="720" w:hanging="360"/>
      </w:pPr>
      <w:rPr>
        <w:rFonts w:ascii="Symbol" w:hAnsi="Symbol" w:hint="default"/>
      </w:rPr>
    </w:lvl>
    <w:lvl w:ilvl="1" w:tplc="D79ACB34">
      <w:start w:val="1"/>
      <w:numFmt w:val="bullet"/>
      <w:lvlText w:val="o"/>
      <w:lvlJc w:val="left"/>
      <w:pPr>
        <w:ind w:left="1440" w:hanging="360"/>
      </w:pPr>
      <w:rPr>
        <w:rFonts w:ascii="Courier New" w:hAnsi="Courier New" w:hint="default"/>
      </w:rPr>
    </w:lvl>
    <w:lvl w:ilvl="2" w:tplc="1CD0C9E2">
      <w:start w:val="1"/>
      <w:numFmt w:val="bullet"/>
      <w:lvlText w:val=""/>
      <w:lvlJc w:val="left"/>
      <w:pPr>
        <w:ind w:left="2160" w:hanging="360"/>
      </w:pPr>
      <w:rPr>
        <w:rFonts w:ascii="Wingdings" w:hAnsi="Wingdings" w:hint="default"/>
      </w:rPr>
    </w:lvl>
    <w:lvl w:ilvl="3" w:tplc="75DCE34E">
      <w:start w:val="1"/>
      <w:numFmt w:val="bullet"/>
      <w:lvlText w:val=""/>
      <w:lvlJc w:val="left"/>
      <w:pPr>
        <w:ind w:left="2880" w:hanging="360"/>
      </w:pPr>
      <w:rPr>
        <w:rFonts w:ascii="Symbol" w:hAnsi="Symbol" w:hint="default"/>
      </w:rPr>
    </w:lvl>
    <w:lvl w:ilvl="4" w:tplc="C7780254">
      <w:start w:val="1"/>
      <w:numFmt w:val="bullet"/>
      <w:lvlText w:val="o"/>
      <w:lvlJc w:val="left"/>
      <w:pPr>
        <w:ind w:left="3600" w:hanging="360"/>
      </w:pPr>
      <w:rPr>
        <w:rFonts w:ascii="Courier New" w:hAnsi="Courier New" w:hint="default"/>
      </w:rPr>
    </w:lvl>
    <w:lvl w:ilvl="5" w:tplc="A530BA5C">
      <w:start w:val="1"/>
      <w:numFmt w:val="bullet"/>
      <w:lvlText w:val=""/>
      <w:lvlJc w:val="left"/>
      <w:pPr>
        <w:ind w:left="4320" w:hanging="360"/>
      </w:pPr>
      <w:rPr>
        <w:rFonts w:ascii="Wingdings" w:hAnsi="Wingdings" w:hint="default"/>
      </w:rPr>
    </w:lvl>
    <w:lvl w:ilvl="6" w:tplc="154A27FE">
      <w:start w:val="1"/>
      <w:numFmt w:val="bullet"/>
      <w:lvlText w:val=""/>
      <w:lvlJc w:val="left"/>
      <w:pPr>
        <w:ind w:left="5040" w:hanging="360"/>
      </w:pPr>
      <w:rPr>
        <w:rFonts w:ascii="Symbol" w:hAnsi="Symbol" w:hint="default"/>
      </w:rPr>
    </w:lvl>
    <w:lvl w:ilvl="7" w:tplc="91AA961A">
      <w:start w:val="1"/>
      <w:numFmt w:val="bullet"/>
      <w:lvlText w:val="o"/>
      <w:lvlJc w:val="left"/>
      <w:pPr>
        <w:ind w:left="5760" w:hanging="360"/>
      </w:pPr>
      <w:rPr>
        <w:rFonts w:ascii="Courier New" w:hAnsi="Courier New" w:hint="default"/>
      </w:rPr>
    </w:lvl>
    <w:lvl w:ilvl="8" w:tplc="FC3C1822">
      <w:start w:val="1"/>
      <w:numFmt w:val="bullet"/>
      <w:lvlText w:val=""/>
      <w:lvlJc w:val="left"/>
      <w:pPr>
        <w:ind w:left="6480" w:hanging="360"/>
      </w:pPr>
      <w:rPr>
        <w:rFonts w:ascii="Wingdings" w:hAnsi="Wingdings" w:hint="default"/>
      </w:rPr>
    </w:lvl>
  </w:abstractNum>
  <w:abstractNum w:abstractNumId="2" w15:restartNumberingAfterBreak="0">
    <w:nsid w:val="07422D23"/>
    <w:multiLevelType w:val="hybridMultilevel"/>
    <w:tmpl w:val="A35CB158"/>
    <w:lvl w:ilvl="0" w:tplc="0562F14A">
      <w:start w:val="1"/>
      <w:numFmt w:val="bullet"/>
      <w:lvlText w:val=""/>
      <w:lvlJc w:val="left"/>
      <w:pPr>
        <w:ind w:left="720" w:hanging="360"/>
      </w:pPr>
      <w:rPr>
        <w:rFonts w:ascii="Symbol" w:hAnsi="Symbol" w:hint="default"/>
      </w:rPr>
    </w:lvl>
    <w:lvl w:ilvl="1" w:tplc="5D085C46">
      <w:start w:val="1"/>
      <w:numFmt w:val="bullet"/>
      <w:lvlText w:val="o"/>
      <w:lvlJc w:val="left"/>
      <w:pPr>
        <w:ind w:left="1440" w:hanging="360"/>
      </w:pPr>
      <w:rPr>
        <w:rFonts w:ascii="Courier New" w:hAnsi="Courier New" w:hint="default"/>
      </w:rPr>
    </w:lvl>
    <w:lvl w:ilvl="2" w:tplc="78408A5A">
      <w:start w:val="1"/>
      <w:numFmt w:val="bullet"/>
      <w:lvlText w:val=""/>
      <w:lvlJc w:val="left"/>
      <w:pPr>
        <w:ind w:left="2160" w:hanging="360"/>
      </w:pPr>
      <w:rPr>
        <w:rFonts w:ascii="Wingdings" w:hAnsi="Wingdings" w:hint="default"/>
      </w:rPr>
    </w:lvl>
    <w:lvl w:ilvl="3" w:tplc="481259F8">
      <w:start w:val="1"/>
      <w:numFmt w:val="bullet"/>
      <w:lvlText w:val=""/>
      <w:lvlJc w:val="left"/>
      <w:pPr>
        <w:ind w:left="2880" w:hanging="360"/>
      </w:pPr>
      <w:rPr>
        <w:rFonts w:ascii="Symbol" w:hAnsi="Symbol" w:hint="default"/>
      </w:rPr>
    </w:lvl>
    <w:lvl w:ilvl="4" w:tplc="F0D47DEA">
      <w:start w:val="1"/>
      <w:numFmt w:val="bullet"/>
      <w:lvlText w:val="o"/>
      <w:lvlJc w:val="left"/>
      <w:pPr>
        <w:ind w:left="3600" w:hanging="360"/>
      </w:pPr>
      <w:rPr>
        <w:rFonts w:ascii="Courier New" w:hAnsi="Courier New" w:hint="default"/>
      </w:rPr>
    </w:lvl>
    <w:lvl w:ilvl="5" w:tplc="F18AFAC4">
      <w:start w:val="1"/>
      <w:numFmt w:val="bullet"/>
      <w:lvlText w:val=""/>
      <w:lvlJc w:val="left"/>
      <w:pPr>
        <w:ind w:left="4320" w:hanging="360"/>
      </w:pPr>
      <w:rPr>
        <w:rFonts w:ascii="Wingdings" w:hAnsi="Wingdings" w:hint="default"/>
      </w:rPr>
    </w:lvl>
    <w:lvl w:ilvl="6" w:tplc="DED65782">
      <w:start w:val="1"/>
      <w:numFmt w:val="bullet"/>
      <w:lvlText w:val=""/>
      <w:lvlJc w:val="left"/>
      <w:pPr>
        <w:ind w:left="5040" w:hanging="360"/>
      </w:pPr>
      <w:rPr>
        <w:rFonts w:ascii="Symbol" w:hAnsi="Symbol" w:hint="default"/>
      </w:rPr>
    </w:lvl>
    <w:lvl w:ilvl="7" w:tplc="73481F7E">
      <w:start w:val="1"/>
      <w:numFmt w:val="bullet"/>
      <w:lvlText w:val="o"/>
      <w:lvlJc w:val="left"/>
      <w:pPr>
        <w:ind w:left="5760" w:hanging="360"/>
      </w:pPr>
      <w:rPr>
        <w:rFonts w:ascii="Courier New" w:hAnsi="Courier New" w:hint="default"/>
      </w:rPr>
    </w:lvl>
    <w:lvl w:ilvl="8" w:tplc="996A1C12">
      <w:start w:val="1"/>
      <w:numFmt w:val="bullet"/>
      <w:lvlText w:val=""/>
      <w:lvlJc w:val="left"/>
      <w:pPr>
        <w:ind w:left="6480" w:hanging="360"/>
      </w:pPr>
      <w:rPr>
        <w:rFonts w:ascii="Wingdings" w:hAnsi="Wingdings" w:hint="default"/>
      </w:rPr>
    </w:lvl>
  </w:abstractNum>
  <w:abstractNum w:abstractNumId="3" w15:restartNumberingAfterBreak="0">
    <w:nsid w:val="0A325519"/>
    <w:multiLevelType w:val="hybridMultilevel"/>
    <w:tmpl w:val="3E361A1C"/>
    <w:lvl w:ilvl="0" w:tplc="11C2C3AE">
      <w:numFmt w:val="bullet"/>
      <w:lvlText w:val=""/>
      <w:lvlJc w:val="left"/>
      <w:pPr>
        <w:ind w:left="827" w:hanging="361"/>
      </w:pPr>
      <w:rPr>
        <w:rFonts w:ascii="Symbol" w:eastAsia="Symbol" w:hAnsi="Symbol" w:cs="Symbol" w:hint="default"/>
        <w:w w:val="100"/>
        <w:sz w:val="22"/>
        <w:szCs w:val="22"/>
        <w:lang w:val="en-US" w:eastAsia="en-US" w:bidi="en-US"/>
      </w:rPr>
    </w:lvl>
    <w:lvl w:ilvl="1" w:tplc="632891F6">
      <w:numFmt w:val="bullet"/>
      <w:lvlText w:val="•"/>
      <w:lvlJc w:val="left"/>
      <w:pPr>
        <w:ind w:left="1143" w:hanging="361"/>
      </w:pPr>
      <w:rPr>
        <w:rFonts w:hint="default"/>
        <w:lang w:val="en-US" w:eastAsia="en-US" w:bidi="en-US"/>
      </w:rPr>
    </w:lvl>
    <w:lvl w:ilvl="2" w:tplc="25BAD340">
      <w:numFmt w:val="bullet"/>
      <w:lvlText w:val="•"/>
      <w:lvlJc w:val="left"/>
      <w:pPr>
        <w:ind w:left="1467" w:hanging="361"/>
      </w:pPr>
      <w:rPr>
        <w:rFonts w:hint="default"/>
        <w:lang w:val="en-US" w:eastAsia="en-US" w:bidi="en-US"/>
      </w:rPr>
    </w:lvl>
    <w:lvl w:ilvl="3" w:tplc="F2262484">
      <w:numFmt w:val="bullet"/>
      <w:lvlText w:val="•"/>
      <w:lvlJc w:val="left"/>
      <w:pPr>
        <w:ind w:left="1791" w:hanging="361"/>
      </w:pPr>
      <w:rPr>
        <w:rFonts w:hint="default"/>
        <w:lang w:val="en-US" w:eastAsia="en-US" w:bidi="en-US"/>
      </w:rPr>
    </w:lvl>
    <w:lvl w:ilvl="4" w:tplc="57524B42">
      <w:numFmt w:val="bullet"/>
      <w:lvlText w:val="•"/>
      <w:lvlJc w:val="left"/>
      <w:pPr>
        <w:ind w:left="2115" w:hanging="361"/>
      </w:pPr>
      <w:rPr>
        <w:rFonts w:hint="default"/>
        <w:lang w:val="en-US" w:eastAsia="en-US" w:bidi="en-US"/>
      </w:rPr>
    </w:lvl>
    <w:lvl w:ilvl="5" w:tplc="8720719A">
      <w:numFmt w:val="bullet"/>
      <w:lvlText w:val="•"/>
      <w:lvlJc w:val="left"/>
      <w:pPr>
        <w:ind w:left="2439" w:hanging="361"/>
      </w:pPr>
      <w:rPr>
        <w:rFonts w:hint="default"/>
        <w:lang w:val="en-US" w:eastAsia="en-US" w:bidi="en-US"/>
      </w:rPr>
    </w:lvl>
    <w:lvl w:ilvl="6" w:tplc="9680432C">
      <w:numFmt w:val="bullet"/>
      <w:lvlText w:val="•"/>
      <w:lvlJc w:val="left"/>
      <w:pPr>
        <w:ind w:left="2762" w:hanging="361"/>
      </w:pPr>
      <w:rPr>
        <w:rFonts w:hint="default"/>
        <w:lang w:val="en-US" w:eastAsia="en-US" w:bidi="en-US"/>
      </w:rPr>
    </w:lvl>
    <w:lvl w:ilvl="7" w:tplc="7DCCA186">
      <w:numFmt w:val="bullet"/>
      <w:lvlText w:val="•"/>
      <w:lvlJc w:val="left"/>
      <w:pPr>
        <w:ind w:left="3086" w:hanging="361"/>
      </w:pPr>
      <w:rPr>
        <w:rFonts w:hint="default"/>
        <w:lang w:val="en-US" w:eastAsia="en-US" w:bidi="en-US"/>
      </w:rPr>
    </w:lvl>
    <w:lvl w:ilvl="8" w:tplc="33E8C62E">
      <w:numFmt w:val="bullet"/>
      <w:lvlText w:val="•"/>
      <w:lvlJc w:val="left"/>
      <w:pPr>
        <w:ind w:left="3410" w:hanging="361"/>
      </w:pPr>
      <w:rPr>
        <w:rFonts w:hint="default"/>
        <w:lang w:val="en-US" w:eastAsia="en-US" w:bidi="en-US"/>
      </w:rPr>
    </w:lvl>
  </w:abstractNum>
  <w:abstractNum w:abstractNumId="4" w15:restartNumberingAfterBreak="0">
    <w:nsid w:val="19E06D4B"/>
    <w:multiLevelType w:val="hybridMultilevel"/>
    <w:tmpl w:val="4942C580"/>
    <w:lvl w:ilvl="0" w:tplc="7794EB1C">
      <w:numFmt w:val="bullet"/>
      <w:lvlText w:val=""/>
      <w:lvlJc w:val="left"/>
      <w:pPr>
        <w:ind w:left="440" w:hanging="217"/>
      </w:pPr>
      <w:rPr>
        <w:rFonts w:ascii="Symbol" w:eastAsia="Symbol" w:hAnsi="Symbol" w:cs="Symbol" w:hint="default"/>
        <w:w w:val="99"/>
        <w:sz w:val="20"/>
        <w:szCs w:val="20"/>
        <w:lang w:val="en-US" w:eastAsia="en-US" w:bidi="en-US"/>
      </w:rPr>
    </w:lvl>
    <w:lvl w:ilvl="1" w:tplc="58286F04">
      <w:numFmt w:val="bullet"/>
      <w:lvlText w:val="•"/>
      <w:lvlJc w:val="left"/>
      <w:pPr>
        <w:ind w:left="1448" w:hanging="217"/>
      </w:pPr>
      <w:rPr>
        <w:rFonts w:hint="default"/>
        <w:lang w:val="en-US" w:eastAsia="en-US" w:bidi="en-US"/>
      </w:rPr>
    </w:lvl>
    <w:lvl w:ilvl="2" w:tplc="55562F24">
      <w:numFmt w:val="bullet"/>
      <w:lvlText w:val="•"/>
      <w:lvlJc w:val="left"/>
      <w:pPr>
        <w:ind w:left="2456" w:hanging="217"/>
      </w:pPr>
      <w:rPr>
        <w:rFonts w:hint="default"/>
        <w:lang w:val="en-US" w:eastAsia="en-US" w:bidi="en-US"/>
      </w:rPr>
    </w:lvl>
    <w:lvl w:ilvl="3" w:tplc="0114A35E">
      <w:numFmt w:val="bullet"/>
      <w:lvlText w:val="•"/>
      <w:lvlJc w:val="left"/>
      <w:pPr>
        <w:ind w:left="3464" w:hanging="217"/>
      </w:pPr>
      <w:rPr>
        <w:rFonts w:hint="default"/>
        <w:lang w:val="en-US" w:eastAsia="en-US" w:bidi="en-US"/>
      </w:rPr>
    </w:lvl>
    <w:lvl w:ilvl="4" w:tplc="D542EE50">
      <w:numFmt w:val="bullet"/>
      <w:lvlText w:val="•"/>
      <w:lvlJc w:val="left"/>
      <w:pPr>
        <w:ind w:left="4472" w:hanging="217"/>
      </w:pPr>
      <w:rPr>
        <w:rFonts w:hint="default"/>
        <w:lang w:val="en-US" w:eastAsia="en-US" w:bidi="en-US"/>
      </w:rPr>
    </w:lvl>
    <w:lvl w:ilvl="5" w:tplc="15E8DD68">
      <w:numFmt w:val="bullet"/>
      <w:lvlText w:val="•"/>
      <w:lvlJc w:val="left"/>
      <w:pPr>
        <w:ind w:left="5480" w:hanging="217"/>
      </w:pPr>
      <w:rPr>
        <w:rFonts w:hint="default"/>
        <w:lang w:val="en-US" w:eastAsia="en-US" w:bidi="en-US"/>
      </w:rPr>
    </w:lvl>
    <w:lvl w:ilvl="6" w:tplc="74B49276">
      <w:numFmt w:val="bullet"/>
      <w:lvlText w:val="•"/>
      <w:lvlJc w:val="left"/>
      <w:pPr>
        <w:ind w:left="6488" w:hanging="217"/>
      </w:pPr>
      <w:rPr>
        <w:rFonts w:hint="default"/>
        <w:lang w:val="en-US" w:eastAsia="en-US" w:bidi="en-US"/>
      </w:rPr>
    </w:lvl>
    <w:lvl w:ilvl="7" w:tplc="4E00AED6">
      <w:numFmt w:val="bullet"/>
      <w:lvlText w:val="•"/>
      <w:lvlJc w:val="left"/>
      <w:pPr>
        <w:ind w:left="7496" w:hanging="217"/>
      </w:pPr>
      <w:rPr>
        <w:rFonts w:hint="default"/>
        <w:lang w:val="en-US" w:eastAsia="en-US" w:bidi="en-US"/>
      </w:rPr>
    </w:lvl>
    <w:lvl w:ilvl="8" w:tplc="C6AC59C4">
      <w:numFmt w:val="bullet"/>
      <w:lvlText w:val="•"/>
      <w:lvlJc w:val="left"/>
      <w:pPr>
        <w:ind w:left="8504" w:hanging="217"/>
      </w:pPr>
      <w:rPr>
        <w:rFonts w:hint="default"/>
        <w:lang w:val="en-US" w:eastAsia="en-US" w:bidi="en-US"/>
      </w:rPr>
    </w:lvl>
  </w:abstractNum>
  <w:abstractNum w:abstractNumId="5"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A0F41F3"/>
    <w:multiLevelType w:val="hybridMultilevel"/>
    <w:tmpl w:val="A80C4E58"/>
    <w:lvl w:ilvl="0" w:tplc="F38E3CDA">
      <w:start w:val="1"/>
      <w:numFmt w:val="bullet"/>
      <w:lvlText w:val=""/>
      <w:lvlJc w:val="left"/>
      <w:pPr>
        <w:ind w:left="720" w:hanging="360"/>
      </w:pPr>
      <w:rPr>
        <w:rFonts w:ascii="Symbol" w:hAnsi="Symbol" w:hint="default"/>
      </w:rPr>
    </w:lvl>
    <w:lvl w:ilvl="1" w:tplc="CB4834A0">
      <w:start w:val="1"/>
      <w:numFmt w:val="bullet"/>
      <w:lvlText w:val="o"/>
      <w:lvlJc w:val="left"/>
      <w:pPr>
        <w:ind w:left="1440" w:hanging="360"/>
      </w:pPr>
      <w:rPr>
        <w:rFonts w:ascii="Courier New" w:hAnsi="Courier New" w:hint="default"/>
      </w:rPr>
    </w:lvl>
    <w:lvl w:ilvl="2" w:tplc="4274BDFC">
      <w:start w:val="1"/>
      <w:numFmt w:val="bullet"/>
      <w:lvlText w:val=""/>
      <w:lvlJc w:val="left"/>
      <w:pPr>
        <w:ind w:left="2160" w:hanging="360"/>
      </w:pPr>
      <w:rPr>
        <w:rFonts w:ascii="Wingdings" w:hAnsi="Wingdings" w:hint="default"/>
      </w:rPr>
    </w:lvl>
    <w:lvl w:ilvl="3" w:tplc="2258D496">
      <w:start w:val="1"/>
      <w:numFmt w:val="bullet"/>
      <w:lvlText w:val=""/>
      <w:lvlJc w:val="left"/>
      <w:pPr>
        <w:ind w:left="2880" w:hanging="360"/>
      </w:pPr>
      <w:rPr>
        <w:rFonts w:ascii="Symbol" w:hAnsi="Symbol" w:hint="default"/>
      </w:rPr>
    </w:lvl>
    <w:lvl w:ilvl="4" w:tplc="151877BE">
      <w:start w:val="1"/>
      <w:numFmt w:val="bullet"/>
      <w:lvlText w:val="o"/>
      <w:lvlJc w:val="left"/>
      <w:pPr>
        <w:ind w:left="3600" w:hanging="360"/>
      </w:pPr>
      <w:rPr>
        <w:rFonts w:ascii="Courier New" w:hAnsi="Courier New" w:hint="default"/>
      </w:rPr>
    </w:lvl>
    <w:lvl w:ilvl="5" w:tplc="4574BE44">
      <w:start w:val="1"/>
      <w:numFmt w:val="bullet"/>
      <w:lvlText w:val=""/>
      <w:lvlJc w:val="left"/>
      <w:pPr>
        <w:ind w:left="4320" w:hanging="360"/>
      </w:pPr>
      <w:rPr>
        <w:rFonts w:ascii="Wingdings" w:hAnsi="Wingdings" w:hint="default"/>
      </w:rPr>
    </w:lvl>
    <w:lvl w:ilvl="6" w:tplc="CD0CE858">
      <w:start w:val="1"/>
      <w:numFmt w:val="bullet"/>
      <w:lvlText w:val=""/>
      <w:lvlJc w:val="left"/>
      <w:pPr>
        <w:ind w:left="5040" w:hanging="360"/>
      </w:pPr>
      <w:rPr>
        <w:rFonts w:ascii="Symbol" w:hAnsi="Symbol" w:hint="default"/>
      </w:rPr>
    </w:lvl>
    <w:lvl w:ilvl="7" w:tplc="17B843BE">
      <w:start w:val="1"/>
      <w:numFmt w:val="bullet"/>
      <w:lvlText w:val="o"/>
      <w:lvlJc w:val="left"/>
      <w:pPr>
        <w:ind w:left="5760" w:hanging="360"/>
      </w:pPr>
      <w:rPr>
        <w:rFonts w:ascii="Courier New" w:hAnsi="Courier New" w:hint="default"/>
      </w:rPr>
    </w:lvl>
    <w:lvl w:ilvl="8" w:tplc="40AC628C">
      <w:start w:val="1"/>
      <w:numFmt w:val="bullet"/>
      <w:lvlText w:val=""/>
      <w:lvlJc w:val="left"/>
      <w:pPr>
        <w:ind w:left="6480" w:hanging="360"/>
      </w:pPr>
      <w:rPr>
        <w:rFonts w:ascii="Wingdings" w:hAnsi="Wingdings" w:hint="default"/>
      </w:rPr>
    </w:lvl>
  </w:abstractNum>
  <w:abstractNum w:abstractNumId="7"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49C"/>
    <w:multiLevelType w:val="hybridMultilevel"/>
    <w:tmpl w:val="47E8FDA2"/>
    <w:lvl w:ilvl="0" w:tplc="F516F460">
      <w:numFmt w:val="bullet"/>
      <w:lvlText w:val=""/>
      <w:lvlJc w:val="left"/>
      <w:pPr>
        <w:ind w:left="827" w:hanging="361"/>
      </w:pPr>
      <w:rPr>
        <w:rFonts w:ascii="Symbol" w:eastAsia="Symbol" w:hAnsi="Symbol" w:cs="Symbol" w:hint="default"/>
        <w:w w:val="100"/>
        <w:sz w:val="22"/>
        <w:szCs w:val="22"/>
        <w:lang w:val="en-US" w:eastAsia="en-US" w:bidi="en-US"/>
      </w:rPr>
    </w:lvl>
    <w:lvl w:ilvl="1" w:tplc="881ACF92">
      <w:numFmt w:val="bullet"/>
      <w:lvlText w:val="•"/>
      <w:lvlJc w:val="left"/>
      <w:pPr>
        <w:ind w:left="1143" w:hanging="361"/>
      </w:pPr>
      <w:rPr>
        <w:rFonts w:hint="default"/>
        <w:lang w:val="en-US" w:eastAsia="en-US" w:bidi="en-US"/>
      </w:rPr>
    </w:lvl>
    <w:lvl w:ilvl="2" w:tplc="A8A65DCE">
      <w:numFmt w:val="bullet"/>
      <w:lvlText w:val="•"/>
      <w:lvlJc w:val="left"/>
      <w:pPr>
        <w:ind w:left="1467" w:hanging="361"/>
      </w:pPr>
      <w:rPr>
        <w:rFonts w:hint="default"/>
        <w:lang w:val="en-US" w:eastAsia="en-US" w:bidi="en-US"/>
      </w:rPr>
    </w:lvl>
    <w:lvl w:ilvl="3" w:tplc="002E2598">
      <w:numFmt w:val="bullet"/>
      <w:lvlText w:val="•"/>
      <w:lvlJc w:val="left"/>
      <w:pPr>
        <w:ind w:left="1791" w:hanging="361"/>
      </w:pPr>
      <w:rPr>
        <w:rFonts w:hint="default"/>
        <w:lang w:val="en-US" w:eastAsia="en-US" w:bidi="en-US"/>
      </w:rPr>
    </w:lvl>
    <w:lvl w:ilvl="4" w:tplc="A49EC594">
      <w:numFmt w:val="bullet"/>
      <w:lvlText w:val="•"/>
      <w:lvlJc w:val="left"/>
      <w:pPr>
        <w:ind w:left="2115" w:hanging="361"/>
      </w:pPr>
      <w:rPr>
        <w:rFonts w:hint="default"/>
        <w:lang w:val="en-US" w:eastAsia="en-US" w:bidi="en-US"/>
      </w:rPr>
    </w:lvl>
    <w:lvl w:ilvl="5" w:tplc="5DC254AE">
      <w:numFmt w:val="bullet"/>
      <w:lvlText w:val="•"/>
      <w:lvlJc w:val="left"/>
      <w:pPr>
        <w:ind w:left="2439" w:hanging="361"/>
      </w:pPr>
      <w:rPr>
        <w:rFonts w:hint="default"/>
        <w:lang w:val="en-US" w:eastAsia="en-US" w:bidi="en-US"/>
      </w:rPr>
    </w:lvl>
    <w:lvl w:ilvl="6" w:tplc="24C88B5C">
      <w:numFmt w:val="bullet"/>
      <w:lvlText w:val="•"/>
      <w:lvlJc w:val="left"/>
      <w:pPr>
        <w:ind w:left="2762" w:hanging="361"/>
      </w:pPr>
      <w:rPr>
        <w:rFonts w:hint="default"/>
        <w:lang w:val="en-US" w:eastAsia="en-US" w:bidi="en-US"/>
      </w:rPr>
    </w:lvl>
    <w:lvl w:ilvl="7" w:tplc="B6FC7ADA">
      <w:numFmt w:val="bullet"/>
      <w:lvlText w:val="•"/>
      <w:lvlJc w:val="left"/>
      <w:pPr>
        <w:ind w:left="3086" w:hanging="361"/>
      </w:pPr>
      <w:rPr>
        <w:rFonts w:hint="default"/>
        <w:lang w:val="en-US" w:eastAsia="en-US" w:bidi="en-US"/>
      </w:rPr>
    </w:lvl>
    <w:lvl w:ilvl="8" w:tplc="9BDCC5AC">
      <w:numFmt w:val="bullet"/>
      <w:lvlText w:val="•"/>
      <w:lvlJc w:val="left"/>
      <w:pPr>
        <w:ind w:left="3410" w:hanging="361"/>
      </w:pPr>
      <w:rPr>
        <w:rFonts w:hint="default"/>
        <w:lang w:val="en-US" w:eastAsia="en-US" w:bidi="en-US"/>
      </w:rPr>
    </w:lvl>
  </w:abstractNum>
  <w:abstractNum w:abstractNumId="12" w15:restartNumberingAfterBreak="0">
    <w:nsid w:val="4B456C8D"/>
    <w:multiLevelType w:val="hybridMultilevel"/>
    <w:tmpl w:val="0036739E"/>
    <w:lvl w:ilvl="0" w:tplc="1E2037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954B6A"/>
    <w:multiLevelType w:val="hybridMultilevel"/>
    <w:tmpl w:val="B1C6A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D164F3"/>
    <w:multiLevelType w:val="hybridMultilevel"/>
    <w:tmpl w:val="257A36A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20F2690"/>
    <w:multiLevelType w:val="hybridMultilevel"/>
    <w:tmpl w:val="284C769C"/>
    <w:lvl w:ilvl="0" w:tplc="BF5CBC30">
      <w:start w:val="3"/>
      <w:numFmt w:val="decimal"/>
      <w:lvlText w:val="%1."/>
      <w:lvlJc w:val="left"/>
      <w:pPr>
        <w:ind w:left="224" w:hanging="200"/>
      </w:pPr>
      <w:rPr>
        <w:rFonts w:ascii="Calibri" w:eastAsia="Calibri" w:hAnsi="Calibri" w:cs="Calibri" w:hint="default"/>
        <w:b/>
        <w:bCs/>
        <w:spacing w:val="-1"/>
        <w:w w:val="99"/>
        <w:sz w:val="20"/>
        <w:szCs w:val="20"/>
        <w:lang w:val="en-US" w:eastAsia="en-US" w:bidi="en-US"/>
      </w:rPr>
    </w:lvl>
    <w:lvl w:ilvl="1" w:tplc="14DA4F86">
      <w:numFmt w:val="bullet"/>
      <w:lvlText w:val="☐"/>
      <w:lvlJc w:val="left"/>
      <w:pPr>
        <w:ind w:left="850" w:hanging="272"/>
      </w:pPr>
      <w:rPr>
        <w:rFonts w:ascii="MS Gothic" w:eastAsia="MS Gothic" w:hAnsi="MS Gothic" w:cs="MS Gothic" w:hint="default"/>
        <w:color w:val="0000FF"/>
        <w:w w:val="100"/>
        <w:sz w:val="22"/>
        <w:szCs w:val="22"/>
        <w:lang w:val="en-US" w:eastAsia="en-US" w:bidi="en-US"/>
      </w:rPr>
    </w:lvl>
    <w:lvl w:ilvl="2" w:tplc="572CA07E">
      <w:numFmt w:val="bullet"/>
      <w:lvlText w:val="☐"/>
      <w:lvlJc w:val="left"/>
      <w:pPr>
        <w:ind w:left="1233" w:hanging="222"/>
      </w:pPr>
      <w:rPr>
        <w:rFonts w:ascii="MS Gothic" w:eastAsia="MS Gothic" w:hAnsi="MS Gothic" w:cs="MS Gothic" w:hint="default"/>
        <w:color w:val="0000FF"/>
        <w:w w:val="100"/>
        <w:sz w:val="20"/>
        <w:szCs w:val="20"/>
        <w:lang w:val="en-US" w:eastAsia="en-US" w:bidi="en-US"/>
      </w:rPr>
    </w:lvl>
    <w:lvl w:ilvl="3" w:tplc="738EAF0C">
      <w:numFmt w:val="bullet"/>
      <w:lvlText w:val="•"/>
      <w:lvlJc w:val="left"/>
      <w:pPr>
        <w:ind w:left="2400" w:hanging="222"/>
      </w:pPr>
      <w:rPr>
        <w:rFonts w:hint="default"/>
        <w:lang w:val="en-US" w:eastAsia="en-US" w:bidi="en-US"/>
      </w:rPr>
    </w:lvl>
    <w:lvl w:ilvl="4" w:tplc="FC68B59C">
      <w:numFmt w:val="bullet"/>
      <w:lvlText w:val="•"/>
      <w:lvlJc w:val="left"/>
      <w:pPr>
        <w:ind w:left="3560" w:hanging="222"/>
      </w:pPr>
      <w:rPr>
        <w:rFonts w:hint="default"/>
        <w:lang w:val="en-US" w:eastAsia="en-US" w:bidi="en-US"/>
      </w:rPr>
    </w:lvl>
    <w:lvl w:ilvl="5" w:tplc="963AA3DA">
      <w:numFmt w:val="bullet"/>
      <w:lvlText w:val="•"/>
      <w:lvlJc w:val="left"/>
      <w:pPr>
        <w:ind w:left="4720" w:hanging="222"/>
      </w:pPr>
      <w:rPr>
        <w:rFonts w:hint="default"/>
        <w:lang w:val="en-US" w:eastAsia="en-US" w:bidi="en-US"/>
      </w:rPr>
    </w:lvl>
    <w:lvl w:ilvl="6" w:tplc="6C64C962">
      <w:numFmt w:val="bullet"/>
      <w:lvlText w:val="•"/>
      <w:lvlJc w:val="left"/>
      <w:pPr>
        <w:ind w:left="5880" w:hanging="222"/>
      </w:pPr>
      <w:rPr>
        <w:rFonts w:hint="default"/>
        <w:lang w:val="en-US" w:eastAsia="en-US" w:bidi="en-US"/>
      </w:rPr>
    </w:lvl>
    <w:lvl w:ilvl="7" w:tplc="47026A82">
      <w:numFmt w:val="bullet"/>
      <w:lvlText w:val="•"/>
      <w:lvlJc w:val="left"/>
      <w:pPr>
        <w:ind w:left="7040" w:hanging="222"/>
      </w:pPr>
      <w:rPr>
        <w:rFonts w:hint="default"/>
        <w:lang w:val="en-US" w:eastAsia="en-US" w:bidi="en-US"/>
      </w:rPr>
    </w:lvl>
    <w:lvl w:ilvl="8" w:tplc="999683A0">
      <w:numFmt w:val="bullet"/>
      <w:lvlText w:val="•"/>
      <w:lvlJc w:val="left"/>
      <w:pPr>
        <w:ind w:left="8200" w:hanging="222"/>
      </w:pPr>
      <w:rPr>
        <w:rFonts w:hint="default"/>
        <w:lang w:val="en-US" w:eastAsia="en-US" w:bidi="en-US"/>
      </w:rPr>
    </w:lvl>
  </w:abstractNum>
  <w:abstractNum w:abstractNumId="17"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10"/>
  </w:num>
  <w:num w:numId="5">
    <w:abstractNumId w:val="13"/>
  </w:num>
  <w:num w:numId="6">
    <w:abstractNumId w:val="5"/>
  </w:num>
  <w:num w:numId="7">
    <w:abstractNumId w:val="7"/>
  </w:num>
  <w:num w:numId="8">
    <w:abstractNumId w:val="9"/>
  </w:num>
  <w:num w:numId="9">
    <w:abstractNumId w:val="8"/>
  </w:num>
  <w:num w:numId="10">
    <w:abstractNumId w:val="18"/>
  </w:num>
  <w:num w:numId="11">
    <w:abstractNumId w:val="17"/>
  </w:num>
  <w:num w:numId="12">
    <w:abstractNumId w:val="12"/>
  </w:num>
  <w:num w:numId="13">
    <w:abstractNumId w:val="0"/>
  </w:num>
  <w:num w:numId="14">
    <w:abstractNumId w:val="15"/>
  </w:num>
  <w:num w:numId="15">
    <w:abstractNumId w:val="14"/>
  </w:num>
  <w:num w:numId="16">
    <w:abstractNumId w:val="11"/>
  </w:num>
  <w:num w:numId="17">
    <w:abstractNumId w:val="3"/>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4D48"/>
    <w:rsid w:val="00015986"/>
    <w:rsid w:val="000160E6"/>
    <w:rsid w:val="00023426"/>
    <w:rsid w:val="00024526"/>
    <w:rsid w:val="0003070B"/>
    <w:rsid w:val="00030F43"/>
    <w:rsid w:val="00040DCF"/>
    <w:rsid w:val="000516A5"/>
    <w:rsid w:val="00052C0B"/>
    <w:rsid w:val="00061CF3"/>
    <w:rsid w:val="00063601"/>
    <w:rsid w:val="00064FC6"/>
    <w:rsid w:val="00065061"/>
    <w:rsid w:val="00073079"/>
    <w:rsid w:val="0007593F"/>
    <w:rsid w:val="00085FF0"/>
    <w:rsid w:val="00095EC9"/>
    <w:rsid w:val="00096A37"/>
    <w:rsid w:val="000A0810"/>
    <w:rsid w:val="000B627F"/>
    <w:rsid w:val="000C7D07"/>
    <w:rsid w:val="000D467D"/>
    <w:rsid w:val="000D649E"/>
    <w:rsid w:val="000D6C66"/>
    <w:rsid w:val="000D6D06"/>
    <w:rsid w:val="000F167D"/>
    <w:rsid w:val="00114848"/>
    <w:rsid w:val="00120934"/>
    <w:rsid w:val="00123FDE"/>
    <w:rsid w:val="00130D48"/>
    <w:rsid w:val="00132070"/>
    <w:rsid w:val="00135633"/>
    <w:rsid w:val="00141875"/>
    <w:rsid w:val="0014347E"/>
    <w:rsid w:val="00153850"/>
    <w:rsid w:val="00154438"/>
    <w:rsid w:val="001551F6"/>
    <w:rsid w:val="0015535B"/>
    <w:rsid w:val="00160EB4"/>
    <w:rsid w:val="00162036"/>
    <w:rsid w:val="001632DD"/>
    <w:rsid w:val="00176E60"/>
    <w:rsid w:val="001860BE"/>
    <w:rsid w:val="00194D9A"/>
    <w:rsid w:val="001A196B"/>
    <w:rsid w:val="001A3B8F"/>
    <w:rsid w:val="001A6D05"/>
    <w:rsid w:val="001B38BF"/>
    <w:rsid w:val="001B6561"/>
    <w:rsid w:val="001B772D"/>
    <w:rsid w:val="001D5B5D"/>
    <w:rsid w:val="001E2C31"/>
    <w:rsid w:val="001E6153"/>
    <w:rsid w:val="001F17C2"/>
    <w:rsid w:val="00201FF9"/>
    <w:rsid w:val="00205857"/>
    <w:rsid w:val="00235ADC"/>
    <w:rsid w:val="00236F87"/>
    <w:rsid w:val="00241283"/>
    <w:rsid w:val="00243DE1"/>
    <w:rsid w:val="00252ED5"/>
    <w:rsid w:val="00257C61"/>
    <w:rsid w:val="0026197F"/>
    <w:rsid w:val="00265702"/>
    <w:rsid w:val="002662B2"/>
    <w:rsid w:val="00271788"/>
    <w:rsid w:val="002717C7"/>
    <w:rsid w:val="002875E9"/>
    <w:rsid w:val="00287EB3"/>
    <w:rsid w:val="002A47BA"/>
    <w:rsid w:val="002A6777"/>
    <w:rsid w:val="002B06BD"/>
    <w:rsid w:val="002B289C"/>
    <w:rsid w:val="002B7A06"/>
    <w:rsid w:val="002B7CF5"/>
    <w:rsid w:val="002C0E48"/>
    <w:rsid w:val="002C6F04"/>
    <w:rsid w:val="002D5A79"/>
    <w:rsid w:val="002E2177"/>
    <w:rsid w:val="002E2E41"/>
    <w:rsid w:val="002E5AE0"/>
    <w:rsid w:val="002E5FE5"/>
    <w:rsid w:val="002E78CD"/>
    <w:rsid w:val="002F20A7"/>
    <w:rsid w:val="002F3603"/>
    <w:rsid w:val="002F67A0"/>
    <w:rsid w:val="003008F4"/>
    <w:rsid w:val="00302B1D"/>
    <w:rsid w:val="00307FA5"/>
    <w:rsid w:val="00322611"/>
    <w:rsid w:val="003237F0"/>
    <w:rsid w:val="00324D64"/>
    <w:rsid w:val="00335437"/>
    <w:rsid w:val="00340780"/>
    <w:rsid w:val="003525D4"/>
    <w:rsid w:val="00352B52"/>
    <w:rsid w:val="0035760D"/>
    <w:rsid w:val="00363ECC"/>
    <w:rsid w:val="0039020B"/>
    <w:rsid w:val="00395263"/>
    <w:rsid w:val="003956E0"/>
    <w:rsid w:val="0039609A"/>
    <w:rsid w:val="00397500"/>
    <w:rsid w:val="003B1CC5"/>
    <w:rsid w:val="003B65CE"/>
    <w:rsid w:val="003C510F"/>
    <w:rsid w:val="003E039E"/>
    <w:rsid w:val="004061F8"/>
    <w:rsid w:val="00410248"/>
    <w:rsid w:val="00420D62"/>
    <w:rsid w:val="00422917"/>
    <w:rsid w:val="004242D5"/>
    <w:rsid w:val="004361F3"/>
    <w:rsid w:val="00440687"/>
    <w:rsid w:val="0044131D"/>
    <w:rsid w:val="00441ADA"/>
    <w:rsid w:val="00447713"/>
    <w:rsid w:val="00457E46"/>
    <w:rsid w:val="004619D6"/>
    <w:rsid w:val="004661C7"/>
    <w:rsid w:val="004933D7"/>
    <w:rsid w:val="00496AF8"/>
    <w:rsid w:val="004A402C"/>
    <w:rsid w:val="004A575D"/>
    <w:rsid w:val="004A7315"/>
    <w:rsid w:val="004B65C6"/>
    <w:rsid w:val="004C1ECD"/>
    <w:rsid w:val="004C30D1"/>
    <w:rsid w:val="004D1DC7"/>
    <w:rsid w:val="004D3708"/>
    <w:rsid w:val="004E1065"/>
    <w:rsid w:val="004E5908"/>
    <w:rsid w:val="004F7D7E"/>
    <w:rsid w:val="00500B0C"/>
    <w:rsid w:val="005247E6"/>
    <w:rsid w:val="00537150"/>
    <w:rsid w:val="00540984"/>
    <w:rsid w:val="00543851"/>
    <w:rsid w:val="0055559D"/>
    <w:rsid w:val="005569AE"/>
    <w:rsid w:val="00563D01"/>
    <w:rsid w:val="00580508"/>
    <w:rsid w:val="00584ADA"/>
    <w:rsid w:val="005857F8"/>
    <w:rsid w:val="005906D0"/>
    <w:rsid w:val="005912BF"/>
    <w:rsid w:val="00595D45"/>
    <w:rsid w:val="005B0D18"/>
    <w:rsid w:val="005B12C3"/>
    <w:rsid w:val="005B2574"/>
    <w:rsid w:val="005B409D"/>
    <w:rsid w:val="005C674F"/>
    <w:rsid w:val="005D0FDB"/>
    <w:rsid w:val="005D25E9"/>
    <w:rsid w:val="005D6D59"/>
    <w:rsid w:val="005E472C"/>
    <w:rsid w:val="005F21F3"/>
    <w:rsid w:val="00617390"/>
    <w:rsid w:val="00623420"/>
    <w:rsid w:val="00634768"/>
    <w:rsid w:val="0063596F"/>
    <w:rsid w:val="00651F16"/>
    <w:rsid w:val="0065243C"/>
    <w:rsid w:val="00655DC5"/>
    <w:rsid w:val="006705CC"/>
    <w:rsid w:val="006709EB"/>
    <w:rsid w:val="00672824"/>
    <w:rsid w:val="0068184A"/>
    <w:rsid w:val="00681EA5"/>
    <w:rsid w:val="006A3504"/>
    <w:rsid w:val="006B40E0"/>
    <w:rsid w:val="006B4660"/>
    <w:rsid w:val="006B4A2B"/>
    <w:rsid w:val="006B5C51"/>
    <w:rsid w:val="006C7F30"/>
    <w:rsid w:val="006D6960"/>
    <w:rsid w:val="006E0071"/>
    <w:rsid w:val="006E6FDD"/>
    <w:rsid w:val="006F4B7F"/>
    <w:rsid w:val="006F760B"/>
    <w:rsid w:val="00701CC3"/>
    <w:rsid w:val="007147D3"/>
    <w:rsid w:val="00714F8D"/>
    <w:rsid w:val="00717F1A"/>
    <w:rsid w:val="00724801"/>
    <w:rsid w:val="00732A42"/>
    <w:rsid w:val="00734949"/>
    <w:rsid w:val="00736AEC"/>
    <w:rsid w:val="00736E0F"/>
    <w:rsid w:val="00741DA1"/>
    <w:rsid w:val="007434FA"/>
    <w:rsid w:val="00754576"/>
    <w:rsid w:val="007573F0"/>
    <w:rsid w:val="00765156"/>
    <w:rsid w:val="00767669"/>
    <w:rsid w:val="00773485"/>
    <w:rsid w:val="007738E0"/>
    <w:rsid w:val="00776E8F"/>
    <w:rsid w:val="00776F6D"/>
    <w:rsid w:val="007C0297"/>
    <w:rsid w:val="007C1887"/>
    <w:rsid w:val="007C4574"/>
    <w:rsid w:val="007C5BF4"/>
    <w:rsid w:val="007D4775"/>
    <w:rsid w:val="007D5DC6"/>
    <w:rsid w:val="007E0A36"/>
    <w:rsid w:val="007E37A5"/>
    <w:rsid w:val="007F450D"/>
    <w:rsid w:val="007F49D8"/>
    <w:rsid w:val="00805940"/>
    <w:rsid w:val="00813151"/>
    <w:rsid w:val="00815622"/>
    <w:rsid w:val="008221EB"/>
    <w:rsid w:val="0083235F"/>
    <w:rsid w:val="00836DFF"/>
    <w:rsid w:val="00837121"/>
    <w:rsid w:val="008471E5"/>
    <w:rsid w:val="00850C35"/>
    <w:rsid w:val="00851466"/>
    <w:rsid w:val="00863E43"/>
    <w:rsid w:val="008647C3"/>
    <w:rsid w:val="008659ED"/>
    <w:rsid w:val="00870987"/>
    <w:rsid w:val="0087564A"/>
    <w:rsid w:val="00881160"/>
    <w:rsid w:val="0088371C"/>
    <w:rsid w:val="008A45F3"/>
    <w:rsid w:val="008A4C80"/>
    <w:rsid w:val="008B51D9"/>
    <w:rsid w:val="008B652E"/>
    <w:rsid w:val="008F1DC6"/>
    <w:rsid w:val="00905C5B"/>
    <w:rsid w:val="00923295"/>
    <w:rsid w:val="00925F11"/>
    <w:rsid w:val="0092787A"/>
    <w:rsid w:val="00935265"/>
    <w:rsid w:val="0094689F"/>
    <w:rsid w:val="009477D6"/>
    <w:rsid w:val="00953ED3"/>
    <w:rsid w:val="00965FF6"/>
    <w:rsid w:val="00972F0C"/>
    <w:rsid w:val="009846D6"/>
    <w:rsid w:val="0098657F"/>
    <w:rsid w:val="00996AC7"/>
    <w:rsid w:val="009A3236"/>
    <w:rsid w:val="009A7134"/>
    <w:rsid w:val="009A777C"/>
    <w:rsid w:val="009B4E4F"/>
    <w:rsid w:val="009B5A93"/>
    <w:rsid w:val="009B5BEA"/>
    <w:rsid w:val="009C291F"/>
    <w:rsid w:val="009D415F"/>
    <w:rsid w:val="009E366C"/>
    <w:rsid w:val="009E37BD"/>
    <w:rsid w:val="009E4022"/>
    <w:rsid w:val="009E6B86"/>
    <w:rsid w:val="009F604D"/>
    <w:rsid w:val="00A03301"/>
    <w:rsid w:val="00A12762"/>
    <w:rsid w:val="00A13867"/>
    <w:rsid w:val="00A26FED"/>
    <w:rsid w:val="00A421D4"/>
    <w:rsid w:val="00A44FF0"/>
    <w:rsid w:val="00A50E55"/>
    <w:rsid w:val="00A67EB1"/>
    <w:rsid w:val="00A91A47"/>
    <w:rsid w:val="00A95D2B"/>
    <w:rsid w:val="00AA4704"/>
    <w:rsid w:val="00AA5587"/>
    <w:rsid w:val="00AA7A21"/>
    <w:rsid w:val="00AC1E53"/>
    <w:rsid w:val="00AD79C8"/>
    <w:rsid w:val="00AE2589"/>
    <w:rsid w:val="00AE6CE0"/>
    <w:rsid w:val="00B058A6"/>
    <w:rsid w:val="00B117D0"/>
    <w:rsid w:val="00B13998"/>
    <w:rsid w:val="00B439DD"/>
    <w:rsid w:val="00B52E0F"/>
    <w:rsid w:val="00B62E1A"/>
    <w:rsid w:val="00B74629"/>
    <w:rsid w:val="00B91F58"/>
    <w:rsid w:val="00BA579E"/>
    <w:rsid w:val="00BC754B"/>
    <w:rsid w:val="00BE094D"/>
    <w:rsid w:val="00BE2295"/>
    <w:rsid w:val="00BE3689"/>
    <w:rsid w:val="00BE3F6E"/>
    <w:rsid w:val="00BE4C01"/>
    <w:rsid w:val="00BE6373"/>
    <w:rsid w:val="00BF269D"/>
    <w:rsid w:val="00BF39CA"/>
    <w:rsid w:val="00BF533A"/>
    <w:rsid w:val="00C03C09"/>
    <w:rsid w:val="00C053D9"/>
    <w:rsid w:val="00C06ABD"/>
    <w:rsid w:val="00C170B8"/>
    <w:rsid w:val="00C441DD"/>
    <w:rsid w:val="00C46677"/>
    <w:rsid w:val="00C5180E"/>
    <w:rsid w:val="00C54E40"/>
    <w:rsid w:val="00C55F56"/>
    <w:rsid w:val="00C57BA4"/>
    <w:rsid w:val="00C613EB"/>
    <w:rsid w:val="00C84623"/>
    <w:rsid w:val="00C85101"/>
    <w:rsid w:val="00C926B2"/>
    <w:rsid w:val="00C95567"/>
    <w:rsid w:val="00CB06C9"/>
    <w:rsid w:val="00CB1E41"/>
    <w:rsid w:val="00CB271C"/>
    <w:rsid w:val="00CE4F96"/>
    <w:rsid w:val="00CE5C45"/>
    <w:rsid w:val="00CF0AB1"/>
    <w:rsid w:val="00CF4B9B"/>
    <w:rsid w:val="00CF51F4"/>
    <w:rsid w:val="00CF55E6"/>
    <w:rsid w:val="00CF772F"/>
    <w:rsid w:val="00D048DB"/>
    <w:rsid w:val="00D14F0B"/>
    <w:rsid w:val="00D178CA"/>
    <w:rsid w:val="00D3311C"/>
    <w:rsid w:val="00D378A1"/>
    <w:rsid w:val="00D53405"/>
    <w:rsid w:val="00D5457B"/>
    <w:rsid w:val="00D72995"/>
    <w:rsid w:val="00D851AB"/>
    <w:rsid w:val="00D87A5B"/>
    <w:rsid w:val="00DA7FA2"/>
    <w:rsid w:val="00DC2D8D"/>
    <w:rsid w:val="00DD3A26"/>
    <w:rsid w:val="00DE1F5D"/>
    <w:rsid w:val="00DE50D8"/>
    <w:rsid w:val="00DF278A"/>
    <w:rsid w:val="00E05DFD"/>
    <w:rsid w:val="00E1664B"/>
    <w:rsid w:val="00E1768C"/>
    <w:rsid w:val="00E30D12"/>
    <w:rsid w:val="00E316C7"/>
    <w:rsid w:val="00E3394E"/>
    <w:rsid w:val="00E35241"/>
    <w:rsid w:val="00E41417"/>
    <w:rsid w:val="00E536D3"/>
    <w:rsid w:val="00E57BE2"/>
    <w:rsid w:val="00E62A95"/>
    <w:rsid w:val="00E6355C"/>
    <w:rsid w:val="00E746A2"/>
    <w:rsid w:val="00E90D06"/>
    <w:rsid w:val="00E97E59"/>
    <w:rsid w:val="00EA6ABD"/>
    <w:rsid w:val="00EA79C9"/>
    <w:rsid w:val="00EB66AC"/>
    <w:rsid w:val="00EC1260"/>
    <w:rsid w:val="00EC2247"/>
    <w:rsid w:val="00EE1F87"/>
    <w:rsid w:val="00EE3931"/>
    <w:rsid w:val="00EE5AF6"/>
    <w:rsid w:val="00EF0124"/>
    <w:rsid w:val="00EF2CEF"/>
    <w:rsid w:val="00F1092D"/>
    <w:rsid w:val="00F21E28"/>
    <w:rsid w:val="00F27EC2"/>
    <w:rsid w:val="00F32BFC"/>
    <w:rsid w:val="00F4130E"/>
    <w:rsid w:val="00F42C20"/>
    <w:rsid w:val="00F431D8"/>
    <w:rsid w:val="00F67706"/>
    <w:rsid w:val="00F86A6A"/>
    <w:rsid w:val="00F92D75"/>
    <w:rsid w:val="00F96A03"/>
    <w:rsid w:val="00F96C37"/>
    <w:rsid w:val="00F97327"/>
    <w:rsid w:val="00FA296F"/>
    <w:rsid w:val="00FA7323"/>
    <w:rsid w:val="00FC32D3"/>
    <w:rsid w:val="00FC6203"/>
    <w:rsid w:val="00FD4D82"/>
    <w:rsid w:val="00FE5041"/>
    <w:rsid w:val="00FE57AE"/>
    <w:rsid w:val="1008D9C6"/>
    <w:rsid w:val="20D43D16"/>
    <w:rsid w:val="233E403E"/>
    <w:rsid w:val="2BD072B0"/>
    <w:rsid w:val="38AF9500"/>
    <w:rsid w:val="3D5B1D2F"/>
    <w:rsid w:val="4E1B4D23"/>
    <w:rsid w:val="7F7E0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878E2"/>
  <w15:docId w15:val="{BE418DBB-FDA5-47D2-83B8-858EDE0F4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1">
    <w:name w:val="heading 1"/>
    <w:basedOn w:val="Normal"/>
    <w:next w:val="Normal"/>
    <w:link w:val="Heading1Char"/>
    <w:uiPriority w:val="9"/>
    <w:qFormat/>
    <w:rsid w:val="00C06AB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BF269D"/>
  </w:style>
  <w:style w:type="paragraph" w:customStyle="1" w:styleId="Default">
    <w:name w:val="Default"/>
    <w:rsid w:val="00AA4704"/>
    <w:pPr>
      <w:autoSpaceDE w:val="0"/>
      <w:autoSpaceDN w:val="0"/>
      <w:adjustRightInd w:val="0"/>
      <w:ind w:left="0" w:firstLine="0"/>
    </w:pPr>
    <w:rPr>
      <w:rFonts w:ascii="Calibri" w:hAnsi="Calibri" w:cs="Calibri"/>
      <w:color w:val="000000"/>
      <w:sz w:val="24"/>
      <w:szCs w:val="24"/>
    </w:rPr>
  </w:style>
  <w:style w:type="character" w:customStyle="1" w:styleId="Heading1Char">
    <w:name w:val="Heading 1 Char"/>
    <w:basedOn w:val="DefaultParagraphFont"/>
    <w:link w:val="Heading1"/>
    <w:uiPriority w:val="9"/>
    <w:rsid w:val="00C06ABD"/>
    <w:rPr>
      <w:rFonts w:asciiTheme="majorHAnsi" w:eastAsiaTheme="majorEastAsia" w:hAnsiTheme="majorHAnsi" w:cstheme="majorBidi"/>
      <w:color w:val="365F91" w:themeColor="accent1" w:themeShade="BF"/>
      <w:sz w:val="32"/>
      <w:szCs w:val="32"/>
    </w:rPr>
  </w:style>
  <w:style w:type="paragraph" w:customStyle="1" w:styleId="TableParagraph">
    <w:name w:val="Table Paragraph"/>
    <w:basedOn w:val="Normal"/>
    <w:uiPriority w:val="1"/>
    <w:qFormat/>
    <w:rsid w:val="00F96A03"/>
    <w:pPr>
      <w:widowControl w:val="0"/>
      <w:autoSpaceDE w:val="0"/>
      <w:autoSpaceDN w:val="0"/>
      <w:ind w:left="107" w:firstLine="0"/>
    </w:pPr>
    <w:rPr>
      <w:rFonts w:ascii="Calibri" w:eastAsia="Calibri" w:hAnsi="Calibri" w:cs="Calibri"/>
      <w:lang w:bidi="en-US"/>
    </w:rPr>
  </w:style>
  <w:style w:type="paragraph" w:styleId="BodyText">
    <w:name w:val="Body Text"/>
    <w:basedOn w:val="Normal"/>
    <w:link w:val="BodyTextChar"/>
    <w:uiPriority w:val="1"/>
    <w:qFormat/>
    <w:rsid w:val="005B2574"/>
    <w:pPr>
      <w:widowControl w:val="0"/>
      <w:autoSpaceDE w:val="0"/>
      <w:autoSpaceDN w:val="0"/>
      <w:ind w:left="0" w:firstLine="0"/>
    </w:pPr>
    <w:rPr>
      <w:rFonts w:ascii="Calibri" w:eastAsia="Calibri" w:hAnsi="Calibri" w:cs="Calibri"/>
      <w:sz w:val="20"/>
      <w:szCs w:val="20"/>
      <w:lang w:bidi="en-US"/>
    </w:rPr>
  </w:style>
  <w:style w:type="character" w:customStyle="1" w:styleId="BodyTextChar">
    <w:name w:val="Body Text Char"/>
    <w:basedOn w:val="DefaultParagraphFont"/>
    <w:link w:val="BodyText"/>
    <w:uiPriority w:val="1"/>
    <w:rsid w:val="005B2574"/>
    <w:rPr>
      <w:rFonts w:ascii="Calibri" w:eastAsia="Calibri" w:hAnsi="Calibri" w:cs="Calibri"/>
      <w:sz w:val="20"/>
      <w:szCs w:val="20"/>
      <w:lang w:bidi="en-US"/>
    </w:rPr>
  </w:style>
  <w:style w:type="character" w:styleId="UnresolvedMention">
    <w:name w:val="Unresolved Mention"/>
    <w:basedOn w:val="DefaultParagraphFont"/>
    <w:uiPriority w:val="99"/>
    <w:semiHidden/>
    <w:unhideWhenUsed/>
    <w:rsid w:val="009B4E4F"/>
    <w:rPr>
      <w:color w:val="605E5C"/>
      <w:shd w:val="clear" w:color="auto" w:fill="E1DFDD"/>
    </w:rPr>
  </w:style>
  <w:style w:type="paragraph" w:customStyle="1" w:styleId="paragraph">
    <w:name w:val="paragraph"/>
    <w:basedOn w:val="Normal"/>
    <w:rsid w:val="00C441DD"/>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normaltextrun">
    <w:name w:val="normaltextrun"/>
    <w:basedOn w:val="DefaultParagraphFont"/>
    <w:rsid w:val="00C441DD"/>
  </w:style>
  <w:style w:type="character" w:customStyle="1" w:styleId="eop">
    <w:name w:val="eop"/>
    <w:basedOn w:val="DefaultParagraphFont"/>
    <w:rsid w:val="00C441DD"/>
  </w:style>
  <w:style w:type="character" w:styleId="Strong">
    <w:name w:val="Strong"/>
    <w:basedOn w:val="DefaultParagraphFont"/>
    <w:uiPriority w:val="22"/>
    <w:qFormat/>
    <w:rsid w:val="00DD3A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673224">
      <w:bodyDiv w:val="1"/>
      <w:marLeft w:val="0"/>
      <w:marRight w:val="0"/>
      <w:marTop w:val="0"/>
      <w:marBottom w:val="0"/>
      <w:divBdr>
        <w:top w:val="none" w:sz="0" w:space="0" w:color="auto"/>
        <w:left w:val="none" w:sz="0" w:space="0" w:color="auto"/>
        <w:bottom w:val="none" w:sz="0" w:space="0" w:color="auto"/>
        <w:right w:val="none" w:sz="0" w:space="0" w:color="auto"/>
      </w:divBdr>
      <w:divsChild>
        <w:div w:id="2048337368">
          <w:marLeft w:val="0"/>
          <w:marRight w:val="0"/>
          <w:marTop w:val="0"/>
          <w:marBottom w:val="0"/>
          <w:divBdr>
            <w:top w:val="none" w:sz="0" w:space="0" w:color="auto"/>
            <w:left w:val="none" w:sz="0" w:space="0" w:color="auto"/>
            <w:bottom w:val="none" w:sz="0" w:space="0" w:color="auto"/>
            <w:right w:val="none" w:sz="0" w:space="0" w:color="auto"/>
          </w:divBdr>
          <w:divsChild>
            <w:div w:id="1305693172">
              <w:marLeft w:val="0"/>
              <w:marRight w:val="0"/>
              <w:marTop w:val="0"/>
              <w:marBottom w:val="0"/>
              <w:divBdr>
                <w:top w:val="none" w:sz="0" w:space="0" w:color="auto"/>
                <w:left w:val="none" w:sz="0" w:space="0" w:color="auto"/>
                <w:bottom w:val="none" w:sz="0" w:space="0" w:color="auto"/>
                <w:right w:val="none" w:sz="0" w:space="0" w:color="auto"/>
              </w:divBdr>
            </w:div>
          </w:divsChild>
        </w:div>
        <w:div w:id="1739590649">
          <w:marLeft w:val="0"/>
          <w:marRight w:val="0"/>
          <w:marTop w:val="0"/>
          <w:marBottom w:val="0"/>
          <w:divBdr>
            <w:top w:val="none" w:sz="0" w:space="0" w:color="auto"/>
            <w:left w:val="none" w:sz="0" w:space="0" w:color="auto"/>
            <w:bottom w:val="none" w:sz="0" w:space="0" w:color="auto"/>
            <w:right w:val="none" w:sz="0" w:space="0" w:color="auto"/>
          </w:divBdr>
          <w:divsChild>
            <w:div w:id="1751848087">
              <w:marLeft w:val="0"/>
              <w:marRight w:val="0"/>
              <w:marTop w:val="0"/>
              <w:marBottom w:val="0"/>
              <w:divBdr>
                <w:top w:val="none" w:sz="0" w:space="0" w:color="auto"/>
                <w:left w:val="none" w:sz="0" w:space="0" w:color="auto"/>
                <w:bottom w:val="none" w:sz="0" w:space="0" w:color="auto"/>
                <w:right w:val="none" w:sz="0" w:space="0" w:color="auto"/>
              </w:divBdr>
            </w:div>
          </w:divsChild>
        </w:div>
        <w:div w:id="568267888">
          <w:marLeft w:val="0"/>
          <w:marRight w:val="0"/>
          <w:marTop w:val="0"/>
          <w:marBottom w:val="0"/>
          <w:divBdr>
            <w:top w:val="none" w:sz="0" w:space="0" w:color="auto"/>
            <w:left w:val="none" w:sz="0" w:space="0" w:color="auto"/>
            <w:bottom w:val="none" w:sz="0" w:space="0" w:color="auto"/>
            <w:right w:val="none" w:sz="0" w:space="0" w:color="auto"/>
          </w:divBdr>
          <w:divsChild>
            <w:div w:id="1674146491">
              <w:marLeft w:val="0"/>
              <w:marRight w:val="0"/>
              <w:marTop w:val="0"/>
              <w:marBottom w:val="0"/>
              <w:divBdr>
                <w:top w:val="none" w:sz="0" w:space="0" w:color="auto"/>
                <w:left w:val="none" w:sz="0" w:space="0" w:color="auto"/>
                <w:bottom w:val="none" w:sz="0" w:space="0" w:color="auto"/>
                <w:right w:val="none" w:sz="0" w:space="0" w:color="auto"/>
              </w:divBdr>
            </w:div>
          </w:divsChild>
        </w:div>
        <w:div w:id="268201735">
          <w:marLeft w:val="0"/>
          <w:marRight w:val="0"/>
          <w:marTop w:val="0"/>
          <w:marBottom w:val="0"/>
          <w:divBdr>
            <w:top w:val="none" w:sz="0" w:space="0" w:color="auto"/>
            <w:left w:val="none" w:sz="0" w:space="0" w:color="auto"/>
            <w:bottom w:val="none" w:sz="0" w:space="0" w:color="auto"/>
            <w:right w:val="none" w:sz="0" w:space="0" w:color="auto"/>
          </w:divBdr>
          <w:divsChild>
            <w:div w:id="328757565">
              <w:marLeft w:val="0"/>
              <w:marRight w:val="0"/>
              <w:marTop w:val="0"/>
              <w:marBottom w:val="0"/>
              <w:divBdr>
                <w:top w:val="none" w:sz="0" w:space="0" w:color="auto"/>
                <w:left w:val="none" w:sz="0" w:space="0" w:color="auto"/>
                <w:bottom w:val="none" w:sz="0" w:space="0" w:color="auto"/>
                <w:right w:val="none" w:sz="0" w:space="0" w:color="auto"/>
              </w:divBdr>
            </w:div>
            <w:div w:id="1373462244">
              <w:marLeft w:val="0"/>
              <w:marRight w:val="0"/>
              <w:marTop w:val="0"/>
              <w:marBottom w:val="0"/>
              <w:divBdr>
                <w:top w:val="none" w:sz="0" w:space="0" w:color="auto"/>
                <w:left w:val="none" w:sz="0" w:space="0" w:color="auto"/>
                <w:bottom w:val="none" w:sz="0" w:space="0" w:color="auto"/>
                <w:right w:val="none" w:sz="0" w:space="0" w:color="auto"/>
              </w:divBdr>
            </w:div>
            <w:div w:id="99225478">
              <w:marLeft w:val="0"/>
              <w:marRight w:val="0"/>
              <w:marTop w:val="0"/>
              <w:marBottom w:val="0"/>
              <w:divBdr>
                <w:top w:val="none" w:sz="0" w:space="0" w:color="auto"/>
                <w:left w:val="none" w:sz="0" w:space="0" w:color="auto"/>
                <w:bottom w:val="none" w:sz="0" w:space="0" w:color="auto"/>
                <w:right w:val="none" w:sz="0" w:space="0" w:color="auto"/>
              </w:divBdr>
            </w:div>
            <w:div w:id="356388316">
              <w:marLeft w:val="0"/>
              <w:marRight w:val="0"/>
              <w:marTop w:val="0"/>
              <w:marBottom w:val="0"/>
              <w:divBdr>
                <w:top w:val="none" w:sz="0" w:space="0" w:color="auto"/>
                <w:left w:val="none" w:sz="0" w:space="0" w:color="auto"/>
                <w:bottom w:val="none" w:sz="0" w:space="0" w:color="auto"/>
                <w:right w:val="none" w:sz="0" w:space="0" w:color="auto"/>
              </w:divBdr>
            </w:div>
            <w:div w:id="966933402">
              <w:marLeft w:val="0"/>
              <w:marRight w:val="0"/>
              <w:marTop w:val="0"/>
              <w:marBottom w:val="0"/>
              <w:divBdr>
                <w:top w:val="none" w:sz="0" w:space="0" w:color="auto"/>
                <w:left w:val="none" w:sz="0" w:space="0" w:color="auto"/>
                <w:bottom w:val="none" w:sz="0" w:space="0" w:color="auto"/>
                <w:right w:val="none" w:sz="0" w:space="0" w:color="auto"/>
              </w:divBdr>
            </w:div>
          </w:divsChild>
        </w:div>
        <w:div w:id="1090005918">
          <w:marLeft w:val="0"/>
          <w:marRight w:val="0"/>
          <w:marTop w:val="0"/>
          <w:marBottom w:val="0"/>
          <w:divBdr>
            <w:top w:val="none" w:sz="0" w:space="0" w:color="auto"/>
            <w:left w:val="none" w:sz="0" w:space="0" w:color="auto"/>
            <w:bottom w:val="none" w:sz="0" w:space="0" w:color="auto"/>
            <w:right w:val="none" w:sz="0" w:space="0" w:color="auto"/>
          </w:divBdr>
          <w:divsChild>
            <w:div w:id="108162814">
              <w:marLeft w:val="0"/>
              <w:marRight w:val="0"/>
              <w:marTop w:val="0"/>
              <w:marBottom w:val="0"/>
              <w:divBdr>
                <w:top w:val="none" w:sz="0" w:space="0" w:color="auto"/>
                <w:left w:val="none" w:sz="0" w:space="0" w:color="auto"/>
                <w:bottom w:val="none" w:sz="0" w:space="0" w:color="auto"/>
                <w:right w:val="none" w:sz="0" w:space="0" w:color="auto"/>
              </w:divBdr>
            </w:div>
          </w:divsChild>
        </w:div>
        <w:div w:id="1558322276">
          <w:marLeft w:val="0"/>
          <w:marRight w:val="0"/>
          <w:marTop w:val="0"/>
          <w:marBottom w:val="0"/>
          <w:divBdr>
            <w:top w:val="none" w:sz="0" w:space="0" w:color="auto"/>
            <w:left w:val="none" w:sz="0" w:space="0" w:color="auto"/>
            <w:bottom w:val="none" w:sz="0" w:space="0" w:color="auto"/>
            <w:right w:val="none" w:sz="0" w:space="0" w:color="auto"/>
          </w:divBdr>
          <w:divsChild>
            <w:div w:id="1555039358">
              <w:marLeft w:val="0"/>
              <w:marRight w:val="0"/>
              <w:marTop w:val="0"/>
              <w:marBottom w:val="0"/>
              <w:divBdr>
                <w:top w:val="none" w:sz="0" w:space="0" w:color="auto"/>
                <w:left w:val="none" w:sz="0" w:space="0" w:color="auto"/>
                <w:bottom w:val="none" w:sz="0" w:space="0" w:color="auto"/>
                <w:right w:val="none" w:sz="0" w:space="0" w:color="auto"/>
              </w:divBdr>
            </w:div>
            <w:div w:id="1910505797">
              <w:marLeft w:val="0"/>
              <w:marRight w:val="0"/>
              <w:marTop w:val="0"/>
              <w:marBottom w:val="0"/>
              <w:divBdr>
                <w:top w:val="none" w:sz="0" w:space="0" w:color="auto"/>
                <w:left w:val="none" w:sz="0" w:space="0" w:color="auto"/>
                <w:bottom w:val="none" w:sz="0" w:space="0" w:color="auto"/>
                <w:right w:val="none" w:sz="0" w:space="0" w:color="auto"/>
              </w:divBdr>
            </w:div>
            <w:div w:id="981689123">
              <w:marLeft w:val="0"/>
              <w:marRight w:val="0"/>
              <w:marTop w:val="0"/>
              <w:marBottom w:val="0"/>
              <w:divBdr>
                <w:top w:val="none" w:sz="0" w:space="0" w:color="auto"/>
                <w:left w:val="none" w:sz="0" w:space="0" w:color="auto"/>
                <w:bottom w:val="none" w:sz="0" w:space="0" w:color="auto"/>
                <w:right w:val="none" w:sz="0" w:space="0" w:color="auto"/>
              </w:divBdr>
            </w:div>
          </w:divsChild>
        </w:div>
        <w:div w:id="181475361">
          <w:marLeft w:val="0"/>
          <w:marRight w:val="0"/>
          <w:marTop w:val="0"/>
          <w:marBottom w:val="0"/>
          <w:divBdr>
            <w:top w:val="none" w:sz="0" w:space="0" w:color="auto"/>
            <w:left w:val="none" w:sz="0" w:space="0" w:color="auto"/>
            <w:bottom w:val="none" w:sz="0" w:space="0" w:color="auto"/>
            <w:right w:val="none" w:sz="0" w:space="0" w:color="auto"/>
          </w:divBdr>
          <w:divsChild>
            <w:div w:id="947153527">
              <w:marLeft w:val="0"/>
              <w:marRight w:val="0"/>
              <w:marTop w:val="0"/>
              <w:marBottom w:val="0"/>
              <w:divBdr>
                <w:top w:val="none" w:sz="0" w:space="0" w:color="auto"/>
                <w:left w:val="none" w:sz="0" w:space="0" w:color="auto"/>
                <w:bottom w:val="none" w:sz="0" w:space="0" w:color="auto"/>
                <w:right w:val="none" w:sz="0" w:space="0" w:color="auto"/>
              </w:divBdr>
            </w:div>
          </w:divsChild>
        </w:div>
        <w:div w:id="469709403">
          <w:marLeft w:val="0"/>
          <w:marRight w:val="0"/>
          <w:marTop w:val="0"/>
          <w:marBottom w:val="0"/>
          <w:divBdr>
            <w:top w:val="none" w:sz="0" w:space="0" w:color="auto"/>
            <w:left w:val="none" w:sz="0" w:space="0" w:color="auto"/>
            <w:bottom w:val="none" w:sz="0" w:space="0" w:color="auto"/>
            <w:right w:val="none" w:sz="0" w:space="0" w:color="auto"/>
          </w:divBdr>
          <w:divsChild>
            <w:div w:id="739641492">
              <w:marLeft w:val="0"/>
              <w:marRight w:val="0"/>
              <w:marTop w:val="0"/>
              <w:marBottom w:val="0"/>
              <w:divBdr>
                <w:top w:val="none" w:sz="0" w:space="0" w:color="auto"/>
                <w:left w:val="none" w:sz="0" w:space="0" w:color="auto"/>
                <w:bottom w:val="none" w:sz="0" w:space="0" w:color="auto"/>
                <w:right w:val="none" w:sz="0" w:space="0" w:color="auto"/>
              </w:divBdr>
            </w:div>
          </w:divsChild>
        </w:div>
        <w:div w:id="755324027">
          <w:marLeft w:val="0"/>
          <w:marRight w:val="0"/>
          <w:marTop w:val="0"/>
          <w:marBottom w:val="0"/>
          <w:divBdr>
            <w:top w:val="none" w:sz="0" w:space="0" w:color="auto"/>
            <w:left w:val="none" w:sz="0" w:space="0" w:color="auto"/>
            <w:bottom w:val="none" w:sz="0" w:space="0" w:color="auto"/>
            <w:right w:val="none" w:sz="0" w:space="0" w:color="auto"/>
          </w:divBdr>
          <w:divsChild>
            <w:div w:id="1745301608">
              <w:marLeft w:val="0"/>
              <w:marRight w:val="0"/>
              <w:marTop w:val="0"/>
              <w:marBottom w:val="0"/>
              <w:divBdr>
                <w:top w:val="none" w:sz="0" w:space="0" w:color="auto"/>
                <w:left w:val="none" w:sz="0" w:space="0" w:color="auto"/>
                <w:bottom w:val="none" w:sz="0" w:space="0" w:color="auto"/>
                <w:right w:val="none" w:sz="0" w:space="0" w:color="auto"/>
              </w:divBdr>
            </w:div>
          </w:divsChild>
        </w:div>
        <w:div w:id="1689019711">
          <w:marLeft w:val="0"/>
          <w:marRight w:val="0"/>
          <w:marTop w:val="0"/>
          <w:marBottom w:val="0"/>
          <w:divBdr>
            <w:top w:val="none" w:sz="0" w:space="0" w:color="auto"/>
            <w:left w:val="none" w:sz="0" w:space="0" w:color="auto"/>
            <w:bottom w:val="none" w:sz="0" w:space="0" w:color="auto"/>
            <w:right w:val="none" w:sz="0" w:space="0" w:color="auto"/>
          </w:divBdr>
          <w:divsChild>
            <w:div w:id="33673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114036">
      <w:bodyDiv w:val="1"/>
      <w:marLeft w:val="0"/>
      <w:marRight w:val="0"/>
      <w:marTop w:val="0"/>
      <w:marBottom w:val="0"/>
      <w:divBdr>
        <w:top w:val="none" w:sz="0" w:space="0" w:color="auto"/>
        <w:left w:val="none" w:sz="0" w:space="0" w:color="auto"/>
        <w:bottom w:val="none" w:sz="0" w:space="0" w:color="auto"/>
        <w:right w:val="none" w:sz="0" w:space="0" w:color="auto"/>
      </w:divBdr>
      <w:divsChild>
        <w:div w:id="2123526891">
          <w:marLeft w:val="0"/>
          <w:marRight w:val="0"/>
          <w:marTop w:val="0"/>
          <w:marBottom w:val="0"/>
          <w:divBdr>
            <w:top w:val="none" w:sz="0" w:space="0" w:color="auto"/>
            <w:left w:val="none" w:sz="0" w:space="0" w:color="auto"/>
            <w:bottom w:val="none" w:sz="0" w:space="0" w:color="auto"/>
            <w:right w:val="none" w:sz="0" w:space="0" w:color="auto"/>
          </w:divBdr>
        </w:div>
      </w:divsChild>
    </w:div>
    <w:div w:id="1283918349">
      <w:bodyDiv w:val="1"/>
      <w:marLeft w:val="0"/>
      <w:marRight w:val="0"/>
      <w:marTop w:val="0"/>
      <w:marBottom w:val="0"/>
      <w:divBdr>
        <w:top w:val="none" w:sz="0" w:space="0" w:color="auto"/>
        <w:left w:val="none" w:sz="0" w:space="0" w:color="auto"/>
        <w:bottom w:val="none" w:sz="0" w:space="0" w:color="auto"/>
        <w:right w:val="none" w:sz="0" w:space="0" w:color="auto"/>
      </w:divBdr>
      <w:divsChild>
        <w:div w:id="1724403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radeworkinggroup.org/" TargetMode="External"/><Relationship Id="rId18" Type="http://schemas.microsoft.com/office/2007/relationships/diagramDrawing" Target="diagrams/drawing1.xml"/><Relationship Id="rId26" Type="http://schemas.openxmlformats.org/officeDocument/2006/relationships/hyperlink" Target="https://onlinelibrary.wiley.com/doi/epdf/10.1177/0148607110389335" TargetMode="External"/><Relationship Id="rId39" Type="http://schemas.openxmlformats.org/officeDocument/2006/relationships/diagramQuickStyle" Target="diagrams/quickStyle4.xml"/><Relationship Id="rId21" Type="http://schemas.openxmlformats.org/officeDocument/2006/relationships/diagramData" Target="diagrams/data2.xml"/><Relationship Id="rId34" Type="http://schemas.microsoft.com/office/2007/relationships/diagramDrawing" Target="diagrams/drawing3.xml"/><Relationship Id="rId42" Type="http://schemas.openxmlformats.org/officeDocument/2006/relationships/hyperlink" Target="https://onlinelibrary.wiley.com/doi/epdf/10.1177/0148607110389335" TargetMode="External"/><Relationship Id="rId47"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diagramQuickStyle" Target="diagrams/quickStyle1.xml"/><Relationship Id="rId29" Type="http://schemas.openxmlformats.org/officeDocument/2006/relationships/hyperlink" Target="http://www.gradeworkinggroup.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Colors" Target="diagrams/colors2.xml"/><Relationship Id="rId32" Type="http://schemas.openxmlformats.org/officeDocument/2006/relationships/diagramQuickStyle" Target="diagrams/quickStyle3.xml"/><Relationship Id="rId37" Type="http://schemas.openxmlformats.org/officeDocument/2006/relationships/diagramData" Target="diagrams/data4.xml"/><Relationship Id="rId40" Type="http://schemas.openxmlformats.org/officeDocument/2006/relationships/diagramColors" Target="diagrams/colors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diagramLayout" Target="diagrams/layout1.xml"/><Relationship Id="rId23" Type="http://schemas.openxmlformats.org/officeDocument/2006/relationships/diagramQuickStyle" Target="diagrams/quickStyle2.xml"/><Relationship Id="rId28" Type="http://schemas.openxmlformats.org/officeDocument/2006/relationships/hyperlink" Target="http://www.qualityforum.org/Measuring_Performance/Submitting_Standards.aspx" TargetMode="External"/><Relationship Id="rId36" Type="http://schemas.openxmlformats.org/officeDocument/2006/relationships/hyperlink" Target="http://www.gradeworkinggroup.org/" TargetMode="External"/><Relationship Id="rId10" Type="http://schemas.openxmlformats.org/officeDocument/2006/relationships/footnotes" Target="footnotes.xml"/><Relationship Id="rId19" Type="http://schemas.openxmlformats.org/officeDocument/2006/relationships/hyperlink" Target="http://www.qualityforum.org/Measuring_Performance/Submitting_Standards.aspx" TargetMode="External"/><Relationship Id="rId31" Type="http://schemas.openxmlformats.org/officeDocument/2006/relationships/diagramLayout" Target="diagrams/layout3.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Data" Target="diagrams/data1.xml"/><Relationship Id="rId22" Type="http://schemas.openxmlformats.org/officeDocument/2006/relationships/diagramLayout" Target="diagrams/layout2.xml"/><Relationship Id="rId27" Type="http://schemas.openxmlformats.org/officeDocument/2006/relationships/hyperlink" Target="http://www.ncbi.nlm.nih.gov/pubmed/26838530" TargetMode="External"/><Relationship Id="rId30" Type="http://schemas.openxmlformats.org/officeDocument/2006/relationships/diagramData" Target="diagrams/data3.xml"/><Relationship Id="rId35" Type="http://schemas.openxmlformats.org/officeDocument/2006/relationships/hyperlink" Target="http://www.qualityforum.org/Measuring_Performance/Submitting_Standards.aspx" TargetMode="External"/><Relationship Id="rId43"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Colors" Target="diagrams/colors1.xml"/><Relationship Id="rId25" Type="http://schemas.microsoft.com/office/2007/relationships/diagramDrawing" Target="diagrams/drawing2.xml"/><Relationship Id="rId33" Type="http://schemas.openxmlformats.org/officeDocument/2006/relationships/diagramColors" Target="diagrams/colors3.xml"/><Relationship Id="rId38" Type="http://schemas.openxmlformats.org/officeDocument/2006/relationships/diagramLayout" Target="diagrams/layout4.xml"/><Relationship Id="rId46" Type="http://schemas.openxmlformats.org/officeDocument/2006/relationships/glossaryDocument" Target="glossary/document.xml"/><Relationship Id="rId20" Type="http://schemas.openxmlformats.org/officeDocument/2006/relationships/hyperlink" Target="http://www.gradeworkinggroup.org/" TargetMode="External"/><Relationship Id="rId41" Type="http://schemas.microsoft.com/office/2007/relationships/diagramDrawing" Target="diagrams/drawing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251977-8180-4199-8C5A-83F8597B0191}"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73969459-4826-4FF8-A875-9A13922E7B36}">
      <dgm:prSet phldrT="[Text]" custT="1"/>
      <dgm:spPr>
        <a:noFill/>
        <a:ln w="28575">
          <a:solidFill>
            <a:srgbClr val="FF0000"/>
          </a:solidFill>
        </a:ln>
      </dgm:spPr>
      <dgm:t>
        <a:bodyPr/>
        <a:lstStyle/>
        <a:p>
          <a:r>
            <a:rPr lang="en-US" sz="1200">
              <a:solidFill>
                <a:schemeClr val="tx1"/>
              </a:solidFill>
              <a:latin typeface="+mn-lt"/>
            </a:rPr>
            <a:t>Screen Patients to Identify Risk of Malnutrition </a:t>
          </a:r>
        </a:p>
      </dgm:t>
    </dgm:pt>
    <dgm:pt modelId="{CC4C30F4-0504-43A7-AF08-17CCD84EEB9C}" type="parTrans" cxnId="{A179BB76-813C-4E3C-AC30-57966B6149C7}">
      <dgm:prSet/>
      <dgm:spPr/>
      <dgm:t>
        <a:bodyPr/>
        <a:lstStyle/>
        <a:p>
          <a:endParaRPr lang="en-US"/>
        </a:p>
      </dgm:t>
    </dgm:pt>
    <dgm:pt modelId="{80D287A7-6524-4DC4-8C7E-F48FFAEEF12A}" type="sibTrans" cxnId="{A179BB76-813C-4E3C-AC30-57966B6149C7}">
      <dgm:prSet/>
      <dgm:spPr/>
      <dgm:t>
        <a:bodyPr/>
        <a:lstStyle/>
        <a:p>
          <a:endParaRPr lang="en-US"/>
        </a:p>
      </dgm:t>
    </dgm:pt>
    <dgm:pt modelId="{8C356914-9167-4B35-8C26-4469ADA89065}">
      <dgm:prSet phldrT="[Text]" custT="1"/>
      <dgm:spPr>
        <a:noFill/>
        <a:ln w="9525">
          <a:solidFill>
            <a:schemeClr val="tx1"/>
          </a:solidFill>
        </a:ln>
      </dgm:spPr>
      <dgm:t>
        <a:bodyPr/>
        <a:lstStyle/>
        <a:p>
          <a:r>
            <a:rPr lang="en-US" sz="1200">
              <a:solidFill>
                <a:schemeClr val="tx1"/>
              </a:solidFill>
              <a:latin typeface="+mn-lt"/>
            </a:rPr>
            <a:t>Nutrition Assessment to Recommend Appropriate Care </a:t>
          </a:r>
        </a:p>
      </dgm:t>
    </dgm:pt>
    <dgm:pt modelId="{354FE13F-0583-4752-936C-C0CE019E96E5}" type="parTrans" cxnId="{669D9E4C-6EB4-4D29-B28C-2EF2B4A7E8DC}">
      <dgm:prSet/>
      <dgm:spPr/>
      <dgm:t>
        <a:bodyPr/>
        <a:lstStyle/>
        <a:p>
          <a:endParaRPr lang="en-US"/>
        </a:p>
      </dgm:t>
    </dgm:pt>
    <dgm:pt modelId="{E35DA12C-AA64-462C-B609-F4EADEA59C36}" type="sibTrans" cxnId="{669D9E4C-6EB4-4D29-B28C-2EF2B4A7E8DC}">
      <dgm:prSet/>
      <dgm:spPr/>
      <dgm:t>
        <a:bodyPr/>
        <a:lstStyle/>
        <a:p>
          <a:endParaRPr lang="en-US"/>
        </a:p>
      </dgm:t>
    </dgm:pt>
    <dgm:pt modelId="{20E57461-914F-48B8-9BE3-C3C65BC67EC4}">
      <dgm:prSet phldrT="[Text]" custT="1"/>
      <dgm:spPr>
        <a:noFill/>
        <a:ln w="9525">
          <a:solidFill>
            <a:schemeClr val="tx1"/>
          </a:solidFill>
        </a:ln>
      </dgm:spPr>
      <dgm:t>
        <a:bodyPr/>
        <a:lstStyle/>
        <a:p>
          <a:r>
            <a:rPr lang="en-US" sz="1200">
              <a:solidFill>
                <a:schemeClr val="tx1"/>
              </a:solidFill>
              <a:latin typeface="+mn-lt"/>
              <a:cs typeface="Arial" panose="020B0604020202020204" pitchFamily="34" charset="0"/>
            </a:rPr>
            <a:t>Implementation of Nutrition Intervention for Malnourished Patient</a:t>
          </a:r>
          <a:endParaRPr lang="en-US" sz="1200">
            <a:solidFill>
              <a:schemeClr val="tx1"/>
            </a:solidFill>
            <a:latin typeface="+mn-lt"/>
          </a:endParaRPr>
        </a:p>
      </dgm:t>
    </dgm:pt>
    <dgm:pt modelId="{21F42F0F-9C43-4AA5-B68B-0960963FFD38}" type="parTrans" cxnId="{D1D635A8-43EB-4830-98EF-CDC83C8125AE}">
      <dgm:prSet/>
      <dgm:spPr/>
      <dgm:t>
        <a:bodyPr/>
        <a:lstStyle/>
        <a:p>
          <a:endParaRPr lang="en-US"/>
        </a:p>
      </dgm:t>
    </dgm:pt>
    <dgm:pt modelId="{B1732313-1363-4B03-B28E-135EDC2832A2}" type="sibTrans" cxnId="{D1D635A8-43EB-4830-98EF-CDC83C8125AE}">
      <dgm:prSet/>
      <dgm:spPr/>
      <dgm:t>
        <a:bodyPr/>
        <a:lstStyle/>
        <a:p>
          <a:endParaRPr lang="en-US"/>
        </a:p>
      </dgm:t>
    </dgm:pt>
    <dgm:pt modelId="{AA39CF35-2135-48D2-A788-217D06ED4357}">
      <dgm:prSet phldrT="[Text]" custT="1"/>
      <dgm:spPr>
        <a:noFill/>
        <a:ln w="9525">
          <a:solidFill>
            <a:schemeClr val="tx1"/>
          </a:solidFill>
        </a:ln>
      </dgm:spPr>
      <dgm:t>
        <a:bodyPr/>
        <a:lstStyle/>
        <a:p>
          <a:r>
            <a:rPr lang="en-US" sz="1200">
              <a:solidFill>
                <a:schemeClr val="tx1"/>
              </a:solidFill>
              <a:latin typeface="+mn-lt"/>
              <a:cs typeface="Arial" panose="020B0604020202020204" pitchFamily="34" charset="0"/>
            </a:rPr>
            <a:t>↓ Length of Stay, Mortality, Post-Operative Complications</a:t>
          </a:r>
          <a:endParaRPr lang="en-US" sz="1200">
            <a:solidFill>
              <a:schemeClr val="tx1"/>
            </a:solidFill>
            <a:latin typeface="+mn-lt"/>
          </a:endParaRPr>
        </a:p>
      </dgm:t>
    </dgm:pt>
    <dgm:pt modelId="{4D18589C-6400-482E-9BD4-EDBFFFED9296}" type="parTrans" cxnId="{C33CE662-4BA7-4FF9-B175-32B14950EABE}">
      <dgm:prSet/>
      <dgm:spPr/>
      <dgm:t>
        <a:bodyPr/>
        <a:lstStyle/>
        <a:p>
          <a:endParaRPr lang="en-US"/>
        </a:p>
      </dgm:t>
    </dgm:pt>
    <dgm:pt modelId="{DC9D3CE5-8CDC-40AE-ADD1-FE6C820770CB}" type="sibTrans" cxnId="{C33CE662-4BA7-4FF9-B175-32B14950EABE}">
      <dgm:prSet/>
      <dgm:spPr/>
      <dgm:t>
        <a:bodyPr/>
        <a:lstStyle/>
        <a:p>
          <a:endParaRPr lang="en-US"/>
        </a:p>
      </dgm:t>
    </dgm:pt>
    <dgm:pt modelId="{3D6FAED9-6172-4034-A1AA-E20F69555969}" type="pres">
      <dgm:prSet presAssocID="{E0251977-8180-4199-8C5A-83F8597B0191}" presName="Name0" presStyleCnt="0">
        <dgm:presLayoutVars>
          <dgm:dir/>
          <dgm:resizeHandles val="exact"/>
        </dgm:presLayoutVars>
      </dgm:prSet>
      <dgm:spPr/>
    </dgm:pt>
    <dgm:pt modelId="{C4D36742-C973-4474-A568-9BFE1617AB46}" type="pres">
      <dgm:prSet presAssocID="{73969459-4826-4FF8-A875-9A13922E7B36}" presName="node" presStyleLbl="node1" presStyleIdx="0" presStyleCnt="4">
        <dgm:presLayoutVars>
          <dgm:bulletEnabled val="1"/>
        </dgm:presLayoutVars>
      </dgm:prSet>
      <dgm:spPr>
        <a:prstGeom prst="rect">
          <a:avLst/>
        </a:prstGeom>
      </dgm:spPr>
    </dgm:pt>
    <dgm:pt modelId="{168CE1B6-248F-4CE7-96B5-5426EA79983C}" type="pres">
      <dgm:prSet presAssocID="{80D287A7-6524-4DC4-8C7E-F48FFAEEF12A}" presName="sibTrans" presStyleLbl="sibTrans2D1" presStyleIdx="0" presStyleCnt="3" custScaleY="42639"/>
      <dgm:spPr/>
    </dgm:pt>
    <dgm:pt modelId="{FF6F69D4-BAFF-41FD-99DE-B8625468335D}" type="pres">
      <dgm:prSet presAssocID="{80D287A7-6524-4DC4-8C7E-F48FFAEEF12A}" presName="connectorText" presStyleLbl="sibTrans2D1" presStyleIdx="0" presStyleCnt="3"/>
      <dgm:spPr/>
    </dgm:pt>
    <dgm:pt modelId="{E5302151-1867-46F5-B599-1144FA6E7BDD}" type="pres">
      <dgm:prSet presAssocID="{8C356914-9167-4B35-8C26-4469ADA89065}" presName="node" presStyleLbl="node1" presStyleIdx="1" presStyleCnt="4">
        <dgm:presLayoutVars>
          <dgm:bulletEnabled val="1"/>
        </dgm:presLayoutVars>
      </dgm:prSet>
      <dgm:spPr>
        <a:prstGeom prst="rect">
          <a:avLst/>
        </a:prstGeom>
      </dgm:spPr>
    </dgm:pt>
    <dgm:pt modelId="{C5752635-93BB-4FB3-A1A8-A01814A41C60}" type="pres">
      <dgm:prSet presAssocID="{E35DA12C-AA64-462C-B609-F4EADEA59C36}" presName="sibTrans" presStyleLbl="sibTrans2D1" presStyleIdx="1" presStyleCnt="3" custScaleY="42639"/>
      <dgm:spPr/>
    </dgm:pt>
    <dgm:pt modelId="{41C3BC73-9776-493C-8A1C-1ABFB7E7A547}" type="pres">
      <dgm:prSet presAssocID="{E35DA12C-AA64-462C-B609-F4EADEA59C36}" presName="connectorText" presStyleLbl="sibTrans2D1" presStyleIdx="1" presStyleCnt="3"/>
      <dgm:spPr/>
    </dgm:pt>
    <dgm:pt modelId="{2E565498-2CB3-4582-8544-6824BE4041F7}" type="pres">
      <dgm:prSet presAssocID="{20E57461-914F-48B8-9BE3-C3C65BC67EC4}" presName="node" presStyleLbl="node1" presStyleIdx="2" presStyleCnt="4" custScaleX="113414">
        <dgm:presLayoutVars>
          <dgm:bulletEnabled val="1"/>
        </dgm:presLayoutVars>
      </dgm:prSet>
      <dgm:spPr>
        <a:prstGeom prst="rect">
          <a:avLst/>
        </a:prstGeom>
      </dgm:spPr>
    </dgm:pt>
    <dgm:pt modelId="{0B5C0ECE-C1C1-460A-BEC3-0ABC10FC6022}" type="pres">
      <dgm:prSet presAssocID="{B1732313-1363-4B03-B28E-135EDC2832A2}" presName="sibTrans" presStyleLbl="sibTrans2D1" presStyleIdx="2" presStyleCnt="3"/>
      <dgm:spPr/>
    </dgm:pt>
    <dgm:pt modelId="{B74A2566-C239-471F-BA3C-3CB7BF234DE0}" type="pres">
      <dgm:prSet presAssocID="{B1732313-1363-4B03-B28E-135EDC2832A2}" presName="connectorText" presStyleLbl="sibTrans2D1" presStyleIdx="2" presStyleCnt="3"/>
      <dgm:spPr/>
    </dgm:pt>
    <dgm:pt modelId="{CF21F3EB-62B5-4F84-9BEF-E94B5D3CCD53}" type="pres">
      <dgm:prSet presAssocID="{AA39CF35-2135-48D2-A788-217D06ED4357}" presName="node" presStyleLbl="node1" presStyleIdx="3" presStyleCnt="4">
        <dgm:presLayoutVars>
          <dgm:bulletEnabled val="1"/>
        </dgm:presLayoutVars>
      </dgm:prSet>
      <dgm:spPr>
        <a:prstGeom prst="rect">
          <a:avLst/>
        </a:prstGeom>
      </dgm:spPr>
    </dgm:pt>
  </dgm:ptLst>
  <dgm:cxnLst>
    <dgm:cxn modelId="{93904216-5D3A-444F-BE9F-BAFCD42BDF6A}" type="presOf" srcId="{8C356914-9167-4B35-8C26-4469ADA89065}" destId="{E5302151-1867-46F5-B599-1144FA6E7BDD}" srcOrd="0" destOrd="0" presId="urn:microsoft.com/office/officeart/2005/8/layout/process1"/>
    <dgm:cxn modelId="{86412D1A-32FA-4D3E-A715-05F8A9F7D7FB}" type="presOf" srcId="{B1732313-1363-4B03-B28E-135EDC2832A2}" destId="{B74A2566-C239-471F-BA3C-3CB7BF234DE0}" srcOrd="1" destOrd="0" presId="urn:microsoft.com/office/officeart/2005/8/layout/process1"/>
    <dgm:cxn modelId="{2D415F33-DCAC-4FB0-96B2-5EB6EB1E4E84}" type="presOf" srcId="{E35DA12C-AA64-462C-B609-F4EADEA59C36}" destId="{C5752635-93BB-4FB3-A1A8-A01814A41C60}" srcOrd="0" destOrd="0" presId="urn:microsoft.com/office/officeart/2005/8/layout/process1"/>
    <dgm:cxn modelId="{C33CE662-4BA7-4FF9-B175-32B14950EABE}" srcId="{E0251977-8180-4199-8C5A-83F8597B0191}" destId="{AA39CF35-2135-48D2-A788-217D06ED4357}" srcOrd="3" destOrd="0" parTransId="{4D18589C-6400-482E-9BD4-EDBFFFED9296}" sibTransId="{DC9D3CE5-8CDC-40AE-ADD1-FE6C820770CB}"/>
    <dgm:cxn modelId="{64994A43-61DB-4023-9807-89D2EDB669EE}" type="presOf" srcId="{20E57461-914F-48B8-9BE3-C3C65BC67EC4}" destId="{2E565498-2CB3-4582-8544-6824BE4041F7}" srcOrd="0" destOrd="0" presId="urn:microsoft.com/office/officeart/2005/8/layout/process1"/>
    <dgm:cxn modelId="{669D9E4C-6EB4-4D29-B28C-2EF2B4A7E8DC}" srcId="{E0251977-8180-4199-8C5A-83F8597B0191}" destId="{8C356914-9167-4B35-8C26-4469ADA89065}" srcOrd="1" destOrd="0" parTransId="{354FE13F-0583-4752-936C-C0CE019E96E5}" sibTransId="{E35DA12C-AA64-462C-B609-F4EADEA59C36}"/>
    <dgm:cxn modelId="{92516856-372C-4272-8989-031EFCF083AE}" type="presOf" srcId="{AA39CF35-2135-48D2-A788-217D06ED4357}" destId="{CF21F3EB-62B5-4F84-9BEF-E94B5D3CCD53}" srcOrd="0" destOrd="0" presId="urn:microsoft.com/office/officeart/2005/8/layout/process1"/>
    <dgm:cxn modelId="{A179BB76-813C-4E3C-AC30-57966B6149C7}" srcId="{E0251977-8180-4199-8C5A-83F8597B0191}" destId="{73969459-4826-4FF8-A875-9A13922E7B36}" srcOrd="0" destOrd="0" parTransId="{CC4C30F4-0504-43A7-AF08-17CCD84EEB9C}" sibTransId="{80D287A7-6524-4DC4-8C7E-F48FFAEEF12A}"/>
    <dgm:cxn modelId="{C4B61B58-9AC2-4A69-B5B2-1514D47F591F}" type="presOf" srcId="{80D287A7-6524-4DC4-8C7E-F48FFAEEF12A}" destId="{FF6F69D4-BAFF-41FD-99DE-B8625468335D}" srcOrd="1" destOrd="0" presId="urn:microsoft.com/office/officeart/2005/8/layout/process1"/>
    <dgm:cxn modelId="{BA95A47C-7D9E-4E7C-933E-5E775DA56996}" type="presOf" srcId="{73969459-4826-4FF8-A875-9A13922E7B36}" destId="{C4D36742-C973-4474-A568-9BFE1617AB46}" srcOrd="0" destOrd="0" presId="urn:microsoft.com/office/officeart/2005/8/layout/process1"/>
    <dgm:cxn modelId="{FFE9C7A1-A2DA-4AD3-B644-E996F8122576}" type="presOf" srcId="{80D287A7-6524-4DC4-8C7E-F48FFAEEF12A}" destId="{168CE1B6-248F-4CE7-96B5-5426EA79983C}" srcOrd="0" destOrd="0" presId="urn:microsoft.com/office/officeart/2005/8/layout/process1"/>
    <dgm:cxn modelId="{638668A2-5357-411F-BFB8-5057A966E588}" type="presOf" srcId="{E35DA12C-AA64-462C-B609-F4EADEA59C36}" destId="{41C3BC73-9776-493C-8A1C-1ABFB7E7A547}" srcOrd="1" destOrd="0" presId="urn:microsoft.com/office/officeart/2005/8/layout/process1"/>
    <dgm:cxn modelId="{D1D635A8-43EB-4830-98EF-CDC83C8125AE}" srcId="{E0251977-8180-4199-8C5A-83F8597B0191}" destId="{20E57461-914F-48B8-9BE3-C3C65BC67EC4}" srcOrd="2" destOrd="0" parTransId="{21F42F0F-9C43-4AA5-B68B-0960963FFD38}" sibTransId="{B1732313-1363-4B03-B28E-135EDC2832A2}"/>
    <dgm:cxn modelId="{AA1047FA-1B05-4B03-A5DE-F7C1CAC8CEBB}" type="presOf" srcId="{B1732313-1363-4B03-B28E-135EDC2832A2}" destId="{0B5C0ECE-C1C1-460A-BEC3-0ABC10FC6022}" srcOrd="0" destOrd="0" presId="urn:microsoft.com/office/officeart/2005/8/layout/process1"/>
    <dgm:cxn modelId="{70828AFE-8E12-449D-AD6C-16B12FDEC28E}" type="presOf" srcId="{E0251977-8180-4199-8C5A-83F8597B0191}" destId="{3D6FAED9-6172-4034-A1AA-E20F69555969}" srcOrd="0" destOrd="0" presId="urn:microsoft.com/office/officeart/2005/8/layout/process1"/>
    <dgm:cxn modelId="{7A6CEB7C-5C08-4B04-B192-43DB2C709045}" type="presParOf" srcId="{3D6FAED9-6172-4034-A1AA-E20F69555969}" destId="{C4D36742-C973-4474-A568-9BFE1617AB46}" srcOrd="0" destOrd="0" presId="urn:microsoft.com/office/officeart/2005/8/layout/process1"/>
    <dgm:cxn modelId="{AF1B009A-C1F4-4114-B341-A98AD675E487}" type="presParOf" srcId="{3D6FAED9-6172-4034-A1AA-E20F69555969}" destId="{168CE1B6-248F-4CE7-96B5-5426EA79983C}" srcOrd="1" destOrd="0" presId="urn:microsoft.com/office/officeart/2005/8/layout/process1"/>
    <dgm:cxn modelId="{D1604463-C035-482E-ADDA-58670D9DC760}" type="presParOf" srcId="{168CE1B6-248F-4CE7-96B5-5426EA79983C}" destId="{FF6F69D4-BAFF-41FD-99DE-B8625468335D}" srcOrd="0" destOrd="0" presId="urn:microsoft.com/office/officeart/2005/8/layout/process1"/>
    <dgm:cxn modelId="{B60785E0-529D-4372-AA4B-3353165CFD85}" type="presParOf" srcId="{3D6FAED9-6172-4034-A1AA-E20F69555969}" destId="{E5302151-1867-46F5-B599-1144FA6E7BDD}" srcOrd="2" destOrd="0" presId="urn:microsoft.com/office/officeart/2005/8/layout/process1"/>
    <dgm:cxn modelId="{D9D8733C-E56A-476C-9500-9A147E3436FA}" type="presParOf" srcId="{3D6FAED9-6172-4034-A1AA-E20F69555969}" destId="{C5752635-93BB-4FB3-A1A8-A01814A41C60}" srcOrd="3" destOrd="0" presId="urn:microsoft.com/office/officeart/2005/8/layout/process1"/>
    <dgm:cxn modelId="{119D9875-7982-4DE2-BDCF-DC6A0661F9BC}" type="presParOf" srcId="{C5752635-93BB-4FB3-A1A8-A01814A41C60}" destId="{41C3BC73-9776-493C-8A1C-1ABFB7E7A547}" srcOrd="0" destOrd="0" presId="urn:microsoft.com/office/officeart/2005/8/layout/process1"/>
    <dgm:cxn modelId="{D7BC478A-DF47-4F18-95E9-715D2A91D747}" type="presParOf" srcId="{3D6FAED9-6172-4034-A1AA-E20F69555969}" destId="{2E565498-2CB3-4582-8544-6824BE4041F7}" srcOrd="4" destOrd="0" presId="urn:microsoft.com/office/officeart/2005/8/layout/process1"/>
    <dgm:cxn modelId="{29980A21-14EE-4BC3-87B7-A535E6AF282E}" type="presParOf" srcId="{3D6FAED9-6172-4034-A1AA-E20F69555969}" destId="{0B5C0ECE-C1C1-460A-BEC3-0ABC10FC6022}" srcOrd="5" destOrd="0" presId="urn:microsoft.com/office/officeart/2005/8/layout/process1"/>
    <dgm:cxn modelId="{1E93A2F8-1F74-4582-B2ED-4DCC05CAB068}" type="presParOf" srcId="{0B5C0ECE-C1C1-460A-BEC3-0ABC10FC6022}" destId="{B74A2566-C239-471F-BA3C-3CB7BF234DE0}" srcOrd="0" destOrd="0" presId="urn:microsoft.com/office/officeart/2005/8/layout/process1"/>
    <dgm:cxn modelId="{C47CCBC4-3763-43C8-AC11-BDD1E86EE711}" type="presParOf" srcId="{3D6FAED9-6172-4034-A1AA-E20F69555969}" destId="{CF21F3EB-62B5-4F84-9BEF-E94B5D3CCD53}" srcOrd="6" destOrd="0" presId="urn:microsoft.com/office/officeart/2005/8/layout/process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251977-8180-4199-8C5A-83F8597B0191}"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73969459-4826-4FF8-A875-9A13922E7B36}">
      <dgm:prSet phldrT="[Text]" custT="1"/>
      <dgm:spPr>
        <a:noFill/>
        <a:ln w="9525">
          <a:solidFill>
            <a:schemeClr val="tx1"/>
          </a:solidFill>
        </a:ln>
      </dgm:spPr>
      <dgm:t>
        <a:bodyPr/>
        <a:lstStyle/>
        <a:p>
          <a:r>
            <a:rPr lang="en-US" sz="1200">
              <a:solidFill>
                <a:schemeClr val="tx1"/>
              </a:solidFill>
              <a:latin typeface="+mn-lt"/>
            </a:rPr>
            <a:t>Screen Patients to Identify Risk of Malnutrition </a:t>
          </a:r>
        </a:p>
      </dgm:t>
    </dgm:pt>
    <dgm:pt modelId="{CC4C30F4-0504-43A7-AF08-17CCD84EEB9C}" type="parTrans" cxnId="{A179BB76-813C-4E3C-AC30-57966B6149C7}">
      <dgm:prSet/>
      <dgm:spPr/>
      <dgm:t>
        <a:bodyPr/>
        <a:lstStyle/>
        <a:p>
          <a:endParaRPr lang="en-US"/>
        </a:p>
      </dgm:t>
    </dgm:pt>
    <dgm:pt modelId="{80D287A7-6524-4DC4-8C7E-F48FFAEEF12A}" type="sibTrans" cxnId="{A179BB76-813C-4E3C-AC30-57966B6149C7}">
      <dgm:prSet/>
      <dgm:spPr/>
      <dgm:t>
        <a:bodyPr/>
        <a:lstStyle/>
        <a:p>
          <a:endParaRPr lang="en-US"/>
        </a:p>
      </dgm:t>
    </dgm:pt>
    <dgm:pt modelId="{8C356914-9167-4B35-8C26-4469ADA89065}">
      <dgm:prSet phldrT="[Text]" custT="1"/>
      <dgm:spPr>
        <a:noFill/>
        <a:ln w="19050">
          <a:solidFill>
            <a:srgbClr val="FF0000"/>
          </a:solidFill>
        </a:ln>
      </dgm:spPr>
      <dgm:t>
        <a:bodyPr/>
        <a:lstStyle/>
        <a:p>
          <a:r>
            <a:rPr lang="en-US" sz="1200">
              <a:solidFill>
                <a:schemeClr val="tx1"/>
              </a:solidFill>
              <a:latin typeface="+mn-lt"/>
            </a:rPr>
            <a:t>Nutrition Assessment to Recommend Appropriate Care </a:t>
          </a:r>
        </a:p>
      </dgm:t>
    </dgm:pt>
    <dgm:pt modelId="{354FE13F-0583-4752-936C-C0CE019E96E5}" type="parTrans" cxnId="{669D9E4C-6EB4-4D29-B28C-2EF2B4A7E8DC}">
      <dgm:prSet/>
      <dgm:spPr/>
      <dgm:t>
        <a:bodyPr/>
        <a:lstStyle/>
        <a:p>
          <a:endParaRPr lang="en-US"/>
        </a:p>
      </dgm:t>
    </dgm:pt>
    <dgm:pt modelId="{E35DA12C-AA64-462C-B609-F4EADEA59C36}" type="sibTrans" cxnId="{669D9E4C-6EB4-4D29-B28C-2EF2B4A7E8DC}">
      <dgm:prSet/>
      <dgm:spPr/>
      <dgm:t>
        <a:bodyPr/>
        <a:lstStyle/>
        <a:p>
          <a:endParaRPr lang="en-US"/>
        </a:p>
      </dgm:t>
    </dgm:pt>
    <dgm:pt modelId="{20E57461-914F-48B8-9BE3-C3C65BC67EC4}">
      <dgm:prSet phldrT="[Text]" custT="1"/>
      <dgm:spPr>
        <a:noFill/>
        <a:ln w="9525">
          <a:solidFill>
            <a:schemeClr val="tx1"/>
          </a:solidFill>
        </a:ln>
      </dgm:spPr>
      <dgm:t>
        <a:bodyPr/>
        <a:lstStyle/>
        <a:p>
          <a:r>
            <a:rPr lang="en-US" sz="1200">
              <a:solidFill>
                <a:schemeClr val="tx1"/>
              </a:solidFill>
              <a:latin typeface="+mn-lt"/>
              <a:cs typeface="Arial" panose="020B0604020202020204" pitchFamily="34" charset="0"/>
            </a:rPr>
            <a:t>Implementation of Nutrition Intervention for Malnourished Patient</a:t>
          </a:r>
          <a:endParaRPr lang="en-US" sz="1200">
            <a:solidFill>
              <a:schemeClr val="tx1"/>
            </a:solidFill>
            <a:latin typeface="+mn-lt"/>
          </a:endParaRPr>
        </a:p>
      </dgm:t>
    </dgm:pt>
    <dgm:pt modelId="{21F42F0F-9C43-4AA5-B68B-0960963FFD38}" type="parTrans" cxnId="{D1D635A8-43EB-4830-98EF-CDC83C8125AE}">
      <dgm:prSet/>
      <dgm:spPr/>
      <dgm:t>
        <a:bodyPr/>
        <a:lstStyle/>
        <a:p>
          <a:endParaRPr lang="en-US"/>
        </a:p>
      </dgm:t>
    </dgm:pt>
    <dgm:pt modelId="{B1732313-1363-4B03-B28E-135EDC2832A2}" type="sibTrans" cxnId="{D1D635A8-43EB-4830-98EF-CDC83C8125AE}">
      <dgm:prSet/>
      <dgm:spPr/>
      <dgm:t>
        <a:bodyPr/>
        <a:lstStyle/>
        <a:p>
          <a:endParaRPr lang="en-US"/>
        </a:p>
      </dgm:t>
    </dgm:pt>
    <dgm:pt modelId="{AA39CF35-2135-48D2-A788-217D06ED4357}">
      <dgm:prSet phldrT="[Text]" custT="1"/>
      <dgm:spPr>
        <a:noFill/>
        <a:ln w="9525">
          <a:solidFill>
            <a:schemeClr val="tx1"/>
          </a:solidFill>
        </a:ln>
      </dgm:spPr>
      <dgm:t>
        <a:bodyPr/>
        <a:lstStyle/>
        <a:p>
          <a:r>
            <a:rPr lang="en-US" sz="1200">
              <a:solidFill>
                <a:schemeClr val="tx1"/>
              </a:solidFill>
              <a:latin typeface="+mn-lt"/>
              <a:cs typeface="Arial" panose="020B0604020202020204" pitchFamily="34" charset="0"/>
            </a:rPr>
            <a:t>↓ Length of Stay, Mortality, Post-Operative Complications</a:t>
          </a:r>
          <a:endParaRPr lang="en-US" sz="1200">
            <a:solidFill>
              <a:schemeClr val="tx1"/>
            </a:solidFill>
            <a:latin typeface="+mn-lt"/>
          </a:endParaRPr>
        </a:p>
      </dgm:t>
    </dgm:pt>
    <dgm:pt modelId="{4D18589C-6400-482E-9BD4-EDBFFFED9296}" type="parTrans" cxnId="{C33CE662-4BA7-4FF9-B175-32B14950EABE}">
      <dgm:prSet/>
      <dgm:spPr/>
      <dgm:t>
        <a:bodyPr/>
        <a:lstStyle/>
        <a:p>
          <a:endParaRPr lang="en-US"/>
        </a:p>
      </dgm:t>
    </dgm:pt>
    <dgm:pt modelId="{DC9D3CE5-8CDC-40AE-ADD1-FE6C820770CB}" type="sibTrans" cxnId="{C33CE662-4BA7-4FF9-B175-32B14950EABE}">
      <dgm:prSet/>
      <dgm:spPr/>
      <dgm:t>
        <a:bodyPr/>
        <a:lstStyle/>
        <a:p>
          <a:endParaRPr lang="en-US"/>
        </a:p>
      </dgm:t>
    </dgm:pt>
    <dgm:pt modelId="{3D6FAED9-6172-4034-A1AA-E20F69555969}" type="pres">
      <dgm:prSet presAssocID="{E0251977-8180-4199-8C5A-83F8597B0191}" presName="Name0" presStyleCnt="0">
        <dgm:presLayoutVars>
          <dgm:dir/>
          <dgm:resizeHandles val="exact"/>
        </dgm:presLayoutVars>
      </dgm:prSet>
      <dgm:spPr/>
    </dgm:pt>
    <dgm:pt modelId="{C4D36742-C973-4474-A568-9BFE1617AB46}" type="pres">
      <dgm:prSet presAssocID="{73969459-4826-4FF8-A875-9A13922E7B36}" presName="node" presStyleLbl="node1" presStyleIdx="0" presStyleCnt="4">
        <dgm:presLayoutVars>
          <dgm:bulletEnabled val="1"/>
        </dgm:presLayoutVars>
      </dgm:prSet>
      <dgm:spPr>
        <a:prstGeom prst="rect">
          <a:avLst/>
        </a:prstGeom>
      </dgm:spPr>
    </dgm:pt>
    <dgm:pt modelId="{168CE1B6-248F-4CE7-96B5-5426EA79983C}" type="pres">
      <dgm:prSet presAssocID="{80D287A7-6524-4DC4-8C7E-F48FFAEEF12A}" presName="sibTrans" presStyleLbl="sibTrans2D1" presStyleIdx="0" presStyleCnt="3" custScaleY="42639"/>
      <dgm:spPr/>
    </dgm:pt>
    <dgm:pt modelId="{FF6F69D4-BAFF-41FD-99DE-B8625468335D}" type="pres">
      <dgm:prSet presAssocID="{80D287A7-6524-4DC4-8C7E-F48FFAEEF12A}" presName="connectorText" presStyleLbl="sibTrans2D1" presStyleIdx="0" presStyleCnt="3"/>
      <dgm:spPr/>
    </dgm:pt>
    <dgm:pt modelId="{E5302151-1867-46F5-B599-1144FA6E7BDD}" type="pres">
      <dgm:prSet presAssocID="{8C356914-9167-4B35-8C26-4469ADA89065}" presName="node" presStyleLbl="node1" presStyleIdx="1" presStyleCnt="4">
        <dgm:presLayoutVars>
          <dgm:bulletEnabled val="1"/>
        </dgm:presLayoutVars>
      </dgm:prSet>
      <dgm:spPr>
        <a:prstGeom prst="rect">
          <a:avLst/>
        </a:prstGeom>
      </dgm:spPr>
    </dgm:pt>
    <dgm:pt modelId="{C5752635-93BB-4FB3-A1A8-A01814A41C60}" type="pres">
      <dgm:prSet presAssocID="{E35DA12C-AA64-462C-B609-F4EADEA59C36}" presName="sibTrans" presStyleLbl="sibTrans2D1" presStyleIdx="1" presStyleCnt="3" custScaleY="42639"/>
      <dgm:spPr/>
    </dgm:pt>
    <dgm:pt modelId="{41C3BC73-9776-493C-8A1C-1ABFB7E7A547}" type="pres">
      <dgm:prSet presAssocID="{E35DA12C-AA64-462C-B609-F4EADEA59C36}" presName="connectorText" presStyleLbl="sibTrans2D1" presStyleIdx="1" presStyleCnt="3"/>
      <dgm:spPr/>
    </dgm:pt>
    <dgm:pt modelId="{2E565498-2CB3-4582-8544-6824BE4041F7}" type="pres">
      <dgm:prSet presAssocID="{20E57461-914F-48B8-9BE3-C3C65BC67EC4}" presName="node" presStyleLbl="node1" presStyleIdx="2" presStyleCnt="4" custScaleX="113414">
        <dgm:presLayoutVars>
          <dgm:bulletEnabled val="1"/>
        </dgm:presLayoutVars>
      </dgm:prSet>
      <dgm:spPr>
        <a:prstGeom prst="rect">
          <a:avLst/>
        </a:prstGeom>
      </dgm:spPr>
    </dgm:pt>
    <dgm:pt modelId="{0B5C0ECE-C1C1-460A-BEC3-0ABC10FC6022}" type="pres">
      <dgm:prSet presAssocID="{B1732313-1363-4B03-B28E-135EDC2832A2}" presName="sibTrans" presStyleLbl="sibTrans2D1" presStyleIdx="2" presStyleCnt="3"/>
      <dgm:spPr/>
    </dgm:pt>
    <dgm:pt modelId="{B74A2566-C239-471F-BA3C-3CB7BF234DE0}" type="pres">
      <dgm:prSet presAssocID="{B1732313-1363-4B03-B28E-135EDC2832A2}" presName="connectorText" presStyleLbl="sibTrans2D1" presStyleIdx="2" presStyleCnt="3"/>
      <dgm:spPr/>
    </dgm:pt>
    <dgm:pt modelId="{CF21F3EB-62B5-4F84-9BEF-E94B5D3CCD53}" type="pres">
      <dgm:prSet presAssocID="{AA39CF35-2135-48D2-A788-217D06ED4357}" presName="node" presStyleLbl="node1" presStyleIdx="3" presStyleCnt="4">
        <dgm:presLayoutVars>
          <dgm:bulletEnabled val="1"/>
        </dgm:presLayoutVars>
      </dgm:prSet>
      <dgm:spPr>
        <a:prstGeom prst="rect">
          <a:avLst/>
        </a:prstGeom>
      </dgm:spPr>
    </dgm:pt>
  </dgm:ptLst>
  <dgm:cxnLst>
    <dgm:cxn modelId="{93904216-5D3A-444F-BE9F-BAFCD42BDF6A}" type="presOf" srcId="{8C356914-9167-4B35-8C26-4469ADA89065}" destId="{E5302151-1867-46F5-B599-1144FA6E7BDD}" srcOrd="0" destOrd="0" presId="urn:microsoft.com/office/officeart/2005/8/layout/process1"/>
    <dgm:cxn modelId="{86412D1A-32FA-4D3E-A715-05F8A9F7D7FB}" type="presOf" srcId="{B1732313-1363-4B03-B28E-135EDC2832A2}" destId="{B74A2566-C239-471F-BA3C-3CB7BF234DE0}" srcOrd="1" destOrd="0" presId="urn:microsoft.com/office/officeart/2005/8/layout/process1"/>
    <dgm:cxn modelId="{2D415F33-DCAC-4FB0-96B2-5EB6EB1E4E84}" type="presOf" srcId="{E35DA12C-AA64-462C-B609-F4EADEA59C36}" destId="{C5752635-93BB-4FB3-A1A8-A01814A41C60}" srcOrd="0" destOrd="0" presId="urn:microsoft.com/office/officeart/2005/8/layout/process1"/>
    <dgm:cxn modelId="{C33CE662-4BA7-4FF9-B175-32B14950EABE}" srcId="{E0251977-8180-4199-8C5A-83F8597B0191}" destId="{AA39CF35-2135-48D2-A788-217D06ED4357}" srcOrd="3" destOrd="0" parTransId="{4D18589C-6400-482E-9BD4-EDBFFFED9296}" sibTransId="{DC9D3CE5-8CDC-40AE-ADD1-FE6C820770CB}"/>
    <dgm:cxn modelId="{64994A43-61DB-4023-9807-89D2EDB669EE}" type="presOf" srcId="{20E57461-914F-48B8-9BE3-C3C65BC67EC4}" destId="{2E565498-2CB3-4582-8544-6824BE4041F7}" srcOrd="0" destOrd="0" presId="urn:microsoft.com/office/officeart/2005/8/layout/process1"/>
    <dgm:cxn modelId="{669D9E4C-6EB4-4D29-B28C-2EF2B4A7E8DC}" srcId="{E0251977-8180-4199-8C5A-83F8597B0191}" destId="{8C356914-9167-4B35-8C26-4469ADA89065}" srcOrd="1" destOrd="0" parTransId="{354FE13F-0583-4752-936C-C0CE019E96E5}" sibTransId="{E35DA12C-AA64-462C-B609-F4EADEA59C36}"/>
    <dgm:cxn modelId="{92516856-372C-4272-8989-031EFCF083AE}" type="presOf" srcId="{AA39CF35-2135-48D2-A788-217D06ED4357}" destId="{CF21F3EB-62B5-4F84-9BEF-E94B5D3CCD53}" srcOrd="0" destOrd="0" presId="urn:microsoft.com/office/officeart/2005/8/layout/process1"/>
    <dgm:cxn modelId="{A179BB76-813C-4E3C-AC30-57966B6149C7}" srcId="{E0251977-8180-4199-8C5A-83F8597B0191}" destId="{73969459-4826-4FF8-A875-9A13922E7B36}" srcOrd="0" destOrd="0" parTransId="{CC4C30F4-0504-43A7-AF08-17CCD84EEB9C}" sibTransId="{80D287A7-6524-4DC4-8C7E-F48FFAEEF12A}"/>
    <dgm:cxn modelId="{C4B61B58-9AC2-4A69-B5B2-1514D47F591F}" type="presOf" srcId="{80D287A7-6524-4DC4-8C7E-F48FFAEEF12A}" destId="{FF6F69D4-BAFF-41FD-99DE-B8625468335D}" srcOrd="1" destOrd="0" presId="urn:microsoft.com/office/officeart/2005/8/layout/process1"/>
    <dgm:cxn modelId="{BA95A47C-7D9E-4E7C-933E-5E775DA56996}" type="presOf" srcId="{73969459-4826-4FF8-A875-9A13922E7B36}" destId="{C4D36742-C973-4474-A568-9BFE1617AB46}" srcOrd="0" destOrd="0" presId="urn:microsoft.com/office/officeart/2005/8/layout/process1"/>
    <dgm:cxn modelId="{FFE9C7A1-A2DA-4AD3-B644-E996F8122576}" type="presOf" srcId="{80D287A7-6524-4DC4-8C7E-F48FFAEEF12A}" destId="{168CE1B6-248F-4CE7-96B5-5426EA79983C}" srcOrd="0" destOrd="0" presId="urn:microsoft.com/office/officeart/2005/8/layout/process1"/>
    <dgm:cxn modelId="{638668A2-5357-411F-BFB8-5057A966E588}" type="presOf" srcId="{E35DA12C-AA64-462C-B609-F4EADEA59C36}" destId="{41C3BC73-9776-493C-8A1C-1ABFB7E7A547}" srcOrd="1" destOrd="0" presId="urn:microsoft.com/office/officeart/2005/8/layout/process1"/>
    <dgm:cxn modelId="{D1D635A8-43EB-4830-98EF-CDC83C8125AE}" srcId="{E0251977-8180-4199-8C5A-83F8597B0191}" destId="{20E57461-914F-48B8-9BE3-C3C65BC67EC4}" srcOrd="2" destOrd="0" parTransId="{21F42F0F-9C43-4AA5-B68B-0960963FFD38}" sibTransId="{B1732313-1363-4B03-B28E-135EDC2832A2}"/>
    <dgm:cxn modelId="{AA1047FA-1B05-4B03-A5DE-F7C1CAC8CEBB}" type="presOf" srcId="{B1732313-1363-4B03-B28E-135EDC2832A2}" destId="{0B5C0ECE-C1C1-460A-BEC3-0ABC10FC6022}" srcOrd="0" destOrd="0" presId="urn:microsoft.com/office/officeart/2005/8/layout/process1"/>
    <dgm:cxn modelId="{70828AFE-8E12-449D-AD6C-16B12FDEC28E}" type="presOf" srcId="{E0251977-8180-4199-8C5A-83F8597B0191}" destId="{3D6FAED9-6172-4034-A1AA-E20F69555969}" srcOrd="0" destOrd="0" presId="urn:microsoft.com/office/officeart/2005/8/layout/process1"/>
    <dgm:cxn modelId="{7A6CEB7C-5C08-4B04-B192-43DB2C709045}" type="presParOf" srcId="{3D6FAED9-6172-4034-A1AA-E20F69555969}" destId="{C4D36742-C973-4474-A568-9BFE1617AB46}" srcOrd="0" destOrd="0" presId="urn:microsoft.com/office/officeart/2005/8/layout/process1"/>
    <dgm:cxn modelId="{AF1B009A-C1F4-4114-B341-A98AD675E487}" type="presParOf" srcId="{3D6FAED9-6172-4034-A1AA-E20F69555969}" destId="{168CE1B6-248F-4CE7-96B5-5426EA79983C}" srcOrd="1" destOrd="0" presId="urn:microsoft.com/office/officeart/2005/8/layout/process1"/>
    <dgm:cxn modelId="{D1604463-C035-482E-ADDA-58670D9DC760}" type="presParOf" srcId="{168CE1B6-248F-4CE7-96B5-5426EA79983C}" destId="{FF6F69D4-BAFF-41FD-99DE-B8625468335D}" srcOrd="0" destOrd="0" presId="urn:microsoft.com/office/officeart/2005/8/layout/process1"/>
    <dgm:cxn modelId="{B60785E0-529D-4372-AA4B-3353165CFD85}" type="presParOf" srcId="{3D6FAED9-6172-4034-A1AA-E20F69555969}" destId="{E5302151-1867-46F5-B599-1144FA6E7BDD}" srcOrd="2" destOrd="0" presId="urn:microsoft.com/office/officeart/2005/8/layout/process1"/>
    <dgm:cxn modelId="{D9D8733C-E56A-476C-9500-9A147E3436FA}" type="presParOf" srcId="{3D6FAED9-6172-4034-A1AA-E20F69555969}" destId="{C5752635-93BB-4FB3-A1A8-A01814A41C60}" srcOrd="3" destOrd="0" presId="urn:microsoft.com/office/officeart/2005/8/layout/process1"/>
    <dgm:cxn modelId="{119D9875-7982-4DE2-BDCF-DC6A0661F9BC}" type="presParOf" srcId="{C5752635-93BB-4FB3-A1A8-A01814A41C60}" destId="{41C3BC73-9776-493C-8A1C-1ABFB7E7A547}" srcOrd="0" destOrd="0" presId="urn:microsoft.com/office/officeart/2005/8/layout/process1"/>
    <dgm:cxn modelId="{D7BC478A-DF47-4F18-95E9-715D2A91D747}" type="presParOf" srcId="{3D6FAED9-6172-4034-A1AA-E20F69555969}" destId="{2E565498-2CB3-4582-8544-6824BE4041F7}" srcOrd="4" destOrd="0" presId="urn:microsoft.com/office/officeart/2005/8/layout/process1"/>
    <dgm:cxn modelId="{29980A21-14EE-4BC3-87B7-A535E6AF282E}" type="presParOf" srcId="{3D6FAED9-6172-4034-A1AA-E20F69555969}" destId="{0B5C0ECE-C1C1-460A-BEC3-0ABC10FC6022}" srcOrd="5" destOrd="0" presId="urn:microsoft.com/office/officeart/2005/8/layout/process1"/>
    <dgm:cxn modelId="{1E93A2F8-1F74-4582-B2ED-4DCC05CAB068}" type="presParOf" srcId="{0B5C0ECE-C1C1-460A-BEC3-0ABC10FC6022}" destId="{B74A2566-C239-471F-BA3C-3CB7BF234DE0}" srcOrd="0" destOrd="0" presId="urn:microsoft.com/office/officeart/2005/8/layout/process1"/>
    <dgm:cxn modelId="{C47CCBC4-3763-43C8-AC11-BDD1E86EE711}" type="presParOf" srcId="{3D6FAED9-6172-4034-A1AA-E20F69555969}" destId="{CF21F3EB-62B5-4F84-9BEF-E94B5D3CCD53}" srcOrd="6" destOrd="0" presId="urn:microsoft.com/office/officeart/2005/8/layout/process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0251977-8180-4199-8C5A-83F8597B0191}"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8C356914-9167-4B35-8C26-4469ADA89065}">
      <dgm:prSet phldrT="[Text]" custT="1"/>
      <dgm:spPr>
        <a:noFill/>
        <a:ln w="9525">
          <a:solidFill>
            <a:schemeClr val="tx1"/>
          </a:solidFill>
        </a:ln>
      </dgm:spPr>
      <dgm:t>
        <a:bodyPr/>
        <a:lstStyle/>
        <a:p>
          <a:r>
            <a:rPr lang="en-US" sz="1100">
              <a:solidFill>
                <a:schemeClr val="tx1"/>
              </a:solidFill>
              <a:latin typeface="+mn-lt"/>
            </a:rPr>
            <a:t>Nutrition Assessment to Recommend Appropriate Care </a:t>
          </a:r>
        </a:p>
      </dgm:t>
    </dgm:pt>
    <dgm:pt modelId="{354FE13F-0583-4752-936C-C0CE019E96E5}" type="parTrans" cxnId="{669D9E4C-6EB4-4D29-B28C-2EF2B4A7E8DC}">
      <dgm:prSet/>
      <dgm:spPr/>
      <dgm:t>
        <a:bodyPr/>
        <a:lstStyle/>
        <a:p>
          <a:endParaRPr lang="en-US" sz="1100"/>
        </a:p>
      </dgm:t>
    </dgm:pt>
    <dgm:pt modelId="{E35DA12C-AA64-462C-B609-F4EADEA59C36}" type="sibTrans" cxnId="{669D9E4C-6EB4-4D29-B28C-2EF2B4A7E8DC}">
      <dgm:prSet custT="1"/>
      <dgm:spPr/>
      <dgm:t>
        <a:bodyPr/>
        <a:lstStyle/>
        <a:p>
          <a:endParaRPr lang="en-US" sz="1100"/>
        </a:p>
      </dgm:t>
    </dgm:pt>
    <dgm:pt modelId="{20E57461-914F-48B8-9BE3-C3C65BC67EC4}">
      <dgm:prSet phldrT="[Text]" custT="1"/>
      <dgm:spPr>
        <a:noFill/>
        <a:ln w="9525">
          <a:solidFill>
            <a:schemeClr val="tx1"/>
          </a:solidFill>
        </a:ln>
      </dgm:spPr>
      <dgm:t>
        <a:bodyPr/>
        <a:lstStyle/>
        <a:p>
          <a:r>
            <a:rPr lang="en-US" sz="1100">
              <a:solidFill>
                <a:schemeClr val="tx1"/>
              </a:solidFill>
              <a:latin typeface="+mn-lt"/>
              <a:cs typeface="Arial" panose="020B0604020202020204" pitchFamily="34" charset="0"/>
            </a:rPr>
            <a:t>Implementation of Nutrition Intervention for Malnourished Patient</a:t>
          </a:r>
          <a:endParaRPr lang="en-US" sz="1100">
            <a:solidFill>
              <a:schemeClr val="tx1"/>
            </a:solidFill>
            <a:latin typeface="+mn-lt"/>
          </a:endParaRPr>
        </a:p>
      </dgm:t>
    </dgm:pt>
    <dgm:pt modelId="{21F42F0F-9C43-4AA5-B68B-0960963FFD38}" type="parTrans" cxnId="{D1D635A8-43EB-4830-98EF-CDC83C8125AE}">
      <dgm:prSet/>
      <dgm:spPr/>
      <dgm:t>
        <a:bodyPr/>
        <a:lstStyle/>
        <a:p>
          <a:endParaRPr lang="en-US" sz="1100"/>
        </a:p>
      </dgm:t>
    </dgm:pt>
    <dgm:pt modelId="{B1732313-1363-4B03-B28E-135EDC2832A2}" type="sibTrans" cxnId="{D1D635A8-43EB-4830-98EF-CDC83C8125AE}">
      <dgm:prSet custT="1"/>
      <dgm:spPr/>
      <dgm:t>
        <a:bodyPr/>
        <a:lstStyle/>
        <a:p>
          <a:endParaRPr lang="en-US" sz="1100"/>
        </a:p>
      </dgm:t>
    </dgm:pt>
    <dgm:pt modelId="{AA39CF35-2135-48D2-A788-217D06ED4357}">
      <dgm:prSet phldrT="[Text]" custT="1"/>
      <dgm:spPr>
        <a:noFill/>
        <a:ln w="9525">
          <a:solidFill>
            <a:schemeClr val="tx1"/>
          </a:solidFill>
        </a:ln>
      </dgm:spPr>
      <dgm:t>
        <a:bodyPr/>
        <a:lstStyle/>
        <a:p>
          <a:r>
            <a:rPr lang="en-US" sz="1100">
              <a:solidFill>
                <a:schemeClr val="tx1"/>
              </a:solidFill>
              <a:latin typeface="+mn-lt"/>
              <a:cs typeface="Arial" panose="020B0604020202020204" pitchFamily="34" charset="0"/>
            </a:rPr>
            <a:t>↓ Length of Stay, Mortality, Post-Operative Complications</a:t>
          </a:r>
          <a:endParaRPr lang="en-US" sz="1100">
            <a:solidFill>
              <a:schemeClr val="tx1"/>
            </a:solidFill>
            <a:latin typeface="+mn-lt"/>
          </a:endParaRPr>
        </a:p>
      </dgm:t>
    </dgm:pt>
    <dgm:pt modelId="{4D18589C-6400-482E-9BD4-EDBFFFED9296}" type="parTrans" cxnId="{C33CE662-4BA7-4FF9-B175-32B14950EABE}">
      <dgm:prSet/>
      <dgm:spPr/>
      <dgm:t>
        <a:bodyPr/>
        <a:lstStyle/>
        <a:p>
          <a:endParaRPr lang="en-US" sz="1100"/>
        </a:p>
      </dgm:t>
    </dgm:pt>
    <dgm:pt modelId="{DC9D3CE5-8CDC-40AE-ADD1-FE6C820770CB}" type="sibTrans" cxnId="{C33CE662-4BA7-4FF9-B175-32B14950EABE}">
      <dgm:prSet/>
      <dgm:spPr/>
      <dgm:t>
        <a:bodyPr/>
        <a:lstStyle/>
        <a:p>
          <a:endParaRPr lang="en-US" sz="1100"/>
        </a:p>
      </dgm:t>
    </dgm:pt>
    <dgm:pt modelId="{D2261BE1-7DE1-4A48-AAE6-84F81D3A901A}">
      <dgm:prSet custT="1"/>
      <dgm:spPr>
        <a:solidFill>
          <a:schemeClr val="bg1"/>
        </a:solidFill>
        <a:ln w="28575">
          <a:solidFill>
            <a:srgbClr val="FF0000"/>
          </a:solidFill>
        </a:ln>
      </dgm:spPr>
      <dgm:t>
        <a:bodyPr/>
        <a:lstStyle/>
        <a:p>
          <a:r>
            <a:rPr lang="en-US" sz="1100">
              <a:solidFill>
                <a:sysClr val="windowText" lastClr="000000"/>
              </a:solidFill>
            </a:rPr>
            <a:t>Medical Diagnosis of Malnutrition by Physician</a:t>
          </a:r>
        </a:p>
      </dgm:t>
    </dgm:pt>
    <dgm:pt modelId="{E48BDF90-E4FC-4E5E-B717-95C3DDFEFA9F}" type="parTrans" cxnId="{01C7B737-48C1-4A22-84A7-843A6D3B195D}">
      <dgm:prSet/>
      <dgm:spPr/>
      <dgm:t>
        <a:bodyPr/>
        <a:lstStyle/>
        <a:p>
          <a:endParaRPr lang="en-US" sz="1100"/>
        </a:p>
      </dgm:t>
    </dgm:pt>
    <dgm:pt modelId="{59DB4D91-99CD-4EB8-BB55-D267CDCD679F}" type="sibTrans" cxnId="{01C7B737-48C1-4A22-84A7-843A6D3B195D}">
      <dgm:prSet custT="1"/>
      <dgm:spPr/>
      <dgm:t>
        <a:bodyPr/>
        <a:lstStyle/>
        <a:p>
          <a:endParaRPr lang="en-US" sz="1100"/>
        </a:p>
      </dgm:t>
    </dgm:pt>
    <dgm:pt modelId="{3D6FAED9-6172-4034-A1AA-E20F69555969}" type="pres">
      <dgm:prSet presAssocID="{E0251977-8180-4199-8C5A-83F8597B0191}" presName="Name0" presStyleCnt="0">
        <dgm:presLayoutVars>
          <dgm:dir/>
          <dgm:resizeHandles val="exact"/>
        </dgm:presLayoutVars>
      </dgm:prSet>
      <dgm:spPr/>
    </dgm:pt>
    <dgm:pt modelId="{E5302151-1867-46F5-B599-1144FA6E7BDD}" type="pres">
      <dgm:prSet presAssocID="{8C356914-9167-4B35-8C26-4469ADA89065}" presName="node" presStyleLbl="node1" presStyleIdx="0" presStyleCnt="4">
        <dgm:presLayoutVars>
          <dgm:bulletEnabled val="1"/>
        </dgm:presLayoutVars>
      </dgm:prSet>
      <dgm:spPr>
        <a:prstGeom prst="rect">
          <a:avLst/>
        </a:prstGeom>
      </dgm:spPr>
    </dgm:pt>
    <dgm:pt modelId="{C5752635-93BB-4FB3-A1A8-A01814A41C60}" type="pres">
      <dgm:prSet presAssocID="{E35DA12C-AA64-462C-B609-F4EADEA59C36}" presName="sibTrans" presStyleLbl="sibTrans2D1" presStyleIdx="0" presStyleCnt="3" custScaleY="109055"/>
      <dgm:spPr/>
    </dgm:pt>
    <dgm:pt modelId="{41C3BC73-9776-493C-8A1C-1ABFB7E7A547}" type="pres">
      <dgm:prSet presAssocID="{E35DA12C-AA64-462C-B609-F4EADEA59C36}" presName="connectorText" presStyleLbl="sibTrans2D1" presStyleIdx="0" presStyleCnt="3"/>
      <dgm:spPr/>
    </dgm:pt>
    <dgm:pt modelId="{AA4DB70D-546F-4A01-90F7-DCC104CC55D6}" type="pres">
      <dgm:prSet presAssocID="{D2261BE1-7DE1-4A48-AAE6-84F81D3A901A}" presName="node" presStyleLbl="node1" presStyleIdx="1" presStyleCnt="4">
        <dgm:presLayoutVars>
          <dgm:bulletEnabled val="1"/>
        </dgm:presLayoutVars>
      </dgm:prSet>
      <dgm:spPr>
        <a:prstGeom prst="rect">
          <a:avLst/>
        </a:prstGeom>
      </dgm:spPr>
    </dgm:pt>
    <dgm:pt modelId="{F1546F5F-D067-4D9F-9558-A94A1BD9EF6B}" type="pres">
      <dgm:prSet presAssocID="{59DB4D91-99CD-4EB8-BB55-D267CDCD679F}" presName="sibTrans" presStyleLbl="sibTrans2D1" presStyleIdx="1" presStyleCnt="3"/>
      <dgm:spPr/>
    </dgm:pt>
    <dgm:pt modelId="{2641DDF8-28F3-4E2A-BAFE-7B28E429ACFF}" type="pres">
      <dgm:prSet presAssocID="{59DB4D91-99CD-4EB8-BB55-D267CDCD679F}" presName="connectorText" presStyleLbl="sibTrans2D1" presStyleIdx="1" presStyleCnt="3"/>
      <dgm:spPr/>
    </dgm:pt>
    <dgm:pt modelId="{2E565498-2CB3-4582-8544-6824BE4041F7}" type="pres">
      <dgm:prSet presAssocID="{20E57461-914F-48B8-9BE3-C3C65BC67EC4}" presName="node" presStyleLbl="node1" presStyleIdx="2" presStyleCnt="4" custScaleX="113414">
        <dgm:presLayoutVars>
          <dgm:bulletEnabled val="1"/>
        </dgm:presLayoutVars>
      </dgm:prSet>
      <dgm:spPr>
        <a:prstGeom prst="rect">
          <a:avLst/>
        </a:prstGeom>
      </dgm:spPr>
    </dgm:pt>
    <dgm:pt modelId="{0B5C0ECE-C1C1-460A-BEC3-0ABC10FC6022}" type="pres">
      <dgm:prSet presAssocID="{B1732313-1363-4B03-B28E-135EDC2832A2}" presName="sibTrans" presStyleLbl="sibTrans2D1" presStyleIdx="2" presStyleCnt="3"/>
      <dgm:spPr/>
    </dgm:pt>
    <dgm:pt modelId="{B74A2566-C239-471F-BA3C-3CB7BF234DE0}" type="pres">
      <dgm:prSet presAssocID="{B1732313-1363-4B03-B28E-135EDC2832A2}" presName="connectorText" presStyleLbl="sibTrans2D1" presStyleIdx="2" presStyleCnt="3"/>
      <dgm:spPr/>
    </dgm:pt>
    <dgm:pt modelId="{CF21F3EB-62B5-4F84-9BEF-E94B5D3CCD53}" type="pres">
      <dgm:prSet presAssocID="{AA39CF35-2135-48D2-A788-217D06ED4357}" presName="node" presStyleLbl="node1" presStyleIdx="3" presStyleCnt="4">
        <dgm:presLayoutVars>
          <dgm:bulletEnabled val="1"/>
        </dgm:presLayoutVars>
      </dgm:prSet>
      <dgm:spPr>
        <a:prstGeom prst="rect">
          <a:avLst/>
        </a:prstGeom>
      </dgm:spPr>
    </dgm:pt>
  </dgm:ptLst>
  <dgm:cxnLst>
    <dgm:cxn modelId="{93904216-5D3A-444F-BE9F-BAFCD42BDF6A}" type="presOf" srcId="{8C356914-9167-4B35-8C26-4469ADA89065}" destId="{E5302151-1867-46F5-B599-1144FA6E7BDD}" srcOrd="0" destOrd="0" presId="urn:microsoft.com/office/officeart/2005/8/layout/process1"/>
    <dgm:cxn modelId="{86412D1A-32FA-4D3E-A715-05F8A9F7D7FB}" type="presOf" srcId="{B1732313-1363-4B03-B28E-135EDC2832A2}" destId="{B74A2566-C239-471F-BA3C-3CB7BF234DE0}" srcOrd="1" destOrd="0" presId="urn:microsoft.com/office/officeart/2005/8/layout/process1"/>
    <dgm:cxn modelId="{2D415F33-DCAC-4FB0-96B2-5EB6EB1E4E84}" type="presOf" srcId="{E35DA12C-AA64-462C-B609-F4EADEA59C36}" destId="{C5752635-93BB-4FB3-A1A8-A01814A41C60}" srcOrd="0" destOrd="0" presId="urn:microsoft.com/office/officeart/2005/8/layout/process1"/>
    <dgm:cxn modelId="{01C7B737-48C1-4A22-84A7-843A6D3B195D}" srcId="{E0251977-8180-4199-8C5A-83F8597B0191}" destId="{D2261BE1-7DE1-4A48-AAE6-84F81D3A901A}" srcOrd="1" destOrd="0" parTransId="{E48BDF90-E4FC-4E5E-B717-95C3DDFEFA9F}" sibTransId="{59DB4D91-99CD-4EB8-BB55-D267CDCD679F}"/>
    <dgm:cxn modelId="{C33CE662-4BA7-4FF9-B175-32B14950EABE}" srcId="{E0251977-8180-4199-8C5A-83F8597B0191}" destId="{AA39CF35-2135-48D2-A788-217D06ED4357}" srcOrd="3" destOrd="0" parTransId="{4D18589C-6400-482E-9BD4-EDBFFFED9296}" sibTransId="{DC9D3CE5-8CDC-40AE-ADD1-FE6C820770CB}"/>
    <dgm:cxn modelId="{64994A43-61DB-4023-9807-89D2EDB669EE}" type="presOf" srcId="{20E57461-914F-48B8-9BE3-C3C65BC67EC4}" destId="{2E565498-2CB3-4582-8544-6824BE4041F7}" srcOrd="0" destOrd="0" presId="urn:microsoft.com/office/officeart/2005/8/layout/process1"/>
    <dgm:cxn modelId="{669D9E4C-6EB4-4D29-B28C-2EF2B4A7E8DC}" srcId="{E0251977-8180-4199-8C5A-83F8597B0191}" destId="{8C356914-9167-4B35-8C26-4469ADA89065}" srcOrd="0" destOrd="0" parTransId="{354FE13F-0583-4752-936C-C0CE019E96E5}" sibTransId="{E35DA12C-AA64-462C-B609-F4EADEA59C36}"/>
    <dgm:cxn modelId="{92516856-372C-4272-8989-031EFCF083AE}" type="presOf" srcId="{AA39CF35-2135-48D2-A788-217D06ED4357}" destId="{CF21F3EB-62B5-4F84-9BEF-E94B5D3CCD53}" srcOrd="0" destOrd="0" presId="urn:microsoft.com/office/officeart/2005/8/layout/process1"/>
    <dgm:cxn modelId="{638668A2-5357-411F-BFB8-5057A966E588}" type="presOf" srcId="{E35DA12C-AA64-462C-B609-F4EADEA59C36}" destId="{41C3BC73-9776-493C-8A1C-1ABFB7E7A547}" srcOrd="1" destOrd="0" presId="urn:microsoft.com/office/officeart/2005/8/layout/process1"/>
    <dgm:cxn modelId="{D1D635A8-43EB-4830-98EF-CDC83C8125AE}" srcId="{E0251977-8180-4199-8C5A-83F8597B0191}" destId="{20E57461-914F-48B8-9BE3-C3C65BC67EC4}" srcOrd="2" destOrd="0" parTransId="{21F42F0F-9C43-4AA5-B68B-0960963FFD38}" sibTransId="{B1732313-1363-4B03-B28E-135EDC2832A2}"/>
    <dgm:cxn modelId="{C715FEBF-00FE-4A61-A306-EA8A4ED9EC85}" type="presOf" srcId="{59DB4D91-99CD-4EB8-BB55-D267CDCD679F}" destId="{2641DDF8-28F3-4E2A-BAFE-7B28E429ACFF}" srcOrd="1" destOrd="0" presId="urn:microsoft.com/office/officeart/2005/8/layout/process1"/>
    <dgm:cxn modelId="{E0BD24DD-4ABE-41C4-ABB4-3A80BC9CAA8B}" type="presOf" srcId="{59DB4D91-99CD-4EB8-BB55-D267CDCD679F}" destId="{F1546F5F-D067-4D9F-9558-A94A1BD9EF6B}" srcOrd="0" destOrd="0" presId="urn:microsoft.com/office/officeart/2005/8/layout/process1"/>
    <dgm:cxn modelId="{88799FE7-76D4-413B-A5DD-347E87655A0E}" type="presOf" srcId="{D2261BE1-7DE1-4A48-AAE6-84F81D3A901A}" destId="{AA4DB70D-546F-4A01-90F7-DCC104CC55D6}" srcOrd="0" destOrd="0" presId="urn:microsoft.com/office/officeart/2005/8/layout/process1"/>
    <dgm:cxn modelId="{AA1047FA-1B05-4B03-A5DE-F7C1CAC8CEBB}" type="presOf" srcId="{B1732313-1363-4B03-B28E-135EDC2832A2}" destId="{0B5C0ECE-C1C1-460A-BEC3-0ABC10FC6022}" srcOrd="0" destOrd="0" presId="urn:microsoft.com/office/officeart/2005/8/layout/process1"/>
    <dgm:cxn modelId="{70828AFE-8E12-449D-AD6C-16B12FDEC28E}" type="presOf" srcId="{E0251977-8180-4199-8C5A-83F8597B0191}" destId="{3D6FAED9-6172-4034-A1AA-E20F69555969}" srcOrd="0" destOrd="0" presId="urn:microsoft.com/office/officeart/2005/8/layout/process1"/>
    <dgm:cxn modelId="{B60785E0-529D-4372-AA4B-3353165CFD85}" type="presParOf" srcId="{3D6FAED9-6172-4034-A1AA-E20F69555969}" destId="{E5302151-1867-46F5-B599-1144FA6E7BDD}" srcOrd="0" destOrd="0" presId="urn:microsoft.com/office/officeart/2005/8/layout/process1"/>
    <dgm:cxn modelId="{D9D8733C-E56A-476C-9500-9A147E3436FA}" type="presParOf" srcId="{3D6FAED9-6172-4034-A1AA-E20F69555969}" destId="{C5752635-93BB-4FB3-A1A8-A01814A41C60}" srcOrd="1" destOrd="0" presId="urn:microsoft.com/office/officeart/2005/8/layout/process1"/>
    <dgm:cxn modelId="{119D9875-7982-4DE2-BDCF-DC6A0661F9BC}" type="presParOf" srcId="{C5752635-93BB-4FB3-A1A8-A01814A41C60}" destId="{41C3BC73-9776-493C-8A1C-1ABFB7E7A547}" srcOrd="0" destOrd="0" presId="urn:microsoft.com/office/officeart/2005/8/layout/process1"/>
    <dgm:cxn modelId="{44299ED2-3B9A-469A-BA7F-8781B61CA379}" type="presParOf" srcId="{3D6FAED9-6172-4034-A1AA-E20F69555969}" destId="{AA4DB70D-546F-4A01-90F7-DCC104CC55D6}" srcOrd="2" destOrd="0" presId="urn:microsoft.com/office/officeart/2005/8/layout/process1"/>
    <dgm:cxn modelId="{5DF5D429-F88A-4A0E-A403-8B39F9AF17FD}" type="presParOf" srcId="{3D6FAED9-6172-4034-A1AA-E20F69555969}" destId="{F1546F5F-D067-4D9F-9558-A94A1BD9EF6B}" srcOrd="3" destOrd="0" presId="urn:microsoft.com/office/officeart/2005/8/layout/process1"/>
    <dgm:cxn modelId="{A564475D-C0A4-4495-966B-C879F01C356D}" type="presParOf" srcId="{F1546F5F-D067-4D9F-9558-A94A1BD9EF6B}" destId="{2641DDF8-28F3-4E2A-BAFE-7B28E429ACFF}" srcOrd="0" destOrd="0" presId="urn:microsoft.com/office/officeart/2005/8/layout/process1"/>
    <dgm:cxn modelId="{D7BC478A-DF47-4F18-95E9-715D2A91D747}" type="presParOf" srcId="{3D6FAED9-6172-4034-A1AA-E20F69555969}" destId="{2E565498-2CB3-4582-8544-6824BE4041F7}" srcOrd="4" destOrd="0" presId="urn:microsoft.com/office/officeart/2005/8/layout/process1"/>
    <dgm:cxn modelId="{29980A21-14EE-4BC3-87B7-A535E6AF282E}" type="presParOf" srcId="{3D6FAED9-6172-4034-A1AA-E20F69555969}" destId="{0B5C0ECE-C1C1-460A-BEC3-0ABC10FC6022}" srcOrd="5" destOrd="0" presId="urn:microsoft.com/office/officeart/2005/8/layout/process1"/>
    <dgm:cxn modelId="{1E93A2F8-1F74-4582-B2ED-4DCC05CAB068}" type="presParOf" srcId="{0B5C0ECE-C1C1-460A-BEC3-0ABC10FC6022}" destId="{B74A2566-C239-471F-BA3C-3CB7BF234DE0}" srcOrd="0" destOrd="0" presId="urn:microsoft.com/office/officeart/2005/8/layout/process1"/>
    <dgm:cxn modelId="{C47CCBC4-3763-43C8-AC11-BDD1E86EE711}" type="presParOf" srcId="{3D6FAED9-6172-4034-A1AA-E20F69555969}" destId="{CF21F3EB-62B5-4F84-9BEF-E94B5D3CCD53}" srcOrd="6" destOrd="0" presId="urn:microsoft.com/office/officeart/2005/8/layout/process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0251977-8180-4199-8C5A-83F8597B0191}"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8C356914-9167-4B35-8C26-4469ADA89065}">
      <dgm:prSet phldrT="[Text]" custT="1"/>
      <dgm:spPr>
        <a:noFill/>
        <a:ln w="9525">
          <a:solidFill>
            <a:schemeClr val="tx1"/>
          </a:solidFill>
        </a:ln>
      </dgm:spPr>
      <dgm:t>
        <a:bodyPr/>
        <a:lstStyle/>
        <a:p>
          <a:r>
            <a:rPr lang="en-US" sz="1100">
              <a:solidFill>
                <a:schemeClr val="tx1"/>
              </a:solidFill>
              <a:latin typeface="+mn-lt"/>
            </a:rPr>
            <a:t>Nutrition Assessment to Recommend Appropriate Care </a:t>
          </a:r>
        </a:p>
      </dgm:t>
    </dgm:pt>
    <dgm:pt modelId="{354FE13F-0583-4752-936C-C0CE019E96E5}" type="parTrans" cxnId="{669D9E4C-6EB4-4D29-B28C-2EF2B4A7E8DC}">
      <dgm:prSet/>
      <dgm:spPr/>
      <dgm:t>
        <a:bodyPr/>
        <a:lstStyle/>
        <a:p>
          <a:endParaRPr lang="en-US" sz="1100"/>
        </a:p>
      </dgm:t>
    </dgm:pt>
    <dgm:pt modelId="{E35DA12C-AA64-462C-B609-F4EADEA59C36}" type="sibTrans" cxnId="{669D9E4C-6EB4-4D29-B28C-2EF2B4A7E8DC}">
      <dgm:prSet custT="1"/>
      <dgm:spPr/>
      <dgm:t>
        <a:bodyPr/>
        <a:lstStyle/>
        <a:p>
          <a:endParaRPr lang="en-US" sz="1100"/>
        </a:p>
      </dgm:t>
    </dgm:pt>
    <dgm:pt modelId="{20E57461-914F-48B8-9BE3-C3C65BC67EC4}">
      <dgm:prSet phldrT="[Text]" custT="1"/>
      <dgm:spPr>
        <a:noFill/>
        <a:ln w="28575">
          <a:solidFill>
            <a:srgbClr val="FF0000"/>
          </a:solidFill>
        </a:ln>
      </dgm:spPr>
      <dgm:t>
        <a:bodyPr/>
        <a:lstStyle/>
        <a:p>
          <a:r>
            <a:rPr lang="en-US" sz="1100">
              <a:solidFill>
                <a:schemeClr val="tx1"/>
              </a:solidFill>
              <a:latin typeface="+mn-lt"/>
              <a:cs typeface="Arial" panose="020B0604020202020204" pitchFamily="34" charset="0"/>
            </a:rPr>
            <a:t>Implementation of Nutrition Intervention for Malnourished Patient</a:t>
          </a:r>
          <a:endParaRPr lang="en-US" sz="1100">
            <a:solidFill>
              <a:schemeClr val="tx1"/>
            </a:solidFill>
            <a:latin typeface="+mn-lt"/>
          </a:endParaRPr>
        </a:p>
      </dgm:t>
    </dgm:pt>
    <dgm:pt modelId="{21F42F0F-9C43-4AA5-B68B-0960963FFD38}" type="parTrans" cxnId="{D1D635A8-43EB-4830-98EF-CDC83C8125AE}">
      <dgm:prSet/>
      <dgm:spPr/>
      <dgm:t>
        <a:bodyPr/>
        <a:lstStyle/>
        <a:p>
          <a:endParaRPr lang="en-US" sz="1100"/>
        </a:p>
      </dgm:t>
    </dgm:pt>
    <dgm:pt modelId="{B1732313-1363-4B03-B28E-135EDC2832A2}" type="sibTrans" cxnId="{D1D635A8-43EB-4830-98EF-CDC83C8125AE}">
      <dgm:prSet custT="1"/>
      <dgm:spPr/>
      <dgm:t>
        <a:bodyPr/>
        <a:lstStyle/>
        <a:p>
          <a:endParaRPr lang="en-US" sz="1100"/>
        </a:p>
      </dgm:t>
    </dgm:pt>
    <dgm:pt modelId="{AA39CF35-2135-48D2-A788-217D06ED4357}">
      <dgm:prSet phldrT="[Text]" custT="1"/>
      <dgm:spPr>
        <a:noFill/>
        <a:ln w="9525">
          <a:solidFill>
            <a:schemeClr val="tx1"/>
          </a:solidFill>
        </a:ln>
      </dgm:spPr>
      <dgm:t>
        <a:bodyPr/>
        <a:lstStyle/>
        <a:p>
          <a:r>
            <a:rPr lang="en-US" sz="1100">
              <a:solidFill>
                <a:schemeClr val="tx1"/>
              </a:solidFill>
              <a:latin typeface="+mn-lt"/>
              <a:cs typeface="Arial" panose="020B0604020202020204" pitchFamily="34" charset="0"/>
            </a:rPr>
            <a:t>↓ Length of Stay, Mortality, Post-Operative Complications</a:t>
          </a:r>
          <a:endParaRPr lang="en-US" sz="1100">
            <a:solidFill>
              <a:schemeClr val="tx1"/>
            </a:solidFill>
            <a:latin typeface="+mn-lt"/>
          </a:endParaRPr>
        </a:p>
      </dgm:t>
    </dgm:pt>
    <dgm:pt modelId="{4D18589C-6400-482E-9BD4-EDBFFFED9296}" type="parTrans" cxnId="{C33CE662-4BA7-4FF9-B175-32B14950EABE}">
      <dgm:prSet/>
      <dgm:spPr/>
      <dgm:t>
        <a:bodyPr/>
        <a:lstStyle/>
        <a:p>
          <a:endParaRPr lang="en-US" sz="1100"/>
        </a:p>
      </dgm:t>
    </dgm:pt>
    <dgm:pt modelId="{DC9D3CE5-8CDC-40AE-ADD1-FE6C820770CB}" type="sibTrans" cxnId="{C33CE662-4BA7-4FF9-B175-32B14950EABE}">
      <dgm:prSet/>
      <dgm:spPr/>
      <dgm:t>
        <a:bodyPr/>
        <a:lstStyle/>
        <a:p>
          <a:endParaRPr lang="en-US" sz="1100"/>
        </a:p>
      </dgm:t>
    </dgm:pt>
    <dgm:pt modelId="{D2261BE1-7DE1-4A48-AAE6-84F81D3A901A}">
      <dgm:prSet custT="1"/>
      <dgm:spPr>
        <a:solidFill>
          <a:schemeClr val="bg1"/>
        </a:solidFill>
        <a:ln w="12700">
          <a:solidFill>
            <a:schemeClr val="tx1"/>
          </a:solidFill>
        </a:ln>
      </dgm:spPr>
      <dgm:t>
        <a:bodyPr/>
        <a:lstStyle/>
        <a:p>
          <a:r>
            <a:rPr lang="en-US" sz="1100">
              <a:solidFill>
                <a:sysClr val="windowText" lastClr="000000"/>
              </a:solidFill>
            </a:rPr>
            <a:t>Medical Diagnosis of Malnutrition by Physician</a:t>
          </a:r>
        </a:p>
      </dgm:t>
    </dgm:pt>
    <dgm:pt modelId="{E48BDF90-E4FC-4E5E-B717-95C3DDFEFA9F}" type="parTrans" cxnId="{01C7B737-48C1-4A22-84A7-843A6D3B195D}">
      <dgm:prSet/>
      <dgm:spPr/>
      <dgm:t>
        <a:bodyPr/>
        <a:lstStyle/>
        <a:p>
          <a:endParaRPr lang="en-US" sz="1100"/>
        </a:p>
      </dgm:t>
    </dgm:pt>
    <dgm:pt modelId="{59DB4D91-99CD-4EB8-BB55-D267CDCD679F}" type="sibTrans" cxnId="{01C7B737-48C1-4A22-84A7-843A6D3B195D}">
      <dgm:prSet custT="1"/>
      <dgm:spPr/>
      <dgm:t>
        <a:bodyPr/>
        <a:lstStyle/>
        <a:p>
          <a:endParaRPr lang="en-US" sz="1100"/>
        </a:p>
      </dgm:t>
    </dgm:pt>
    <dgm:pt modelId="{3D6FAED9-6172-4034-A1AA-E20F69555969}" type="pres">
      <dgm:prSet presAssocID="{E0251977-8180-4199-8C5A-83F8597B0191}" presName="Name0" presStyleCnt="0">
        <dgm:presLayoutVars>
          <dgm:dir/>
          <dgm:resizeHandles val="exact"/>
        </dgm:presLayoutVars>
      </dgm:prSet>
      <dgm:spPr/>
    </dgm:pt>
    <dgm:pt modelId="{E5302151-1867-46F5-B599-1144FA6E7BDD}" type="pres">
      <dgm:prSet presAssocID="{8C356914-9167-4B35-8C26-4469ADA89065}" presName="node" presStyleLbl="node1" presStyleIdx="0" presStyleCnt="4">
        <dgm:presLayoutVars>
          <dgm:bulletEnabled val="1"/>
        </dgm:presLayoutVars>
      </dgm:prSet>
      <dgm:spPr>
        <a:prstGeom prst="rect">
          <a:avLst/>
        </a:prstGeom>
      </dgm:spPr>
    </dgm:pt>
    <dgm:pt modelId="{C5752635-93BB-4FB3-A1A8-A01814A41C60}" type="pres">
      <dgm:prSet presAssocID="{E35DA12C-AA64-462C-B609-F4EADEA59C36}" presName="sibTrans" presStyleLbl="sibTrans2D1" presStyleIdx="0" presStyleCnt="3" custScaleY="109055"/>
      <dgm:spPr/>
    </dgm:pt>
    <dgm:pt modelId="{41C3BC73-9776-493C-8A1C-1ABFB7E7A547}" type="pres">
      <dgm:prSet presAssocID="{E35DA12C-AA64-462C-B609-F4EADEA59C36}" presName="connectorText" presStyleLbl="sibTrans2D1" presStyleIdx="0" presStyleCnt="3"/>
      <dgm:spPr/>
    </dgm:pt>
    <dgm:pt modelId="{AA4DB70D-546F-4A01-90F7-DCC104CC55D6}" type="pres">
      <dgm:prSet presAssocID="{D2261BE1-7DE1-4A48-AAE6-84F81D3A901A}" presName="node" presStyleLbl="node1" presStyleIdx="1" presStyleCnt="4">
        <dgm:presLayoutVars>
          <dgm:bulletEnabled val="1"/>
        </dgm:presLayoutVars>
      </dgm:prSet>
      <dgm:spPr>
        <a:prstGeom prst="rect">
          <a:avLst/>
        </a:prstGeom>
      </dgm:spPr>
    </dgm:pt>
    <dgm:pt modelId="{F1546F5F-D067-4D9F-9558-A94A1BD9EF6B}" type="pres">
      <dgm:prSet presAssocID="{59DB4D91-99CD-4EB8-BB55-D267CDCD679F}" presName="sibTrans" presStyleLbl="sibTrans2D1" presStyleIdx="1" presStyleCnt="3"/>
      <dgm:spPr/>
    </dgm:pt>
    <dgm:pt modelId="{2641DDF8-28F3-4E2A-BAFE-7B28E429ACFF}" type="pres">
      <dgm:prSet presAssocID="{59DB4D91-99CD-4EB8-BB55-D267CDCD679F}" presName="connectorText" presStyleLbl="sibTrans2D1" presStyleIdx="1" presStyleCnt="3"/>
      <dgm:spPr/>
    </dgm:pt>
    <dgm:pt modelId="{2E565498-2CB3-4582-8544-6824BE4041F7}" type="pres">
      <dgm:prSet presAssocID="{20E57461-914F-48B8-9BE3-C3C65BC67EC4}" presName="node" presStyleLbl="node1" presStyleIdx="2" presStyleCnt="4" custScaleX="113414">
        <dgm:presLayoutVars>
          <dgm:bulletEnabled val="1"/>
        </dgm:presLayoutVars>
      </dgm:prSet>
      <dgm:spPr>
        <a:prstGeom prst="rect">
          <a:avLst/>
        </a:prstGeom>
      </dgm:spPr>
    </dgm:pt>
    <dgm:pt modelId="{0B5C0ECE-C1C1-460A-BEC3-0ABC10FC6022}" type="pres">
      <dgm:prSet presAssocID="{B1732313-1363-4B03-B28E-135EDC2832A2}" presName="sibTrans" presStyleLbl="sibTrans2D1" presStyleIdx="2" presStyleCnt="3"/>
      <dgm:spPr/>
    </dgm:pt>
    <dgm:pt modelId="{B74A2566-C239-471F-BA3C-3CB7BF234DE0}" type="pres">
      <dgm:prSet presAssocID="{B1732313-1363-4B03-B28E-135EDC2832A2}" presName="connectorText" presStyleLbl="sibTrans2D1" presStyleIdx="2" presStyleCnt="3"/>
      <dgm:spPr/>
    </dgm:pt>
    <dgm:pt modelId="{CF21F3EB-62B5-4F84-9BEF-E94B5D3CCD53}" type="pres">
      <dgm:prSet presAssocID="{AA39CF35-2135-48D2-A788-217D06ED4357}" presName="node" presStyleLbl="node1" presStyleIdx="3" presStyleCnt="4">
        <dgm:presLayoutVars>
          <dgm:bulletEnabled val="1"/>
        </dgm:presLayoutVars>
      </dgm:prSet>
      <dgm:spPr>
        <a:prstGeom prst="rect">
          <a:avLst/>
        </a:prstGeom>
      </dgm:spPr>
    </dgm:pt>
  </dgm:ptLst>
  <dgm:cxnLst>
    <dgm:cxn modelId="{93904216-5D3A-444F-BE9F-BAFCD42BDF6A}" type="presOf" srcId="{8C356914-9167-4B35-8C26-4469ADA89065}" destId="{E5302151-1867-46F5-B599-1144FA6E7BDD}" srcOrd="0" destOrd="0" presId="urn:microsoft.com/office/officeart/2005/8/layout/process1"/>
    <dgm:cxn modelId="{86412D1A-32FA-4D3E-A715-05F8A9F7D7FB}" type="presOf" srcId="{B1732313-1363-4B03-B28E-135EDC2832A2}" destId="{B74A2566-C239-471F-BA3C-3CB7BF234DE0}" srcOrd="1" destOrd="0" presId="urn:microsoft.com/office/officeart/2005/8/layout/process1"/>
    <dgm:cxn modelId="{2D415F33-DCAC-4FB0-96B2-5EB6EB1E4E84}" type="presOf" srcId="{E35DA12C-AA64-462C-B609-F4EADEA59C36}" destId="{C5752635-93BB-4FB3-A1A8-A01814A41C60}" srcOrd="0" destOrd="0" presId="urn:microsoft.com/office/officeart/2005/8/layout/process1"/>
    <dgm:cxn modelId="{01C7B737-48C1-4A22-84A7-843A6D3B195D}" srcId="{E0251977-8180-4199-8C5A-83F8597B0191}" destId="{D2261BE1-7DE1-4A48-AAE6-84F81D3A901A}" srcOrd="1" destOrd="0" parTransId="{E48BDF90-E4FC-4E5E-B717-95C3DDFEFA9F}" sibTransId="{59DB4D91-99CD-4EB8-BB55-D267CDCD679F}"/>
    <dgm:cxn modelId="{C33CE662-4BA7-4FF9-B175-32B14950EABE}" srcId="{E0251977-8180-4199-8C5A-83F8597B0191}" destId="{AA39CF35-2135-48D2-A788-217D06ED4357}" srcOrd="3" destOrd="0" parTransId="{4D18589C-6400-482E-9BD4-EDBFFFED9296}" sibTransId="{DC9D3CE5-8CDC-40AE-ADD1-FE6C820770CB}"/>
    <dgm:cxn modelId="{64994A43-61DB-4023-9807-89D2EDB669EE}" type="presOf" srcId="{20E57461-914F-48B8-9BE3-C3C65BC67EC4}" destId="{2E565498-2CB3-4582-8544-6824BE4041F7}" srcOrd="0" destOrd="0" presId="urn:microsoft.com/office/officeart/2005/8/layout/process1"/>
    <dgm:cxn modelId="{669D9E4C-6EB4-4D29-B28C-2EF2B4A7E8DC}" srcId="{E0251977-8180-4199-8C5A-83F8597B0191}" destId="{8C356914-9167-4B35-8C26-4469ADA89065}" srcOrd="0" destOrd="0" parTransId="{354FE13F-0583-4752-936C-C0CE019E96E5}" sibTransId="{E35DA12C-AA64-462C-B609-F4EADEA59C36}"/>
    <dgm:cxn modelId="{92516856-372C-4272-8989-031EFCF083AE}" type="presOf" srcId="{AA39CF35-2135-48D2-A788-217D06ED4357}" destId="{CF21F3EB-62B5-4F84-9BEF-E94B5D3CCD53}" srcOrd="0" destOrd="0" presId="urn:microsoft.com/office/officeart/2005/8/layout/process1"/>
    <dgm:cxn modelId="{638668A2-5357-411F-BFB8-5057A966E588}" type="presOf" srcId="{E35DA12C-AA64-462C-B609-F4EADEA59C36}" destId="{41C3BC73-9776-493C-8A1C-1ABFB7E7A547}" srcOrd="1" destOrd="0" presId="urn:microsoft.com/office/officeart/2005/8/layout/process1"/>
    <dgm:cxn modelId="{D1D635A8-43EB-4830-98EF-CDC83C8125AE}" srcId="{E0251977-8180-4199-8C5A-83F8597B0191}" destId="{20E57461-914F-48B8-9BE3-C3C65BC67EC4}" srcOrd="2" destOrd="0" parTransId="{21F42F0F-9C43-4AA5-B68B-0960963FFD38}" sibTransId="{B1732313-1363-4B03-B28E-135EDC2832A2}"/>
    <dgm:cxn modelId="{C715FEBF-00FE-4A61-A306-EA8A4ED9EC85}" type="presOf" srcId="{59DB4D91-99CD-4EB8-BB55-D267CDCD679F}" destId="{2641DDF8-28F3-4E2A-BAFE-7B28E429ACFF}" srcOrd="1" destOrd="0" presId="urn:microsoft.com/office/officeart/2005/8/layout/process1"/>
    <dgm:cxn modelId="{E0BD24DD-4ABE-41C4-ABB4-3A80BC9CAA8B}" type="presOf" srcId="{59DB4D91-99CD-4EB8-BB55-D267CDCD679F}" destId="{F1546F5F-D067-4D9F-9558-A94A1BD9EF6B}" srcOrd="0" destOrd="0" presId="urn:microsoft.com/office/officeart/2005/8/layout/process1"/>
    <dgm:cxn modelId="{88799FE7-76D4-413B-A5DD-347E87655A0E}" type="presOf" srcId="{D2261BE1-7DE1-4A48-AAE6-84F81D3A901A}" destId="{AA4DB70D-546F-4A01-90F7-DCC104CC55D6}" srcOrd="0" destOrd="0" presId="urn:microsoft.com/office/officeart/2005/8/layout/process1"/>
    <dgm:cxn modelId="{AA1047FA-1B05-4B03-A5DE-F7C1CAC8CEBB}" type="presOf" srcId="{B1732313-1363-4B03-B28E-135EDC2832A2}" destId="{0B5C0ECE-C1C1-460A-BEC3-0ABC10FC6022}" srcOrd="0" destOrd="0" presId="urn:microsoft.com/office/officeart/2005/8/layout/process1"/>
    <dgm:cxn modelId="{70828AFE-8E12-449D-AD6C-16B12FDEC28E}" type="presOf" srcId="{E0251977-8180-4199-8C5A-83F8597B0191}" destId="{3D6FAED9-6172-4034-A1AA-E20F69555969}" srcOrd="0" destOrd="0" presId="urn:microsoft.com/office/officeart/2005/8/layout/process1"/>
    <dgm:cxn modelId="{B60785E0-529D-4372-AA4B-3353165CFD85}" type="presParOf" srcId="{3D6FAED9-6172-4034-A1AA-E20F69555969}" destId="{E5302151-1867-46F5-B599-1144FA6E7BDD}" srcOrd="0" destOrd="0" presId="urn:microsoft.com/office/officeart/2005/8/layout/process1"/>
    <dgm:cxn modelId="{D9D8733C-E56A-476C-9500-9A147E3436FA}" type="presParOf" srcId="{3D6FAED9-6172-4034-A1AA-E20F69555969}" destId="{C5752635-93BB-4FB3-A1A8-A01814A41C60}" srcOrd="1" destOrd="0" presId="urn:microsoft.com/office/officeart/2005/8/layout/process1"/>
    <dgm:cxn modelId="{119D9875-7982-4DE2-BDCF-DC6A0661F9BC}" type="presParOf" srcId="{C5752635-93BB-4FB3-A1A8-A01814A41C60}" destId="{41C3BC73-9776-493C-8A1C-1ABFB7E7A547}" srcOrd="0" destOrd="0" presId="urn:microsoft.com/office/officeart/2005/8/layout/process1"/>
    <dgm:cxn modelId="{44299ED2-3B9A-469A-BA7F-8781B61CA379}" type="presParOf" srcId="{3D6FAED9-6172-4034-A1AA-E20F69555969}" destId="{AA4DB70D-546F-4A01-90F7-DCC104CC55D6}" srcOrd="2" destOrd="0" presId="urn:microsoft.com/office/officeart/2005/8/layout/process1"/>
    <dgm:cxn modelId="{5DF5D429-F88A-4A0E-A403-8B39F9AF17FD}" type="presParOf" srcId="{3D6FAED9-6172-4034-A1AA-E20F69555969}" destId="{F1546F5F-D067-4D9F-9558-A94A1BD9EF6B}" srcOrd="3" destOrd="0" presId="urn:microsoft.com/office/officeart/2005/8/layout/process1"/>
    <dgm:cxn modelId="{A564475D-C0A4-4495-966B-C879F01C356D}" type="presParOf" srcId="{F1546F5F-D067-4D9F-9558-A94A1BD9EF6B}" destId="{2641DDF8-28F3-4E2A-BAFE-7B28E429ACFF}" srcOrd="0" destOrd="0" presId="urn:microsoft.com/office/officeart/2005/8/layout/process1"/>
    <dgm:cxn modelId="{D7BC478A-DF47-4F18-95E9-715D2A91D747}" type="presParOf" srcId="{3D6FAED9-6172-4034-A1AA-E20F69555969}" destId="{2E565498-2CB3-4582-8544-6824BE4041F7}" srcOrd="4" destOrd="0" presId="urn:microsoft.com/office/officeart/2005/8/layout/process1"/>
    <dgm:cxn modelId="{29980A21-14EE-4BC3-87B7-A535E6AF282E}" type="presParOf" srcId="{3D6FAED9-6172-4034-A1AA-E20F69555969}" destId="{0B5C0ECE-C1C1-460A-BEC3-0ABC10FC6022}" srcOrd="5" destOrd="0" presId="urn:microsoft.com/office/officeart/2005/8/layout/process1"/>
    <dgm:cxn modelId="{1E93A2F8-1F74-4582-B2ED-4DCC05CAB068}" type="presParOf" srcId="{0B5C0ECE-C1C1-460A-BEC3-0ABC10FC6022}" destId="{B74A2566-C239-471F-BA3C-3CB7BF234DE0}" srcOrd="0" destOrd="0" presId="urn:microsoft.com/office/officeart/2005/8/layout/process1"/>
    <dgm:cxn modelId="{C47CCBC4-3763-43C8-AC11-BDD1E86EE711}" type="presParOf" srcId="{3D6FAED9-6172-4034-A1AA-E20F69555969}" destId="{CF21F3EB-62B5-4F84-9BEF-E94B5D3CCD53}" srcOrd="6" destOrd="0" presId="urn:microsoft.com/office/officeart/2005/8/layout/process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D36742-C973-4474-A568-9BFE1617AB46}">
      <dsp:nvSpPr>
        <dsp:cNvPr id="0" name=""/>
        <dsp:cNvSpPr/>
      </dsp:nvSpPr>
      <dsp:spPr>
        <a:xfrm>
          <a:off x="3382" y="197322"/>
          <a:ext cx="1100488" cy="938854"/>
        </a:xfrm>
        <a:prstGeom prst="rect">
          <a:avLst/>
        </a:prstGeom>
        <a:noFill/>
        <a:ln w="28575" cap="flat" cmpd="sng" algn="ctr">
          <a:solidFill>
            <a:srgbClr val="FF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rPr>
            <a:t>Screen Patients to Identify Risk of Malnutrition </a:t>
          </a:r>
        </a:p>
      </dsp:txBody>
      <dsp:txXfrm>
        <a:off x="3382" y="197322"/>
        <a:ext cx="1100488" cy="938854"/>
      </dsp:txXfrm>
    </dsp:sp>
    <dsp:sp modelId="{168CE1B6-248F-4CE7-96B5-5426EA79983C}">
      <dsp:nvSpPr>
        <dsp:cNvPr id="0" name=""/>
        <dsp:cNvSpPr/>
      </dsp:nvSpPr>
      <dsp:spPr>
        <a:xfrm>
          <a:off x="1213919" y="608564"/>
          <a:ext cx="233303" cy="11637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213919" y="631838"/>
        <a:ext cx="198392" cy="69822"/>
      </dsp:txXfrm>
    </dsp:sp>
    <dsp:sp modelId="{E5302151-1867-46F5-B599-1144FA6E7BDD}">
      <dsp:nvSpPr>
        <dsp:cNvPr id="0" name=""/>
        <dsp:cNvSpPr/>
      </dsp:nvSpPr>
      <dsp:spPr>
        <a:xfrm>
          <a:off x="1544066" y="197322"/>
          <a:ext cx="1100488" cy="938854"/>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rPr>
            <a:t>Nutrition Assessment to Recommend Appropriate Care </a:t>
          </a:r>
        </a:p>
      </dsp:txBody>
      <dsp:txXfrm>
        <a:off x="1544066" y="197322"/>
        <a:ext cx="1100488" cy="938854"/>
      </dsp:txXfrm>
    </dsp:sp>
    <dsp:sp modelId="{C5752635-93BB-4FB3-A1A8-A01814A41C60}">
      <dsp:nvSpPr>
        <dsp:cNvPr id="0" name=""/>
        <dsp:cNvSpPr/>
      </dsp:nvSpPr>
      <dsp:spPr>
        <a:xfrm>
          <a:off x="2754603" y="608564"/>
          <a:ext cx="233303" cy="11637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54603" y="631838"/>
        <a:ext cx="198392" cy="69822"/>
      </dsp:txXfrm>
    </dsp:sp>
    <dsp:sp modelId="{2E565498-2CB3-4582-8544-6824BE4041F7}">
      <dsp:nvSpPr>
        <dsp:cNvPr id="0" name=""/>
        <dsp:cNvSpPr/>
      </dsp:nvSpPr>
      <dsp:spPr>
        <a:xfrm>
          <a:off x="3084750" y="197322"/>
          <a:ext cx="1248108" cy="938854"/>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cs typeface="Arial" panose="020B0604020202020204" pitchFamily="34" charset="0"/>
            </a:rPr>
            <a:t>Implementation of Nutrition Intervention for Malnourished Patient</a:t>
          </a:r>
          <a:endParaRPr lang="en-US" sz="1200" kern="1200">
            <a:solidFill>
              <a:schemeClr val="tx1"/>
            </a:solidFill>
            <a:latin typeface="+mn-lt"/>
          </a:endParaRPr>
        </a:p>
      </dsp:txBody>
      <dsp:txXfrm>
        <a:off x="3084750" y="197322"/>
        <a:ext cx="1248108" cy="938854"/>
      </dsp:txXfrm>
    </dsp:sp>
    <dsp:sp modelId="{0B5C0ECE-C1C1-460A-BEC3-0ABC10FC6022}">
      <dsp:nvSpPr>
        <dsp:cNvPr id="0" name=""/>
        <dsp:cNvSpPr/>
      </dsp:nvSpPr>
      <dsp:spPr>
        <a:xfrm>
          <a:off x="4442907" y="530289"/>
          <a:ext cx="233303" cy="27292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442907" y="584873"/>
        <a:ext cx="163312" cy="163753"/>
      </dsp:txXfrm>
    </dsp:sp>
    <dsp:sp modelId="{CF21F3EB-62B5-4F84-9BEF-E94B5D3CCD53}">
      <dsp:nvSpPr>
        <dsp:cNvPr id="0" name=""/>
        <dsp:cNvSpPr/>
      </dsp:nvSpPr>
      <dsp:spPr>
        <a:xfrm>
          <a:off x="4773054" y="197322"/>
          <a:ext cx="1100488" cy="938854"/>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cs typeface="Arial" panose="020B0604020202020204" pitchFamily="34" charset="0"/>
            </a:rPr>
            <a:t>↓ Length of Stay, Mortality, Post-Operative Complications</a:t>
          </a:r>
          <a:endParaRPr lang="en-US" sz="1200" kern="1200">
            <a:solidFill>
              <a:schemeClr val="tx1"/>
            </a:solidFill>
            <a:latin typeface="+mn-lt"/>
          </a:endParaRPr>
        </a:p>
      </dsp:txBody>
      <dsp:txXfrm>
        <a:off x="4773054" y="197322"/>
        <a:ext cx="1100488" cy="93885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D36742-C973-4474-A568-9BFE1617AB46}">
      <dsp:nvSpPr>
        <dsp:cNvPr id="0" name=""/>
        <dsp:cNvSpPr/>
      </dsp:nvSpPr>
      <dsp:spPr>
        <a:xfrm>
          <a:off x="3382" y="197322"/>
          <a:ext cx="1100488" cy="938854"/>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rPr>
            <a:t>Screen Patients to Identify Risk of Malnutrition </a:t>
          </a:r>
        </a:p>
      </dsp:txBody>
      <dsp:txXfrm>
        <a:off x="3382" y="197322"/>
        <a:ext cx="1100488" cy="938854"/>
      </dsp:txXfrm>
    </dsp:sp>
    <dsp:sp modelId="{168CE1B6-248F-4CE7-96B5-5426EA79983C}">
      <dsp:nvSpPr>
        <dsp:cNvPr id="0" name=""/>
        <dsp:cNvSpPr/>
      </dsp:nvSpPr>
      <dsp:spPr>
        <a:xfrm>
          <a:off x="1213919" y="608564"/>
          <a:ext cx="233303" cy="11637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213919" y="631838"/>
        <a:ext cx="198392" cy="69822"/>
      </dsp:txXfrm>
    </dsp:sp>
    <dsp:sp modelId="{E5302151-1867-46F5-B599-1144FA6E7BDD}">
      <dsp:nvSpPr>
        <dsp:cNvPr id="0" name=""/>
        <dsp:cNvSpPr/>
      </dsp:nvSpPr>
      <dsp:spPr>
        <a:xfrm>
          <a:off x="1544066" y="197322"/>
          <a:ext cx="1100488" cy="938854"/>
        </a:xfrm>
        <a:prstGeom prst="rect">
          <a:avLst/>
        </a:prstGeom>
        <a:noFill/>
        <a:ln w="19050" cap="flat" cmpd="sng" algn="ctr">
          <a:solidFill>
            <a:srgbClr val="FF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rPr>
            <a:t>Nutrition Assessment to Recommend Appropriate Care </a:t>
          </a:r>
        </a:p>
      </dsp:txBody>
      <dsp:txXfrm>
        <a:off x="1544066" y="197322"/>
        <a:ext cx="1100488" cy="938854"/>
      </dsp:txXfrm>
    </dsp:sp>
    <dsp:sp modelId="{C5752635-93BB-4FB3-A1A8-A01814A41C60}">
      <dsp:nvSpPr>
        <dsp:cNvPr id="0" name=""/>
        <dsp:cNvSpPr/>
      </dsp:nvSpPr>
      <dsp:spPr>
        <a:xfrm>
          <a:off x="2754603" y="608564"/>
          <a:ext cx="233303" cy="11637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54603" y="631838"/>
        <a:ext cx="198392" cy="69822"/>
      </dsp:txXfrm>
    </dsp:sp>
    <dsp:sp modelId="{2E565498-2CB3-4582-8544-6824BE4041F7}">
      <dsp:nvSpPr>
        <dsp:cNvPr id="0" name=""/>
        <dsp:cNvSpPr/>
      </dsp:nvSpPr>
      <dsp:spPr>
        <a:xfrm>
          <a:off x="3084750" y="197322"/>
          <a:ext cx="1248108" cy="938854"/>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cs typeface="Arial" panose="020B0604020202020204" pitchFamily="34" charset="0"/>
            </a:rPr>
            <a:t>Implementation of Nutrition Intervention for Malnourished Patient</a:t>
          </a:r>
          <a:endParaRPr lang="en-US" sz="1200" kern="1200">
            <a:solidFill>
              <a:schemeClr val="tx1"/>
            </a:solidFill>
            <a:latin typeface="+mn-lt"/>
          </a:endParaRPr>
        </a:p>
      </dsp:txBody>
      <dsp:txXfrm>
        <a:off x="3084750" y="197322"/>
        <a:ext cx="1248108" cy="938854"/>
      </dsp:txXfrm>
    </dsp:sp>
    <dsp:sp modelId="{0B5C0ECE-C1C1-460A-BEC3-0ABC10FC6022}">
      <dsp:nvSpPr>
        <dsp:cNvPr id="0" name=""/>
        <dsp:cNvSpPr/>
      </dsp:nvSpPr>
      <dsp:spPr>
        <a:xfrm>
          <a:off x="4442907" y="530289"/>
          <a:ext cx="233303" cy="27292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442907" y="584873"/>
        <a:ext cx="163312" cy="163753"/>
      </dsp:txXfrm>
    </dsp:sp>
    <dsp:sp modelId="{CF21F3EB-62B5-4F84-9BEF-E94B5D3CCD53}">
      <dsp:nvSpPr>
        <dsp:cNvPr id="0" name=""/>
        <dsp:cNvSpPr/>
      </dsp:nvSpPr>
      <dsp:spPr>
        <a:xfrm>
          <a:off x="4773054" y="197322"/>
          <a:ext cx="1100488" cy="938854"/>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mn-lt"/>
              <a:cs typeface="Arial" panose="020B0604020202020204" pitchFamily="34" charset="0"/>
            </a:rPr>
            <a:t>↓ Length of Stay, Mortality, Post-Operative Complications</a:t>
          </a:r>
          <a:endParaRPr lang="en-US" sz="1200" kern="1200">
            <a:solidFill>
              <a:schemeClr val="tx1"/>
            </a:solidFill>
            <a:latin typeface="+mn-lt"/>
          </a:endParaRPr>
        </a:p>
      </dsp:txBody>
      <dsp:txXfrm>
        <a:off x="4773054" y="197322"/>
        <a:ext cx="1100488" cy="93885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302151-1867-46F5-B599-1144FA6E7BDD}">
      <dsp:nvSpPr>
        <dsp:cNvPr id="0" name=""/>
        <dsp:cNvSpPr/>
      </dsp:nvSpPr>
      <dsp:spPr>
        <a:xfrm>
          <a:off x="6805" y="307173"/>
          <a:ext cx="1197416" cy="719152"/>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chemeClr val="tx1"/>
              </a:solidFill>
              <a:latin typeface="+mn-lt"/>
            </a:rPr>
            <a:t>Nutrition Assessment to Recommend Appropriate Care </a:t>
          </a:r>
        </a:p>
      </dsp:txBody>
      <dsp:txXfrm>
        <a:off x="6805" y="307173"/>
        <a:ext cx="1197416" cy="719152"/>
      </dsp:txXfrm>
    </dsp:sp>
    <dsp:sp modelId="{C5752635-93BB-4FB3-A1A8-A01814A41C60}">
      <dsp:nvSpPr>
        <dsp:cNvPr id="0" name=""/>
        <dsp:cNvSpPr/>
      </dsp:nvSpPr>
      <dsp:spPr>
        <a:xfrm>
          <a:off x="1323964" y="504825"/>
          <a:ext cx="253852" cy="32384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1323964" y="569595"/>
        <a:ext cx="177696" cy="194309"/>
      </dsp:txXfrm>
    </dsp:sp>
    <dsp:sp modelId="{AA4DB70D-546F-4A01-90F7-DCC104CC55D6}">
      <dsp:nvSpPr>
        <dsp:cNvPr id="0" name=""/>
        <dsp:cNvSpPr/>
      </dsp:nvSpPr>
      <dsp:spPr>
        <a:xfrm>
          <a:off x="1683189" y="307173"/>
          <a:ext cx="1197416" cy="719152"/>
        </a:xfrm>
        <a:prstGeom prst="rect">
          <a:avLst/>
        </a:prstGeom>
        <a:solidFill>
          <a:schemeClr val="bg1"/>
        </a:solidFill>
        <a:ln w="28575" cap="flat" cmpd="sng" algn="ctr">
          <a:solidFill>
            <a:srgbClr val="FF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solidFill>
            </a:rPr>
            <a:t>Medical Diagnosis of Malnutrition by Physician</a:t>
          </a:r>
        </a:p>
      </dsp:txBody>
      <dsp:txXfrm>
        <a:off x="1683189" y="307173"/>
        <a:ext cx="1197416" cy="719152"/>
      </dsp:txXfrm>
    </dsp:sp>
    <dsp:sp modelId="{F1546F5F-D067-4D9F-9558-A94A1BD9EF6B}">
      <dsp:nvSpPr>
        <dsp:cNvPr id="0" name=""/>
        <dsp:cNvSpPr/>
      </dsp:nvSpPr>
      <dsp:spPr>
        <a:xfrm>
          <a:off x="3000347" y="518270"/>
          <a:ext cx="253852" cy="2969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3000347" y="577662"/>
        <a:ext cx="177696" cy="178175"/>
      </dsp:txXfrm>
    </dsp:sp>
    <dsp:sp modelId="{2E565498-2CB3-4582-8544-6824BE4041F7}">
      <dsp:nvSpPr>
        <dsp:cNvPr id="0" name=""/>
        <dsp:cNvSpPr/>
      </dsp:nvSpPr>
      <dsp:spPr>
        <a:xfrm>
          <a:off x="3359572" y="307173"/>
          <a:ext cx="1358038" cy="719152"/>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chemeClr val="tx1"/>
              </a:solidFill>
              <a:latin typeface="+mn-lt"/>
              <a:cs typeface="Arial" panose="020B0604020202020204" pitchFamily="34" charset="0"/>
            </a:rPr>
            <a:t>Implementation of Nutrition Intervention for Malnourished Patient</a:t>
          </a:r>
          <a:endParaRPr lang="en-US" sz="1100" kern="1200">
            <a:solidFill>
              <a:schemeClr val="tx1"/>
            </a:solidFill>
            <a:latin typeface="+mn-lt"/>
          </a:endParaRPr>
        </a:p>
      </dsp:txBody>
      <dsp:txXfrm>
        <a:off x="3359572" y="307173"/>
        <a:ext cx="1358038" cy="719152"/>
      </dsp:txXfrm>
    </dsp:sp>
    <dsp:sp modelId="{0B5C0ECE-C1C1-460A-BEC3-0ABC10FC6022}">
      <dsp:nvSpPr>
        <dsp:cNvPr id="0" name=""/>
        <dsp:cNvSpPr/>
      </dsp:nvSpPr>
      <dsp:spPr>
        <a:xfrm>
          <a:off x="4837352" y="518270"/>
          <a:ext cx="253852" cy="2969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837352" y="577662"/>
        <a:ext cx="177696" cy="178175"/>
      </dsp:txXfrm>
    </dsp:sp>
    <dsp:sp modelId="{CF21F3EB-62B5-4F84-9BEF-E94B5D3CCD53}">
      <dsp:nvSpPr>
        <dsp:cNvPr id="0" name=""/>
        <dsp:cNvSpPr/>
      </dsp:nvSpPr>
      <dsp:spPr>
        <a:xfrm>
          <a:off x="5196577" y="307173"/>
          <a:ext cx="1197416" cy="719152"/>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chemeClr val="tx1"/>
              </a:solidFill>
              <a:latin typeface="+mn-lt"/>
              <a:cs typeface="Arial" panose="020B0604020202020204" pitchFamily="34" charset="0"/>
            </a:rPr>
            <a:t>↓ Length of Stay, Mortality, Post-Operative Complications</a:t>
          </a:r>
          <a:endParaRPr lang="en-US" sz="1100" kern="1200">
            <a:solidFill>
              <a:schemeClr val="tx1"/>
            </a:solidFill>
            <a:latin typeface="+mn-lt"/>
          </a:endParaRPr>
        </a:p>
      </dsp:txBody>
      <dsp:txXfrm>
        <a:off x="5196577" y="307173"/>
        <a:ext cx="1197416" cy="71915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302151-1867-46F5-B599-1144FA6E7BDD}">
      <dsp:nvSpPr>
        <dsp:cNvPr id="0" name=""/>
        <dsp:cNvSpPr/>
      </dsp:nvSpPr>
      <dsp:spPr>
        <a:xfrm>
          <a:off x="6805" y="307173"/>
          <a:ext cx="1197416" cy="719152"/>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chemeClr val="tx1"/>
              </a:solidFill>
              <a:latin typeface="+mn-lt"/>
            </a:rPr>
            <a:t>Nutrition Assessment to Recommend Appropriate Care </a:t>
          </a:r>
        </a:p>
      </dsp:txBody>
      <dsp:txXfrm>
        <a:off x="6805" y="307173"/>
        <a:ext cx="1197416" cy="719152"/>
      </dsp:txXfrm>
    </dsp:sp>
    <dsp:sp modelId="{C5752635-93BB-4FB3-A1A8-A01814A41C60}">
      <dsp:nvSpPr>
        <dsp:cNvPr id="0" name=""/>
        <dsp:cNvSpPr/>
      </dsp:nvSpPr>
      <dsp:spPr>
        <a:xfrm>
          <a:off x="1323964" y="504825"/>
          <a:ext cx="253852" cy="32384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1323964" y="569595"/>
        <a:ext cx="177696" cy="194309"/>
      </dsp:txXfrm>
    </dsp:sp>
    <dsp:sp modelId="{AA4DB70D-546F-4A01-90F7-DCC104CC55D6}">
      <dsp:nvSpPr>
        <dsp:cNvPr id="0" name=""/>
        <dsp:cNvSpPr/>
      </dsp:nvSpPr>
      <dsp:spPr>
        <a:xfrm>
          <a:off x="1683189" y="307173"/>
          <a:ext cx="1197416" cy="719152"/>
        </a:xfrm>
        <a:prstGeom prst="rect">
          <a:avLst/>
        </a:prstGeom>
        <a:solidFill>
          <a:schemeClr val="bg1"/>
        </a:solid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solidFill>
            </a:rPr>
            <a:t>Medical Diagnosis of Malnutrition by Physician</a:t>
          </a:r>
        </a:p>
      </dsp:txBody>
      <dsp:txXfrm>
        <a:off x="1683189" y="307173"/>
        <a:ext cx="1197416" cy="719152"/>
      </dsp:txXfrm>
    </dsp:sp>
    <dsp:sp modelId="{F1546F5F-D067-4D9F-9558-A94A1BD9EF6B}">
      <dsp:nvSpPr>
        <dsp:cNvPr id="0" name=""/>
        <dsp:cNvSpPr/>
      </dsp:nvSpPr>
      <dsp:spPr>
        <a:xfrm>
          <a:off x="3000347" y="518270"/>
          <a:ext cx="253852" cy="2969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3000347" y="577662"/>
        <a:ext cx="177696" cy="178175"/>
      </dsp:txXfrm>
    </dsp:sp>
    <dsp:sp modelId="{2E565498-2CB3-4582-8544-6824BE4041F7}">
      <dsp:nvSpPr>
        <dsp:cNvPr id="0" name=""/>
        <dsp:cNvSpPr/>
      </dsp:nvSpPr>
      <dsp:spPr>
        <a:xfrm>
          <a:off x="3359572" y="307173"/>
          <a:ext cx="1358038" cy="719152"/>
        </a:xfrm>
        <a:prstGeom prst="rect">
          <a:avLst/>
        </a:prstGeom>
        <a:noFill/>
        <a:ln w="28575" cap="flat" cmpd="sng" algn="ctr">
          <a:solidFill>
            <a:srgbClr val="FF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chemeClr val="tx1"/>
              </a:solidFill>
              <a:latin typeface="+mn-lt"/>
              <a:cs typeface="Arial" panose="020B0604020202020204" pitchFamily="34" charset="0"/>
            </a:rPr>
            <a:t>Implementation of Nutrition Intervention for Malnourished Patient</a:t>
          </a:r>
          <a:endParaRPr lang="en-US" sz="1100" kern="1200">
            <a:solidFill>
              <a:schemeClr val="tx1"/>
            </a:solidFill>
            <a:latin typeface="+mn-lt"/>
          </a:endParaRPr>
        </a:p>
      </dsp:txBody>
      <dsp:txXfrm>
        <a:off x="3359572" y="307173"/>
        <a:ext cx="1358038" cy="719152"/>
      </dsp:txXfrm>
    </dsp:sp>
    <dsp:sp modelId="{0B5C0ECE-C1C1-460A-BEC3-0ABC10FC6022}">
      <dsp:nvSpPr>
        <dsp:cNvPr id="0" name=""/>
        <dsp:cNvSpPr/>
      </dsp:nvSpPr>
      <dsp:spPr>
        <a:xfrm>
          <a:off x="4837352" y="518270"/>
          <a:ext cx="253852" cy="2969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837352" y="577662"/>
        <a:ext cx="177696" cy="178175"/>
      </dsp:txXfrm>
    </dsp:sp>
    <dsp:sp modelId="{CF21F3EB-62B5-4F84-9BEF-E94B5D3CCD53}">
      <dsp:nvSpPr>
        <dsp:cNvPr id="0" name=""/>
        <dsp:cNvSpPr/>
      </dsp:nvSpPr>
      <dsp:spPr>
        <a:xfrm>
          <a:off x="5196577" y="307173"/>
          <a:ext cx="1197416" cy="719152"/>
        </a:xfrm>
        <a:prstGeom prst="rect">
          <a:avLst/>
        </a:prstGeom>
        <a:noFill/>
        <a:ln w="952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solidFill>
                <a:schemeClr val="tx1"/>
              </a:solidFill>
              <a:latin typeface="+mn-lt"/>
              <a:cs typeface="Arial" panose="020B0604020202020204" pitchFamily="34" charset="0"/>
            </a:rPr>
            <a:t>↓ Length of Stay, Mortality, Post-Operative Complications</a:t>
          </a:r>
          <a:endParaRPr lang="en-US" sz="1100" kern="1200">
            <a:solidFill>
              <a:schemeClr val="tx1"/>
            </a:solidFill>
            <a:latin typeface="+mn-lt"/>
          </a:endParaRPr>
        </a:p>
      </dsp:txBody>
      <dsp:txXfrm>
        <a:off x="5196577" y="307173"/>
        <a:ext cx="1197416" cy="71915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296D1C"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296D1C"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D6E3AD41DCB14038848D243B4D05DBC8"/>
        <w:category>
          <w:name w:val="General"/>
          <w:gallery w:val="placeholder"/>
        </w:category>
        <w:types>
          <w:type w:val="bbPlcHdr"/>
        </w:types>
        <w:behaviors>
          <w:behavior w:val="content"/>
        </w:behaviors>
        <w:guid w:val="{85E3E2B1-EBE8-4091-B9A0-2E0D24E8362B}"/>
      </w:docPartPr>
      <w:docPartBody>
        <w:p w:rsidR="00911D06" w:rsidRDefault="00911D06" w:rsidP="00911D06">
          <w:pPr>
            <w:pStyle w:val="D6E3AD41DCB14038848D243B4D05DBC8"/>
          </w:pPr>
          <w:r w:rsidRPr="003B1CC5">
            <w:rPr>
              <w:rStyle w:val="PlaceholderText"/>
            </w:rPr>
            <w:t>Click here to enter NQF number</w:t>
          </w:r>
        </w:p>
      </w:docPartBody>
    </w:docPart>
    <w:docPart>
      <w:docPartPr>
        <w:name w:val="84F81CCE6AE5405ABDA2E3DDEB4119F0"/>
        <w:category>
          <w:name w:val="General"/>
          <w:gallery w:val="placeholder"/>
        </w:category>
        <w:types>
          <w:type w:val="bbPlcHdr"/>
        </w:types>
        <w:behaviors>
          <w:behavior w:val="content"/>
        </w:behaviors>
        <w:guid w:val="{43CFE3A6-33AE-4701-8B5D-7897BF019809}"/>
      </w:docPartPr>
      <w:docPartBody>
        <w:p w:rsidR="00911D06" w:rsidRDefault="00911D06" w:rsidP="00911D06">
          <w:pPr>
            <w:pStyle w:val="84F81CCE6AE5405ABDA2E3DDEB4119F0"/>
          </w:pPr>
          <w:r w:rsidRPr="003B1CC5">
            <w:rPr>
              <w:rStyle w:val="PlaceholderText"/>
              <w:rFonts w:cstheme="minorHAnsi"/>
              <w:color w:val="A6A6A6" w:themeColor="background1" w:themeShade="A6"/>
            </w:rPr>
            <w:t>Click here to enter composite measure #/ title</w:t>
          </w:r>
        </w:p>
      </w:docPartBody>
    </w:docPart>
    <w:docPart>
      <w:docPartPr>
        <w:name w:val="3B8571C7466246A9BA2F40DE31A34BEE"/>
        <w:category>
          <w:name w:val="General"/>
          <w:gallery w:val="placeholder"/>
        </w:category>
        <w:types>
          <w:type w:val="bbPlcHdr"/>
        </w:types>
        <w:behaviors>
          <w:behavior w:val="content"/>
        </w:behaviors>
        <w:guid w:val="{B5232C2E-3537-4E39-B13F-4EF78056125C}"/>
      </w:docPartPr>
      <w:docPartBody>
        <w:p w:rsidR="00911D06" w:rsidRDefault="00911D06" w:rsidP="00911D06">
          <w:pPr>
            <w:pStyle w:val="3B8571C7466246A9BA2F40DE31A34BEE"/>
          </w:pPr>
          <w:r w:rsidRPr="003B1CC5">
            <w:rPr>
              <w:rStyle w:val="PlaceholderText"/>
              <w:rFonts w:cstheme="minorHAnsi"/>
              <w:color w:val="A6A6A6" w:themeColor="background1" w:themeShade="A6"/>
            </w:rPr>
            <w:t>Click here to enter composite measure #/ title</w:t>
          </w:r>
        </w:p>
      </w:docPartBody>
    </w:docPart>
    <w:docPart>
      <w:docPartPr>
        <w:name w:val="C8A72503F9C24F2699A7627DFDC1E214"/>
        <w:category>
          <w:name w:val="General"/>
          <w:gallery w:val="placeholder"/>
        </w:category>
        <w:types>
          <w:type w:val="bbPlcHdr"/>
        </w:types>
        <w:behaviors>
          <w:behavior w:val="content"/>
        </w:behaviors>
        <w:guid w:val="{4FEEAF92-C06C-48E1-9F7F-8A85E802DC1F}"/>
      </w:docPartPr>
      <w:docPartBody>
        <w:p w:rsidR="00911D06" w:rsidRDefault="00911D06" w:rsidP="00911D06">
          <w:pPr>
            <w:pStyle w:val="C8A72503F9C24F2699A7627DFDC1E214"/>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AAA1985DBC5E42DDB7A4F0446E0A8DBE"/>
        <w:category>
          <w:name w:val="General"/>
          <w:gallery w:val="placeholder"/>
        </w:category>
        <w:types>
          <w:type w:val="bbPlcHdr"/>
        </w:types>
        <w:behaviors>
          <w:behavior w:val="content"/>
        </w:behaviors>
        <w:guid w:val="{1D7A00AF-60F4-47C5-A78F-92036819A5C9}"/>
      </w:docPartPr>
      <w:docPartBody>
        <w:p w:rsidR="00911D06" w:rsidRDefault="00911D06" w:rsidP="00911D06">
          <w:pPr>
            <w:pStyle w:val="AAA1985DBC5E42DDB7A4F0446E0A8DBE"/>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A1B6AB3EEA884DFF85566D722D72EB2C"/>
        <w:category>
          <w:name w:val="General"/>
          <w:gallery w:val="placeholder"/>
        </w:category>
        <w:types>
          <w:type w:val="bbPlcHdr"/>
        </w:types>
        <w:behaviors>
          <w:behavior w:val="content"/>
        </w:behaviors>
        <w:guid w:val="{49ABECEF-1C2D-4411-B0EB-0CE4C7750B3B}"/>
      </w:docPartPr>
      <w:docPartBody>
        <w:p w:rsidR="00911D06" w:rsidRDefault="00911D06" w:rsidP="00911D06">
          <w:pPr>
            <w:pStyle w:val="A1B6AB3EEA884DFF85566D722D72EB2C"/>
          </w:pPr>
          <w:r w:rsidRPr="003B1CC5">
            <w:rPr>
              <w:rStyle w:val="PlaceholderText"/>
            </w:rPr>
            <w:t>Click here to enter NQF number</w:t>
          </w:r>
        </w:p>
      </w:docPartBody>
    </w:docPart>
    <w:docPart>
      <w:docPartPr>
        <w:name w:val="0E9E13BDBED34FA985BD48C9A24130CF"/>
        <w:category>
          <w:name w:val="General"/>
          <w:gallery w:val="placeholder"/>
        </w:category>
        <w:types>
          <w:type w:val="bbPlcHdr"/>
        </w:types>
        <w:behaviors>
          <w:behavior w:val="content"/>
        </w:behaviors>
        <w:guid w:val="{BF5F436F-4F65-4835-924F-50C39F32B5B1}"/>
      </w:docPartPr>
      <w:docPartBody>
        <w:p w:rsidR="00911D06" w:rsidRDefault="00911D06" w:rsidP="00911D06">
          <w:pPr>
            <w:pStyle w:val="0E9E13BDBED34FA985BD48C9A24130CF"/>
          </w:pPr>
          <w:r w:rsidRPr="003B1CC5">
            <w:rPr>
              <w:rStyle w:val="PlaceholderText"/>
              <w:rFonts w:cstheme="minorHAnsi"/>
              <w:color w:val="A6A6A6" w:themeColor="background1" w:themeShade="A6"/>
            </w:rPr>
            <w:t>Click here to enter composite measure #/ title</w:t>
          </w:r>
        </w:p>
      </w:docPartBody>
    </w:docPart>
    <w:docPart>
      <w:docPartPr>
        <w:name w:val="165EEF9151314CAFB5C22274F335E07C"/>
        <w:category>
          <w:name w:val="General"/>
          <w:gallery w:val="placeholder"/>
        </w:category>
        <w:types>
          <w:type w:val="bbPlcHdr"/>
        </w:types>
        <w:behaviors>
          <w:behavior w:val="content"/>
        </w:behaviors>
        <w:guid w:val="{8FF6AEE8-14F0-4933-BD68-EB767958367D}"/>
      </w:docPartPr>
      <w:docPartBody>
        <w:p w:rsidR="00911D06" w:rsidRDefault="00911D06" w:rsidP="00911D06">
          <w:pPr>
            <w:pStyle w:val="165EEF9151314CAFB5C22274F335E07C"/>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1138129B9D9F4DFEAB8012B7A68F3E47"/>
        <w:category>
          <w:name w:val="General"/>
          <w:gallery w:val="placeholder"/>
        </w:category>
        <w:types>
          <w:type w:val="bbPlcHdr"/>
        </w:types>
        <w:behaviors>
          <w:behavior w:val="content"/>
        </w:behaviors>
        <w:guid w:val="{0B6C7F59-D8E1-4D89-A739-E8287804DE57}"/>
      </w:docPartPr>
      <w:docPartBody>
        <w:p w:rsidR="00911D06" w:rsidRDefault="00911D06" w:rsidP="00911D06">
          <w:pPr>
            <w:pStyle w:val="1138129B9D9F4DFEAB8012B7A68F3E47"/>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264C011699CC43D699F56AD9877A0578"/>
        <w:category>
          <w:name w:val="General"/>
          <w:gallery w:val="placeholder"/>
        </w:category>
        <w:types>
          <w:type w:val="bbPlcHdr"/>
        </w:types>
        <w:behaviors>
          <w:behavior w:val="content"/>
        </w:behaviors>
        <w:guid w:val="{6D6E6434-E843-4E21-9EF7-A3213E172E09}"/>
      </w:docPartPr>
      <w:docPartBody>
        <w:p w:rsidR="004717CA" w:rsidRDefault="00911D06" w:rsidP="00911D06">
          <w:pPr>
            <w:pStyle w:val="264C011699CC43D699F56AD9877A0578"/>
          </w:pPr>
          <w:r w:rsidRPr="003B1CC5">
            <w:rPr>
              <w:rStyle w:val="PlaceholderText"/>
            </w:rPr>
            <w:t>Click here to enter NQF number</w:t>
          </w:r>
        </w:p>
      </w:docPartBody>
    </w:docPart>
    <w:docPart>
      <w:docPartPr>
        <w:name w:val="2D573B4773EF4EEF90685410B2E33B71"/>
        <w:category>
          <w:name w:val="General"/>
          <w:gallery w:val="placeholder"/>
        </w:category>
        <w:types>
          <w:type w:val="bbPlcHdr"/>
        </w:types>
        <w:behaviors>
          <w:behavior w:val="content"/>
        </w:behaviors>
        <w:guid w:val="{EA520AF2-5519-42AD-AB36-B002DDCD158D}"/>
      </w:docPartPr>
      <w:docPartBody>
        <w:p w:rsidR="004717CA" w:rsidRDefault="00911D06" w:rsidP="00911D06">
          <w:pPr>
            <w:pStyle w:val="2D573B4773EF4EEF90685410B2E33B71"/>
          </w:pPr>
          <w:r w:rsidRPr="003B1CC5">
            <w:rPr>
              <w:rStyle w:val="PlaceholderText"/>
              <w:rFonts w:cstheme="minorHAnsi"/>
              <w:color w:val="A6A6A6" w:themeColor="background1" w:themeShade="A6"/>
            </w:rPr>
            <w:t>Click here to enter composite measure #/ title</w:t>
          </w:r>
        </w:p>
      </w:docPartBody>
    </w:docPart>
    <w:docPart>
      <w:docPartPr>
        <w:name w:val="CD8283A0DC15403DB672FA47A6DE60D4"/>
        <w:category>
          <w:name w:val="General"/>
          <w:gallery w:val="placeholder"/>
        </w:category>
        <w:types>
          <w:type w:val="bbPlcHdr"/>
        </w:types>
        <w:behaviors>
          <w:behavior w:val="content"/>
        </w:behaviors>
        <w:guid w:val="{5103DBC9-23CC-4DED-AC12-C7B39AB2CC07}"/>
      </w:docPartPr>
      <w:docPartBody>
        <w:p w:rsidR="004717CA" w:rsidRDefault="00911D06" w:rsidP="00911D06">
          <w:pPr>
            <w:pStyle w:val="CD8283A0DC15403DB672FA47A6DE60D4"/>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C7326E5B500A43D5AA9E4BF719C301FA"/>
        <w:category>
          <w:name w:val="General"/>
          <w:gallery w:val="placeholder"/>
        </w:category>
        <w:types>
          <w:type w:val="bbPlcHdr"/>
        </w:types>
        <w:behaviors>
          <w:behavior w:val="content"/>
        </w:behaviors>
        <w:guid w:val="{BD1A3ED3-55CB-46F9-BDBF-4AB895D8299A}"/>
      </w:docPartPr>
      <w:docPartBody>
        <w:p w:rsidR="004717CA" w:rsidRDefault="00911D06" w:rsidP="00911D06">
          <w:pPr>
            <w:pStyle w:val="C7326E5B500A43D5AA9E4BF719C301FA"/>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F3105"/>
    <w:rsid w:val="00160241"/>
    <w:rsid w:val="0019270D"/>
    <w:rsid w:val="002936D0"/>
    <w:rsid w:val="00296D1C"/>
    <w:rsid w:val="002B5F47"/>
    <w:rsid w:val="003A1E4B"/>
    <w:rsid w:val="00455EB5"/>
    <w:rsid w:val="00461C1C"/>
    <w:rsid w:val="004717CA"/>
    <w:rsid w:val="004E2027"/>
    <w:rsid w:val="004E3F99"/>
    <w:rsid w:val="00586998"/>
    <w:rsid w:val="005F21F3"/>
    <w:rsid w:val="008D20C3"/>
    <w:rsid w:val="008F6A9B"/>
    <w:rsid w:val="00911D06"/>
    <w:rsid w:val="00935808"/>
    <w:rsid w:val="00A009D0"/>
    <w:rsid w:val="00BE0F2D"/>
    <w:rsid w:val="00C03643"/>
    <w:rsid w:val="00C2797F"/>
    <w:rsid w:val="00C80225"/>
    <w:rsid w:val="00D228C9"/>
    <w:rsid w:val="00DB5324"/>
    <w:rsid w:val="00E97654"/>
    <w:rsid w:val="00EA555A"/>
    <w:rsid w:val="00F859D5"/>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E6BEA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1D06"/>
    <w:rPr>
      <w:color w:val="808080"/>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D6E3AD41DCB14038848D243B4D05DBC8">
    <w:name w:val="D6E3AD41DCB14038848D243B4D05DBC8"/>
    <w:rsid w:val="00911D06"/>
    <w:pPr>
      <w:spacing w:after="160" w:line="259" w:lineRule="auto"/>
    </w:pPr>
  </w:style>
  <w:style w:type="paragraph" w:customStyle="1" w:styleId="84F81CCE6AE5405ABDA2E3DDEB4119F0">
    <w:name w:val="84F81CCE6AE5405ABDA2E3DDEB4119F0"/>
    <w:rsid w:val="00911D06"/>
    <w:pPr>
      <w:spacing w:after="160" w:line="259" w:lineRule="auto"/>
    </w:pPr>
  </w:style>
  <w:style w:type="paragraph" w:customStyle="1" w:styleId="3B8571C7466246A9BA2F40DE31A34BEE">
    <w:name w:val="3B8571C7466246A9BA2F40DE31A34BEE"/>
    <w:rsid w:val="00911D06"/>
    <w:pPr>
      <w:spacing w:after="160" w:line="259" w:lineRule="auto"/>
    </w:pPr>
  </w:style>
  <w:style w:type="paragraph" w:customStyle="1" w:styleId="C8A72503F9C24F2699A7627DFDC1E214">
    <w:name w:val="C8A72503F9C24F2699A7627DFDC1E214"/>
    <w:rsid w:val="00911D06"/>
    <w:pPr>
      <w:spacing w:after="160" w:line="259" w:lineRule="auto"/>
    </w:pPr>
  </w:style>
  <w:style w:type="paragraph" w:customStyle="1" w:styleId="AAA1985DBC5E42DDB7A4F0446E0A8DBE">
    <w:name w:val="AAA1985DBC5E42DDB7A4F0446E0A8DBE"/>
    <w:rsid w:val="00911D06"/>
    <w:pPr>
      <w:spacing w:after="160" w:line="259" w:lineRule="auto"/>
    </w:pPr>
  </w:style>
  <w:style w:type="paragraph" w:customStyle="1" w:styleId="A1B6AB3EEA884DFF85566D722D72EB2C">
    <w:name w:val="A1B6AB3EEA884DFF85566D722D72EB2C"/>
    <w:rsid w:val="00911D06"/>
    <w:pPr>
      <w:spacing w:after="160" w:line="259" w:lineRule="auto"/>
    </w:pPr>
  </w:style>
  <w:style w:type="paragraph" w:customStyle="1" w:styleId="0E9E13BDBED34FA985BD48C9A24130CF">
    <w:name w:val="0E9E13BDBED34FA985BD48C9A24130CF"/>
    <w:rsid w:val="00911D06"/>
    <w:pPr>
      <w:spacing w:after="160" w:line="259" w:lineRule="auto"/>
    </w:pPr>
  </w:style>
  <w:style w:type="paragraph" w:customStyle="1" w:styleId="165EEF9151314CAFB5C22274F335E07C">
    <w:name w:val="165EEF9151314CAFB5C22274F335E07C"/>
    <w:rsid w:val="00911D06"/>
    <w:pPr>
      <w:spacing w:after="160" w:line="259" w:lineRule="auto"/>
    </w:pPr>
  </w:style>
  <w:style w:type="paragraph" w:customStyle="1" w:styleId="1138129B9D9F4DFEAB8012B7A68F3E47">
    <w:name w:val="1138129B9D9F4DFEAB8012B7A68F3E47"/>
    <w:rsid w:val="00911D06"/>
    <w:pPr>
      <w:spacing w:after="160" w:line="259" w:lineRule="auto"/>
    </w:pPr>
  </w:style>
  <w:style w:type="paragraph" w:customStyle="1" w:styleId="264C011699CC43D699F56AD9877A0578">
    <w:name w:val="264C011699CC43D699F56AD9877A0578"/>
    <w:rsid w:val="00911D06"/>
    <w:pPr>
      <w:spacing w:after="160" w:line="259" w:lineRule="auto"/>
    </w:pPr>
  </w:style>
  <w:style w:type="paragraph" w:customStyle="1" w:styleId="2D573B4773EF4EEF90685410B2E33B71">
    <w:name w:val="2D573B4773EF4EEF90685410B2E33B71"/>
    <w:rsid w:val="00911D06"/>
    <w:pPr>
      <w:spacing w:after="160" w:line="259" w:lineRule="auto"/>
    </w:pPr>
  </w:style>
  <w:style w:type="paragraph" w:customStyle="1" w:styleId="CD8283A0DC15403DB672FA47A6DE60D4">
    <w:name w:val="CD8283A0DC15403DB672FA47A6DE60D4"/>
    <w:rsid w:val="00911D06"/>
    <w:pPr>
      <w:spacing w:after="160" w:line="259" w:lineRule="auto"/>
    </w:pPr>
  </w:style>
  <w:style w:type="paragraph" w:customStyle="1" w:styleId="C7326E5B500A43D5AA9E4BF719C301FA">
    <w:name w:val="C7326E5B500A43D5AA9E4BF719C301FA"/>
    <w:rsid w:val="00911D0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1B7F60-9890-4314-950D-C50DCBD6061D}">
  <ds:schemaRefs>
    <ds:schemaRef ds:uri="http://schemas.microsoft.com/office/2006/metadata/properties"/>
    <ds:schemaRef ds:uri="http://schemas.microsoft.com/office/infopath/2007/PartnerControls"/>
    <ds:schemaRef ds:uri="836b82f1-340d-495e-85b5-201c5296619a"/>
  </ds:schemaRefs>
</ds:datastoreItem>
</file>

<file path=customXml/itemProps2.xml><?xml version="1.0" encoding="utf-8"?>
<ds:datastoreItem xmlns:ds="http://schemas.openxmlformats.org/officeDocument/2006/customXml" ds:itemID="{94F46C56-7517-415F-AD31-E11F0F7AC8C3}">
  <ds:schemaRefs>
    <ds:schemaRef ds:uri="http://schemas.openxmlformats.org/officeDocument/2006/bibliography"/>
  </ds:schemaRefs>
</ds:datastoreItem>
</file>

<file path=customXml/itemProps3.xml><?xml version="1.0" encoding="utf-8"?>
<ds:datastoreItem xmlns:ds="http://schemas.openxmlformats.org/officeDocument/2006/customXml" ds:itemID="{FC9019EE-8EAD-4F5B-BC1F-DA9C83D376BB}">
  <ds:schemaRefs>
    <ds:schemaRef ds:uri="http://schemas.microsoft.com/sharepoint/events"/>
  </ds:schemaRefs>
</ds:datastoreItem>
</file>

<file path=customXml/itemProps4.xml><?xml version="1.0" encoding="utf-8"?>
<ds:datastoreItem xmlns:ds="http://schemas.openxmlformats.org/officeDocument/2006/customXml" ds:itemID="{3C592D58-06B4-49AA-92D5-252B9CAF8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BEEAEC-DEE0-46E0-9197-27687FB79E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39</Pages>
  <Words>16212</Words>
  <Characters>92413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Evidence Attachment</vt:lpstr>
    </vt:vector>
  </TitlesOfParts>
  <Company>National Quality Forum</Company>
  <LinksUpToDate>false</LinksUpToDate>
  <CharactersWithSpaces>108409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Attachment</dc:title>
  <dc:creator>Karen Pace</dc:creator>
  <cp:lastModifiedBy>Angel Valladares</cp:lastModifiedBy>
  <cp:revision>8</cp:revision>
  <cp:lastPrinted>2020-04-03T15:09:00Z</cp:lastPrinted>
  <dcterms:created xsi:type="dcterms:W3CDTF">2020-09-29T20:28:00Z</dcterms:created>
  <dcterms:modified xsi:type="dcterms:W3CDTF">2020-11-16T22:32:00Z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