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4133E" w14:textId="77777777" w:rsidR="00005779" w:rsidRDefault="00005779" w:rsidP="00005779">
      <w:pPr>
        <w:jc w:val="right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333333"/>
          <w:sz w:val="18"/>
          <w:szCs w:val="18"/>
        </w:rPr>
        <w:t>Print</w:t>
      </w:r>
    </w:p>
    <w:p w14:paraId="1BA30286" w14:textId="77777777" w:rsidR="00005779" w:rsidRDefault="00005779" w:rsidP="00005779">
      <w:pPr>
        <w:spacing w:line="200" w:lineRule="exact"/>
        <w:rPr>
          <w:color w:val="00000A"/>
          <w:sz w:val="24"/>
          <w:szCs w:val="24"/>
        </w:rPr>
      </w:pPr>
      <w:r>
        <w:rPr>
          <w:noProof/>
          <w:color w:val="00000A"/>
          <w:sz w:val="24"/>
          <w:szCs w:val="24"/>
          <w:lang w:eastAsia="en-US" w:bidi="ar-SA"/>
        </w:rPr>
        <w:drawing>
          <wp:anchor distT="0" distB="0" distL="114935" distR="114935" simplePos="0" relativeHeight="251659264" behindDoc="1" locked="0" layoutInCell="1" allowOverlap="1" wp14:anchorId="4A2D80C2" wp14:editId="4EB17CF3">
            <wp:simplePos x="0" y="0"/>
            <wp:positionH relativeFrom="column">
              <wp:posOffset>133350</wp:posOffset>
            </wp:positionH>
            <wp:positionV relativeFrom="paragraph">
              <wp:posOffset>7620</wp:posOffset>
            </wp:positionV>
            <wp:extent cx="2773680" cy="7410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A48FB7" w14:textId="77777777" w:rsidR="00005779" w:rsidRDefault="00005779" w:rsidP="00005779">
      <w:pPr>
        <w:spacing w:line="200" w:lineRule="exact"/>
        <w:rPr>
          <w:color w:val="00000A"/>
          <w:sz w:val="24"/>
          <w:szCs w:val="24"/>
        </w:rPr>
      </w:pPr>
    </w:p>
    <w:p w14:paraId="5F2A52CB" w14:textId="77777777" w:rsidR="00005779" w:rsidRDefault="00005779" w:rsidP="00005779">
      <w:pPr>
        <w:spacing w:line="200" w:lineRule="exact"/>
        <w:rPr>
          <w:color w:val="00000A"/>
          <w:sz w:val="24"/>
          <w:szCs w:val="24"/>
        </w:rPr>
      </w:pPr>
    </w:p>
    <w:p w14:paraId="75B7247D" w14:textId="77777777" w:rsidR="00005779" w:rsidRDefault="00005779" w:rsidP="00005779">
      <w:pPr>
        <w:spacing w:line="200" w:lineRule="exact"/>
        <w:rPr>
          <w:color w:val="00000A"/>
          <w:sz w:val="24"/>
          <w:szCs w:val="24"/>
        </w:rPr>
      </w:pPr>
    </w:p>
    <w:p w14:paraId="0DFFBB16" w14:textId="77777777" w:rsidR="00005779" w:rsidRDefault="00005779" w:rsidP="00005779">
      <w:pPr>
        <w:spacing w:line="369" w:lineRule="exact"/>
        <w:rPr>
          <w:color w:val="00000A"/>
          <w:sz w:val="24"/>
          <w:szCs w:val="24"/>
        </w:rPr>
      </w:pPr>
    </w:p>
    <w:p w14:paraId="26B8EF38" w14:textId="77777777" w:rsidR="00005779" w:rsidRDefault="00005779" w:rsidP="00005779">
      <w:pPr>
        <w:tabs>
          <w:tab w:val="left" w:pos="2430"/>
        </w:tabs>
        <w:ind w:left="360"/>
        <w:rPr>
          <w:rFonts w:ascii="Trebuchet MS" w:eastAsia="Trebuchet MS" w:hAnsi="Trebuchet MS" w:cs="Trebuchet MS"/>
          <w:color w:val="00000A"/>
          <w:sz w:val="18"/>
          <w:szCs w:val="18"/>
        </w:rPr>
      </w:pPr>
    </w:p>
    <w:p w14:paraId="1FBE01FA" w14:textId="77777777" w:rsidR="00005779" w:rsidRDefault="00005779" w:rsidP="00005779">
      <w:pPr>
        <w:tabs>
          <w:tab w:val="left" w:pos="243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>Project Name</w:t>
      </w:r>
      <w:r>
        <w:rPr>
          <w:rFonts w:ascii="Trebuchet MS" w:eastAsia="Trebuchet MS" w:hAnsi="Trebuchet MS" w:cs="Trebuchet MS"/>
          <w:color w:val="00000A"/>
          <w:sz w:val="18"/>
          <w:szCs w:val="18"/>
        </w:rPr>
        <w:tab/>
        <w:t>Prevention and Population Health</w:t>
      </w:r>
    </w:p>
    <w:p w14:paraId="575E8400" w14:textId="77777777" w:rsidR="00005779" w:rsidRDefault="00005779" w:rsidP="00005779">
      <w:pPr>
        <w:spacing w:line="88" w:lineRule="exact"/>
        <w:rPr>
          <w:color w:val="00000A"/>
          <w:sz w:val="24"/>
          <w:szCs w:val="24"/>
        </w:rPr>
      </w:pPr>
    </w:p>
    <w:p w14:paraId="5FFAC5F8" w14:textId="563EBD57" w:rsidR="00005779" w:rsidRDefault="00005779" w:rsidP="00005779">
      <w:pPr>
        <w:tabs>
          <w:tab w:val="left" w:pos="244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>Measure #</w:t>
      </w:r>
      <w:r>
        <w:rPr>
          <w:color w:val="00000A"/>
          <w:sz w:val="20"/>
          <w:szCs w:val="20"/>
        </w:rPr>
        <w:tab/>
      </w:r>
      <w:r>
        <w:rPr>
          <w:rFonts w:ascii="Trebuchet MS" w:eastAsia="Trebuchet MS" w:hAnsi="Trebuchet MS" w:cs="Trebuchet MS"/>
          <w:color w:val="00000A"/>
          <w:sz w:val="18"/>
          <w:szCs w:val="18"/>
        </w:rPr>
        <w:t>#3592</w:t>
      </w:r>
    </w:p>
    <w:p w14:paraId="3289B05C" w14:textId="77777777" w:rsidR="00005779" w:rsidRDefault="00005779" w:rsidP="00005779">
      <w:pPr>
        <w:spacing w:line="90" w:lineRule="exact"/>
        <w:rPr>
          <w:color w:val="00000A"/>
          <w:sz w:val="24"/>
          <w:szCs w:val="24"/>
        </w:rPr>
      </w:pPr>
    </w:p>
    <w:p w14:paraId="673F7729" w14:textId="77777777" w:rsidR="00005779" w:rsidRDefault="00005779" w:rsidP="00005779">
      <w:pPr>
        <w:tabs>
          <w:tab w:val="left" w:pos="244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>Measure Title</w:t>
      </w:r>
      <w:r>
        <w:rPr>
          <w:color w:val="00000A"/>
          <w:sz w:val="20"/>
          <w:szCs w:val="20"/>
        </w:rPr>
        <w:tab/>
      </w:r>
      <w:r w:rsidRPr="00EC62A9">
        <w:rPr>
          <w:color w:val="00000A"/>
          <w:sz w:val="20"/>
          <w:szCs w:val="20"/>
        </w:rPr>
        <w:t>Global Malnutrition Composite Score</w:t>
      </w:r>
    </w:p>
    <w:p w14:paraId="08CB5383" w14:textId="77777777" w:rsidR="00005779" w:rsidRDefault="00005779" w:rsidP="00005779">
      <w:pPr>
        <w:spacing w:line="90" w:lineRule="exact"/>
        <w:rPr>
          <w:color w:val="00000A"/>
          <w:sz w:val="24"/>
          <w:szCs w:val="24"/>
        </w:rPr>
      </w:pPr>
    </w:p>
    <w:p w14:paraId="7B4F867A" w14:textId="7E722738" w:rsidR="00005779" w:rsidRDefault="00005779" w:rsidP="00005779">
      <w:pPr>
        <w:tabs>
          <w:tab w:val="left" w:pos="244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>Last Edit Date</w:t>
      </w:r>
      <w:r>
        <w:rPr>
          <w:color w:val="00000A"/>
          <w:sz w:val="20"/>
          <w:szCs w:val="20"/>
        </w:rPr>
        <w:tab/>
      </w:r>
      <w:r>
        <w:rPr>
          <w:rFonts w:ascii="Trebuchet MS" w:eastAsia="Trebuchet MS" w:hAnsi="Trebuchet MS" w:cs="Trebuchet MS"/>
          <w:color w:val="00000A"/>
          <w:sz w:val="17"/>
          <w:szCs w:val="17"/>
        </w:rPr>
        <w:fldChar w:fldCharType="begin"/>
      </w:r>
      <w:r>
        <w:rPr>
          <w:rFonts w:ascii="Trebuchet MS" w:eastAsia="Trebuchet MS" w:hAnsi="Trebuchet MS" w:cs="Trebuchet MS"/>
          <w:color w:val="00000A"/>
          <w:sz w:val="17"/>
          <w:szCs w:val="17"/>
        </w:rPr>
        <w:instrText xml:space="preserve"> DATE \@ "MMMM d, yyyy" </w:instrText>
      </w:r>
      <w:r>
        <w:rPr>
          <w:rFonts w:ascii="Trebuchet MS" w:eastAsia="Trebuchet MS" w:hAnsi="Trebuchet MS" w:cs="Trebuchet MS"/>
          <w:color w:val="00000A"/>
          <w:sz w:val="17"/>
          <w:szCs w:val="17"/>
        </w:rPr>
        <w:fldChar w:fldCharType="separate"/>
      </w:r>
      <w:r>
        <w:rPr>
          <w:rFonts w:ascii="Trebuchet MS" w:eastAsia="Trebuchet MS" w:hAnsi="Trebuchet MS" w:cs="Trebuchet MS"/>
          <w:noProof/>
          <w:color w:val="00000A"/>
          <w:sz w:val="17"/>
          <w:szCs w:val="17"/>
        </w:rPr>
        <w:t>November 16, 2020</w:t>
      </w:r>
      <w:r>
        <w:rPr>
          <w:rFonts w:ascii="Trebuchet MS" w:eastAsia="Trebuchet MS" w:hAnsi="Trebuchet MS" w:cs="Trebuchet MS"/>
          <w:color w:val="00000A"/>
          <w:sz w:val="17"/>
          <w:szCs w:val="17"/>
        </w:rPr>
        <w:fldChar w:fldCharType="end"/>
      </w:r>
    </w:p>
    <w:p w14:paraId="34E6F7DF" w14:textId="6EC41047" w:rsidR="00005779" w:rsidRDefault="00005779" w:rsidP="00005779">
      <w:pPr>
        <w:spacing w:line="90" w:lineRule="exact"/>
        <w:rPr>
          <w:color w:val="00000A"/>
          <w:sz w:val="24"/>
          <w:szCs w:val="24"/>
        </w:rPr>
      </w:pPr>
    </w:p>
    <w:p w14:paraId="1BC0021A" w14:textId="453AD076" w:rsidR="00005779" w:rsidRDefault="00005779" w:rsidP="00005779">
      <w:pPr>
        <w:tabs>
          <w:tab w:val="left" w:pos="244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 xml:space="preserve">Last Edit </w:t>
      </w:r>
      <w:proofErr w:type="gramStart"/>
      <w:r>
        <w:rPr>
          <w:rFonts w:ascii="Trebuchet MS" w:eastAsia="Trebuchet MS" w:hAnsi="Trebuchet MS" w:cs="Trebuchet MS"/>
          <w:color w:val="00000A"/>
          <w:sz w:val="18"/>
          <w:szCs w:val="18"/>
        </w:rPr>
        <w:t>By</w:t>
      </w:r>
      <w:proofErr w:type="gramEnd"/>
      <w:r>
        <w:rPr>
          <w:color w:val="00000A"/>
          <w:sz w:val="20"/>
          <w:szCs w:val="20"/>
        </w:rPr>
        <w:tab/>
      </w:r>
      <w:r>
        <w:rPr>
          <w:rFonts w:ascii="Trebuchet MS" w:eastAsia="Trebuchet MS" w:hAnsi="Trebuchet MS" w:cs="Trebuchet MS"/>
          <w:color w:val="00000A"/>
          <w:sz w:val="17"/>
          <w:szCs w:val="17"/>
        </w:rPr>
        <w:t>Angel Valladares</w:t>
      </w:r>
    </w:p>
    <w:p w14:paraId="301D5BFD" w14:textId="77777777" w:rsidR="00005779" w:rsidRDefault="00005779" w:rsidP="00005779">
      <w:pPr>
        <w:spacing w:line="90" w:lineRule="exact"/>
        <w:rPr>
          <w:color w:val="00000A"/>
          <w:sz w:val="24"/>
          <w:szCs w:val="24"/>
        </w:rPr>
      </w:pPr>
    </w:p>
    <w:p w14:paraId="715EC9C1" w14:textId="39890826" w:rsidR="00005779" w:rsidRDefault="00005779" w:rsidP="00005779">
      <w:pPr>
        <w:tabs>
          <w:tab w:val="left" w:pos="244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>Measure Process</w:t>
      </w:r>
      <w:r>
        <w:rPr>
          <w:color w:val="00000A"/>
          <w:sz w:val="20"/>
          <w:szCs w:val="20"/>
        </w:rPr>
        <w:tab/>
      </w:r>
      <w:r>
        <w:rPr>
          <w:rFonts w:ascii="Trebuchet MS" w:eastAsia="Trebuchet MS" w:hAnsi="Trebuchet MS" w:cs="Trebuchet MS"/>
          <w:color w:val="00000A"/>
          <w:sz w:val="18"/>
          <w:szCs w:val="18"/>
        </w:rPr>
        <w:t>New Measure</w:t>
      </w:r>
    </w:p>
    <w:p w14:paraId="5C6EF0F1" w14:textId="5B78DB33" w:rsidR="00005779" w:rsidRDefault="00005779" w:rsidP="00005779">
      <w:pPr>
        <w:spacing w:line="90" w:lineRule="exact"/>
        <w:rPr>
          <w:color w:val="00000A"/>
          <w:sz w:val="24"/>
          <w:szCs w:val="24"/>
        </w:rPr>
      </w:pPr>
    </w:p>
    <w:p w14:paraId="271E22E5" w14:textId="0CDFED7B" w:rsidR="00005779" w:rsidRDefault="00005779" w:rsidP="00005779">
      <w:pPr>
        <w:tabs>
          <w:tab w:val="left" w:pos="2440"/>
        </w:tabs>
        <w:ind w:left="3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8"/>
          <w:szCs w:val="18"/>
        </w:rPr>
        <w:t>Status</w:t>
      </w:r>
      <w:r>
        <w:rPr>
          <w:color w:val="00000A"/>
          <w:sz w:val="20"/>
          <w:szCs w:val="20"/>
        </w:rPr>
        <w:tab/>
      </w:r>
      <w:r>
        <w:rPr>
          <w:rFonts w:ascii="Trebuchet MS" w:eastAsia="Trebuchet MS" w:hAnsi="Trebuchet MS" w:cs="Trebuchet MS"/>
          <w:color w:val="00000A"/>
          <w:sz w:val="18"/>
          <w:szCs w:val="18"/>
        </w:rPr>
        <w:t>Unassigned Draft</w:t>
      </w:r>
    </w:p>
    <w:p w14:paraId="4A75595C" w14:textId="615CBB53" w:rsidR="00CE016D" w:rsidRDefault="00CE016D"/>
    <w:p w14:paraId="6A439439" w14:textId="77777777" w:rsidR="00005779" w:rsidRPr="00005779" w:rsidRDefault="00005779" w:rsidP="00005779">
      <w:pPr>
        <w:ind w:left="200"/>
        <w:rPr>
          <w:rFonts w:eastAsia="Calibri"/>
          <w:color w:val="00000A"/>
          <w:sz w:val="20"/>
          <w:szCs w:val="20"/>
        </w:rPr>
      </w:pPr>
      <w:r w:rsidRPr="00005779">
        <w:rPr>
          <w:rFonts w:ascii="Trebuchet MS" w:eastAsia="Trebuchet MS" w:hAnsi="Trebuchet MS" w:cs="Trebuchet MS"/>
          <w:color w:val="333333"/>
          <w:sz w:val="36"/>
          <w:szCs w:val="36"/>
        </w:rPr>
        <w:t>Importance</w:t>
      </w:r>
    </w:p>
    <w:p w14:paraId="3D9A3E6D" w14:textId="0627FA67" w:rsidR="00005779" w:rsidRDefault="00005779" w:rsidP="00005779">
      <w:pPr>
        <w:spacing w:line="200" w:lineRule="exact"/>
        <w:rPr>
          <w:rFonts w:eastAsia="Calibri"/>
          <w:noProof/>
          <w:color w:val="00000A"/>
          <w:sz w:val="20"/>
          <w:szCs w:val="20"/>
          <w:lang w:eastAsia="en-US" w:bidi="ar-SA"/>
        </w:rPr>
      </w:pPr>
    </w:p>
    <w:p w14:paraId="76E37572" w14:textId="77777777" w:rsidR="00005779" w:rsidRPr="00005779" w:rsidRDefault="00005779" w:rsidP="00005779">
      <w:pPr>
        <w:ind w:left="200"/>
        <w:rPr>
          <w:rFonts w:eastAsia="Calibri"/>
        </w:rPr>
      </w:pPr>
      <w:r w:rsidRPr="00005779">
        <w:rPr>
          <w:rFonts w:ascii="Trebuchet MS" w:eastAsia="Trebuchet MS" w:hAnsi="Trebuchet MS" w:cs="Trebuchet MS"/>
          <w:color w:val="00000A"/>
        </w:rPr>
        <w:t>Performance Gap ‐ Opportunity for Improvement (</w:t>
      </w:r>
      <w:hyperlink r:id="rId5" w:anchor="1b" w:history="1">
        <w:r w:rsidRPr="00005779">
          <w:rPr>
            <w:rFonts w:ascii="Trebuchet MS" w:eastAsia="Trebuchet MS" w:hAnsi="Trebuchet MS" w:cs="Trebuchet MS"/>
            <w:color w:val="7B9A01"/>
            <w:u w:val="single"/>
          </w:rPr>
          <w:t>Measure evaluation criterion 1b</w:t>
        </w:r>
      </w:hyperlink>
      <w:r w:rsidRPr="00005779">
        <w:rPr>
          <w:rFonts w:ascii="Trebuchet MS" w:eastAsia="Trebuchet MS" w:hAnsi="Trebuchet MS" w:cs="Trebuchet MS"/>
          <w:color w:val="00000A"/>
        </w:rPr>
        <w:t>)</w:t>
      </w:r>
    </w:p>
    <w:p w14:paraId="46BDF558" w14:textId="77777777" w:rsidR="00005779" w:rsidRPr="00005779" w:rsidRDefault="00005779" w:rsidP="00005779">
      <w:pPr>
        <w:spacing w:line="200" w:lineRule="exact"/>
        <w:rPr>
          <w:rFonts w:eastAsia="Calibri"/>
          <w:color w:val="00000A"/>
          <w:sz w:val="20"/>
          <w:szCs w:val="20"/>
        </w:rPr>
      </w:pPr>
    </w:p>
    <w:p w14:paraId="1C0FDC84" w14:textId="1E3FEBF4" w:rsidR="00005779" w:rsidRPr="00005779" w:rsidRDefault="00005779" w:rsidP="00005779">
      <w:pPr>
        <w:tabs>
          <w:tab w:val="left" w:pos="4050"/>
        </w:tabs>
        <w:spacing w:line="408" w:lineRule="auto"/>
        <w:ind w:left="660"/>
        <w:rPr>
          <w:color w:val="00000A"/>
          <w:sz w:val="20"/>
          <w:szCs w:val="20"/>
        </w:rPr>
      </w:pPr>
      <w:r>
        <w:rPr>
          <w:rFonts w:ascii="Trebuchet MS" w:eastAsia="Trebuchet MS" w:hAnsi="Trebuchet MS" w:cs="Trebuchet MS"/>
          <w:color w:val="00000A"/>
          <w:sz w:val="19"/>
          <w:szCs w:val="19"/>
        </w:rPr>
        <w:t>1b.4. Provide disparities data from the measure as specified (</w:t>
      </w:r>
      <w:r>
        <w:rPr>
          <w:rFonts w:ascii="Trebuchet MS" w:eastAsia="Trebuchet MS" w:hAnsi="Trebuchet MS" w:cs="Trebuchet MS"/>
          <w:color w:val="00000A"/>
          <w:sz w:val="19"/>
          <w:szCs w:val="19"/>
          <w:u w:val="single" w:color="00000A"/>
        </w:rPr>
        <w:t>current and over time</w:t>
      </w:r>
      <w:r>
        <w:rPr>
          <w:rFonts w:ascii="Trebuchet MS" w:eastAsia="Trebuchet MS" w:hAnsi="Trebuchet MS" w:cs="Trebuchet MS"/>
          <w:color w:val="00000A"/>
          <w:sz w:val="19"/>
          <w:szCs w:val="19"/>
        </w:rPr>
        <w:t>) by population group, e.g., by race/ethnicity, gender, age, insurance status, socioeconomic status, and/or disability. (</w:t>
      </w:r>
      <w:r>
        <w:rPr>
          <w:rFonts w:ascii="Trebuchet MS" w:eastAsia="Trebuchet MS" w:hAnsi="Trebuchet MS" w:cs="Trebuchet MS"/>
          <w:color w:val="00000A"/>
          <w:sz w:val="19"/>
          <w:szCs w:val="19"/>
          <w:u w:val="single" w:color="00000A"/>
        </w:rPr>
        <w:t>This is required for</w:t>
      </w:r>
      <w:r>
        <w:rPr>
          <w:rFonts w:ascii="Trebuchet MS" w:eastAsia="Trebuchet MS" w:hAnsi="Trebuchet MS" w:cs="Trebuchet MS"/>
          <w:color w:val="00000A"/>
          <w:sz w:val="19"/>
          <w:szCs w:val="19"/>
        </w:rPr>
        <w:t xml:space="preserve"> </w:t>
      </w:r>
      <w:r>
        <w:rPr>
          <w:rFonts w:ascii="Trebuchet MS" w:eastAsia="Trebuchet MS" w:hAnsi="Trebuchet MS" w:cs="Trebuchet MS"/>
          <w:color w:val="00000A"/>
          <w:sz w:val="19"/>
          <w:szCs w:val="19"/>
          <w:u w:val="single" w:color="00000A"/>
        </w:rPr>
        <w:t>maintenance of endorsement.</w:t>
      </w:r>
      <w:r>
        <w:rPr>
          <w:rFonts w:ascii="Trebuchet MS" w:eastAsia="Trebuchet MS" w:hAnsi="Trebuchet MS" w:cs="Trebuchet MS"/>
          <w:color w:val="00000A"/>
          <w:sz w:val="19"/>
          <w:szCs w:val="19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706"/>
        <w:tblW w:w="10255" w:type="dxa"/>
        <w:tblLook w:val="04A0" w:firstRow="1" w:lastRow="0" w:firstColumn="1" w:lastColumn="0" w:noHBand="0" w:noVBand="1"/>
      </w:tblPr>
      <w:tblGrid>
        <w:gridCol w:w="1548"/>
        <w:gridCol w:w="1706"/>
        <w:gridCol w:w="1705"/>
        <w:gridCol w:w="1705"/>
        <w:gridCol w:w="1707"/>
        <w:gridCol w:w="1884"/>
      </w:tblGrid>
      <w:tr w:rsidR="00005779" w:rsidRPr="00005779" w14:paraId="6F24493A" w14:textId="77777777" w:rsidTr="00005779">
        <w:trPr>
          <w:trHeight w:val="350"/>
        </w:trPr>
        <w:tc>
          <w:tcPr>
            <w:tcW w:w="10255" w:type="dxa"/>
            <w:gridSpan w:val="6"/>
          </w:tcPr>
          <w:p w14:paraId="5B76944E" w14:textId="41AE30E5" w:rsidR="00005779" w:rsidRPr="00005779" w:rsidRDefault="00005779" w:rsidP="0000577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005779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Table: Malnutrition and Malnutrition Risk Outcomes </w:t>
            </w:r>
            <w:proofErr w:type="gramStart"/>
            <w:r w:rsidRPr="00005779">
              <w:rPr>
                <w:rFonts w:ascii="Trebuchet MS" w:hAnsi="Trebuchet MS"/>
                <w:b/>
                <w:bCs/>
                <w:sz w:val="20"/>
                <w:szCs w:val="20"/>
              </w:rPr>
              <w:t>By</w:t>
            </w:r>
            <w:proofErr w:type="gramEnd"/>
            <w:r w:rsidRPr="00005779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Age, Race/Ethnicity and Gender Strata</w:t>
            </w:r>
          </w:p>
        </w:tc>
      </w:tr>
      <w:tr w:rsidR="00005779" w:rsidRPr="00005779" w14:paraId="18403FB8" w14:textId="77777777" w:rsidTr="00005779">
        <w:trPr>
          <w:trHeight w:val="980"/>
        </w:trPr>
        <w:tc>
          <w:tcPr>
            <w:tcW w:w="1525" w:type="dxa"/>
          </w:tcPr>
          <w:p w14:paraId="62B234BB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99DE2F1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Malnutrition Risk (Relative Diff to Reference)</w:t>
            </w:r>
          </w:p>
        </w:tc>
        <w:tc>
          <w:tcPr>
            <w:tcW w:w="1710" w:type="dxa"/>
          </w:tcPr>
          <w:p w14:paraId="69181ECD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RD Diagnosis (Relative Diff to Reference)</w:t>
            </w:r>
          </w:p>
        </w:tc>
        <w:tc>
          <w:tcPr>
            <w:tcW w:w="1710" w:type="dxa"/>
          </w:tcPr>
          <w:p w14:paraId="5D6283D9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MD Diagnosis</w:t>
            </w:r>
          </w:p>
          <w:p w14:paraId="276912D2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(Relative Diff to Reference)</w:t>
            </w:r>
          </w:p>
        </w:tc>
        <w:tc>
          <w:tcPr>
            <w:tcW w:w="1710" w:type="dxa"/>
          </w:tcPr>
          <w:p w14:paraId="0503C6DA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Malnourished Readmissions</w:t>
            </w:r>
          </w:p>
          <w:p w14:paraId="7CF05463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(Relative Diff to Reference)</w:t>
            </w:r>
          </w:p>
        </w:tc>
        <w:tc>
          <w:tcPr>
            <w:tcW w:w="1890" w:type="dxa"/>
          </w:tcPr>
          <w:p w14:paraId="2AE246D6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 xml:space="preserve">Patients </w:t>
            </w:r>
            <w:r w:rsidRPr="00005779">
              <w:rPr>
                <w:rFonts w:ascii="Trebuchet MS" w:hAnsi="Trebuchet MS" w:cstheme="minorHAnsi"/>
                <w:sz w:val="20"/>
                <w:szCs w:val="20"/>
              </w:rPr>
              <w:t>≥ Median LOS</w:t>
            </w:r>
            <w:r w:rsidRPr="0000577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45C456BC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(Relative Diff to Reference)</w:t>
            </w:r>
          </w:p>
        </w:tc>
      </w:tr>
      <w:tr w:rsidR="00005779" w:rsidRPr="00005779" w14:paraId="1CADB5C2" w14:textId="77777777" w:rsidTr="00005779">
        <w:trPr>
          <w:trHeight w:val="617"/>
        </w:trPr>
        <w:tc>
          <w:tcPr>
            <w:tcW w:w="1525" w:type="dxa"/>
          </w:tcPr>
          <w:p w14:paraId="73D92C04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General Population (Reference)</w:t>
            </w:r>
          </w:p>
        </w:tc>
        <w:tc>
          <w:tcPr>
            <w:tcW w:w="1710" w:type="dxa"/>
            <w:vAlign w:val="center"/>
          </w:tcPr>
          <w:p w14:paraId="6D7A7BCE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14.01%</w:t>
            </w:r>
          </w:p>
        </w:tc>
        <w:tc>
          <w:tcPr>
            <w:tcW w:w="1710" w:type="dxa"/>
            <w:vAlign w:val="center"/>
          </w:tcPr>
          <w:p w14:paraId="0EEC6C79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22.21%</w:t>
            </w:r>
          </w:p>
        </w:tc>
        <w:tc>
          <w:tcPr>
            <w:tcW w:w="1710" w:type="dxa"/>
            <w:vAlign w:val="center"/>
          </w:tcPr>
          <w:p w14:paraId="1F0A2152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6.28%</w:t>
            </w:r>
          </w:p>
        </w:tc>
        <w:tc>
          <w:tcPr>
            <w:tcW w:w="1710" w:type="dxa"/>
            <w:vAlign w:val="center"/>
          </w:tcPr>
          <w:p w14:paraId="62AD0594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19.47%</w:t>
            </w:r>
          </w:p>
        </w:tc>
        <w:tc>
          <w:tcPr>
            <w:tcW w:w="1890" w:type="dxa"/>
            <w:vAlign w:val="center"/>
          </w:tcPr>
          <w:p w14:paraId="22BBE0D9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50%</w:t>
            </w:r>
          </w:p>
        </w:tc>
      </w:tr>
      <w:tr w:rsidR="00005779" w:rsidRPr="00005779" w14:paraId="0D53B6C9" w14:textId="77777777" w:rsidTr="00005779">
        <w:trPr>
          <w:trHeight w:val="1067"/>
        </w:trPr>
        <w:tc>
          <w:tcPr>
            <w:tcW w:w="1525" w:type="dxa"/>
          </w:tcPr>
          <w:p w14:paraId="4F228D8C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Age</w:t>
            </w:r>
          </w:p>
          <w:p w14:paraId="7B9D04EE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18-34</w:t>
            </w:r>
          </w:p>
          <w:p w14:paraId="51D30CD4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35-64</w:t>
            </w:r>
          </w:p>
          <w:p w14:paraId="28A01049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 w:cstheme="minorHAnsi"/>
                <w:sz w:val="20"/>
                <w:szCs w:val="20"/>
              </w:rPr>
              <w:t>≥</w:t>
            </w:r>
            <w:r w:rsidRPr="00005779">
              <w:rPr>
                <w:rFonts w:ascii="Trebuchet MS" w:hAnsi="Trebuchet MS"/>
                <w:sz w:val="20"/>
                <w:szCs w:val="20"/>
              </w:rPr>
              <w:t>65</w:t>
            </w:r>
          </w:p>
        </w:tc>
        <w:tc>
          <w:tcPr>
            <w:tcW w:w="1710" w:type="dxa"/>
          </w:tcPr>
          <w:p w14:paraId="1F9D903F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AB37E8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6.31% (-54.96%)</w:t>
            </w:r>
          </w:p>
          <w:p w14:paraId="530AD3DE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14.56% (3.93%)</w:t>
            </w:r>
          </w:p>
          <w:p w14:paraId="616ED42C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17.63% (25.39%)</w:t>
            </w:r>
          </w:p>
        </w:tc>
        <w:tc>
          <w:tcPr>
            <w:tcW w:w="1710" w:type="dxa"/>
          </w:tcPr>
          <w:p w14:paraId="73CE84BB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4C6F796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14.14% (-34.33%)</w:t>
            </w:r>
          </w:p>
          <w:p w14:paraId="701526DB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21.21% (-4.50%)</w:t>
            </w:r>
          </w:p>
          <w:p w14:paraId="768098F0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24.56% (10.58%)</w:t>
            </w:r>
          </w:p>
        </w:tc>
        <w:tc>
          <w:tcPr>
            <w:tcW w:w="1710" w:type="dxa"/>
          </w:tcPr>
          <w:p w14:paraId="3E783948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253A5001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1.73% (-72.45%)</w:t>
            </w:r>
          </w:p>
          <w:p w14:paraId="491C0FD4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6.02% (-4.14%)</w:t>
            </w:r>
          </w:p>
          <w:p w14:paraId="54980D35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8.95% (42.52%)</w:t>
            </w:r>
          </w:p>
        </w:tc>
        <w:tc>
          <w:tcPr>
            <w:tcW w:w="1710" w:type="dxa"/>
          </w:tcPr>
          <w:p w14:paraId="683F983F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AC09B9A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19.31% (-0.822%)</w:t>
            </w:r>
          </w:p>
          <w:p w14:paraId="7A1E404E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19.87% (2.05%)</w:t>
            </w:r>
          </w:p>
          <w:p w14:paraId="7595D69C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19.21% (-1.34%)</w:t>
            </w:r>
          </w:p>
        </w:tc>
        <w:tc>
          <w:tcPr>
            <w:tcW w:w="1890" w:type="dxa"/>
          </w:tcPr>
          <w:p w14:paraId="10571CA1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8F20D00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32.46% (-35.08%)</w:t>
            </w:r>
          </w:p>
          <w:p w14:paraId="78E9A1E5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50.69% (1.38%)</w:t>
            </w:r>
          </w:p>
          <w:p w14:paraId="35F4D9C9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58.73% (17.46%)</w:t>
            </w:r>
          </w:p>
        </w:tc>
      </w:tr>
      <w:tr w:rsidR="00005779" w:rsidRPr="00005779" w14:paraId="15D38E59" w14:textId="77777777" w:rsidTr="00005779">
        <w:trPr>
          <w:trHeight w:val="1337"/>
        </w:trPr>
        <w:tc>
          <w:tcPr>
            <w:tcW w:w="1525" w:type="dxa"/>
          </w:tcPr>
          <w:p w14:paraId="5F97EA6D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Race/Ethnicity</w:t>
            </w:r>
          </w:p>
          <w:p w14:paraId="62093448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White</w:t>
            </w:r>
          </w:p>
          <w:p w14:paraId="1627A273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Black</w:t>
            </w:r>
          </w:p>
          <w:p w14:paraId="098FC5A9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Other</w:t>
            </w:r>
          </w:p>
          <w:p w14:paraId="6B9E9A7E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Hispanic</w:t>
            </w:r>
          </w:p>
        </w:tc>
        <w:tc>
          <w:tcPr>
            <w:tcW w:w="1710" w:type="dxa"/>
          </w:tcPr>
          <w:p w14:paraId="3E99B328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297AE837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14.96% (6.78%)</w:t>
            </w:r>
          </w:p>
          <w:p w14:paraId="6B2B41EC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15.13% (7.99%)</w:t>
            </w:r>
          </w:p>
          <w:p w14:paraId="758CE08F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11.05% (-21.13%)</w:t>
            </w:r>
          </w:p>
          <w:p w14:paraId="388FC875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10.12% (-27.77)</w:t>
            </w:r>
          </w:p>
        </w:tc>
        <w:tc>
          <w:tcPr>
            <w:tcW w:w="1710" w:type="dxa"/>
          </w:tcPr>
          <w:p w14:paraId="7F0A09B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3F24A4A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21.00% (-5.48%)</w:t>
            </w:r>
          </w:p>
          <w:p w14:paraId="7BCE54F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28.16% (26.79%)</w:t>
            </w:r>
          </w:p>
          <w:p w14:paraId="359F6D70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23.98% (7.97%)</w:t>
            </w:r>
          </w:p>
          <w:p w14:paraId="40364185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20.18% (-9.14%)</w:t>
            </w:r>
          </w:p>
        </w:tc>
        <w:tc>
          <w:tcPr>
            <w:tcW w:w="1710" w:type="dxa"/>
          </w:tcPr>
          <w:p w14:paraId="7C7C715E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4D160C1F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6.10% (-2.87%)</w:t>
            </w:r>
          </w:p>
          <w:p w14:paraId="61DBED88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8.00% (27.39%)</w:t>
            </w:r>
          </w:p>
          <w:p w14:paraId="4D34664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7.16% (14.01%)</w:t>
            </w:r>
          </w:p>
          <w:p w14:paraId="6E458763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4.32% (-31.21%)</w:t>
            </w:r>
          </w:p>
        </w:tc>
        <w:tc>
          <w:tcPr>
            <w:tcW w:w="1710" w:type="dxa"/>
          </w:tcPr>
          <w:p w14:paraId="7C67E4FC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38C899D9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18.69% (-4.01%)</w:t>
            </w:r>
          </w:p>
          <w:p w14:paraId="02C2EEE1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26.15% (34.31%)</w:t>
            </w:r>
          </w:p>
          <w:p w14:paraId="0B52E770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15.41% (-20.85%)</w:t>
            </w:r>
          </w:p>
          <w:p w14:paraId="068561E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17.50</w:t>
            </w:r>
            <w:proofErr w:type="gramStart"/>
            <w:r w:rsidRPr="00005779">
              <w:rPr>
                <w:rFonts w:ascii="Trebuchet MS" w:hAnsi="Trebuchet MS"/>
                <w:sz w:val="20"/>
                <w:szCs w:val="20"/>
              </w:rPr>
              <w:t>%(</w:t>
            </w:r>
            <w:proofErr w:type="gramEnd"/>
            <w:r w:rsidRPr="00005779">
              <w:rPr>
                <w:rFonts w:ascii="Trebuchet MS" w:hAnsi="Trebuchet MS"/>
                <w:sz w:val="20"/>
                <w:szCs w:val="20"/>
              </w:rPr>
              <w:t>-10.11%)</w:t>
            </w:r>
          </w:p>
        </w:tc>
        <w:tc>
          <w:tcPr>
            <w:tcW w:w="1890" w:type="dxa"/>
          </w:tcPr>
          <w:p w14:paraId="460A67FA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1843B6D2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48.58% (-2.84%)</w:t>
            </w:r>
          </w:p>
          <w:p w14:paraId="78C9506E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59.92% (19.90%)</w:t>
            </w:r>
          </w:p>
          <w:p w14:paraId="5E1F8A5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53.36% (6.72%)</w:t>
            </w:r>
          </w:p>
          <w:p w14:paraId="7B0BFC1B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43.07% (-13.86%)</w:t>
            </w:r>
          </w:p>
        </w:tc>
      </w:tr>
      <w:tr w:rsidR="00005779" w:rsidRPr="00005779" w14:paraId="102CE56C" w14:textId="77777777" w:rsidTr="00005779">
        <w:trPr>
          <w:trHeight w:val="801"/>
        </w:trPr>
        <w:tc>
          <w:tcPr>
            <w:tcW w:w="1525" w:type="dxa"/>
          </w:tcPr>
          <w:p w14:paraId="7008AD98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Gender</w:t>
            </w:r>
          </w:p>
          <w:p w14:paraId="17F88214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Male</w:t>
            </w:r>
          </w:p>
          <w:p w14:paraId="33A2F56F" w14:textId="77777777" w:rsidR="00005779" w:rsidRPr="00005779" w:rsidRDefault="00005779" w:rsidP="00005779">
            <w:pPr>
              <w:ind w:left="420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Female</w:t>
            </w:r>
          </w:p>
        </w:tc>
        <w:tc>
          <w:tcPr>
            <w:tcW w:w="1710" w:type="dxa"/>
          </w:tcPr>
          <w:p w14:paraId="0DAE77B2" w14:textId="77777777" w:rsidR="00005779" w:rsidRPr="00005779" w:rsidRDefault="00005779" w:rsidP="00005779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932AF5E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16.43% (17.27%)</w:t>
            </w:r>
          </w:p>
          <w:p w14:paraId="287EA2D5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12.34% (-11.93%)</w:t>
            </w:r>
          </w:p>
        </w:tc>
        <w:tc>
          <w:tcPr>
            <w:tcW w:w="1710" w:type="dxa"/>
          </w:tcPr>
          <w:p w14:paraId="1D399E9F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4686FA0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23.53% (5.94%)</w:t>
            </w:r>
          </w:p>
          <w:p w14:paraId="433398B8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20.95% (-5.67%)</w:t>
            </w:r>
          </w:p>
        </w:tc>
        <w:tc>
          <w:tcPr>
            <w:tcW w:w="1710" w:type="dxa"/>
          </w:tcPr>
          <w:p w14:paraId="2D769613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39681877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7.79% (24.04%)</w:t>
            </w:r>
          </w:p>
          <w:p w14:paraId="697F6498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5.23% (-16.72%)</w:t>
            </w:r>
          </w:p>
        </w:tc>
        <w:tc>
          <w:tcPr>
            <w:tcW w:w="1710" w:type="dxa"/>
          </w:tcPr>
          <w:p w14:paraId="5743137A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434F1D9D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21.00% (7.86%)</w:t>
            </w:r>
          </w:p>
          <w:p w14:paraId="4D2FF843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17.91% (-8.01%)</w:t>
            </w:r>
          </w:p>
        </w:tc>
        <w:tc>
          <w:tcPr>
            <w:tcW w:w="1890" w:type="dxa"/>
          </w:tcPr>
          <w:p w14:paraId="4453EF37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30CF8C1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005779">
              <w:rPr>
                <w:rFonts w:ascii="Trebuchet MS" w:hAnsi="Trebuchet MS"/>
                <w:i/>
                <w:iCs/>
                <w:sz w:val="20"/>
                <w:szCs w:val="20"/>
              </w:rPr>
              <w:t>55.57% (11.14%)</w:t>
            </w:r>
          </w:p>
          <w:p w14:paraId="03AFF3E9" w14:textId="77777777" w:rsidR="00005779" w:rsidRPr="00005779" w:rsidRDefault="00005779" w:rsidP="0000577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05779">
              <w:rPr>
                <w:rFonts w:ascii="Trebuchet MS" w:hAnsi="Trebuchet MS"/>
                <w:sz w:val="20"/>
                <w:szCs w:val="20"/>
              </w:rPr>
              <w:t>46.00% (-8.00%)</w:t>
            </w:r>
          </w:p>
        </w:tc>
      </w:tr>
    </w:tbl>
    <w:p w14:paraId="581C7669" w14:textId="12EECF1E" w:rsidR="00005779" w:rsidRPr="00005779" w:rsidRDefault="00005779" w:rsidP="00005779">
      <w:pPr>
        <w:ind w:left="720"/>
        <w:rPr>
          <w:rFonts w:ascii="Trebuchet MS" w:hAnsi="Trebuchet MS"/>
          <w:sz w:val="20"/>
          <w:szCs w:val="20"/>
        </w:rPr>
      </w:pPr>
      <w:r w:rsidRPr="00005779">
        <w:rPr>
          <w:rFonts w:ascii="Trebuchet MS" w:hAnsi="Trebuchet MS"/>
          <w:sz w:val="20"/>
          <w:szCs w:val="20"/>
        </w:rPr>
        <w:t>See table below.</w:t>
      </w:r>
    </w:p>
    <w:sectPr w:rsidR="00005779" w:rsidRPr="00005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79"/>
    <w:rsid w:val="00005779"/>
    <w:rsid w:val="003C761B"/>
    <w:rsid w:val="00CE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B5474"/>
  <w15:chartTrackingRefBased/>
  <w15:docId w15:val="{F743AE2F-E525-4819-AD42-3BC35268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779"/>
    <w:pPr>
      <w:spacing w:after="0" w:line="240" w:lineRule="auto"/>
    </w:pPr>
    <w:rPr>
      <w:rFonts w:ascii="Liberation Serif" w:eastAsiaTheme="minorEastAsia" w:hAnsi="Liberation Serif" w:cs="Arial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qf.qualityforum.dev.win.dotnet.panth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Valladares</dc:creator>
  <cp:keywords/>
  <dc:description/>
  <cp:lastModifiedBy>Angel Valladares</cp:lastModifiedBy>
  <cp:revision>1</cp:revision>
  <dcterms:created xsi:type="dcterms:W3CDTF">2020-11-16T22:36:00Z</dcterms:created>
  <dcterms:modified xsi:type="dcterms:W3CDTF">2020-11-16T23:15:00Z</dcterms:modified>
</cp:coreProperties>
</file>