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EF1A3" w14:textId="77777777" w:rsidR="007C00E3" w:rsidRPr="0005673C" w:rsidRDefault="007C00E3" w:rsidP="007C00E3">
      <w:pPr>
        <w:spacing w:after="240"/>
        <w:jc w:val="center"/>
        <w:rPr>
          <w:rFonts w:cstheme="minorHAnsi"/>
          <w:b/>
          <w:sz w:val="28"/>
          <w:szCs w:val="28"/>
        </w:rPr>
      </w:pPr>
      <w:r w:rsidRPr="0005673C">
        <w:rPr>
          <w:rFonts w:cstheme="minorHAnsi"/>
          <w:b/>
          <w:sz w:val="28"/>
          <w:szCs w:val="28"/>
        </w:rPr>
        <w:t>NQF Measure Submission Form, Version 0.1</w:t>
      </w:r>
    </w:p>
    <w:p w14:paraId="6CC8C1C5" w14:textId="77777777" w:rsidR="007C00E3" w:rsidRPr="0005673C" w:rsidRDefault="007C00E3" w:rsidP="007C00E3">
      <w:pPr>
        <w:jc w:val="center"/>
        <w:rPr>
          <w:rFonts w:cs="Calibri"/>
          <w:i/>
          <w:sz w:val="24"/>
        </w:rPr>
      </w:pPr>
      <w:r w:rsidRPr="0005673C">
        <w:rPr>
          <w:rFonts w:cs="Calibri"/>
          <w:i/>
          <w:sz w:val="24"/>
        </w:rPr>
        <w:t>Updated October 10, 2017</w:t>
      </w:r>
    </w:p>
    <w:p w14:paraId="6CBE8E50" w14:textId="77777777" w:rsidR="007C00E3" w:rsidRPr="0005673C" w:rsidRDefault="007C00E3" w:rsidP="007C00E3">
      <w:pPr>
        <w:jc w:val="center"/>
        <w:rPr>
          <w:rFonts w:cstheme="minorHAnsi"/>
          <w:b/>
          <w:sz w:val="28"/>
          <w:szCs w:val="28"/>
        </w:rPr>
      </w:pPr>
    </w:p>
    <w:p w14:paraId="656674B1" w14:textId="77777777" w:rsidR="00197C87" w:rsidRPr="0005673C" w:rsidRDefault="00197C87">
      <w:pPr>
        <w:rPr>
          <w:szCs w:val="22"/>
        </w:rPr>
      </w:pPr>
    </w:p>
    <w:p w14:paraId="26979E37" w14:textId="77777777" w:rsidR="007C00E3" w:rsidRPr="0005673C" w:rsidRDefault="007C00E3" w:rsidP="007C00E3">
      <w:pPr>
        <w:rPr>
          <w:rFonts w:eastAsia="Trebuchet MS" w:cs="Trebuchet MS"/>
          <w:color w:val="00000A"/>
          <w:szCs w:val="22"/>
        </w:rPr>
      </w:pPr>
      <w:r w:rsidRPr="0005673C">
        <w:rPr>
          <w:rFonts w:eastAsia="Trebuchet MS" w:cs="Trebuchet MS"/>
          <w:color w:val="00000A"/>
          <w:szCs w:val="22"/>
        </w:rPr>
        <w:t>Is this a measure (or updated version of a measure previously submitted to NQF and given an NQF#?</w:t>
      </w:r>
    </w:p>
    <w:p w14:paraId="31EDD317" w14:textId="5352709F" w:rsidR="00D24B44" w:rsidRPr="0005673C" w:rsidRDefault="00383343" w:rsidP="00D24B44">
      <w:pPr>
        <w:spacing w:line="276" w:lineRule="auto"/>
        <w:rPr>
          <w:rFonts w:cstheme="minorHAnsi"/>
          <w:bCs/>
          <w:color w:val="000000" w:themeColor="text1"/>
        </w:rPr>
      </w:pPr>
      <w:sdt>
        <w:sdtPr>
          <w:rPr>
            <w:rFonts w:cstheme="minorHAnsi"/>
            <w:bCs/>
            <w:color w:val="000000" w:themeColor="text1"/>
          </w:rPr>
          <w:id w:val="40960739"/>
          <w14:checkbox>
            <w14:checked w14:val="1"/>
            <w14:checkedState w14:val="2612" w14:font="MS Gothic"/>
            <w14:uncheckedState w14:val="2610" w14:font="MS Gothic"/>
          </w14:checkbox>
        </w:sdtPr>
        <w:sdtEndPr/>
        <w:sdtContent>
          <w:r w:rsidR="00C03755">
            <w:rPr>
              <w:rFonts w:ascii="MS Gothic" w:eastAsia="MS Gothic" w:hAnsi="MS Gothic" w:cstheme="minorHAnsi" w:hint="eastAsia"/>
              <w:bCs/>
              <w:color w:val="000000" w:themeColor="text1"/>
            </w:rPr>
            <w:t>☒</w:t>
          </w:r>
        </w:sdtContent>
      </w:sdt>
      <w:r w:rsidR="00D24B44" w:rsidRPr="0005673C">
        <w:rPr>
          <w:rFonts w:cstheme="minorHAnsi"/>
          <w:bCs/>
          <w:color w:val="000000" w:themeColor="text1"/>
        </w:rPr>
        <w:t xml:space="preserve"> Yes</w:t>
      </w:r>
    </w:p>
    <w:p w14:paraId="0BC7F6DF" w14:textId="6956D88B" w:rsidR="00D24B44" w:rsidRPr="0005673C" w:rsidRDefault="00383343" w:rsidP="00D24B44">
      <w:pPr>
        <w:spacing w:line="276" w:lineRule="auto"/>
        <w:rPr>
          <w:rFonts w:cstheme="minorHAnsi"/>
          <w:bCs/>
          <w:color w:val="000000" w:themeColor="text1"/>
        </w:rPr>
      </w:pPr>
      <w:sdt>
        <w:sdtPr>
          <w:rPr>
            <w:rFonts w:cstheme="minorHAnsi"/>
            <w:bCs/>
            <w:color w:val="000000" w:themeColor="text1"/>
          </w:rPr>
          <w:id w:val="2033833877"/>
          <w14:checkbox>
            <w14:checked w14:val="0"/>
            <w14:checkedState w14:val="2612" w14:font="MS Gothic"/>
            <w14:uncheckedState w14:val="2610" w14:font="MS Gothic"/>
          </w14:checkbox>
        </w:sdtPr>
        <w:sdtEndPr/>
        <w:sdtContent>
          <w:r w:rsidR="00C03755">
            <w:rPr>
              <w:rFonts w:ascii="MS Gothic" w:eastAsia="MS Gothic" w:hAnsi="MS Gothic" w:cstheme="minorHAnsi" w:hint="eastAsia"/>
              <w:bCs/>
              <w:color w:val="000000" w:themeColor="text1"/>
            </w:rPr>
            <w:t>☐</w:t>
          </w:r>
        </w:sdtContent>
      </w:sdt>
      <w:r w:rsidR="00D24B44" w:rsidRPr="0005673C">
        <w:rPr>
          <w:rFonts w:cstheme="minorHAnsi"/>
          <w:bCs/>
          <w:color w:val="000000" w:themeColor="text1"/>
        </w:rPr>
        <w:t xml:space="preserve"> No</w:t>
      </w:r>
    </w:p>
    <w:p w14:paraId="1A5E6FF0" w14:textId="33F8FD5D" w:rsidR="0053201A" w:rsidRPr="0005673C" w:rsidRDefault="0053201A" w:rsidP="00D24B44">
      <w:pPr>
        <w:spacing w:line="276" w:lineRule="auto"/>
        <w:rPr>
          <w:rFonts w:cstheme="minorHAnsi"/>
          <w:bCs/>
          <w:color w:val="000000" w:themeColor="text1"/>
        </w:rPr>
      </w:pPr>
    </w:p>
    <w:p w14:paraId="05D43E12" w14:textId="77777777" w:rsidR="0053201A" w:rsidRPr="0005673C" w:rsidRDefault="0053201A" w:rsidP="0053201A">
      <w:pPr>
        <w:spacing w:line="276" w:lineRule="auto"/>
        <w:rPr>
          <w:rFonts w:cstheme="minorHAnsi"/>
          <w:color w:val="000000" w:themeColor="text1"/>
        </w:rPr>
      </w:pPr>
      <w:r w:rsidRPr="0005673C">
        <w:rPr>
          <w:rFonts w:cstheme="minorHAnsi"/>
          <w:color w:val="000000" w:themeColor="text1"/>
        </w:rPr>
        <w:t>Several conditions must be met before proposed measures may be considered and evaluated for suitability as voluntary consensus standards. If any of the conditions are not met, the measure will not be accepted for consideration.</w:t>
      </w:r>
    </w:p>
    <w:p w14:paraId="3A5DD9F5" w14:textId="1C069FD1" w:rsidR="0053201A" w:rsidRPr="0005673C" w:rsidRDefault="0053201A" w:rsidP="00342869">
      <w:pPr>
        <w:spacing w:line="276" w:lineRule="auto"/>
        <w:ind w:left="720"/>
        <w:rPr>
          <w:rFonts w:cstheme="minorHAnsi"/>
          <w:i/>
          <w:color w:val="000000" w:themeColor="text1"/>
        </w:rPr>
      </w:pPr>
      <w:r w:rsidRPr="0005673C">
        <w:rPr>
          <w:rFonts w:cstheme="minorHAnsi"/>
          <w:i/>
          <w:color w:val="000000" w:themeColor="text1"/>
        </w:rPr>
        <w:t>A. The measure is in the public domain or a Measure Steward Agreement is signed. (All non‐government organizations must sign a Measure Steward Agreement even if measures are made publicly and freely available.)</w:t>
      </w:r>
    </w:p>
    <w:p w14:paraId="3D7F664B" w14:textId="06B8E9E0" w:rsidR="0053201A" w:rsidRPr="0005673C" w:rsidRDefault="0053201A" w:rsidP="00342869">
      <w:pPr>
        <w:spacing w:line="276" w:lineRule="auto"/>
        <w:ind w:left="720"/>
        <w:rPr>
          <w:rFonts w:cstheme="minorHAnsi"/>
          <w:i/>
          <w:color w:val="000000" w:themeColor="text1"/>
        </w:rPr>
      </w:pPr>
      <w:r w:rsidRPr="0005673C">
        <w:rPr>
          <w:rFonts w:cstheme="minorHAnsi"/>
          <w:i/>
          <w:color w:val="000000" w:themeColor="text1"/>
        </w:rPr>
        <w:t>B. The measure owner/steward verifies there is an identified responsible entity and a process to maintain and update the measure on a schedule that is commensurate with the rate of clinical innovation, but at least every three years.</w:t>
      </w:r>
    </w:p>
    <w:p w14:paraId="5B84205D" w14:textId="7DCC1BE3" w:rsidR="0053201A" w:rsidRPr="0005673C" w:rsidRDefault="0053201A" w:rsidP="00342869">
      <w:pPr>
        <w:spacing w:line="276" w:lineRule="auto"/>
        <w:ind w:left="720"/>
        <w:rPr>
          <w:rFonts w:cstheme="minorHAnsi"/>
          <w:i/>
          <w:color w:val="000000" w:themeColor="text1"/>
        </w:rPr>
      </w:pPr>
      <w:r w:rsidRPr="0005673C">
        <w:rPr>
          <w:rFonts w:cstheme="minorHAnsi"/>
          <w:i/>
          <w:color w:val="000000" w:themeColor="text1"/>
        </w:rPr>
        <w:t>C. The intended use of the measure includes both accountability applications (including public reporting) and performance improvement to achieve high‐quality, efficient healthcare.</w:t>
      </w:r>
    </w:p>
    <w:p w14:paraId="360CDA09" w14:textId="636F5DFA" w:rsidR="0053201A" w:rsidRPr="0005673C" w:rsidRDefault="00342869" w:rsidP="00342869">
      <w:pPr>
        <w:spacing w:line="276" w:lineRule="auto"/>
        <w:ind w:left="720"/>
        <w:rPr>
          <w:rFonts w:cstheme="minorHAnsi"/>
          <w:i/>
          <w:color w:val="000000" w:themeColor="text1"/>
        </w:rPr>
      </w:pPr>
      <w:r w:rsidRPr="0005673C">
        <w:rPr>
          <w:rFonts w:cstheme="minorHAnsi"/>
          <w:i/>
          <w:color w:val="000000" w:themeColor="text1"/>
        </w:rPr>
        <w:t xml:space="preserve">D. </w:t>
      </w:r>
      <w:r w:rsidR="0053201A" w:rsidRPr="0005673C">
        <w:rPr>
          <w:rFonts w:cstheme="minorHAnsi"/>
          <w:i/>
          <w:color w:val="000000" w:themeColor="text1"/>
        </w:rPr>
        <w:t>The measure is fully specified and teste</w:t>
      </w:r>
      <w:r w:rsidRPr="0005673C">
        <w:rPr>
          <w:rFonts w:cstheme="minorHAnsi"/>
          <w:i/>
          <w:color w:val="000000" w:themeColor="text1"/>
        </w:rPr>
        <w:t>d for reliability and validity.</w:t>
      </w:r>
    </w:p>
    <w:p w14:paraId="26156868" w14:textId="61B50F2D" w:rsidR="0053201A" w:rsidRPr="0005673C" w:rsidRDefault="00342869" w:rsidP="00342869">
      <w:pPr>
        <w:spacing w:line="276" w:lineRule="auto"/>
        <w:ind w:left="720"/>
        <w:rPr>
          <w:rFonts w:cstheme="minorHAnsi"/>
          <w:i/>
          <w:color w:val="000000" w:themeColor="text1"/>
        </w:rPr>
      </w:pPr>
      <w:r w:rsidRPr="0005673C">
        <w:rPr>
          <w:rFonts w:cstheme="minorHAnsi"/>
          <w:i/>
          <w:color w:val="000000" w:themeColor="text1"/>
        </w:rPr>
        <w:t xml:space="preserve">E. </w:t>
      </w:r>
      <w:r w:rsidR="0053201A" w:rsidRPr="0005673C">
        <w:rPr>
          <w:rFonts w:cstheme="minorHAnsi"/>
          <w:i/>
          <w:color w:val="000000" w:themeColor="text1"/>
        </w:rPr>
        <w:t>The measure developer/steward attests that harmonization with related measures and issues with competing measures have been considered and addressed, as appropriate.</w:t>
      </w:r>
    </w:p>
    <w:p w14:paraId="1E532F28" w14:textId="65E372B9" w:rsidR="0053201A" w:rsidRPr="0005673C" w:rsidRDefault="00342869" w:rsidP="00342869">
      <w:pPr>
        <w:spacing w:line="276" w:lineRule="auto"/>
        <w:ind w:left="720"/>
        <w:rPr>
          <w:rFonts w:cstheme="minorHAnsi"/>
          <w:i/>
          <w:color w:val="000000" w:themeColor="text1"/>
        </w:rPr>
      </w:pPr>
      <w:r w:rsidRPr="0005673C">
        <w:rPr>
          <w:rFonts w:cstheme="minorHAnsi"/>
          <w:i/>
          <w:color w:val="000000" w:themeColor="text1"/>
        </w:rPr>
        <w:t xml:space="preserve">F. </w:t>
      </w:r>
      <w:r w:rsidR="0053201A" w:rsidRPr="0005673C">
        <w:rPr>
          <w:rFonts w:cstheme="minorHAnsi"/>
          <w:i/>
          <w:color w:val="000000" w:themeColor="text1"/>
        </w:rPr>
        <w:t>The requested measure submission information is complete and responsive to the questions so that all the information needed to evaluate all criteria is provided.</w:t>
      </w:r>
    </w:p>
    <w:p w14:paraId="721CB4F2" w14:textId="7844CF0B" w:rsidR="0053201A" w:rsidRPr="0005673C" w:rsidRDefault="0053201A" w:rsidP="0053201A">
      <w:pPr>
        <w:spacing w:line="276" w:lineRule="auto"/>
        <w:rPr>
          <w:rFonts w:cstheme="minorHAnsi"/>
          <w:color w:val="000000" w:themeColor="text1"/>
        </w:rPr>
      </w:pPr>
      <w:r w:rsidRPr="0005673C">
        <w:rPr>
          <w:rFonts w:cstheme="minorHAnsi"/>
          <w:color w:val="000000" w:themeColor="text1"/>
        </w:rPr>
        <w:t>Do you agree to these conditions?</w:t>
      </w:r>
    </w:p>
    <w:p w14:paraId="566EF46F" w14:textId="77777777" w:rsidR="00342869" w:rsidRPr="0005673C" w:rsidRDefault="00383343" w:rsidP="00342869">
      <w:pPr>
        <w:spacing w:line="276" w:lineRule="auto"/>
        <w:rPr>
          <w:rFonts w:cstheme="minorHAnsi"/>
          <w:bCs/>
          <w:color w:val="000000" w:themeColor="text1"/>
        </w:rPr>
      </w:pPr>
      <w:sdt>
        <w:sdtPr>
          <w:rPr>
            <w:rFonts w:cstheme="minorHAnsi"/>
            <w:bCs/>
            <w:color w:val="000000" w:themeColor="text1"/>
          </w:rPr>
          <w:id w:val="-1130932837"/>
          <w14:checkbox>
            <w14:checked w14:val="1"/>
            <w14:checkedState w14:val="2612" w14:font="MS Gothic"/>
            <w14:uncheckedState w14:val="2610" w14:font="MS Gothic"/>
          </w14:checkbox>
        </w:sdtPr>
        <w:sdtEndPr/>
        <w:sdtContent>
          <w:r w:rsidR="00342869" w:rsidRPr="0005673C">
            <w:rPr>
              <w:rFonts w:ascii="Segoe UI Symbol" w:eastAsia="MS Gothic" w:hAnsi="Segoe UI Symbol" w:cs="Segoe UI Symbol"/>
              <w:bCs/>
              <w:color w:val="000000" w:themeColor="text1"/>
            </w:rPr>
            <w:t>☒</w:t>
          </w:r>
        </w:sdtContent>
      </w:sdt>
      <w:r w:rsidR="00342869" w:rsidRPr="0005673C">
        <w:rPr>
          <w:rFonts w:cstheme="minorHAnsi"/>
          <w:bCs/>
          <w:color w:val="000000" w:themeColor="text1"/>
        </w:rPr>
        <w:t xml:space="preserve"> Yes</w:t>
      </w:r>
    </w:p>
    <w:p w14:paraId="79A43A3C" w14:textId="77777777" w:rsidR="00342869" w:rsidRPr="0005673C" w:rsidRDefault="00383343" w:rsidP="00342869">
      <w:pPr>
        <w:spacing w:line="276" w:lineRule="auto"/>
        <w:rPr>
          <w:rFonts w:cstheme="minorHAnsi"/>
          <w:bCs/>
          <w:color w:val="000000" w:themeColor="text1"/>
        </w:rPr>
      </w:pPr>
      <w:sdt>
        <w:sdtPr>
          <w:rPr>
            <w:rFonts w:cstheme="minorHAnsi"/>
            <w:bCs/>
            <w:color w:val="000000" w:themeColor="text1"/>
          </w:rPr>
          <w:id w:val="1931994782"/>
          <w14:checkbox>
            <w14:checked w14:val="0"/>
            <w14:checkedState w14:val="2612" w14:font="MS Gothic"/>
            <w14:uncheckedState w14:val="2610" w14:font="MS Gothic"/>
          </w14:checkbox>
        </w:sdtPr>
        <w:sdtEndPr/>
        <w:sdtContent>
          <w:r w:rsidR="00342869" w:rsidRPr="0005673C">
            <w:rPr>
              <w:rFonts w:ascii="Segoe UI Symbol" w:eastAsia="MS Gothic" w:hAnsi="Segoe UI Symbol" w:cs="Segoe UI Symbol"/>
              <w:bCs/>
              <w:color w:val="000000" w:themeColor="text1"/>
            </w:rPr>
            <w:t>☐</w:t>
          </w:r>
        </w:sdtContent>
      </w:sdt>
      <w:r w:rsidR="00342869" w:rsidRPr="0005673C">
        <w:rPr>
          <w:rFonts w:cstheme="minorHAnsi"/>
          <w:bCs/>
          <w:color w:val="000000" w:themeColor="text1"/>
        </w:rPr>
        <w:t xml:space="preserve"> No</w:t>
      </w:r>
    </w:p>
    <w:p w14:paraId="11567081" w14:textId="77777777" w:rsidR="00D24B44" w:rsidRPr="0005673C" w:rsidRDefault="00D24B44" w:rsidP="007C00E3">
      <w:pPr>
        <w:spacing w:line="178" w:lineRule="exact"/>
        <w:rPr>
          <w:color w:val="00000A"/>
          <w:sz w:val="20"/>
          <w:szCs w:val="20"/>
        </w:rPr>
      </w:pPr>
    </w:p>
    <w:p w14:paraId="3C26ADC6" w14:textId="77777777" w:rsidR="007C00E3" w:rsidRPr="0005673C" w:rsidRDefault="007C00E3" w:rsidP="007C00E3">
      <w:pPr>
        <w:jc w:val="center"/>
        <w:rPr>
          <w:b/>
          <w:sz w:val="24"/>
        </w:rPr>
      </w:pPr>
      <w:r w:rsidRPr="0005673C">
        <w:rPr>
          <w:b/>
          <w:sz w:val="24"/>
        </w:rPr>
        <w:t>Descriptive Information</w:t>
      </w:r>
    </w:p>
    <w:p w14:paraId="32E56583" w14:textId="77777777" w:rsidR="007C00E3" w:rsidRPr="0005673C" w:rsidRDefault="007C00E3" w:rsidP="007C00E3"/>
    <w:p w14:paraId="2574319A" w14:textId="460F4F98" w:rsidR="007C00E3" w:rsidRPr="0005673C" w:rsidRDefault="007C00E3" w:rsidP="007C00E3">
      <w:r w:rsidRPr="0005673C">
        <w:rPr>
          <w:b/>
        </w:rPr>
        <w:t>De.1. Measure Type</w:t>
      </w:r>
      <w:r w:rsidRPr="0005673C">
        <w:t xml:space="preserve"> </w:t>
      </w:r>
      <w:r w:rsidRPr="0005673C">
        <w:rPr>
          <w:i/>
          <w:iCs/>
        </w:rPr>
        <w:t xml:space="preserve">(Patient‐reported outcomes include </w:t>
      </w:r>
      <w:proofErr w:type="spellStart"/>
      <w:r w:rsidRPr="0005673C">
        <w:rPr>
          <w:i/>
          <w:iCs/>
        </w:rPr>
        <w:t>HRQoL</w:t>
      </w:r>
      <w:proofErr w:type="spellEnd"/>
      <w:r w:rsidRPr="0005673C">
        <w:rPr>
          <w:i/>
          <w:iCs/>
        </w:rPr>
        <w:t>/functional status, symptom/burden, experience</w:t>
      </w:r>
      <w:r w:rsidRPr="0005673C">
        <w:t xml:space="preserve"> </w:t>
      </w:r>
      <w:r w:rsidRPr="0005673C">
        <w:rPr>
          <w:i/>
          <w:iCs/>
        </w:rPr>
        <w:t>with care, health‐related behavior</w:t>
      </w:r>
      <w:r w:rsidR="009363B8" w:rsidRPr="0005673C">
        <w:rPr>
          <w:i/>
          <w:iCs/>
        </w:rPr>
        <w:t>.)</w:t>
      </w:r>
      <w:r w:rsidR="009363B8" w:rsidRPr="0005673C">
        <w:t xml:space="preserve"> *</w:t>
      </w:r>
    </w:p>
    <w:p w14:paraId="07E52FB3" w14:textId="64BF4181" w:rsidR="007C00E3" w:rsidRPr="0005673C" w:rsidRDefault="00111A84" w:rsidP="007C00E3">
      <w:pPr>
        <w:pBdr>
          <w:top w:val="single" w:sz="4" w:space="1" w:color="auto"/>
          <w:left w:val="single" w:sz="4" w:space="4" w:color="auto"/>
          <w:bottom w:val="single" w:sz="4" w:space="1" w:color="auto"/>
          <w:right w:val="single" w:sz="4" w:space="4" w:color="auto"/>
        </w:pBdr>
      </w:pPr>
      <w:r>
        <w:t>O</w:t>
      </w:r>
      <w:r w:rsidR="00C03755" w:rsidRPr="00C03755">
        <w:t xml:space="preserve">utcome </w:t>
      </w:r>
    </w:p>
    <w:p w14:paraId="7E63A7E3" w14:textId="77777777" w:rsidR="007C00E3" w:rsidRPr="0005673C" w:rsidRDefault="007C00E3" w:rsidP="007C00E3"/>
    <w:p w14:paraId="502CA2B4" w14:textId="77777777" w:rsidR="007C00E3" w:rsidRPr="0005673C" w:rsidRDefault="00383343" w:rsidP="007C00E3">
      <w:hyperlink r:id="rId6">
        <w:r w:rsidR="007C00E3" w:rsidRPr="0005673C">
          <w:rPr>
            <w:rStyle w:val="Hyperlink"/>
            <w:b/>
            <w:color w:val="auto"/>
            <w:u w:val="none"/>
          </w:rPr>
          <w:t>De.2. Measure Title</w:t>
        </w:r>
        <w:r w:rsidR="007C00E3" w:rsidRPr="0005673C">
          <w:rPr>
            <w:rStyle w:val="Hyperlink"/>
            <w:color w:val="auto"/>
            <w:u w:val="none"/>
          </w:rPr>
          <w:t xml:space="preserve"> ‐ Measure titles should be concise yet convey who and what is being measured (see What</w:t>
        </w:r>
      </w:hyperlink>
      <w:r w:rsidR="007C00E3" w:rsidRPr="0005673C">
        <w:t xml:space="preserve"> </w:t>
      </w:r>
      <w:hyperlink r:id="rId7">
        <w:r w:rsidR="007C00E3" w:rsidRPr="0005673C">
          <w:rPr>
            <w:rStyle w:val="Hyperlink"/>
            <w:color w:val="auto"/>
            <w:u w:val="none"/>
          </w:rPr>
          <w:t>Good Looks Like)*</w:t>
        </w:r>
      </w:hyperlink>
    </w:p>
    <w:p w14:paraId="5B6ABB51" w14:textId="5C547E80" w:rsidR="007C00E3" w:rsidRPr="00383343" w:rsidRDefault="00125AE0" w:rsidP="007C00E3">
      <w:pPr>
        <w:pBdr>
          <w:top w:val="single" w:sz="4" w:space="1" w:color="auto"/>
          <w:left w:val="single" w:sz="4" w:space="4" w:color="auto"/>
          <w:bottom w:val="single" w:sz="4" w:space="1" w:color="auto"/>
          <w:right w:val="single" w:sz="4" w:space="4" w:color="auto"/>
        </w:pBdr>
        <w:rPr>
          <w:b/>
        </w:rPr>
      </w:pPr>
      <w:r w:rsidRPr="00383343">
        <w:t xml:space="preserve"> </w:t>
      </w:r>
      <w:r w:rsidR="00881B65" w:rsidRPr="00383343">
        <w:t xml:space="preserve">Hospital Harm </w:t>
      </w:r>
      <w:r w:rsidR="009363B8" w:rsidRPr="00383343">
        <w:t>–</w:t>
      </w:r>
      <w:r w:rsidR="00881B65" w:rsidRPr="00383343">
        <w:t xml:space="preserve"> </w:t>
      </w:r>
      <w:r w:rsidR="009363B8" w:rsidRPr="00383343">
        <w:t xml:space="preserve">Severe </w:t>
      </w:r>
      <w:r w:rsidR="00C03755" w:rsidRPr="00383343">
        <w:t>Hypoglycemia</w:t>
      </w:r>
    </w:p>
    <w:p w14:paraId="28A0E9CB" w14:textId="77777777" w:rsidR="007C00E3" w:rsidRPr="0005673C" w:rsidRDefault="007C00E3" w:rsidP="007C00E3"/>
    <w:p w14:paraId="4035E2A5" w14:textId="77777777" w:rsidR="007C00E3" w:rsidRPr="0005673C" w:rsidRDefault="007C00E3" w:rsidP="007C00E3">
      <w:r w:rsidRPr="0005673C">
        <w:rPr>
          <w:b/>
        </w:rPr>
        <w:t>De.3.</w:t>
      </w:r>
      <w:r w:rsidRPr="0005673C">
        <w:t xml:space="preserve"> </w:t>
      </w:r>
      <w:r w:rsidRPr="0005673C">
        <w:rPr>
          <w:b/>
        </w:rPr>
        <w:t>Brief description of measure</w:t>
      </w:r>
      <w:r w:rsidRPr="0005673C">
        <w:t xml:space="preserve"> (</w:t>
      </w:r>
      <w:r w:rsidRPr="0005673C">
        <w:rPr>
          <w:i/>
          <w:iCs/>
        </w:rPr>
        <w:t>including type of score, measure focus, target population, timeframe, e.g.,</w:t>
      </w:r>
      <w:r w:rsidRPr="0005673C">
        <w:t xml:space="preserve"> </w:t>
      </w:r>
      <w:r w:rsidRPr="0005673C">
        <w:rPr>
          <w:i/>
          <w:iCs/>
        </w:rPr>
        <w:t>Percentage of adult patients aged 18‐75 years receiving one or more HbA1c tests per year</w:t>
      </w:r>
      <w:r w:rsidRPr="0005673C">
        <w:t>)</w:t>
      </w:r>
    </w:p>
    <w:p w14:paraId="6E449BDF" w14:textId="4EC4248A" w:rsidR="007C00E3" w:rsidRPr="00383343" w:rsidRDefault="00AA061D" w:rsidP="00383343">
      <w:pPr>
        <w:pBdr>
          <w:top w:val="single" w:sz="4" w:space="1" w:color="auto"/>
          <w:left w:val="single" w:sz="4" w:space="4" w:color="auto"/>
          <w:bottom w:val="single" w:sz="4" w:space="0" w:color="auto"/>
          <w:right w:val="single" w:sz="4" w:space="4" w:color="auto"/>
        </w:pBdr>
        <w:rPr>
          <w:bCs/>
          <w:szCs w:val="22"/>
        </w:rPr>
      </w:pPr>
      <w:r w:rsidRPr="00383343">
        <w:rPr>
          <w:bCs/>
          <w:szCs w:val="22"/>
        </w:rPr>
        <w:lastRenderedPageBreak/>
        <w:t xml:space="preserve">This </w:t>
      </w:r>
      <w:r w:rsidR="00473CC7" w:rsidRPr="00383343">
        <w:rPr>
          <w:rFonts w:cstheme="minorHAnsi"/>
          <w:szCs w:val="22"/>
        </w:rPr>
        <w:t>electronic clinical quality measure (</w:t>
      </w:r>
      <w:r w:rsidRPr="00383343">
        <w:rPr>
          <w:bCs/>
          <w:szCs w:val="22"/>
        </w:rPr>
        <w:t>eCQM</w:t>
      </w:r>
      <w:r w:rsidR="00473CC7" w:rsidRPr="00383343">
        <w:rPr>
          <w:bCs/>
          <w:szCs w:val="22"/>
        </w:rPr>
        <w:t>)</w:t>
      </w:r>
      <w:r w:rsidRPr="00383343">
        <w:rPr>
          <w:bCs/>
          <w:szCs w:val="22"/>
        </w:rPr>
        <w:t xml:space="preserve"> assess</w:t>
      </w:r>
      <w:r w:rsidR="00910016" w:rsidRPr="00383343">
        <w:rPr>
          <w:bCs/>
          <w:szCs w:val="22"/>
        </w:rPr>
        <w:t>es</w:t>
      </w:r>
      <w:r w:rsidRPr="00383343">
        <w:rPr>
          <w:bCs/>
          <w:szCs w:val="22"/>
        </w:rPr>
        <w:t xml:space="preserve"> t</w:t>
      </w:r>
      <w:r w:rsidR="000E1523" w:rsidRPr="00383343">
        <w:rPr>
          <w:rFonts w:eastAsiaTheme="minorHAnsi" w:cs="Calibri"/>
          <w:szCs w:val="22"/>
        </w:rPr>
        <w:t xml:space="preserve">he </w:t>
      </w:r>
      <w:r w:rsidR="00111A84" w:rsidRPr="00383343">
        <w:rPr>
          <w:rFonts w:eastAsiaTheme="minorHAnsi" w:cs="Calibri"/>
          <w:szCs w:val="22"/>
        </w:rPr>
        <w:t xml:space="preserve">proportion of </w:t>
      </w:r>
      <w:r w:rsidR="000C2E6A" w:rsidRPr="00383343">
        <w:rPr>
          <w:rFonts w:eastAsiaTheme="minorHAnsi" w:cs="Calibri"/>
          <w:szCs w:val="22"/>
        </w:rPr>
        <w:t xml:space="preserve">inpatient admissions </w:t>
      </w:r>
      <w:r w:rsidR="00473CC7" w:rsidRPr="00383343">
        <w:rPr>
          <w:rFonts w:eastAsiaTheme="minorHAnsi" w:cs="Calibri"/>
          <w:szCs w:val="22"/>
        </w:rPr>
        <w:t xml:space="preserve">for </w:t>
      </w:r>
      <w:r w:rsidR="000C2E6A" w:rsidRPr="00383343">
        <w:rPr>
          <w:rFonts w:eastAsiaTheme="minorHAnsi" w:cs="Calibri"/>
          <w:szCs w:val="22"/>
        </w:rPr>
        <w:t>patients</w:t>
      </w:r>
      <w:r w:rsidR="00722D73" w:rsidRPr="00383343">
        <w:rPr>
          <w:rFonts w:eastAsiaTheme="minorHAnsi" w:cs="Calibri"/>
          <w:szCs w:val="22"/>
        </w:rPr>
        <w:t xml:space="preserve"> </w:t>
      </w:r>
      <w:r w:rsidR="00111A84" w:rsidRPr="00383343">
        <w:rPr>
          <w:rFonts w:eastAsiaTheme="minorHAnsi" w:cs="Calibri"/>
          <w:szCs w:val="22"/>
        </w:rPr>
        <w:t xml:space="preserve">aged 18 years and older who received at least one antihyperglycemic medication during their hospitalization, </w:t>
      </w:r>
      <w:r w:rsidR="00910016" w:rsidRPr="00383343">
        <w:rPr>
          <w:rFonts w:eastAsiaTheme="minorHAnsi" w:cs="Calibri"/>
          <w:szCs w:val="22"/>
        </w:rPr>
        <w:t xml:space="preserve">and </w:t>
      </w:r>
      <w:r w:rsidR="00111A84" w:rsidRPr="00383343">
        <w:rPr>
          <w:rFonts w:eastAsiaTheme="minorHAnsi" w:cs="Calibri"/>
          <w:szCs w:val="22"/>
        </w:rPr>
        <w:t>who suffered a</w:t>
      </w:r>
      <w:r w:rsidR="000E1523" w:rsidRPr="00383343">
        <w:rPr>
          <w:rFonts w:eastAsiaTheme="minorHAnsi" w:cs="Calibri"/>
          <w:szCs w:val="22"/>
        </w:rPr>
        <w:t xml:space="preserve"> hypoglycemic event </w:t>
      </w:r>
      <w:r w:rsidR="007E5D52" w:rsidRPr="00383343">
        <w:rPr>
          <w:rFonts w:eastAsiaTheme="minorHAnsi" w:cs="Calibri"/>
          <w:szCs w:val="22"/>
        </w:rPr>
        <w:t xml:space="preserve">(blood glucose less than </w:t>
      </w:r>
      <w:r w:rsidRPr="00383343">
        <w:rPr>
          <w:rFonts w:eastAsiaTheme="minorHAnsi" w:cs="Calibri"/>
          <w:szCs w:val="22"/>
        </w:rPr>
        <w:t>40 mg/</w:t>
      </w:r>
      <w:proofErr w:type="spellStart"/>
      <w:r w:rsidRPr="00383343">
        <w:rPr>
          <w:rFonts w:eastAsiaTheme="minorHAnsi" w:cs="Calibri"/>
          <w:szCs w:val="22"/>
        </w:rPr>
        <w:t>dL</w:t>
      </w:r>
      <w:proofErr w:type="spellEnd"/>
      <w:r w:rsidRPr="00383343">
        <w:rPr>
          <w:rFonts w:eastAsiaTheme="minorHAnsi" w:cs="Calibri"/>
          <w:szCs w:val="22"/>
        </w:rPr>
        <w:t xml:space="preserve">) </w:t>
      </w:r>
      <w:r w:rsidR="000C2E6A" w:rsidRPr="00383343">
        <w:rPr>
          <w:rFonts w:eastAsiaTheme="minorHAnsi" w:cs="Calibri"/>
          <w:szCs w:val="22"/>
        </w:rPr>
        <w:t xml:space="preserve">within 24 hours of </w:t>
      </w:r>
      <w:r w:rsidR="000E1523" w:rsidRPr="00383343">
        <w:rPr>
          <w:rFonts w:eastAsiaTheme="minorHAnsi" w:cs="Calibri"/>
          <w:szCs w:val="22"/>
        </w:rPr>
        <w:t>the administration of an anti</w:t>
      </w:r>
      <w:r w:rsidR="0063454A" w:rsidRPr="00383343">
        <w:rPr>
          <w:rFonts w:eastAsiaTheme="minorHAnsi" w:cs="Calibri"/>
          <w:szCs w:val="22"/>
        </w:rPr>
        <w:t>hyperglycemic</w:t>
      </w:r>
      <w:r w:rsidR="000E1523" w:rsidRPr="00383343">
        <w:rPr>
          <w:rFonts w:eastAsiaTheme="minorHAnsi" w:cs="Calibri"/>
          <w:szCs w:val="22"/>
        </w:rPr>
        <w:t xml:space="preserve"> agent</w:t>
      </w:r>
      <w:r w:rsidR="0063454A" w:rsidRPr="00383343">
        <w:rPr>
          <w:rFonts w:eastAsiaTheme="minorHAnsi" w:cs="Calibri"/>
          <w:szCs w:val="22"/>
        </w:rPr>
        <w:t xml:space="preserve">. </w:t>
      </w:r>
    </w:p>
    <w:p w14:paraId="591CA23C" w14:textId="77777777" w:rsidR="007C00E3" w:rsidRPr="0005673C" w:rsidRDefault="007C00E3" w:rsidP="007C00E3"/>
    <w:p w14:paraId="2CE4DFEB" w14:textId="2479B711" w:rsidR="007C00E3" w:rsidRPr="0005673C" w:rsidRDefault="007C00E3">
      <w:r w:rsidRPr="0005673C">
        <w:rPr>
          <w:b/>
        </w:rPr>
        <w:t xml:space="preserve">De.4. </w:t>
      </w:r>
      <w:r w:rsidRPr="0005673C">
        <w:rPr>
          <w:b/>
          <w:u w:val="single"/>
        </w:rPr>
        <w:t>IF PAIRED/GROUPED</w:t>
      </w:r>
      <w:r w:rsidRPr="0005673C">
        <w:rPr>
          <w:b/>
        </w:rPr>
        <w:t>,</w:t>
      </w:r>
      <w:r w:rsidRPr="0005673C">
        <w:t xml:space="preserve"> what is the reason this measure must be reported with other measures to appropriately interpret results?</w:t>
      </w:r>
    </w:p>
    <w:p w14:paraId="636EFFAE" w14:textId="1540B953" w:rsidR="005C0B21" w:rsidRPr="00383343" w:rsidRDefault="00C03755" w:rsidP="0063454A">
      <w:pPr>
        <w:pBdr>
          <w:top w:val="single" w:sz="4" w:space="1" w:color="auto"/>
          <w:left w:val="single" w:sz="4" w:space="4" w:color="auto"/>
          <w:bottom w:val="single" w:sz="4" w:space="1" w:color="auto"/>
          <w:right w:val="single" w:sz="4" w:space="4" w:color="auto"/>
        </w:pBdr>
        <w:sectPr w:rsidR="005C0B21" w:rsidRPr="00383343">
          <w:pgSz w:w="12240" w:h="15840"/>
          <w:pgMar w:top="1440" w:right="1440" w:bottom="1440" w:left="1440" w:header="720" w:footer="720" w:gutter="0"/>
          <w:cols w:space="720"/>
          <w:docGrid w:linePitch="360"/>
        </w:sectPr>
      </w:pPr>
      <w:r w:rsidRPr="00383343">
        <w:t>N/A</w:t>
      </w:r>
    </w:p>
    <w:p w14:paraId="345390BA" w14:textId="77777777" w:rsidR="005C0B21" w:rsidRPr="0005673C" w:rsidRDefault="005C0B21" w:rsidP="005C0B21">
      <w:pPr>
        <w:jc w:val="center"/>
        <w:rPr>
          <w:b/>
          <w:sz w:val="24"/>
        </w:rPr>
      </w:pPr>
      <w:r w:rsidRPr="0005673C">
        <w:rPr>
          <w:b/>
          <w:sz w:val="24"/>
        </w:rPr>
        <w:lastRenderedPageBreak/>
        <w:t>Measure Specifications</w:t>
      </w:r>
    </w:p>
    <w:p w14:paraId="04E3F33C" w14:textId="77777777" w:rsidR="005C0B21" w:rsidRPr="0005673C" w:rsidRDefault="005C0B21" w:rsidP="005C0B21"/>
    <w:p w14:paraId="37F6F919" w14:textId="77777777" w:rsidR="005C0B21" w:rsidRPr="0005673C" w:rsidRDefault="005C0B21" w:rsidP="005C0B21">
      <w:r w:rsidRPr="0005673C">
        <w:rPr>
          <w:b/>
        </w:rPr>
        <w:t>S.1.</w:t>
      </w:r>
      <w:r w:rsidRPr="0005673C">
        <w:t xml:space="preserve"> </w:t>
      </w:r>
      <w:r w:rsidRPr="0005673C">
        <w:rPr>
          <w:b/>
        </w:rPr>
        <w:t>Measure‐specific Web Page</w:t>
      </w:r>
      <w:r w:rsidRPr="0005673C">
        <w:t xml:space="preserve"> </w:t>
      </w:r>
      <w:r w:rsidRPr="0005673C">
        <w:rPr>
          <w:i/>
          <w:iCs/>
        </w:rPr>
        <w:t>(Provide a URL link to a web page specific for this measure that contains current</w:t>
      </w:r>
      <w:r w:rsidRPr="0005673C">
        <w:t xml:space="preserve"> </w:t>
      </w:r>
      <w:r w:rsidRPr="0005673C">
        <w:rPr>
          <w:i/>
          <w:iCs/>
        </w:rPr>
        <w:t>detailed specifications including code lists, risk model details, and supplemental materials. Do not enter a URL linking to a home page or to general information.)</w:t>
      </w:r>
    </w:p>
    <w:p w14:paraId="18BF05AF" w14:textId="075B964A" w:rsidR="005C0B21" w:rsidRPr="0005673C" w:rsidRDefault="00125AE0" w:rsidP="005C0B21">
      <w:pPr>
        <w:pBdr>
          <w:top w:val="single" w:sz="4" w:space="1" w:color="auto"/>
          <w:left w:val="single" w:sz="4" w:space="4" w:color="auto"/>
          <w:bottom w:val="single" w:sz="4" w:space="1" w:color="auto"/>
          <w:right w:val="single" w:sz="4" w:space="4" w:color="auto"/>
        </w:pBdr>
        <w:rPr>
          <w:bCs/>
        </w:rPr>
      </w:pPr>
      <w:r w:rsidRPr="0005673C">
        <w:rPr>
          <w:bCs/>
        </w:rPr>
        <w:t xml:space="preserve"> </w:t>
      </w:r>
      <w:r w:rsidR="00C03755">
        <w:rPr>
          <w:bCs/>
        </w:rPr>
        <w:t>N/A</w:t>
      </w:r>
    </w:p>
    <w:p w14:paraId="7349B6A1" w14:textId="77777777" w:rsidR="005C0B21" w:rsidRPr="0005673C" w:rsidRDefault="005C0B21"/>
    <w:p w14:paraId="6DF03732" w14:textId="77777777" w:rsidR="005C0B21" w:rsidRPr="0005673C" w:rsidRDefault="005C0B21" w:rsidP="005C0B21">
      <w:r w:rsidRPr="0005673C">
        <w:rPr>
          <w:b/>
        </w:rPr>
        <w:t>S.2a.</w:t>
      </w:r>
      <w:r w:rsidRPr="0005673C">
        <w:t xml:space="preserve"> If this is an </w:t>
      </w:r>
      <w:proofErr w:type="spellStart"/>
      <w:r w:rsidRPr="0005673C">
        <w:t>eMeasure</w:t>
      </w:r>
      <w:proofErr w:type="spellEnd"/>
      <w:r w:rsidRPr="0005673C">
        <w:t xml:space="preserve">, </w:t>
      </w:r>
      <w:r w:rsidRPr="0005673C">
        <w:rPr>
          <w:b/>
        </w:rPr>
        <w:t>HQMF specifications</w:t>
      </w:r>
      <w:r w:rsidRPr="0005673C">
        <w:t xml:space="preserve"> must be attached. Attach the zipped output from the </w:t>
      </w:r>
      <w:proofErr w:type="spellStart"/>
      <w:r w:rsidRPr="0005673C">
        <w:t>eMeasure</w:t>
      </w:r>
      <w:proofErr w:type="spellEnd"/>
      <w:r w:rsidRPr="0005673C">
        <w:t xml:space="preserve"> authoring tool (MAT) ‐ if the MAT was not used, contact staff. (Use the specification fields in this online form for the plain‐language description of the specifications)</w:t>
      </w:r>
    </w:p>
    <w:p w14:paraId="33826AFB" w14:textId="77777777" w:rsidR="00D24B44" w:rsidRPr="0005673C" w:rsidRDefault="00D24B44" w:rsidP="005C0B21">
      <w:pPr>
        <w:rPr>
          <w:color w:val="000000" w:themeColor="text1"/>
        </w:rPr>
      </w:pPr>
    </w:p>
    <w:p w14:paraId="2D4EF5BA" w14:textId="48B82AB9" w:rsidR="00D24B44" w:rsidRPr="0005673C" w:rsidRDefault="00383343" w:rsidP="005C0B21">
      <w:pPr>
        <w:rPr>
          <w:rFonts w:cstheme="minorHAnsi"/>
          <w:bCs/>
          <w:color w:val="000000" w:themeColor="text1"/>
        </w:rPr>
      </w:pPr>
      <w:sdt>
        <w:sdtPr>
          <w:rPr>
            <w:rFonts w:cstheme="minorHAnsi"/>
            <w:bCs/>
            <w:color w:val="000000" w:themeColor="text1"/>
          </w:rPr>
          <w:id w:val="-404770451"/>
          <w14:checkbox>
            <w14:checked w14:val="1"/>
            <w14:checkedState w14:val="2612" w14:font="MS Gothic"/>
            <w14:uncheckedState w14:val="2610" w14:font="MS Gothic"/>
          </w14:checkbox>
        </w:sdtPr>
        <w:sdtEndPr/>
        <w:sdtContent>
          <w:r w:rsidR="00C03755">
            <w:rPr>
              <w:rFonts w:ascii="MS Gothic" w:eastAsia="MS Gothic" w:hAnsi="MS Gothic" w:cstheme="minorHAnsi" w:hint="eastAsia"/>
              <w:bCs/>
              <w:color w:val="000000" w:themeColor="text1"/>
            </w:rPr>
            <w:t>☒</w:t>
          </w:r>
        </w:sdtContent>
      </w:sdt>
      <w:r w:rsidR="00D24B44" w:rsidRPr="0005673C">
        <w:rPr>
          <w:rFonts w:cstheme="minorHAnsi"/>
          <w:bCs/>
          <w:color w:val="000000" w:themeColor="text1"/>
        </w:rPr>
        <w:t xml:space="preserve"> This is an </w:t>
      </w:r>
      <w:proofErr w:type="spellStart"/>
      <w:r w:rsidR="00D24B44" w:rsidRPr="0005673C">
        <w:rPr>
          <w:rFonts w:cstheme="minorHAnsi"/>
          <w:bCs/>
          <w:color w:val="000000" w:themeColor="text1"/>
        </w:rPr>
        <w:t>eMeasure</w:t>
      </w:r>
      <w:proofErr w:type="spellEnd"/>
    </w:p>
    <w:p w14:paraId="4935B28B" w14:textId="77777777" w:rsidR="005C0B21" w:rsidRPr="0005673C" w:rsidRDefault="00383343" w:rsidP="005C0B21">
      <w:pPr>
        <w:rPr>
          <w:color w:val="000000" w:themeColor="text1"/>
        </w:rPr>
      </w:pPr>
      <w:sdt>
        <w:sdtPr>
          <w:rPr>
            <w:rFonts w:cstheme="minorHAnsi"/>
            <w:bCs/>
            <w:color w:val="000000" w:themeColor="text1"/>
          </w:rPr>
          <w:id w:val="358788754"/>
          <w14:checkbox>
            <w14:checked w14:val="0"/>
            <w14:checkedState w14:val="2612" w14:font="MS Gothic"/>
            <w14:uncheckedState w14:val="2610" w14:font="MS Gothic"/>
          </w14:checkbox>
        </w:sdtPr>
        <w:sdtEndPr/>
        <w:sdtContent>
          <w:r w:rsidR="00D24B44" w:rsidRPr="0005673C">
            <w:rPr>
              <w:rFonts w:ascii="MS Gothic" w:eastAsia="MS Gothic" w:hAnsi="MS Gothic" w:cstheme="minorHAnsi" w:hint="eastAsia"/>
              <w:bCs/>
              <w:color w:val="000000" w:themeColor="text1"/>
            </w:rPr>
            <w:t>☐</w:t>
          </w:r>
        </w:sdtContent>
      </w:sdt>
      <w:r w:rsidR="00D24B44" w:rsidRPr="0005673C">
        <w:rPr>
          <w:rFonts w:cstheme="minorHAnsi"/>
          <w:bCs/>
          <w:color w:val="000000" w:themeColor="text1"/>
        </w:rPr>
        <w:t xml:space="preserve"> This is not an </w:t>
      </w:r>
      <w:proofErr w:type="spellStart"/>
      <w:r w:rsidR="00D24B44" w:rsidRPr="0005673C">
        <w:rPr>
          <w:rFonts w:cstheme="minorHAnsi"/>
          <w:bCs/>
          <w:color w:val="000000" w:themeColor="text1"/>
        </w:rPr>
        <w:t>eMeasure</w:t>
      </w:r>
      <w:proofErr w:type="spellEnd"/>
    </w:p>
    <w:p w14:paraId="2C0F4D66" w14:textId="77777777" w:rsidR="005C0B21" w:rsidRPr="0005673C" w:rsidRDefault="005C0B21" w:rsidP="005C0B21"/>
    <w:p w14:paraId="6218FFCB" w14:textId="77777777" w:rsidR="005C0B21" w:rsidRPr="0005673C" w:rsidRDefault="005C0B21" w:rsidP="005C0B21">
      <w:r w:rsidRPr="0005673C">
        <w:rPr>
          <w:b/>
        </w:rPr>
        <w:t>S.2b. Data Dictionary, Code Table, or Value Sets</w:t>
      </w:r>
      <w:r w:rsidRPr="0005673C">
        <w:t xml:space="preserve"> (and risk model codes and coefficients when applicable) must be attached. (Excel or csv file in the suggested format preferred ‐ if not, contact staff. Provide descriptors for any codes. Use one file with multiple worksheets as needed.)</w:t>
      </w:r>
    </w:p>
    <w:p w14:paraId="741A025C" w14:textId="77777777" w:rsidR="00D24B44" w:rsidRPr="0005673C" w:rsidRDefault="00D24B44" w:rsidP="005C0B21">
      <w:pPr>
        <w:rPr>
          <w:color w:val="000000" w:themeColor="text1"/>
        </w:rPr>
      </w:pPr>
    </w:p>
    <w:p w14:paraId="24D967AE" w14:textId="34FE14A5" w:rsidR="00D24B44" w:rsidRPr="0005673C" w:rsidRDefault="00383343" w:rsidP="005C0B21">
      <w:pPr>
        <w:rPr>
          <w:rFonts w:cstheme="minorHAnsi"/>
          <w:b/>
          <w:bCs/>
          <w:color w:val="000000" w:themeColor="text1"/>
        </w:rPr>
      </w:pPr>
      <w:sdt>
        <w:sdtPr>
          <w:rPr>
            <w:rFonts w:cstheme="minorHAnsi"/>
            <w:bCs/>
            <w:color w:val="000000" w:themeColor="text1"/>
          </w:rPr>
          <w:id w:val="949588777"/>
          <w14:checkbox>
            <w14:checked w14:val="1"/>
            <w14:checkedState w14:val="2612" w14:font="MS Gothic"/>
            <w14:uncheckedState w14:val="2610" w14:font="MS Gothic"/>
          </w14:checkbox>
        </w:sdtPr>
        <w:sdtEndPr/>
        <w:sdtContent>
          <w:r w:rsidR="00C03755">
            <w:rPr>
              <w:rFonts w:ascii="MS Gothic" w:eastAsia="MS Gothic" w:hAnsi="MS Gothic" w:cstheme="minorHAnsi" w:hint="eastAsia"/>
              <w:bCs/>
              <w:color w:val="000000" w:themeColor="text1"/>
            </w:rPr>
            <w:t>☒</w:t>
          </w:r>
        </w:sdtContent>
      </w:sdt>
      <w:r w:rsidR="00D24B44" w:rsidRPr="0005673C">
        <w:rPr>
          <w:rFonts w:cstheme="minorHAnsi"/>
          <w:bCs/>
          <w:color w:val="000000" w:themeColor="text1"/>
        </w:rPr>
        <w:t xml:space="preserve"> </w:t>
      </w:r>
      <w:r w:rsidR="00D24B44" w:rsidRPr="0005673C">
        <w:rPr>
          <w:rFonts w:cstheme="minorHAnsi"/>
          <w:color w:val="000000" w:themeColor="text1"/>
          <w:szCs w:val="22"/>
        </w:rPr>
        <w:t>Available in attached Excel or csv file</w:t>
      </w:r>
    </w:p>
    <w:p w14:paraId="436B332F" w14:textId="77777777" w:rsidR="00D24B44" w:rsidRPr="0005673C" w:rsidRDefault="00383343" w:rsidP="005C0B21">
      <w:pPr>
        <w:rPr>
          <w:color w:val="000000" w:themeColor="text1"/>
        </w:rPr>
      </w:pPr>
      <w:sdt>
        <w:sdtPr>
          <w:rPr>
            <w:rFonts w:cstheme="minorHAnsi"/>
            <w:bCs/>
            <w:color w:val="000000" w:themeColor="text1"/>
          </w:rPr>
          <w:id w:val="-475684913"/>
          <w14:checkbox>
            <w14:checked w14:val="0"/>
            <w14:checkedState w14:val="2612" w14:font="MS Gothic"/>
            <w14:uncheckedState w14:val="2610" w14:font="MS Gothic"/>
          </w14:checkbox>
        </w:sdtPr>
        <w:sdtEndPr/>
        <w:sdtContent>
          <w:r w:rsidR="00D24B44" w:rsidRPr="0005673C">
            <w:rPr>
              <w:rFonts w:ascii="MS Gothic" w:eastAsia="MS Gothic" w:hAnsi="MS Gothic" w:cstheme="minorHAnsi" w:hint="eastAsia"/>
              <w:bCs/>
              <w:color w:val="000000" w:themeColor="text1"/>
            </w:rPr>
            <w:t>☐</w:t>
          </w:r>
        </w:sdtContent>
      </w:sdt>
      <w:r w:rsidR="00D24B44" w:rsidRPr="0005673C">
        <w:rPr>
          <w:rFonts w:cstheme="minorHAnsi"/>
          <w:color w:val="000000" w:themeColor="text1"/>
          <w:szCs w:val="22"/>
        </w:rPr>
        <w:t xml:space="preserve"> No data dictionary/code table – all information provided in the submission form</w:t>
      </w:r>
    </w:p>
    <w:p w14:paraId="02977C07" w14:textId="77777777" w:rsidR="005C0B21" w:rsidRPr="0005673C" w:rsidRDefault="005C0B21" w:rsidP="005C0B21"/>
    <w:p w14:paraId="087DC5E1" w14:textId="77777777" w:rsidR="005C0B21" w:rsidRPr="0005673C" w:rsidRDefault="005C0B21" w:rsidP="005C0B21">
      <w:r w:rsidRPr="0005673C">
        <w:rPr>
          <w:b/>
        </w:rPr>
        <w:t>S.2c.</w:t>
      </w:r>
      <w:r w:rsidRPr="0005673C">
        <w:t xml:space="preserve">  Is this an instrument-based measure (i.e., data collected via instruments, surveys, tools, questionnaires, scales, etc.)?  Attach copy of instrument if available.</w:t>
      </w:r>
    </w:p>
    <w:p w14:paraId="1DE0E53E" w14:textId="77777777" w:rsidR="00E82FBF" w:rsidRPr="0005673C" w:rsidRDefault="00383343" w:rsidP="00E82FBF">
      <w:sdt>
        <w:sdtPr>
          <w:rPr>
            <w:rFonts w:cstheme="minorHAnsi"/>
            <w:bCs/>
            <w:color w:val="000000" w:themeColor="text1"/>
          </w:rPr>
          <w:id w:val="-70207144"/>
          <w14:checkbox>
            <w14:checked w14:val="0"/>
            <w14:checkedState w14:val="2612" w14:font="MS Gothic"/>
            <w14:uncheckedState w14:val="2610" w14:font="MS Gothic"/>
          </w14:checkbox>
        </w:sdtPr>
        <w:sdtEndPr/>
        <w:sdtContent>
          <w:r w:rsidR="00E82FBF" w:rsidRPr="0005673C">
            <w:rPr>
              <w:rFonts w:ascii="MS Gothic" w:eastAsia="MS Gothic" w:hAnsi="MS Gothic" w:cstheme="minorHAnsi" w:hint="eastAsia"/>
              <w:bCs/>
              <w:color w:val="000000" w:themeColor="text1"/>
            </w:rPr>
            <w:t>☐</w:t>
          </w:r>
        </w:sdtContent>
      </w:sdt>
      <w:r w:rsidR="00E82FBF" w:rsidRPr="0005673C">
        <w:t xml:space="preserve"> Yes</w:t>
      </w:r>
    </w:p>
    <w:p w14:paraId="57C743C1" w14:textId="28AE1C47" w:rsidR="00E82FBF" w:rsidRPr="0005673C" w:rsidRDefault="00383343" w:rsidP="00E82FBF">
      <w:sdt>
        <w:sdtPr>
          <w:rPr>
            <w:rFonts w:cstheme="minorHAnsi"/>
            <w:bCs/>
            <w:color w:val="000000" w:themeColor="text1"/>
          </w:rPr>
          <w:id w:val="-1216889519"/>
          <w14:checkbox>
            <w14:checked w14:val="1"/>
            <w14:checkedState w14:val="2612" w14:font="MS Gothic"/>
            <w14:uncheckedState w14:val="2610" w14:font="MS Gothic"/>
          </w14:checkbox>
        </w:sdtPr>
        <w:sdtEndPr/>
        <w:sdtContent>
          <w:r w:rsidR="00C03755">
            <w:rPr>
              <w:rFonts w:ascii="MS Gothic" w:eastAsia="MS Gothic" w:hAnsi="MS Gothic" w:cstheme="minorHAnsi" w:hint="eastAsia"/>
              <w:bCs/>
              <w:color w:val="000000" w:themeColor="text1"/>
            </w:rPr>
            <w:t>☒</w:t>
          </w:r>
        </w:sdtContent>
      </w:sdt>
      <w:r w:rsidR="00E82FBF" w:rsidRPr="0005673C">
        <w:t xml:space="preserve"> No</w:t>
      </w:r>
    </w:p>
    <w:p w14:paraId="5C1CF818" w14:textId="77777777" w:rsidR="005C0B21" w:rsidRPr="0005673C" w:rsidRDefault="005C0B21" w:rsidP="005C0B21"/>
    <w:p w14:paraId="5E6699C2" w14:textId="77777777" w:rsidR="005C0B21" w:rsidRPr="0005673C" w:rsidRDefault="005C0B21" w:rsidP="005C0B21">
      <w:r w:rsidRPr="0005673C">
        <w:rPr>
          <w:b/>
        </w:rPr>
        <w:t>S.2d.</w:t>
      </w:r>
      <w:r w:rsidRPr="0005673C">
        <w:t xml:space="preserve"> If this is an instrument-based measure, please indicate responder.</w:t>
      </w:r>
    </w:p>
    <w:p w14:paraId="21258B5C" w14:textId="77777777" w:rsidR="005C0B21" w:rsidRPr="0005673C" w:rsidRDefault="00383343" w:rsidP="005C0B21">
      <w:sdt>
        <w:sdtPr>
          <w:rPr>
            <w:rFonts w:cstheme="minorHAnsi"/>
            <w:bCs/>
            <w:color w:val="000000" w:themeColor="text1"/>
          </w:rPr>
          <w:id w:val="-324129422"/>
          <w14:checkbox>
            <w14:checked w14:val="0"/>
            <w14:checkedState w14:val="2612" w14:font="MS Gothic"/>
            <w14:uncheckedState w14:val="2610" w14:font="MS Gothic"/>
          </w14:checkbox>
        </w:sdtPr>
        <w:sdtEndPr/>
        <w:sdtContent>
          <w:r w:rsidR="00D24B44" w:rsidRPr="0005673C">
            <w:rPr>
              <w:rFonts w:ascii="MS Gothic" w:eastAsia="MS Gothic" w:hAnsi="MS Gothic" w:cstheme="minorHAnsi" w:hint="eastAsia"/>
              <w:bCs/>
              <w:color w:val="000000" w:themeColor="text1"/>
            </w:rPr>
            <w:t>☐</w:t>
          </w:r>
        </w:sdtContent>
      </w:sdt>
      <w:r w:rsidR="00B8287A" w:rsidRPr="0005673C">
        <w:t xml:space="preserve"> </w:t>
      </w:r>
      <w:r w:rsidR="005C0B21" w:rsidRPr="0005673C">
        <w:t>Patient</w:t>
      </w:r>
    </w:p>
    <w:p w14:paraId="386000C5" w14:textId="77777777" w:rsidR="005C0B21" w:rsidRPr="0005673C" w:rsidRDefault="00383343" w:rsidP="005C0B21">
      <w:sdt>
        <w:sdtPr>
          <w:rPr>
            <w:rFonts w:cstheme="minorHAnsi"/>
            <w:bCs/>
            <w:color w:val="000000" w:themeColor="text1"/>
          </w:rPr>
          <w:id w:val="-1165397799"/>
          <w14:checkbox>
            <w14:checked w14:val="0"/>
            <w14:checkedState w14:val="2612" w14:font="MS Gothic"/>
            <w14:uncheckedState w14:val="2610" w14:font="MS Gothic"/>
          </w14:checkbox>
        </w:sdtPr>
        <w:sdtEndPr/>
        <w:sdtContent>
          <w:r w:rsidR="00D24B44" w:rsidRPr="0005673C">
            <w:rPr>
              <w:rFonts w:ascii="MS Gothic" w:eastAsia="MS Gothic" w:hAnsi="MS Gothic" w:cstheme="minorHAnsi" w:hint="eastAsia"/>
              <w:bCs/>
              <w:color w:val="000000" w:themeColor="text1"/>
            </w:rPr>
            <w:t>☐</w:t>
          </w:r>
        </w:sdtContent>
      </w:sdt>
      <w:r w:rsidR="00B8287A" w:rsidRPr="0005673C">
        <w:t xml:space="preserve"> </w:t>
      </w:r>
      <w:r w:rsidR="005C0B21" w:rsidRPr="0005673C">
        <w:t xml:space="preserve">Family or </w:t>
      </w:r>
      <w:proofErr w:type="gramStart"/>
      <w:r w:rsidR="005C0B21" w:rsidRPr="0005673C">
        <w:t>other</w:t>
      </w:r>
      <w:proofErr w:type="gramEnd"/>
      <w:r w:rsidR="005C0B21" w:rsidRPr="0005673C">
        <w:t xml:space="preserve"> caregiver</w:t>
      </w:r>
    </w:p>
    <w:p w14:paraId="560A4FD2" w14:textId="77777777" w:rsidR="005C0B21" w:rsidRPr="0005673C" w:rsidRDefault="00383343" w:rsidP="005C0B21">
      <w:sdt>
        <w:sdtPr>
          <w:rPr>
            <w:rFonts w:cstheme="minorHAnsi"/>
            <w:bCs/>
            <w:color w:val="000000" w:themeColor="text1"/>
          </w:rPr>
          <w:id w:val="-1981916209"/>
          <w14:checkbox>
            <w14:checked w14:val="0"/>
            <w14:checkedState w14:val="2612" w14:font="MS Gothic"/>
            <w14:uncheckedState w14:val="2610" w14:font="MS Gothic"/>
          </w14:checkbox>
        </w:sdtPr>
        <w:sdtEndPr/>
        <w:sdtContent>
          <w:r w:rsidR="00D24B44" w:rsidRPr="0005673C">
            <w:rPr>
              <w:rFonts w:ascii="MS Gothic" w:eastAsia="MS Gothic" w:hAnsi="MS Gothic" w:cstheme="minorHAnsi" w:hint="eastAsia"/>
              <w:bCs/>
              <w:color w:val="000000" w:themeColor="text1"/>
            </w:rPr>
            <w:t>☐</w:t>
          </w:r>
        </w:sdtContent>
      </w:sdt>
      <w:r w:rsidR="005C0B21" w:rsidRPr="0005673C">
        <w:t xml:space="preserve"> Clinician</w:t>
      </w:r>
    </w:p>
    <w:p w14:paraId="64A5055A" w14:textId="4B8DA0B3" w:rsidR="005C0B21" w:rsidRPr="0005673C" w:rsidRDefault="00383343" w:rsidP="005C0B21">
      <w:sdt>
        <w:sdtPr>
          <w:rPr>
            <w:rFonts w:cstheme="minorHAnsi"/>
            <w:bCs/>
            <w:color w:val="000000" w:themeColor="text1"/>
          </w:rPr>
          <w:id w:val="1765499611"/>
          <w14:checkbox>
            <w14:checked w14:val="1"/>
            <w14:checkedState w14:val="2612" w14:font="MS Gothic"/>
            <w14:uncheckedState w14:val="2610" w14:font="MS Gothic"/>
          </w14:checkbox>
        </w:sdtPr>
        <w:sdtEndPr/>
        <w:sdtContent>
          <w:r w:rsidR="00C03755">
            <w:rPr>
              <w:rFonts w:ascii="MS Gothic" w:eastAsia="MS Gothic" w:hAnsi="MS Gothic" w:cstheme="minorHAnsi" w:hint="eastAsia"/>
              <w:bCs/>
              <w:color w:val="000000" w:themeColor="text1"/>
            </w:rPr>
            <w:t>☒</w:t>
          </w:r>
        </w:sdtContent>
      </w:sdt>
      <w:r w:rsidR="005C0B21" w:rsidRPr="0005673C">
        <w:t xml:space="preserve"> Not an instrument-based measure</w:t>
      </w:r>
    </w:p>
    <w:p w14:paraId="29CB3446" w14:textId="77777777" w:rsidR="005C0B21" w:rsidRPr="0005673C" w:rsidRDefault="005C0B21" w:rsidP="005C0B21"/>
    <w:p w14:paraId="73A12E74" w14:textId="77777777" w:rsidR="005C0B21" w:rsidRPr="0005673C" w:rsidRDefault="005C0B21" w:rsidP="005C0B21">
      <w:r w:rsidRPr="0005673C">
        <w:rPr>
          <w:b/>
        </w:rPr>
        <w:t>S.3.1.</w:t>
      </w:r>
      <w:r w:rsidRPr="0005673C">
        <w:t xml:space="preserve"> For maintenance of endorsement: Are there changes to the specifications since the last updates/submission. If yes, update the specifications for S1‐2 and S4‐22 and explain reasons for the changes in S3.2.</w:t>
      </w:r>
    </w:p>
    <w:p w14:paraId="09800DDB" w14:textId="1EA2E49D" w:rsidR="005C0B21" w:rsidRPr="0005673C" w:rsidRDefault="00383343" w:rsidP="005C0B21">
      <w:sdt>
        <w:sdtPr>
          <w:rPr>
            <w:rFonts w:cstheme="minorHAnsi"/>
            <w:bCs/>
            <w:color w:val="000000" w:themeColor="text1"/>
          </w:rPr>
          <w:id w:val="-746957746"/>
          <w14:checkbox>
            <w14:checked w14:val="1"/>
            <w14:checkedState w14:val="2612" w14:font="MS Gothic"/>
            <w14:uncheckedState w14:val="2610" w14:font="MS Gothic"/>
          </w14:checkbox>
        </w:sdtPr>
        <w:sdtEndPr/>
        <w:sdtContent>
          <w:r w:rsidR="00C03755">
            <w:rPr>
              <w:rFonts w:ascii="MS Gothic" w:eastAsia="MS Gothic" w:hAnsi="MS Gothic" w:cstheme="minorHAnsi" w:hint="eastAsia"/>
              <w:bCs/>
              <w:color w:val="000000" w:themeColor="text1"/>
            </w:rPr>
            <w:t>☒</w:t>
          </w:r>
        </w:sdtContent>
      </w:sdt>
      <w:r w:rsidR="00B8287A" w:rsidRPr="0005673C">
        <w:t xml:space="preserve"> </w:t>
      </w:r>
      <w:r w:rsidR="005C0B21" w:rsidRPr="0005673C">
        <w:t>Yes</w:t>
      </w:r>
    </w:p>
    <w:p w14:paraId="10A04BD3" w14:textId="3677F868" w:rsidR="005C0B21" w:rsidRPr="0005673C" w:rsidRDefault="00383343" w:rsidP="005C0B21">
      <w:sdt>
        <w:sdtPr>
          <w:rPr>
            <w:rFonts w:cstheme="minorHAnsi"/>
            <w:bCs/>
            <w:color w:val="000000" w:themeColor="text1"/>
          </w:rPr>
          <w:id w:val="-1922253996"/>
          <w14:checkbox>
            <w14:checked w14:val="0"/>
            <w14:checkedState w14:val="2612" w14:font="MS Gothic"/>
            <w14:uncheckedState w14:val="2610" w14:font="MS Gothic"/>
          </w14:checkbox>
        </w:sdtPr>
        <w:sdtEndPr/>
        <w:sdtContent>
          <w:r w:rsidR="00125AE0" w:rsidRPr="0005673C">
            <w:rPr>
              <w:rFonts w:ascii="MS Gothic" w:eastAsia="MS Gothic" w:hAnsi="MS Gothic" w:cstheme="minorHAnsi" w:hint="eastAsia"/>
              <w:bCs/>
              <w:color w:val="000000" w:themeColor="text1"/>
            </w:rPr>
            <w:t>☐</w:t>
          </w:r>
        </w:sdtContent>
      </w:sdt>
      <w:r w:rsidR="005C0B21" w:rsidRPr="0005673C">
        <w:t xml:space="preserve"> No</w:t>
      </w:r>
    </w:p>
    <w:p w14:paraId="70899925" w14:textId="77777777" w:rsidR="005C0B21" w:rsidRPr="0005673C" w:rsidRDefault="005C0B21" w:rsidP="005C0B21"/>
    <w:p w14:paraId="69C502D2" w14:textId="77777777" w:rsidR="005C0B21" w:rsidRPr="0005673C" w:rsidRDefault="005C0B21" w:rsidP="005C0B21">
      <w:r w:rsidRPr="0005673C">
        <w:rPr>
          <w:b/>
        </w:rPr>
        <w:t>S.3.2.</w:t>
      </w:r>
      <w:r w:rsidRPr="0005673C">
        <w:t xml:space="preserve"> For maintenance of endorsement, please briefly describe any important changes to the measure specifications since last measure update and explain the reasons.</w:t>
      </w:r>
    </w:p>
    <w:p w14:paraId="460A1F29" w14:textId="343B95B9" w:rsidR="005C0B21" w:rsidRPr="00383343" w:rsidRDefault="0063454A" w:rsidP="005C0B21">
      <w:pPr>
        <w:pBdr>
          <w:top w:val="single" w:sz="4" w:space="1" w:color="auto"/>
          <w:left w:val="single" w:sz="4" w:space="4" w:color="auto"/>
          <w:bottom w:val="single" w:sz="4" w:space="1" w:color="auto"/>
          <w:right w:val="single" w:sz="4" w:space="4" w:color="auto"/>
        </w:pBdr>
      </w:pPr>
      <w:r w:rsidRPr="00383343">
        <w:t>This measure is a re-specification of a previously NQF-endorsed measure that has never been used in a CMS program. Changes to the measure specifications are as follows:</w:t>
      </w:r>
    </w:p>
    <w:p w14:paraId="675C0D65" w14:textId="653B21E3" w:rsidR="0063454A" w:rsidRPr="00383343" w:rsidRDefault="0063454A" w:rsidP="0063454A">
      <w:pPr>
        <w:pBdr>
          <w:top w:val="single" w:sz="4" w:space="1" w:color="auto"/>
          <w:left w:val="single" w:sz="4" w:space="4" w:color="auto"/>
          <w:bottom w:val="single" w:sz="4" w:space="1" w:color="auto"/>
          <w:right w:val="single" w:sz="4" w:space="4" w:color="auto"/>
        </w:pBdr>
      </w:pPr>
      <w:r w:rsidRPr="00383343">
        <w:rPr>
          <w:u w:val="single"/>
        </w:rPr>
        <w:t>Numerator differences</w:t>
      </w:r>
      <w:r w:rsidRPr="00383343">
        <w:t>: The current Hospital Harm—</w:t>
      </w:r>
      <w:r w:rsidR="009363B8" w:rsidRPr="00383343">
        <w:t xml:space="preserve"> Severe </w:t>
      </w:r>
      <w:r w:rsidRPr="00383343">
        <w:t>Hypoglycemia measure assesses whether a hypoglycemia event occurred during an admission</w:t>
      </w:r>
      <w:r w:rsidR="00CE30A7" w:rsidRPr="00383343">
        <w:t xml:space="preserve"> (dichotomous outcome)</w:t>
      </w:r>
      <w:r w:rsidRPr="00383343">
        <w:t>. The previous NQF-endorsed measure counted number of hypoglycemia events in the numerator per patient days in the denominator.</w:t>
      </w:r>
    </w:p>
    <w:p w14:paraId="517AC1F8" w14:textId="796A931E" w:rsidR="0063454A" w:rsidRPr="00383343" w:rsidRDefault="0063454A" w:rsidP="0063454A">
      <w:pPr>
        <w:pBdr>
          <w:top w:val="single" w:sz="4" w:space="1" w:color="auto"/>
          <w:left w:val="single" w:sz="4" w:space="4" w:color="auto"/>
          <w:bottom w:val="single" w:sz="4" w:space="1" w:color="auto"/>
          <w:right w:val="single" w:sz="4" w:space="4" w:color="auto"/>
        </w:pBdr>
      </w:pPr>
      <w:r w:rsidRPr="00383343">
        <w:lastRenderedPageBreak/>
        <w:t>Additionally, the Hospital Harm –</w:t>
      </w:r>
      <w:r w:rsidR="009363B8" w:rsidRPr="00383343">
        <w:t xml:space="preserve"> Severe</w:t>
      </w:r>
      <w:r w:rsidRPr="00383343">
        <w:t xml:space="preserve"> Hypoglycemia measure assesses use of </w:t>
      </w:r>
      <w:r w:rsidR="00CE30A7" w:rsidRPr="00383343">
        <w:t xml:space="preserve">specific </w:t>
      </w:r>
      <w:r w:rsidRPr="00383343">
        <w:t>antihyperglycemic medication</w:t>
      </w:r>
      <w:r w:rsidR="008E5AB8" w:rsidRPr="00383343">
        <w:t>s found in the Value Set Authority Center (VSAC) that are likely to cause hypoglycemia,</w:t>
      </w:r>
      <w:r w:rsidRPr="00383343">
        <w:t xml:space="preserve"> within 24 hours of </w:t>
      </w:r>
      <w:r w:rsidR="00910016" w:rsidRPr="00383343">
        <w:t>administration. The measure no longer has</w:t>
      </w:r>
      <w:r w:rsidRPr="00383343">
        <w:t xml:space="preserve"> separate specifications for short-acting insulin. The previous NQF-endorsed measure differentiated between administration of short-acting insulin within 12-hours and other medications within 24 hours.</w:t>
      </w:r>
    </w:p>
    <w:p w14:paraId="6D701E9C" w14:textId="0AA02A6A" w:rsidR="0063454A" w:rsidRPr="00383343" w:rsidRDefault="00C0538B" w:rsidP="0063454A">
      <w:pPr>
        <w:pBdr>
          <w:top w:val="single" w:sz="4" w:space="1" w:color="auto"/>
          <w:left w:val="single" w:sz="4" w:space="4" w:color="auto"/>
          <w:bottom w:val="single" w:sz="4" w:space="1" w:color="auto"/>
          <w:right w:val="single" w:sz="4" w:space="4" w:color="auto"/>
        </w:pBdr>
      </w:pPr>
      <w:r w:rsidRPr="00383343">
        <w:t>T</w:t>
      </w:r>
      <w:r w:rsidR="0063454A" w:rsidRPr="00383343">
        <w:t>hese changes will ease the burden on hospitals and be meaningful to patients, while still adhering to the original intent of the measure.</w:t>
      </w:r>
    </w:p>
    <w:p w14:paraId="01532682" w14:textId="3904CBFF" w:rsidR="0063454A" w:rsidRPr="00383343" w:rsidRDefault="0063454A" w:rsidP="0063454A">
      <w:pPr>
        <w:pBdr>
          <w:top w:val="single" w:sz="4" w:space="1" w:color="auto"/>
          <w:left w:val="single" w:sz="4" w:space="4" w:color="auto"/>
          <w:bottom w:val="single" w:sz="4" w:space="1" w:color="auto"/>
          <w:right w:val="single" w:sz="4" w:space="4" w:color="auto"/>
        </w:pBdr>
      </w:pPr>
      <w:r w:rsidRPr="00383343">
        <w:rPr>
          <w:u w:val="single"/>
        </w:rPr>
        <w:t>Denominator differences:</w:t>
      </w:r>
      <w:r w:rsidRPr="00383343">
        <w:t xml:space="preserve"> The current Hospital Harm – </w:t>
      </w:r>
      <w:r w:rsidR="009363B8" w:rsidRPr="00383343">
        <w:t xml:space="preserve"> Severe </w:t>
      </w:r>
      <w:r w:rsidRPr="00383343">
        <w:t>Hypoglycemia measure examines total number of admissions with at least one antihyperglycemic agent administered during the hospital stay. The NQF-endorsed measure examined the total number of hospital days with at least one anti-diabetic agent administered.</w:t>
      </w:r>
    </w:p>
    <w:p w14:paraId="6DF908FD" w14:textId="77777777" w:rsidR="0063454A" w:rsidRPr="00383343" w:rsidRDefault="0063454A" w:rsidP="0063454A">
      <w:pPr>
        <w:pBdr>
          <w:top w:val="single" w:sz="4" w:space="1" w:color="auto"/>
          <w:left w:val="single" w:sz="4" w:space="4" w:color="auto"/>
          <w:bottom w:val="single" w:sz="4" w:space="1" w:color="auto"/>
          <w:right w:val="single" w:sz="4" w:space="4" w:color="auto"/>
        </w:pBdr>
      </w:pPr>
      <w:r w:rsidRPr="00383343">
        <w:t>This change aligns with the numerator change to number of admissions, which eases hospital burden.</w:t>
      </w:r>
    </w:p>
    <w:p w14:paraId="05DAC1DC" w14:textId="0767B2D1" w:rsidR="0063454A" w:rsidRPr="00383343" w:rsidRDefault="0063454A" w:rsidP="0063454A">
      <w:pPr>
        <w:pBdr>
          <w:top w:val="single" w:sz="4" w:space="1" w:color="auto"/>
          <w:left w:val="single" w:sz="4" w:space="4" w:color="auto"/>
          <w:bottom w:val="single" w:sz="4" w:space="1" w:color="auto"/>
          <w:right w:val="single" w:sz="4" w:space="4" w:color="auto"/>
        </w:pBdr>
      </w:pPr>
      <w:r w:rsidRPr="00383343">
        <w:rPr>
          <w:u w:val="single"/>
        </w:rPr>
        <w:t>Exclusions differences:</w:t>
      </w:r>
      <w:r w:rsidRPr="00383343">
        <w:t xml:space="preserve"> The current Hospital Harm – </w:t>
      </w:r>
      <w:r w:rsidR="00001058" w:rsidRPr="00383343">
        <w:t xml:space="preserve">Severe </w:t>
      </w:r>
      <w:r w:rsidRPr="00383343">
        <w:t>Hypoglycemia measure specifications do not have any denominator exclusions; the previous NQF-endorsed measure excludes admissions with lengths of stay greater than 120 days.</w:t>
      </w:r>
    </w:p>
    <w:p w14:paraId="36351758" w14:textId="344BBBD0" w:rsidR="0063454A" w:rsidRPr="00383343" w:rsidRDefault="0063454A" w:rsidP="0063454A">
      <w:pPr>
        <w:pBdr>
          <w:top w:val="single" w:sz="4" w:space="1" w:color="auto"/>
          <w:left w:val="single" w:sz="4" w:space="4" w:color="auto"/>
          <w:bottom w:val="single" w:sz="4" w:space="1" w:color="auto"/>
          <w:right w:val="single" w:sz="4" w:space="4" w:color="auto"/>
        </w:pBdr>
      </w:pPr>
      <w:r w:rsidRPr="00383343">
        <w:t>This exclusion was dropped as it is not applicable to the current measure specifications because the measure is not based on patient days.</w:t>
      </w:r>
    </w:p>
    <w:p w14:paraId="0D5A3ED1" w14:textId="77777777" w:rsidR="005C0B21" w:rsidRPr="0005673C" w:rsidRDefault="005C0B21" w:rsidP="005C0B21"/>
    <w:p w14:paraId="5A288003" w14:textId="77777777" w:rsidR="005C0B21" w:rsidRPr="0005673C" w:rsidRDefault="005C0B21" w:rsidP="005C0B21">
      <w:bookmarkStart w:id="0" w:name="_Hlk534184542"/>
      <w:r w:rsidRPr="0005673C">
        <w:rPr>
          <w:b/>
        </w:rPr>
        <w:t>S.4. Numerator Statement</w:t>
      </w:r>
      <w:r w:rsidRPr="0005673C">
        <w:t xml:space="preserve"> (Brief, narrative description of the measure focus or what is being measured about the target population, i.e., cases from the target population with the target process, condition, event, or outcome</w:t>
      </w:r>
      <w:r w:rsidRPr="0012366D">
        <w:t>). DO NOT include the rationale for the measure.</w:t>
      </w:r>
    </w:p>
    <w:p w14:paraId="5EC3D3BF" w14:textId="77777777" w:rsidR="005C0B21" w:rsidRPr="0005673C" w:rsidRDefault="005C0B21" w:rsidP="005C0B21"/>
    <w:p w14:paraId="199F2C5E" w14:textId="77777777" w:rsidR="005C0B21" w:rsidRPr="0005673C" w:rsidRDefault="005C0B21" w:rsidP="005C0B21">
      <w:pPr>
        <w:rPr>
          <w:i/>
        </w:rPr>
      </w:pPr>
      <w:r w:rsidRPr="0005673C">
        <w:rPr>
          <w:i/>
        </w:rPr>
        <w:t>IF an OUTCOME MEASURE, state the outcome being measured. Calculation of the risk‐adjusted outcome should be described in the calculation algorithm (S.14).</w:t>
      </w:r>
    </w:p>
    <w:p w14:paraId="3D70E3CC" w14:textId="626E0AA4" w:rsidR="004B0921" w:rsidRPr="00383343" w:rsidRDefault="00F51330" w:rsidP="00F21394">
      <w:pPr>
        <w:pBdr>
          <w:top w:val="single" w:sz="4" w:space="1" w:color="auto"/>
          <w:left w:val="single" w:sz="4" w:space="4" w:color="auto"/>
          <w:bottom w:val="single" w:sz="4" w:space="1" w:color="auto"/>
          <w:right w:val="single" w:sz="4" w:space="4" w:color="auto"/>
        </w:pBdr>
        <w:rPr>
          <w:rFonts w:cstheme="minorHAnsi"/>
          <w:iCs/>
          <w:szCs w:val="22"/>
        </w:rPr>
      </w:pPr>
      <w:r w:rsidRPr="00383343">
        <w:rPr>
          <w:rFonts w:cstheme="minorHAnsi"/>
          <w:iCs/>
          <w:szCs w:val="22"/>
        </w:rPr>
        <w:t>The number of inpatient admissions during which a test for blood glucose with a result less than 40 mg/</w:t>
      </w:r>
      <w:proofErr w:type="spellStart"/>
      <w:r w:rsidRPr="00383343">
        <w:rPr>
          <w:rFonts w:cstheme="minorHAnsi"/>
          <w:iCs/>
          <w:szCs w:val="22"/>
        </w:rPr>
        <w:t>dL</w:t>
      </w:r>
      <w:proofErr w:type="spellEnd"/>
      <w:r w:rsidRPr="00383343">
        <w:rPr>
          <w:rFonts w:cstheme="minorHAnsi"/>
          <w:iCs/>
          <w:szCs w:val="22"/>
        </w:rPr>
        <w:t xml:space="preserve"> (severe hypoglycemia) where the event follows the administration of an antihyperglycemic medication within 24 hours. </w:t>
      </w:r>
    </w:p>
    <w:bookmarkEnd w:id="0"/>
    <w:p w14:paraId="058EED96" w14:textId="77777777" w:rsidR="005C0B21" w:rsidRPr="0005673C" w:rsidRDefault="005C0B21" w:rsidP="005C0B21"/>
    <w:p w14:paraId="573D3DD3" w14:textId="77777777" w:rsidR="005C0B21" w:rsidRPr="0005673C" w:rsidRDefault="005C0B21" w:rsidP="005C0B21">
      <w:r w:rsidRPr="0005673C">
        <w:rPr>
          <w:b/>
        </w:rPr>
        <w:t>S.5. Numerator Details</w:t>
      </w:r>
      <w:r w:rsidRPr="0005673C">
        <w:t xml:space="preserve"> (All information required to identify and calculate the cases from the target population with the target process, condition, event, or outcome such as definitions, time period for data collection, specific data collection items/responses, code/value sets – Note: lists of individual codes with descriptors that exceed 1 page should be provided in an Excel or csv file in required format at S.2b)</w:t>
      </w:r>
    </w:p>
    <w:p w14:paraId="6379B98B" w14:textId="77777777" w:rsidR="005C0B21" w:rsidRPr="0005673C" w:rsidRDefault="005C0B21" w:rsidP="005C0B21"/>
    <w:p w14:paraId="4FCFE6EE" w14:textId="77777777" w:rsidR="005C0B21" w:rsidRPr="0005673C" w:rsidRDefault="005C0B21" w:rsidP="005C0B21">
      <w:pPr>
        <w:rPr>
          <w:i/>
        </w:rPr>
      </w:pPr>
      <w:r w:rsidRPr="0005673C">
        <w:rPr>
          <w:i/>
        </w:rPr>
        <w:t>IF an OUTCOME MEASURE, describe how the observed outcome is identified/counted. Calculation of the risk‐ adjusted outcome should be described in the calculation algorithm (S.14).</w:t>
      </w:r>
    </w:p>
    <w:p w14:paraId="2C088BE5" w14:textId="25A31F8C" w:rsidR="0016525B" w:rsidRPr="00383343" w:rsidRDefault="00103E2A" w:rsidP="0016525B">
      <w:pPr>
        <w:pBdr>
          <w:top w:val="single" w:sz="4" w:space="1" w:color="auto"/>
          <w:left w:val="single" w:sz="4" w:space="4" w:color="auto"/>
          <w:bottom w:val="single" w:sz="4" w:space="1" w:color="auto"/>
          <w:right w:val="single" w:sz="4" w:space="4" w:color="auto"/>
        </w:pBdr>
        <w:rPr>
          <w:rFonts w:cstheme="minorHAnsi"/>
          <w:szCs w:val="22"/>
        </w:rPr>
      </w:pPr>
      <w:r w:rsidRPr="00383343">
        <w:rPr>
          <w:rFonts w:cstheme="minorHAnsi"/>
          <w:szCs w:val="22"/>
        </w:rPr>
        <w:t xml:space="preserve">This is an eCQM, and therefore uses electronic health record data to calculate the measure score. </w:t>
      </w:r>
      <w:r w:rsidR="0016525B" w:rsidRPr="00383343">
        <w:rPr>
          <w:rFonts w:cstheme="minorHAnsi"/>
          <w:szCs w:val="22"/>
        </w:rPr>
        <w:t xml:space="preserve">The </w:t>
      </w:r>
      <w:proofErr w:type="gramStart"/>
      <w:r w:rsidR="0016525B" w:rsidRPr="00383343">
        <w:rPr>
          <w:rFonts w:cstheme="minorHAnsi"/>
          <w:szCs w:val="22"/>
        </w:rPr>
        <w:t>time period</w:t>
      </w:r>
      <w:proofErr w:type="gramEnd"/>
      <w:r w:rsidR="0016525B" w:rsidRPr="00383343">
        <w:rPr>
          <w:rFonts w:cstheme="minorHAnsi"/>
          <w:szCs w:val="22"/>
        </w:rPr>
        <w:t xml:space="preserve"> for data collection is </w:t>
      </w:r>
      <w:bookmarkStart w:id="1" w:name="_Hlk522122274"/>
      <w:r w:rsidR="0016525B" w:rsidRPr="00383343">
        <w:rPr>
          <w:rFonts w:cstheme="minorHAnsi"/>
          <w:szCs w:val="22"/>
        </w:rPr>
        <w:t>during a</w:t>
      </w:r>
      <w:r w:rsidR="00BA0A98" w:rsidRPr="00383343">
        <w:rPr>
          <w:rFonts w:cstheme="minorHAnsi"/>
          <w:szCs w:val="22"/>
        </w:rPr>
        <w:t>n inpatient</w:t>
      </w:r>
      <w:r w:rsidR="0016525B" w:rsidRPr="00383343">
        <w:rPr>
          <w:rFonts w:cstheme="minorHAnsi"/>
          <w:szCs w:val="22"/>
        </w:rPr>
        <w:t xml:space="preserve"> hospitalization, beginning at hospital arrival</w:t>
      </w:r>
      <w:r w:rsidR="00200191" w:rsidRPr="00383343">
        <w:rPr>
          <w:rFonts w:cstheme="minorHAnsi"/>
          <w:szCs w:val="22"/>
        </w:rPr>
        <w:t xml:space="preserve"> (whether through Emergency D</w:t>
      </w:r>
      <w:r w:rsidR="00BA0A98" w:rsidRPr="00383343">
        <w:rPr>
          <w:rFonts w:cstheme="minorHAnsi"/>
          <w:szCs w:val="22"/>
        </w:rPr>
        <w:t>epartment, observation stay, or directly admitted as inpatient)</w:t>
      </w:r>
      <w:r w:rsidR="0016525B" w:rsidRPr="00383343">
        <w:rPr>
          <w:rFonts w:cstheme="minorHAnsi"/>
          <w:szCs w:val="22"/>
        </w:rPr>
        <w:t xml:space="preserve">. </w:t>
      </w:r>
      <w:bookmarkEnd w:id="1"/>
    </w:p>
    <w:p w14:paraId="3FDE7AF0" w14:textId="14983573" w:rsidR="0016525B" w:rsidRPr="00383343" w:rsidRDefault="0016525B" w:rsidP="0016525B">
      <w:pPr>
        <w:pBdr>
          <w:top w:val="single" w:sz="4" w:space="1" w:color="auto"/>
          <w:left w:val="single" w:sz="4" w:space="4" w:color="auto"/>
          <w:bottom w:val="single" w:sz="4" w:space="1" w:color="auto"/>
          <w:right w:val="single" w:sz="4" w:space="4" w:color="auto"/>
        </w:pBdr>
        <w:rPr>
          <w:rFonts w:cstheme="minorHAnsi"/>
          <w:szCs w:val="22"/>
        </w:rPr>
      </w:pPr>
      <w:r w:rsidRPr="00383343">
        <w:rPr>
          <w:rFonts w:cstheme="minorHAnsi"/>
          <w:szCs w:val="22"/>
        </w:rPr>
        <w:t>All data elements necessary to calculate this measure are defined within value sets</w:t>
      </w:r>
      <w:r w:rsidR="004B0193" w:rsidRPr="00383343">
        <w:rPr>
          <w:rFonts w:cstheme="minorHAnsi"/>
          <w:szCs w:val="22"/>
        </w:rPr>
        <w:t xml:space="preserve"> available in the VSAC, and listed below.</w:t>
      </w:r>
    </w:p>
    <w:p w14:paraId="58450B66" w14:textId="77777777" w:rsidR="00F21394" w:rsidRPr="00383343" w:rsidRDefault="00F21394" w:rsidP="006C0878">
      <w:pPr>
        <w:pBdr>
          <w:top w:val="single" w:sz="4" w:space="1" w:color="auto"/>
          <w:left w:val="single" w:sz="4" w:space="4" w:color="auto"/>
          <w:bottom w:val="single" w:sz="4" w:space="1" w:color="auto"/>
          <w:right w:val="single" w:sz="4" w:space="4" w:color="auto"/>
        </w:pBdr>
        <w:rPr>
          <w:rFonts w:cstheme="minorHAnsi"/>
          <w:szCs w:val="22"/>
        </w:rPr>
      </w:pPr>
    </w:p>
    <w:p w14:paraId="029A9DFB" w14:textId="057CD1A3" w:rsidR="006C0878" w:rsidRPr="00383343" w:rsidRDefault="002A1557" w:rsidP="006C0878">
      <w:pPr>
        <w:pBdr>
          <w:top w:val="single" w:sz="4" w:space="1" w:color="auto"/>
          <w:left w:val="single" w:sz="4" w:space="4" w:color="auto"/>
          <w:bottom w:val="single" w:sz="4" w:space="1" w:color="auto"/>
          <w:right w:val="single" w:sz="4" w:space="4" w:color="auto"/>
        </w:pBdr>
        <w:rPr>
          <w:rFonts w:cstheme="minorHAnsi"/>
          <w:szCs w:val="22"/>
        </w:rPr>
      </w:pPr>
      <w:r w:rsidRPr="00383343">
        <w:rPr>
          <w:rFonts w:cstheme="minorHAnsi"/>
          <w:szCs w:val="22"/>
        </w:rPr>
        <w:t xml:space="preserve">Glucose tests are represented by </w:t>
      </w:r>
      <w:r w:rsidR="006C0878" w:rsidRPr="00383343">
        <w:rPr>
          <w:rFonts w:cstheme="minorHAnsi"/>
          <w:szCs w:val="22"/>
        </w:rPr>
        <w:t xml:space="preserve">LOINC Codes </w:t>
      </w:r>
      <w:r w:rsidRPr="00383343">
        <w:rPr>
          <w:rFonts w:cstheme="minorHAnsi"/>
          <w:szCs w:val="22"/>
        </w:rPr>
        <w:t xml:space="preserve">in the value set </w:t>
      </w:r>
      <w:r w:rsidR="009521F8" w:rsidRPr="00383343">
        <w:rPr>
          <w:rFonts w:cstheme="minorHAnsi"/>
          <w:szCs w:val="22"/>
        </w:rPr>
        <w:t>Glucose Lab Test (2.16.840.1.113762.1.4.1045.134</w:t>
      </w:r>
      <w:r w:rsidR="00F21394" w:rsidRPr="00383343">
        <w:rPr>
          <w:rFonts w:cstheme="minorHAnsi"/>
          <w:szCs w:val="22"/>
        </w:rPr>
        <w:t xml:space="preserve">). Codes include laboratory and point-of-care glucose tests, including venous or arterial blood and serum or plasma. </w:t>
      </w:r>
    </w:p>
    <w:p w14:paraId="450DF50E" w14:textId="3C7FC74C" w:rsidR="009521F8" w:rsidRPr="00383343" w:rsidRDefault="009521F8" w:rsidP="006C0878">
      <w:pPr>
        <w:pBdr>
          <w:top w:val="single" w:sz="4" w:space="1" w:color="auto"/>
          <w:left w:val="single" w:sz="4" w:space="4" w:color="auto"/>
          <w:bottom w:val="single" w:sz="4" w:space="1" w:color="auto"/>
          <w:right w:val="single" w:sz="4" w:space="4" w:color="auto"/>
        </w:pBdr>
        <w:rPr>
          <w:rFonts w:cstheme="minorHAnsi"/>
          <w:szCs w:val="22"/>
        </w:rPr>
      </w:pPr>
      <w:r w:rsidRPr="00383343">
        <w:rPr>
          <w:rFonts w:cstheme="minorHAnsi"/>
          <w:szCs w:val="22"/>
        </w:rPr>
        <w:t>The antihyperglycemic medication</w:t>
      </w:r>
      <w:r w:rsidR="008C608C" w:rsidRPr="00383343">
        <w:rPr>
          <w:rFonts w:cstheme="minorHAnsi"/>
          <w:szCs w:val="22"/>
        </w:rPr>
        <w:t>s</w:t>
      </w:r>
      <w:r w:rsidRPr="00383343">
        <w:rPr>
          <w:rFonts w:cstheme="minorHAnsi"/>
          <w:szCs w:val="22"/>
        </w:rPr>
        <w:t xml:space="preserve"> are defined by the value set of Hypoglycemics (2.16.840.1.113762.1.4.1179.3). This value set includes medications and insulin capable of causing hypoglycemia in a patient.</w:t>
      </w:r>
    </w:p>
    <w:p w14:paraId="5AA8E3CB" w14:textId="77777777" w:rsidR="009521F8" w:rsidRPr="00383343" w:rsidRDefault="009521F8" w:rsidP="006C0878">
      <w:pPr>
        <w:pBdr>
          <w:top w:val="single" w:sz="4" w:space="1" w:color="auto"/>
          <w:left w:val="single" w:sz="4" w:space="4" w:color="auto"/>
          <w:bottom w:val="single" w:sz="4" w:space="1" w:color="auto"/>
          <w:right w:val="single" w:sz="4" w:space="4" w:color="auto"/>
        </w:pBdr>
        <w:rPr>
          <w:rFonts w:cstheme="minorHAnsi"/>
          <w:szCs w:val="22"/>
        </w:rPr>
      </w:pPr>
    </w:p>
    <w:p w14:paraId="0B3B9AF0" w14:textId="714F03FF" w:rsidR="004B0193" w:rsidRPr="00383343" w:rsidRDefault="002A1557" w:rsidP="006C0878">
      <w:pPr>
        <w:pBdr>
          <w:top w:val="single" w:sz="4" w:space="1" w:color="auto"/>
          <w:left w:val="single" w:sz="4" w:space="4" w:color="auto"/>
          <w:bottom w:val="single" w:sz="4" w:space="1" w:color="auto"/>
          <w:right w:val="single" w:sz="4" w:space="4" w:color="auto"/>
        </w:pBdr>
        <w:rPr>
          <w:rFonts w:cstheme="minorHAnsi"/>
          <w:szCs w:val="22"/>
        </w:rPr>
      </w:pPr>
      <w:r w:rsidRPr="00383343">
        <w:rPr>
          <w:rFonts w:cstheme="minorHAnsi"/>
          <w:szCs w:val="22"/>
        </w:rPr>
        <w:t>To access the value sets for the measure, please visit the Value Set Authority Center (VSAC), sponsored by the National Library of Medicine, at https://vsac.nlm.nih.gov/.</w:t>
      </w:r>
    </w:p>
    <w:p w14:paraId="73426425" w14:textId="77777777" w:rsidR="005C0B21" w:rsidRPr="0005673C" w:rsidRDefault="005C0B21" w:rsidP="005C0B21"/>
    <w:p w14:paraId="5508E616" w14:textId="77777777" w:rsidR="005C0B21" w:rsidRPr="0005673C" w:rsidRDefault="005C0B21" w:rsidP="005C0B21">
      <w:r w:rsidRPr="0005673C">
        <w:rPr>
          <w:b/>
        </w:rPr>
        <w:t>S.6. Denominator Statement</w:t>
      </w:r>
      <w:r w:rsidRPr="0005673C">
        <w:t xml:space="preserve"> (Brief, narrative description of the target population being measured)</w:t>
      </w:r>
    </w:p>
    <w:p w14:paraId="516FC391" w14:textId="77777777" w:rsidR="005C0B21" w:rsidRPr="0005673C" w:rsidRDefault="005C0B21" w:rsidP="005C0B21"/>
    <w:p w14:paraId="47AE68E4" w14:textId="77777777" w:rsidR="005C0B21" w:rsidRPr="0005673C" w:rsidRDefault="005C0B21" w:rsidP="005C0B21">
      <w:pPr>
        <w:rPr>
          <w:i/>
        </w:rPr>
      </w:pPr>
      <w:r w:rsidRPr="0005673C">
        <w:rPr>
          <w:i/>
        </w:rPr>
        <w:t>IF an OUTCOME MEASURE, state the target population for the outcome. Calculation of the risk‐adjusted outcome should be described in the calculation algorithm (S.14).</w:t>
      </w:r>
    </w:p>
    <w:p w14:paraId="4EAB5D96" w14:textId="564A7056" w:rsidR="00047F23" w:rsidRPr="00383343" w:rsidRDefault="00047F23" w:rsidP="009D0A3E">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 xml:space="preserve">All </w:t>
      </w:r>
      <w:r w:rsidR="008C608C" w:rsidRPr="00383343">
        <w:rPr>
          <w:rFonts w:cstheme="minorHAnsi"/>
          <w:bCs/>
          <w:szCs w:val="22"/>
        </w:rPr>
        <w:t xml:space="preserve">patients </w:t>
      </w:r>
      <w:r w:rsidRPr="00383343">
        <w:rPr>
          <w:rFonts w:cstheme="minorHAnsi"/>
          <w:bCs/>
          <w:szCs w:val="22"/>
        </w:rPr>
        <w:t xml:space="preserve">18 years or older </w:t>
      </w:r>
      <w:r w:rsidR="00267B39" w:rsidRPr="00383343">
        <w:rPr>
          <w:rFonts w:cstheme="minorHAnsi"/>
          <w:bCs/>
          <w:szCs w:val="22"/>
        </w:rPr>
        <w:t xml:space="preserve">at the start of the </w:t>
      </w:r>
      <w:r w:rsidR="00323A75" w:rsidRPr="00383343">
        <w:rPr>
          <w:rFonts w:cstheme="minorHAnsi"/>
          <w:bCs/>
          <w:szCs w:val="22"/>
        </w:rPr>
        <w:t>encounter</w:t>
      </w:r>
      <w:r w:rsidR="00267B39" w:rsidRPr="00383343">
        <w:rPr>
          <w:rFonts w:cstheme="minorHAnsi"/>
          <w:bCs/>
          <w:szCs w:val="22"/>
        </w:rPr>
        <w:t xml:space="preserve"> with a discharged </w:t>
      </w:r>
      <w:bookmarkStart w:id="2" w:name="_Hlk531590431"/>
      <w:r w:rsidR="00267B39" w:rsidRPr="00383343">
        <w:rPr>
          <w:rFonts w:cstheme="minorHAnsi"/>
          <w:bCs/>
          <w:szCs w:val="22"/>
        </w:rPr>
        <w:t xml:space="preserve">inpatient hospital </w:t>
      </w:r>
      <w:r w:rsidR="00DE6A89" w:rsidRPr="00383343">
        <w:rPr>
          <w:rFonts w:cstheme="minorHAnsi"/>
          <w:bCs/>
          <w:szCs w:val="22"/>
        </w:rPr>
        <w:t>admission</w:t>
      </w:r>
      <w:r w:rsidR="00267B39" w:rsidRPr="00383343">
        <w:rPr>
          <w:rFonts w:cstheme="minorHAnsi"/>
          <w:bCs/>
          <w:szCs w:val="22"/>
        </w:rPr>
        <w:t xml:space="preserve"> </w:t>
      </w:r>
      <w:bookmarkEnd w:id="2"/>
      <w:r w:rsidR="00267B39" w:rsidRPr="00383343">
        <w:rPr>
          <w:rFonts w:cstheme="minorHAnsi"/>
          <w:bCs/>
          <w:szCs w:val="22"/>
        </w:rPr>
        <w:t xml:space="preserve">during the measurement period </w:t>
      </w:r>
      <w:r w:rsidRPr="00383343">
        <w:rPr>
          <w:rFonts w:cstheme="minorHAnsi"/>
          <w:bCs/>
          <w:szCs w:val="22"/>
        </w:rPr>
        <w:t xml:space="preserve">who were given at least one antihyperglycemic medication during their hospital stay. </w:t>
      </w:r>
      <w:r w:rsidR="00910016" w:rsidRPr="00383343">
        <w:rPr>
          <w:rFonts w:cstheme="minorHAnsi"/>
          <w:bCs/>
          <w:szCs w:val="22"/>
        </w:rPr>
        <w:t>The m</w:t>
      </w:r>
      <w:r w:rsidRPr="00383343">
        <w:rPr>
          <w:rFonts w:cstheme="minorHAnsi"/>
          <w:bCs/>
          <w:szCs w:val="22"/>
        </w:rPr>
        <w:t xml:space="preserve">easure includes inpatient admissions </w:t>
      </w:r>
      <w:r w:rsidR="00910016" w:rsidRPr="00383343">
        <w:rPr>
          <w:rFonts w:cstheme="minorHAnsi"/>
          <w:bCs/>
          <w:szCs w:val="22"/>
        </w:rPr>
        <w:t>which began</w:t>
      </w:r>
      <w:r w:rsidR="00626AA0" w:rsidRPr="00383343">
        <w:rPr>
          <w:rFonts w:cstheme="minorHAnsi"/>
          <w:bCs/>
          <w:szCs w:val="22"/>
        </w:rPr>
        <w:t xml:space="preserve"> in the Emergency D</w:t>
      </w:r>
      <w:r w:rsidRPr="00383343">
        <w:rPr>
          <w:rFonts w:cstheme="minorHAnsi"/>
          <w:bCs/>
          <w:szCs w:val="22"/>
        </w:rPr>
        <w:t>epartment or in observational status.</w:t>
      </w:r>
    </w:p>
    <w:p w14:paraId="7D7EBF8C" w14:textId="77777777" w:rsidR="005C0B21" w:rsidRPr="0005673C" w:rsidRDefault="005C0B21" w:rsidP="005C0B21"/>
    <w:p w14:paraId="0287487D" w14:textId="77777777" w:rsidR="005C0B21" w:rsidRPr="0005673C" w:rsidRDefault="005C0B21" w:rsidP="005C0B21">
      <w:r w:rsidRPr="0005673C">
        <w:rPr>
          <w:b/>
        </w:rPr>
        <w:t>S.7. Denominator Details</w:t>
      </w:r>
      <w:r w:rsidRPr="0005673C">
        <w:t xml:space="preserve"> (All information required to identify and calculate the target population/denominator such as definitions, </w:t>
      </w:r>
      <w:proofErr w:type="gramStart"/>
      <w:r w:rsidRPr="0005673C">
        <w:t>time period</w:t>
      </w:r>
      <w:proofErr w:type="gramEnd"/>
      <w:r w:rsidRPr="0005673C">
        <w:t xml:space="preserve"> for data collection, specific data collection items/responses, code/value sets – Note: lists of individual codes with descriptors that exceed 1 page should be provided in an Excel or csv file in required format at S.2b)</w:t>
      </w:r>
    </w:p>
    <w:p w14:paraId="1AF482CF" w14:textId="77777777" w:rsidR="005C0B21" w:rsidRPr="0005673C" w:rsidRDefault="005C0B21" w:rsidP="005C0B21"/>
    <w:p w14:paraId="314AF6CD" w14:textId="77777777" w:rsidR="005C0B21" w:rsidRPr="0005673C" w:rsidRDefault="005C0B21" w:rsidP="005C0B21">
      <w:pPr>
        <w:rPr>
          <w:i/>
        </w:rPr>
      </w:pPr>
      <w:r w:rsidRPr="0005673C">
        <w:rPr>
          <w:i/>
        </w:rPr>
        <w:t>IF an OUTCOME MEASURE, describe how the target population is identified. Calculation of the risk‐adjusted outcome should be described in the calculation algorithm (S.14).</w:t>
      </w:r>
    </w:p>
    <w:p w14:paraId="553827BF" w14:textId="15C89626" w:rsidR="00CE6028" w:rsidRPr="00383343" w:rsidRDefault="00CE6028" w:rsidP="006C0878">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 xml:space="preserve">This measure includes all </w:t>
      </w:r>
      <w:r w:rsidR="00722D73" w:rsidRPr="00383343">
        <w:rPr>
          <w:rFonts w:cstheme="minorHAnsi"/>
          <w:bCs/>
          <w:szCs w:val="22"/>
        </w:rPr>
        <w:t xml:space="preserve">encounters </w:t>
      </w:r>
      <w:r w:rsidRPr="00383343">
        <w:rPr>
          <w:rFonts w:cstheme="minorHAnsi"/>
          <w:bCs/>
          <w:szCs w:val="22"/>
        </w:rPr>
        <w:t xml:space="preserve">aged 18 years and older at the time of admission, and all payers. </w:t>
      </w:r>
      <w:r w:rsidR="00323A75" w:rsidRPr="00383343">
        <w:rPr>
          <w:rFonts w:cstheme="minorHAnsi"/>
          <w:bCs/>
          <w:szCs w:val="22"/>
        </w:rPr>
        <w:t xml:space="preserve"> </w:t>
      </w:r>
      <w:bookmarkStart w:id="3" w:name="_Hlk531590441"/>
      <w:r w:rsidR="00323A75" w:rsidRPr="00383343">
        <w:rPr>
          <w:rFonts w:cstheme="minorHAnsi"/>
          <w:bCs/>
          <w:szCs w:val="22"/>
        </w:rPr>
        <w:t>Measurement period is one year</w:t>
      </w:r>
      <w:bookmarkEnd w:id="3"/>
      <w:r w:rsidR="00323A75" w:rsidRPr="00383343">
        <w:rPr>
          <w:rFonts w:cstheme="minorHAnsi"/>
          <w:bCs/>
          <w:szCs w:val="22"/>
        </w:rPr>
        <w:t xml:space="preserve">. </w:t>
      </w:r>
      <w:r w:rsidR="009457AF" w:rsidRPr="00383343">
        <w:rPr>
          <w:rFonts w:cstheme="minorHAnsi"/>
          <w:bCs/>
          <w:szCs w:val="22"/>
        </w:rPr>
        <w:t>This measure is admission-level; only one numerator event is counted per admission.</w:t>
      </w:r>
    </w:p>
    <w:p w14:paraId="07771508" w14:textId="77777777" w:rsidR="00CE6028" w:rsidRPr="00383343" w:rsidRDefault="00CE6028" w:rsidP="006C0878">
      <w:pPr>
        <w:pBdr>
          <w:top w:val="single" w:sz="4" w:space="1" w:color="auto"/>
          <w:left w:val="single" w:sz="4" w:space="4" w:color="auto"/>
          <w:bottom w:val="single" w:sz="4" w:space="1" w:color="auto"/>
          <w:right w:val="single" w:sz="4" w:space="4" w:color="auto"/>
        </w:pBdr>
        <w:rPr>
          <w:rFonts w:cstheme="minorHAnsi"/>
          <w:bCs/>
          <w:szCs w:val="22"/>
        </w:rPr>
      </w:pPr>
    </w:p>
    <w:p w14:paraId="75F112BD" w14:textId="36928F72" w:rsidR="00975CF6" w:rsidRPr="00383343" w:rsidRDefault="002A1557" w:rsidP="006C0878">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 xml:space="preserve">Inpatient Encounters are represented using the value set of </w:t>
      </w:r>
      <w:r w:rsidR="00975CF6" w:rsidRPr="00383343">
        <w:rPr>
          <w:rFonts w:cstheme="minorHAnsi"/>
          <w:bCs/>
          <w:szCs w:val="22"/>
        </w:rPr>
        <w:t>Encounter Inpatient (2.16.840.1.113883.3.666.5.307).</w:t>
      </w:r>
    </w:p>
    <w:p w14:paraId="2F95DC43" w14:textId="77777777" w:rsidR="00344DBA" w:rsidRPr="00383343" w:rsidRDefault="00344DBA" w:rsidP="006C0878">
      <w:pPr>
        <w:pBdr>
          <w:top w:val="single" w:sz="4" w:space="1" w:color="auto"/>
          <w:left w:val="single" w:sz="4" w:space="4" w:color="auto"/>
          <w:bottom w:val="single" w:sz="4" w:space="1" w:color="auto"/>
          <w:right w:val="single" w:sz="4" w:space="4" w:color="auto"/>
        </w:pBdr>
        <w:rPr>
          <w:rFonts w:cstheme="minorHAnsi"/>
          <w:bCs/>
          <w:szCs w:val="22"/>
        </w:rPr>
      </w:pPr>
    </w:p>
    <w:p w14:paraId="2F00B71D" w14:textId="5CF9E317" w:rsidR="002A1557" w:rsidRPr="00383343" w:rsidRDefault="00975CF6" w:rsidP="006C0878">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Emergency Department visits are represented using the value set of Emergency Department Visit (2.16.840.1.113883.3.117.1.7.1.292).</w:t>
      </w:r>
    </w:p>
    <w:p w14:paraId="7989D34D" w14:textId="377C2B08" w:rsidR="00975CF6" w:rsidRPr="00383343" w:rsidRDefault="00975CF6" w:rsidP="006C0878">
      <w:pPr>
        <w:pBdr>
          <w:top w:val="single" w:sz="4" w:space="1" w:color="auto"/>
          <w:left w:val="single" w:sz="4" w:space="4" w:color="auto"/>
          <w:bottom w:val="single" w:sz="4" w:space="1" w:color="auto"/>
          <w:right w:val="single" w:sz="4" w:space="4" w:color="auto"/>
        </w:pBdr>
        <w:rPr>
          <w:rFonts w:cstheme="minorHAnsi"/>
          <w:bCs/>
          <w:szCs w:val="22"/>
        </w:rPr>
      </w:pPr>
    </w:p>
    <w:p w14:paraId="318BA7B3" w14:textId="2D1CC3FC" w:rsidR="00975CF6" w:rsidRPr="00383343" w:rsidRDefault="000F5268" w:rsidP="006C0878">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Patients whom had observation encounters are represented using the value set of Observation Services (2.16.840.1.113762.1.4.1111.143).</w:t>
      </w:r>
    </w:p>
    <w:p w14:paraId="43976D0B" w14:textId="77777777" w:rsidR="000F5268" w:rsidRPr="00383343" w:rsidRDefault="000F5268" w:rsidP="006C0878">
      <w:pPr>
        <w:pBdr>
          <w:top w:val="single" w:sz="4" w:space="1" w:color="auto"/>
          <w:left w:val="single" w:sz="4" w:space="4" w:color="auto"/>
          <w:bottom w:val="single" w:sz="4" w:space="1" w:color="auto"/>
          <w:right w:val="single" w:sz="4" w:space="4" w:color="auto"/>
        </w:pBdr>
        <w:rPr>
          <w:rFonts w:cstheme="minorHAnsi"/>
          <w:bCs/>
          <w:szCs w:val="22"/>
        </w:rPr>
      </w:pPr>
    </w:p>
    <w:p w14:paraId="09FFBA81" w14:textId="232FB3A2" w:rsidR="008134A3" w:rsidRPr="00383343" w:rsidRDefault="00722D73" w:rsidP="006C0878">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 xml:space="preserve">Encounters </w:t>
      </w:r>
      <w:r w:rsidR="002A1557" w:rsidRPr="00383343">
        <w:rPr>
          <w:rFonts w:cstheme="minorHAnsi"/>
          <w:bCs/>
          <w:szCs w:val="22"/>
        </w:rPr>
        <w:t xml:space="preserve">who were given at least one antihyperglycemic medication are defined by the value set of </w:t>
      </w:r>
      <w:r w:rsidR="009521F8" w:rsidRPr="00383343">
        <w:rPr>
          <w:rFonts w:cstheme="minorHAnsi"/>
          <w:bCs/>
          <w:szCs w:val="22"/>
        </w:rPr>
        <w:t>Hypoglycemics (2.16.840.1.113762.1.4.1179.3</w:t>
      </w:r>
      <w:r w:rsidR="002A1557" w:rsidRPr="00383343">
        <w:rPr>
          <w:rFonts w:cstheme="minorHAnsi"/>
          <w:bCs/>
          <w:szCs w:val="22"/>
        </w:rPr>
        <w:t>)</w:t>
      </w:r>
      <w:r w:rsidR="009521F8" w:rsidRPr="00383343">
        <w:rPr>
          <w:rFonts w:cstheme="minorHAnsi"/>
          <w:bCs/>
          <w:szCs w:val="22"/>
        </w:rPr>
        <w:t>, which also defines the numerator</w:t>
      </w:r>
      <w:r w:rsidR="00CE6028" w:rsidRPr="00383343">
        <w:rPr>
          <w:rFonts w:cstheme="minorHAnsi"/>
          <w:bCs/>
          <w:szCs w:val="22"/>
        </w:rPr>
        <w:t xml:space="preserve"> medications</w:t>
      </w:r>
      <w:r w:rsidR="002A1557" w:rsidRPr="00383343">
        <w:rPr>
          <w:rFonts w:cstheme="minorHAnsi"/>
          <w:bCs/>
          <w:szCs w:val="22"/>
        </w:rPr>
        <w:t xml:space="preserve">. This value set includes </w:t>
      </w:r>
      <w:r w:rsidR="009521F8" w:rsidRPr="00383343">
        <w:rPr>
          <w:rFonts w:cstheme="minorHAnsi"/>
          <w:bCs/>
          <w:szCs w:val="22"/>
        </w:rPr>
        <w:t>medications and insulin capable of causing hypoglycemia in a patient.</w:t>
      </w:r>
      <w:r w:rsidR="002A1557" w:rsidRPr="00383343">
        <w:rPr>
          <w:rFonts w:cstheme="minorHAnsi"/>
          <w:bCs/>
          <w:szCs w:val="22"/>
        </w:rPr>
        <w:t xml:space="preserve"> </w:t>
      </w:r>
    </w:p>
    <w:p w14:paraId="21F0F9D3" w14:textId="77777777" w:rsidR="008134A3" w:rsidRPr="00383343" w:rsidRDefault="008134A3" w:rsidP="006C0878">
      <w:pPr>
        <w:pBdr>
          <w:top w:val="single" w:sz="4" w:space="1" w:color="auto"/>
          <w:left w:val="single" w:sz="4" w:space="4" w:color="auto"/>
          <w:bottom w:val="single" w:sz="4" w:space="1" w:color="auto"/>
          <w:right w:val="single" w:sz="4" w:space="4" w:color="auto"/>
        </w:pBdr>
        <w:rPr>
          <w:rFonts w:cstheme="minorHAnsi"/>
          <w:bCs/>
          <w:szCs w:val="22"/>
        </w:rPr>
      </w:pPr>
    </w:p>
    <w:p w14:paraId="73AAE1FA" w14:textId="32A29312" w:rsidR="002A1557" w:rsidRPr="00383343" w:rsidRDefault="002A1557" w:rsidP="006C0878">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To access the value sets for the measure, please visit the Value Set Authority Center, sponsored by the National Library of Medicine, at https://vsac.nlm.nih.gov/.</w:t>
      </w:r>
    </w:p>
    <w:p w14:paraId="4A288FED" w14:textId="77777777" w:rsidR="005C0B21" w:rsidRPr="0005673C" w:rsidRDefault="005C0B21" w:rsidP="005C0B21"/>
    <w:p w14:paraId="11265F7A" w14:textId="77777777" w:rsidR="005C0B21" w:rsidRPr="0005673C" w:rsidRDefault="005C0B21" w:rsidP="005C0B21">
      <w:r w:rsidRPr="0005673C">
        <w:rPr>
          <w:b/>
        </w:rPr>
        <w:t>S.8. Denominator Exclusions</w:t>
      </w:r>
      <w:r w:rsidRPr="0005673C">
        <w:t xml:space="preserve"> (Brief narrative description of exclusions from the target population)</w:t>
      </w:r>
    </w:p>
    <w:p w14:paraId="1797C078" w14:textId="1F6747B2" w:rsidR="009D0A3E" w:rsidRPr="0005673C" w:rsidRDefault="00125AE0" w:rsidP="009D0A3E">
      <w:pPr>
        <w:pBdr>
          <w:top w:val="single" w:sz="4" w:space="1" w:color="auto"/>
          <w:left w:val="single" w:sz="4" w:space="4" w:color="auto"/>
          <w:bottom w:val="single" w:sz="4" w:space="1" w:color="auto"/>
          <w:right w:val="single" w:sz="4" w:space="4" w:color="auto"/>
        </w:pBdr>
        <w:rPr>
          <w:rFonts w:cstheme="minorHAnsi"/>
          <w:b/>
          <w:bCs/>
          <w:szCs w:val="22"/>
        </w:rPr>
      </w:pPr>
      <w:r w:rsidRPr="0005673C">
        <w:rPr>
          <w:rFonts w:cstheme="minorHAnsi"/>
          <w:bCs/>
          <w:szCs w:val="22"/>
        </w:rPr>
        <w:t xml:space="preserve"> </w:t>
      </w:r>
      <w:r w:rsidR="00047F23" w:rsidRPr="00383343">
        <w:rPr>
          <w:rFonts w:cstheme="minorHAnsi"/>
          <w:bCs/>
          <w:szCs w:val="22"/>
        </w:rPr>
        <w:t xml:space="preserve">N/A, </w:t>
      </w:r>
      <w:r w:rsidR="00C25B48" w:rsidRPr="00383343">
        <w:rPr>
          <w:rFonts w:cstheme="minorHAnsi"/>
          <w:bCs/>
          <w:szCs w:val="22"/>
        </w:rPr>
        <w:t>ther</w:t>
      </w:r>
      <w:r w:rsidR="00F21394" w:rsidRPr="00383343">
        <w:rPr>
          <w:rFonts w:cstheme="minorHAnsi"/>
          <w:bCs/>
          <w:szCs w:val="22"/>
        </w:rPr>
        <w:t>e are no denominator exclusions.</w:t>
      </w:r>
    </w:p>
    <w:p w14:paraId="33BF7597" w14:textId="77777777" w:rsidR="005C0B21" w:rsidRPr="0005673C" w:rsidRDefault="005C0B21" w:rsidP="005C0B21"/>
    <w:p w14:paraId="530EEBF5" w14:textId="77777777" w:rsidR="009D0A3E" w:rsidRPr="0005673C" w:rsidRDefault="005C0B21" w:rsidP="005C0B21">
      <w:r w:rsidRPr="0005673C">
        <w:rPr>
          <w:b/>
        </w:rPr>
        <w:t>S.9. Denominator Exclusion Details</w:t>
      </w:r>
      <w:r w:rsidRPr="0005673C">
        <w:t xml:space="preserve"> (All information required to identify and calculate exclusions from the denominator such as definitions, </w:t>
      </w:r>
      <w:proofErr w:type="gramStart"/>
      <w:r w:rsidRPr="0005673C">
        <w:t>time period</w:t>
      </w:r>
      <w:proofErr w:type="gramEnd"/>
      <w:r w:rsidRPr="0005673C">
        <w:t xml:space="preserve"> for data collection, specific data collection items/responses, code/value sets – Note: lists of individual codes with descriptors that exceed 1 page should be provided in an Excel or csv file in required format at S.2b)</w:t>
      </w:r>
      <w:r w:rsidR="009D0A3E" w:rsidRPr="0005673C">
        <w:t xml:space="preserve"> </w:t>
      </w:r>
    </w:p>
    <w:p w14:paraId="1C8AEC66" w14:textId="0B8F9EAF" w:rsidR="009D0A3E" w:rsidRPr="006C0878" w:rsidRDefault="00125AE0" w:rsidP="009D0A3E">
      <w:pPr>
        <w:pBdr>
          <w:top w:val="single" w:sz="4" w:space="1" w:color="auto"/>
          <w:left w:val="single" w:sz="4" w:space="4" w:color="auto"/>
          <w:bottom w:val="single" w:sz="4" w:space="1" w:color="auto"/>
          <w:right w:val="single" w:sz="4" w:space="4" w:color="auto"/>
        </w:pBdr>
        <w:rPr>
          <w:rFonts w:cstheme="minorHAnsi"/>
          <w:bCs/>
          <w:szCs w:val="22"/>
        </w:rPr>
      </w:pPr>
      <w:r w:rsidRPr="006C0878">
        <w:rPr>
          <w:rFonts w:cstheme="minorHAnsi"/>
          <w:bCs/>
          <w:szCs w:val="22"/>
        </w:rPr>
        <w:lastRenderedPageBreak/>
        <w:t xml:space="preserve"> </w:t>
      </w:r>
      <w:r w:rsidR="006C0878" w:rsidRPr="006C0878">
        <w:rPr>
          <w:rFonts w:cstheme="minorHAnsi"/>
          <w:bCs/>
          <w:szCs w:val="22"/>
        </w:rPr>
        <w:t>N/A</w:t>
      </w:r>
    </w:p>
    <w:p w14:paraId="189BBE87" w14:textId="77777777" w:rsidR="009D0A3E" w:rsidRPr="0005673C" w:rsidRDefault="009D0A3E" w:rsidP="005C0B21"/>
    <w:p w14:paraId="29E900BC" w14:textId="77777777" w:rsidR="004412CE" w:rsidRPr="0005673C" w:rsidRDefault="004412CE" w:rsidP="004412CE">
      <w:r w:rsidRPr="0005673C">
        <w:rPr>
          <w:b/>
        </w:rPr>
        <w:t>S.10. Stratification Information</w:t>
      </w:r>
      <w:r w:rsidRPr="0005673C">
        <w:t xml:space="preserve"> (Provide all information required to stratify the measure results, if necessary, including the stratification variables, definitions, specific data collection items/responses, code/value sets, and the risk‐model covariates and coefficients for the clinically‐adjusted version of the measure when appropriate – Note: lists of individual codes with descriptors that exceed 1 page should be provided in an Excel or csv file in required format with at S.2b)</w:t>
      </w:r>
    </w:p>
    <w:p w14:paraId="6ACDEEE8" w14:textId="22B7AF6A" w:rsidR="004412CE" w:rsidRPr="0005673C" w:rsidRDefault="00125AE0" w:rsidP="004412CE">
      <w:pPr>
        <w:pBdr>
          <w:top w:val="single" w:sz="4" w:space="1" w:color="auto"/>
          <w:left w:val="single" w:sz="4" w:space="4" w:color="auto"/>
          <w:bottom w:val="single" w:sz="4" w:space="1" w:color="auto"/>
          <w:right w:val="single" w:sz="4" w:space="4" w:color="auto"/>
        </w:pBdr>
      </w:pPr>
      <w:r w:rsidRPr="0005673C">
        <w:t xml:space="preserve"> </w:t>
      </w:r>
      <w:r w:rsidR="00C25B48" w:rsidRPr="00C25B48">
        <w:t>N/A; this measure is not stratified.</w:t>
      </w:r>
    </w:p>
    <w:p w14:paraId="79532679" w14:textId="77777777" w:rsidR="004412CE" w:rsidRPr="0005673C" w:rsidRDefault="004412CE" w:rsidP="004412CE"/>
    <w:p w14:paraId="05F7FB41" w14:textId="77777777" w:rsidR="004412CE" w:rsidRPr="0005673C" w:rsidRDefault="004412CE" w:rsidP="004412CE">
      <w:r w:rsidRPr="0005673C">
        <w:rPr>
          <w:b/>
        </w:rPr>
        <w:t>S.11. Risk Adjustment Type</w:t>
      </w:r>
      <w:r w:rsidRPr="0005673C">
        <w:t xml:space="preserve"> (Select type. Provide specifications for risk stratification in measure testing attachment)</w:t>
      </w:r>
    </w:p>
    <w:p w14:paraId="4E1D79C1" w14:textId="6CB6E7A7" w:rsidR="004412CE" w:rsidRPr="0005673C" w:rsidRDefault="00125AE0" w:rsidP="00E82FBF">
      <w:pPr>
        <w:pBdr>
          <w:top w:val="single" w:sz="4" w:space="1" w:color="auto"/>
          <w:left w:val="single" w:sz="4" w:space="4" w:color="auto"/>
          <w:bottom w:val="single" w:sz="4" w:space="1" w:color="auto"/>
          <w:right w:val="single" w:sz="4" w:space="4" w:color="auto"/>
        </w:pBdr>
        <w:rPr>
          <w:rFonts w:cstheme="minorHAnsi"/>
          <w:szCs w:val="22"/>
        </w:rPr>
      </w:pPr>
      <w:r w:rsidRPr="0005673C">
        <w:rPr>
          <w:rFonts w:cstheme="minorHAnsi"/>
          <w:szCs w:val="22"/>
        </w:rPr>
        <w:t xml:space="preserve"> </w:t>
      </w:r>
      <w:r w:rsidR="006C0878" w:rsidRPr="006C0878">
        <w:rPr>
          <w:rFonts w:cstheme="minorHAnsi"/>
          <w:szCs w:val="22"/>
        </w:rPr>
        <w:t>No risk adjustment or risk stratification</w:t>
      </w:r>
    </w:p>
    <w:p w14:paraId="5BD4BC4D" w14:textId="77777777" w:rsidR="004412CE" w:rsidRPr="0005673C" w:rsidRDefault="004412CE" w:rsidP="004412CE"/>
    <w:p w14:paraId="0B48B1FD" w14:textId="77777777" w:rsidR="004412CE" w:rsidRPr="0005673C" w:rsidRDefault="004412CE" w:rsidP="004412CE">
      <w:pPr>
        <w:rPr>
          <w:b/>
        </w:rPr>
      </w:pPr>
      <w:r w:rsidRPr="0005673C">
        <w:rPr>
          <w:b/>
        </w:rPr>
        <w:t>S.12. Type of score:</w:t>
      </w:r>
    </w:p>
    <w:p w14:paraId="7EE0EC7B" w14:textId="7463F932" w:rsidR="004412CE" w:rsidRPr="00383343" w:rsidRDefault="00125AE0" w:rsidP="004412CE">
      <w:pPr>
        <w:pBdr>
          <w:top w:val="single" w:sz="4" w:space="1" w:color="auto"/>
          <w:left w:val="single" w:sz="4" w:space="4" w:color="auto"/>
          <w:bottom w:val="single" w:sz="4" w:space="1" w:color="auto"/>
          <w:right w:val="single" w:sz="4" w:space="4" w:color="auto"/>
        </w:pBdr>
      </w:pPr>
      <w:r w:rsidRPr="00383343">
        <w:rPr>
          <w:szCs w:val="22"/>
        </w:rPr>
        <w:t xml:space="preserve"> </w:t>
      </w:r>
      <w:r w:rsidR="0012366D" w:rsidRPr="00383343">
        <w:rPr>
          <w:szCs w:val="22"/>
        </w:rPr>
        <w:t>Proportion</w:t>
      </w:r>
    </w:p>
    <w:p w14:paraId="15DD2605" w14:textId="77777777" w:rsidR="004412CE" w:rsidRPr="0005673C" w:rsidRDefault="004412CE" w:rsidP="004412CE"/>
    <w:p w14:paraId="600840B1" w14:textId="77777777" w:rsidR="004412CE" w:rsidRPr="0005673C" w:rsidRDefault="004412CE" w:rsidP="004412CE">
      <w:r w:rsidRPr="0005673C">
        <w:rPr>
          <w:b/>
        </w:rPr>
        <w:t>S.13. Interpretation of Score</w:t>
      </w:r>
      <w:r w:rsidRPr="0005673C">
        <w:t xml:space="preserve"> (Classifies interpretation of score according to whether better quality is associated with a higher score, a lower score, a score falling within a defined interval, or a passing score)</w:t>
      </w:r>
    </w:p>
    <w:p w14:paraId="37A6ACF4" w14:textId="6B97EA0C" w:rsidR="004412CE" w:rsidRPr="00383343" w:rsidRDefault="00125AE0" w:rsidP="004412CE">
      <w:pPr>
        <w:pBdr>
          <w:top w:val="single" w:sz="4" w:space="1" w:color="auto"/>
          <w:left w:val="single" w:sz="4" w:space="4" w:color="auto"/>
          <w:bottom w:val="single" w:sz="4" w:space="1" w:color="auto"/>
          <w:right w:val="single" w:sz="4" w:space="4" w:color="auto"/>
        </w:pBdr>
      </w:pPr>
      <w:r w:rsidRPr="0005673C">
        <w:rPr>
          <w:szCs w:val="22"/>
        </w:rPr>
        <w:t xml:space="preserve"> </w:t>
      </w:r>
      <w:r w:rsidR="0012366D" w:rsidRPr="00383343">
        <w:rPr>
          <w:szCs w:val="22"/>
        </w:rPr>
        <w:t>Lower proportion indicates better quality</w:t>
      </w:r>
    </w:p>
    <w:p w14:paraId="1045E0A3" w14:textId="77777777" w:rsidR="004412CE" w:rsidRPr="0005673C" w:rsidRDefault="004412CE" w:rsidP="004412CE"/>
    <w:p w14:paraId="63C79871" w14:textId="77777777" w:rsidR="004412CE" w:rsidRPr="0005673C" w:rsidRDefault="004412CE" w:rsidP="004412CE">
      <w:bookmarkStart w:id="4" w:name="_Hlk534184633"/>
      <w:r w:rsidRPr="0005673C">
        <w:rPr>
          <w:b/>
        </w:rPr>
        <w:t>S.14. Calculation Algorithm/Measure Logic</w:t>
      </w:r>
      <w:r w:rsidRPr="0005673C">
        <w:t xml:space="preserve"> (Diagram or describe the calculation of the measure score as an ordered sequence of steps including identifying the target population; exclusions; cases meeting the target process, condition, event, or outcome; </w:t>
      </w:r>
      <w:proofErr w:type="gramStart"/>
      <w:r w:rsidRPr="0005673C">
        <w:t>time period</w:t>
      </w:r>
      <w:proofErr w:type="gramEnd"/>
      <w:r w:rsidRPr="0005673C">
        <w:t xml:space="preserve"> of data, aggregating data; risk adjustment; etc.)</w:t>
      </w:r>
    </w:p>
    <w:bookmarkEnd w:id="4"/>
    <w:p w14:paraId="3F806A5B" w14:textId="5CDA7F3E" w:rsidR="00515CB4" w:rsidRPr="00383343" w:rsidRDefault="00B016A9" w:rsidP="00AB4F77">
      <w:pPr>
        <w:pBdr>
          <w:top w:val="single" w:sz="4" w:space="1" w:color="auto"/>
          <w:left w:val="single" w:sz="4" w:space="4" w:color="auto"/>
          <w:bottom w:val="single" w:sz="4" w:space="1" w:color="auto"/>
          <w:right w:val="single" w:sz="4" w:space="4" w:color="auto"/>
        </w:pBdr>
        <w:rPr>
          <w:rFonts w:cstheme="minorHAnsi"/>
          <w:bCs/>
          <w:strike/>
          <w:szCs w:val="22"/>
        </w:rPr>
      </w:pPr>
      <w:r w:rsidRPr="00515CB4">
        <w:rPr>
          <w:rFonts w:cstheme="minorHAnsi"/>
          <w:bCs/>
          <w:szCs w:val="22"/>
          <w:u w:val="single"/>
        </w:rPr>
        <w:t>Target population</w:t>
      </w:r>
      <w:r w:rsidRPr="00F21394">
        <w:rPr>
          <w:rFonts w:cstheme="minorHAnsi"/>
          <w:bCs/>
          <w:szCs w:val="22"/>
        </w:rPr>
        <w:t>:</w:t>
      </w:r>
      <w:r>
        <w:rPr>
          <w:rFonts w:cstheme="minorHAnsi"/>
          <w:bCs/>
          <w:color w:val="FF0000"/>
          <w:szCs w:val="22"/>
        </w:rPr>
        <w:t xml:space="preserve"> </w:t>
      </w:r>
      <w:bookmarkStart w:id="5" w:name="_Hlk531590987"/>
      <w:r w:rsidR="00515CB4" w:rsidRPr="00515CB4">
        <w:rPr>
          <w:rFonts w:cstheme="minorHAnsi"/>
          <w:bCs/>
          <w:szCs w:val="22"/>
        </w:rPr>
        <w:t>Inpatient admission</w:t>
      </w:r>
      <w:r w:rsidR="008C608C">
        <w:rPr>
          <w:rFonts w:cstheme="minorHAnsi"/>
          <w:bCs/>
          <w:szCs w:val="22"/>
        </w:rPr>
        <w:t xml:space="preserve"> </w:t>
      </w:r>
      <w:r w:rsidR="00515CB4" w:rsidRPr="00515CB4">
        <w:rPr>
          <w:rFonts w:cstheme="minorHAnsi"/>
          <w:bCs/>
          <w:szCs w:val="22"/>
        </w:rPr>
        <w:t>enco</w:t>
      </w:r>
      <w:r w:rsidR="00515CB4" w:rsidRPr="00383343">
        <w:rPr>
          <w:rFonts w:cstheme="minorHAnsi"/>
          <w:bCs/>
          <w:szCs w:val="22"/>
        </w:rPr>
        <w:t>unters</w:t>
      </w:r>
      <w:bookmarkEnd w:id="5"/>
      <w:r w:rsidR="00515CB4" w:rsidRPr="00383343">
        <w:rPr>
          <w:rFonts w:cstheme="minorHAnsi"/>
          <w:bCs/>
          <w:szCs w:val="22"/>
        </w:rPr>
        <w:t xml:space="preserve">, all payer, where individuals are aged 18 years or older at the start of the </w:t>
      </w:r>
      <w:r w:rsidR="0011295A" w:rsidRPr="00383343">
        <w:rPr>
          <w:rFonts w:cstheme="minorHAnsi"/>
          <w:bCs/>
          <w:szCs w:val="22"/>
        </w:rPr>
        <w:t>admission</w:t>
      </w:r>
      <w:r w:rsidR="00515CB4" w:rsidRPr="00383343">
        <w:rPr>
          <w:rFonts w:cstheme="minorHAnsi"/>
          <w:bCs/>
          <w:szCs w:val="22"/>
        </w:rPr>
        <w:t xml:space="preserve"> and who were given at least one antihyperglycemic medication during their hospital stay, within the measurement period. </w:t>
      </w:r>
      <w:r w:rsidR="00CE6028" w:rsidRPr="00383343">
        <w:rPr>
          <w:rFonts w:cstheme="minorHAnsi"/>
          <w:bCs/>
          <w:strike/>
          <w:szCs w:val="22"/>
        </w:rPr>
        <w:t xml:space="preserve"> </w:t>
      </w:r>
    </w:p>
    <w:p w14:paraId="624FEA52" w14:textId="26508F83" w:rsidR="00FE7D79" w:rsidRDefault="00FE7D79" w:rsidP="00AB4F77">
      <w:pPr>
        <w:pBdr>
          <w:top w:val="single" w:sz="4" w:space="1" w:color="auto"/>
          <w:left w:val="single" w:sz="4" w:space="4" w:color="auto"/>
          <w:bottom w:val="single" w:sz="4" w:space="1" w:color="auto"/>
          <w:right w:val="single" w:sz="4" w:space="4" w:color="auto"/>
        </w:pBdr>
        <w:rPr>
          <w:rFonts w:cstheme="minorHAnsi"/>
          <w:bCs/>
          <w:color w:val="FF0000"/>
          <w:szCs w:val="22"/>
        </w:rPr>
      </w:pPr>
    </w:p>
    <w:p w14:paraId="7B9E4ECE" w14:textId="45505766" w:rsidR="00515CB4" w:rsidRPr="00515CB4" w:rsidRDefault="00214FC1" w:rsidP="00AB4F77">
      <w:pPr>
        <w:pBdr>
          <w:top w:val="single" w:sz="4" w:space="1" w:color="auto"/>
          <w:left w:val="single" w:sz="4" w:space="4" w:color="auto"/>
          <w:bottom w:val="single" w:sz="4" w:space="1" w:color="auto"/>
          <w:right w:val="single" w:sz="4" w:space="4" w:color="auto"/>
        </w:pBdr>
        <w:rPr>
          <w:rFonts w:cstheme="minorHAnsi"/>
          <w:bCs/>
          <w:szCs w:val="22"/>
          <w:u w:val="single"/>
        </w:rPr>
      </w:pPr>
      <w:r>
        <w:rPr>
          <w:rFonts w:cstheme="minorHAnsi"/>
          <w:bCs/>
          <w:szCs w:val="22"/>
          <w:u w:val="single"/>
        </w:rPr>
        <w:t>To create the d</w:t>
      </w:r>
      <w:r w:rsidR="00515CB4" w:rsidRPr="00515CB4">
        <w:rPr>
          <w:rFonts w:cstheme="minorHAnsi"/>
          <w:bCs/>
          <w:szCs w:val="22"/>
          <w:u w:val="single"/>
        </w:rPr>
        <w:t>enominator:</w:t>
      </w:r>
    </w:p>
    <w:p w14:paraId="45386804" w14:textId="673CB15D" w:rsidR="00515CB4" w:rsidRDefault="00515CB4" w:rsidP="00AB4F77">
      <w:pPr>
        <w:pBdr>
          <w:top w:val="single" w:sz="4" w:space="1" w:color="auto"/>
          <w:left w:val="single" w:sz="4" w:space="4" w:color="auto"/>
          <w:bottom w:val="single" w:sz="4" w:space="1" w:color="auto"/>
          <w:right w:val="single" w:sz="4" w:space="4" w:color="auto"/>
        </w:pBdr>
        <w:rPr>
          <w:rFonts w:cstheme="minorHAnsi"/>
          <w:bCs/>
          <w:szCs w:val="22"/>
        </w:rPr>
      </w:pPr>
      <w:bookmarkStart w:id="6" w:name="_Hlk522178326"/>
      <w:r w:rsidRPr="00515CB4">
        <w:rPr>
          <w:rFonts w:cstheme="minorHAnsi"/>
          <w:bCs/>
          <w:szCs w:val="22"/>
        </w:rPr>
        <w:t xml:space="preserve">1. </w:t>
      </w:r>
      <w:r w:rsidR="009457AF">
        <w:rPr>
          <w:rFonts w:cstheme="minorHAnsi"/>
          <w:bCs/>
          <w:szCs w:val="22"/>
        </w:rPr>
        <w:t>If</w:t>
      </w:r>
      <w:r w:rsidR="009457AF" w:rsidRPr="00515CB4">
        <w:rPr>
          <w:rFonts w:cstheme="minorHAnsi"/>
          <w:bCs/>
          <w:szCs w:val="22"/>
        </w:rPr>
        <w:t xml:space="preserve"> </w:t>
      </w:r>
      <w:r w:rsidRPr="00515CB4">
        <w:rPr>
          <w:rFonts w:cstheme="minorHAnsi"/>
          <w:bCs/>
          <w:szCs w:val="22"/>
        </w:rPr>
        <w:t>the</w:t>
      </w:r>
      <w:r w:rsidR="00853F4F">
        <w:rPr>
          <w:rFonts w:cstheme="minorHAnsi"/>
          <w:bCs/>
          <w:szCs w:val="22"/>
        </w:rPr>
        <w:t xml:space="preserve"> inpatient</w:t>
      </w:r>
      <w:r w:rsidRPr="00515CB4">
        <w:rPr>
          <w:rFonts w:cstheme="minorHAnsi"/>
          <w:bCs/>
          <w:szCs w:val="22"/>
        </w:rPr>
        <w:t xml:space="preserve"> admission </w:t>
      </w:r>
      <w:r w:rsidR="009457AF">
        <w:rPr>
          <w:rFonts w:cstheme="minorHAnsi"/>
          <w:bCs/>
          <w:szCs w:val="22"/>
        </w:rPr>
        <w:t xml:space="preserve">was </w:t>
      </w:r>
      <w:r w:rsidRPr="00515CB4">
        <w:rPr>
          <w:rFonts w:cstheme="minorHAnsi"/>
          <w:bCs/>
          <w:szCs w:val="22"/>
        </w:rPr>
        <w:t>during the measurement period</w:t>
      </w:r>
      <w:r w:rsidR="009457AF">
        <w:rPr>
          <w:rFonts w:cstheme="minorHAnsi"/>
          <w:bCs/>
          <w:szCs w:val="22"/>
        </w:rPr>
        <w:t xml:space="preserve">, </w:t>
      </w:r>
      <w:r w:rsidRPr="00515CB4">
        <w:rPr>
          <w:rFonts w:cstheme="minorHAnsi"/>
          <w:bCs/>
          <w:szCs w:val="22"/>
        </w:rPr>
        <w:t>go to Step 2. If No</w:t>
      </w:r>
      <w:r w:rsidR="009457AF">
        <w:rPr>
          <w:rFonts w:cstheme="minorHAnsi"/>
          <w:bCs/>
          <w:szCs w:val="22"/>
        </w:rPr>
        <w:t>t</w:t>
      </w:r>
      <w:r w:rsidRPr="00515CB4">
        <w:rPr>
          <w:rFonts w:cstheme="minorHAnsi"/>
          <w:bCs/>
          <w:szCs w:val="22"/>
        </w:rPr>
        <w:t xml:space="preserve">, </w:t>
      </w:r>
      <w:r w:rsidR="00910016">
        <w:rPr>
          <w:rFonts w:cstheme="minorHAnsi"/>
          <w:bCs/>
          <w:szCs w:val="22"/>
        </w:rPr>
        <w:t>do not include</w:t>
      </w:r>
      <w:r w:rsidR="00910016" w:rsidRPr="00515CB4">
        <w:rPr>
          <w:rFonts w:cstheme="minorHAnsi"/>
          <w:bCs/>
          <w:szCs w:val="22"/>
        </w:rPr>
        <w:t xml:space="preserve"> </w:t>
      </w:r>
      <w:r w:rsidR="00910016">
        <w:rPr>
          <w:rFonts w:cstheme="minorHAnsi"/>
          <w:bCs/>
          <w:szCs w:val="22"/>
        </w:rPr>
        <w:t>in</w:t>
      </w:r>
      <w:r w:rsidR="00910016" w:rsidRPr="00515CB4">
        <w:rPr>
          <w:rFonts w:cstheme="minorHAnsi"/>
          <w:bCs/>
          <w:szCs w:val="22"/>
        </w:rPr>
        <w:t xml:space="preserve"> </w:t>
      </w:r>
      <w:r w:rsidRPr="00515CB4">
        <w:rPr>
          <w:rFonts w:cstheme="minorHAnsi"/>
          <w:bCs/>
          <w:szCs w:val="22"/>
        </w:rPr>
        <w:t>measure population.</w:t>
      </w:r>
    </w:p>
    <w:p w14:paraId="1625C132" w14:textId="1E6D2ADB" w:rsidR="00515CB4" w:rsidRDefault="00515CB4" w:rsidP="00AB4F77">
      <w:pPr>
        <w:pBdr>
          <w:top w:val="single" w:sz="4" w:space="1" w:color="auto"/>
          <w:left w:val="single" w:sz="4" w:space="4" w:color="auto"/>
          <w:bottom w:val="single" w:sz="4" w:space="1" w:color="auto"/>
          <w:right w:val="single" w:sz="4" w:space="4" w:color="auto"/>
        </w:pBdr>
        <w:rPr>
          <w:rFonts w:cstheme="minorHAnsi"/>
          <w:bCs/>
          <w:szCs w:val="22"/>
        </w:rPr>
      </w:pPr>
      <w:r>
        <w:rPr>
          <w:rFonts w:cstheme="minorHAnsi"/>
          <w:bCs/>
          <w:szCs w:val="22"/>
        </w:rPr>
        <w:t xml:space="preserve">2. </w:t>
      </w:r>
      <w:r w:rsidRPr="00515CB4">
        <w:rPr>
          <w:rFonts w:cstheme="minorHAnsi"/>
          <w:bCs/>
          <w:szCs w:val="22"/>
        </w:rPr>
        <w:t xml:space="preserve">Determine </w:t>
      </w:r>
      <w:bookmarkStart w:id="7" w:name="_Hlk532300217"/>
      <w:r w:rsidRPr="00515CB4">
        <w:rPr>
          <w:rFonts w:cstheme="minorHAnsi"/>
          <w:bCs/>
          <w:szCs w:val="22"/>
        </w:rPr>
        <w:t>the patient’s age in years</w:t>
      </w:r>
      <w:bookmarkEnd w:id="7"/>
      <w:r w:rsidRPr="00515CB4">
        <w:rPr>
          <w:rFonts w:cstheme="minorHAnsi"/>
          <w:bCs/>
          <w:szCs w:val="22"/>
        </w:rPr>
        <w:t>. The patient’s age is equal to the admission date minus the birth date. If the patient is</w:t>
      </w:r>
      <w:r>
        <w:rPr>
          <w:rFonts w:cstheme="minorHAnsi"/>
          <w:bCs/>
          <w:szCs w:val="22"/>
        </w:rPr>
        <w:t xml:space="preserve"> </w:t>
      </w:r>
      <w:r w:rsidRPr="00515CB4">
        <w:rPr>
          <w:rFonts w:cstheme="minorHAnsi"/>
          <w:bCs/>
          <w:szCs w:val="22"/>
        </w:rPr>
        <w:t xml:space="preserve">18 years </w:t>
      </w:r>
      <w:r w:rsidR="009457AF">
        <w:rPr>
          <w:rFonts w:cstheme="minorHAnsi"/>
          <w:bCs/>
          <w:szCs w:val="22"/>
        </w:rPr>
        <w:t xml:space="preserve">or </w:t>
      </w:r>
      <w:r w:rsidRPr="00515CB4">
        <w:rPr>
          <w:rFonts w:cstheme="minorHAnsi"/>
          <w:bCs/>
          <w:szCs w:val="22"/>
        </w:rPr>
        <w:t>old</w:t>
      </w:r>
      <w:r w:rsidR="009457AF">
        <w:rPr>
          <w:rFonts w:cstheme="minorHAnsi"/>
          <w:bCs/>
          <w:szCs w:val="22"/>
        </w:rPr>
        <w:t>er</w:t>
      </w:r>
      <w:r w:rsidRPr="00515CB4">
        <w:rPr>
          <w:rFonts w:cstheme="minorHAnsi"/>
          <w:bCs/>
          <w:szCs w:val="22"/>
        </w:rPr>
        <w:t xml:space="preserve">, go to Step 3. If less than 18 years old, </w:t>
      </w:r>
      <w:r w:rsidR="00910016">
        <w:rPr>
          <w:rFonts w:cstheme="minorHAnsi"/>
          <w:bCs/>
          <w:szCs w:val="22"/>
        </w:rPr>
        <w:t>do not include</w:t>
      </w:r>
      <w:r w:rsidR="00910016" w:rsidRPr="00515CB4">
        <w:rPr>
          <w:rFonts w:cstheme="minorHAnsi"/>
          <w:bCs/>
          <w:szCs w:val="22"/>
        </w:rPr>
        <w:t xml:space="preserve"> </w:t>
      </w:r>
      <w:r w:rsidR="00910016">
        <w:rPr>
          <w:rFonts w:cstheme="minorHAnsi"/>
          <w:bCs/>
          <w:szCs w:val="22"/>
        </w:rPr>
        <w:t>in</w:t>
      </w:r>
      <w:r w:rsidR="00910016" w:rsidRPr="00515CB4">
        <w:rPr>
          <w:rFonts w:cstheme="minorHAnsi"/>
          <w:bCs/>
          <w:szCs w:val="22"/>
        </w:rPr>
        <w:t xml:space="preserve"> </w:t>
      </w:r>
      <w:r w:rsidRPr="00515CB4">
        <w:rPr>
          <w:rFonts w:cstheme="minorHAnsi"/>
          <w:bCs/>
          <w:szCs w:val="22"/>
        </w:rPr>
        <w:t>the measure population.</w:t>
      </w:r>
    </w:p>
    <w:bookmarkEnd w:id="6"/>
    <w:p w14:paraId="2D2828D0" w14:textId="77C76773" w:rsidR="00515CB4" w:rsidRPr="00383343" w:rsidRDefault="00515CB4" w:rsidP="00AB4F77">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 xml:space="preserve">3. Determine if there was at least one antihyperglycemic medication (from the Hypoglycemic value set 2.16.840.1.113762.1.4.1179.3) administered during the </w:t>
      </w:r>
      <w:r w:rsidR="00DE6A89" w:rsidRPr="00383343">
        <w:rPr>
          <w:rFonts w:cstheme="minorHAnsi"/>
          <w:bCs/>
          <w:szCs w:val="22"/>
        </w:rPr>
        <w:t>admission</w:t>
      </w:r>
      <w:r w:rsidR="008C608C" w:rsidRPr="00383343">
        <w:rPr>
          <w:rFonts w:cstheme="minorHAnsi"/>
          <w:bCs/>
          <w:szCs w:val="22"/>
        </w:rPr>
        <w:t xml:space="preserve"> (including in the Emergency Department or observation stay if later converted into an inpatient admission)</w:t>
      </w:r>
      <w:r w:rsidRPr="00383343">
        <w:rPr>
          <w:rFonts w:cstheme="minorHAnsi"/>
          <w:bCs/>
          <w:szCs w:val="22"/>
        </w:rPr>
        <w:t xml:space="preserve">. If No, </w:t>
      </w:r>
      <w:r w:rsidR="00910016" w:rsidRPr="00383343">
        <w:rPr>
          <w:rFonts w:cstheme="minorHAnsi"/>
          <w:bCs/>
          <w:szCs w:val="22"/>
        </w:rPr>
        <w:t>do not include in</w:t>
      </w:r>
      <w:r w:rsidRPr="00383343">
        <w:rPr>
          <w:rFonts w:cstheme="minorHAnsi"/>
          <w:bCs/>
          <w:szCs w:val="22"/>
        </w:rPr>
        <w:t xml:space="preserve"> the measure population.</w:t>
      </w:r>
    </w:p>
    <w:p w14:paraId="044703D1" w14:textId="3CC6177A" w:rsidR="00B016A9" w:rsidRPr="00B016A9" w:rsidRDefault="00B016A9" w:rsidP="00AB4F77">
      <w:pPr>
        <w:pBdr>
          <w:top w:val="single" w:sz="4" w:space="1" w:color="auto"/>
          <w:left w:val="single" w:sz="4" w:space="4" w:color="auto"/>
          <w:bottom w:val="single" w:sz="4" w:space="1" w:color="auto"/>
          <w:right w:val="single" w:sz="4" w:space="4" w:color="auto"/>
        </w:pBdr>
        <w:rPr>
          <w:rFonts w:cstheme="minorHAnsi"/>
          <w:bCs/>
          <w:color w:val="FF0000"/>
          <w:szCs w:val="22"/>
          <w:u w:val="single"/>
        </w:rPr>
      </w:pPr>
    </w:p>
    <w:p w14:paraId="37CA065F" w14:textId="77777777" w:rsidR="00CE352E" w:rsidRPr="00383343" w:rsidRDefault="00CE352E" w:rsidP="00AB4F77">
      <w:pPr>
        <w:pBdr>
          <w:top w:val="single" w:sz="4" w:space="1" w:color="auto"/>
          <w:left w:val="single" w:sz="4" w:space="4" w:color="auto"/>
          <w:bottom w:val="single" w:sz="4" w:space="1" w:color="auto"/>
          <w:right w:val="single" w:sz="4" w:space="4" w:color="auto"/>
        </w:pBdr>
        <w:rPr>
          <w:rFonts w:cstheme="minorHAnsi"/>
          <w:bCs/>
          <w:szCs w:val="22"/>
        </w:rPr>
      </w:pPr>
      <w:bookmarkStart w:id="8" w:name="_Hlk534184624"/>
      <w:r w:rsidRPr="00383343">
        <w:rPr>
          <w:rFonts w:cstheme="minorHAnsi"/>
          <w:bCs/>
          <w:szCs w:val="22"/>
          <w:u w:val="single"/>
        </w:rPr>
        <w:t>To create the numerator, for each encounter identify</w:t>
      </w:r>
      <w:r w:rsidRPr="00383343">
        <w:rPr>
          <w:rFonts w:cstheme="minorHAnsi"/>
          <w:bCs/>
          <w:szCs w:val="22"/>
        </w:rPr>
        <w:t xml:space="preserve">: </w:t>
      </w:r>
    </w:p>
    <w:bookmarkEnd w:id="8"/>
    <w:p w14:paraId="4380DB02" w14:textId="79CAA89A" w:rsidR="00F51330" w:rsidRPr="00383343" w:rsidRDefault="00F51330" w:rsidP="00F51330">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1. Any instance of a test for blood glucose with a result less than 40 mg/</w:t>
      </w:r>
      <w:proofErr w:type="spellStart"/>
      <w:r w:rsidRPr="00383343">
        <w:rPr>
          <w:rFonts w:cstheme="minorHAnsi"/>
          <w:bCs/>
          <w:szCs w:val="22"/>
        </w:rPr>
        <w:t>dL</w:t>
      </w:r>
      <w:proofErr w:type="spellEnd"/>
      <w:r w:rsidRPr="00383343">
        <w:rPr>
          <w:rFonts w:cstheme="minorHAnsi"/>
          <w:bCs/>
          <w:szCs w:val="22"/>
        </w:rPr>
        <w:t xml:space="preserve"> during the encounter is considered a severe hypoglycemic event, including values from laboratory or from Point of Care (POC) testing</w:t>
      </w:r>
    </w:p>
    <w:p w14:paraId="415EA861" w14:textId="6EB31B9F" w:rsidR="00F51330" w:rsidRPr="00383343" w:rsidRDefault="00F51330" w:rsidP="00F51330">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2. For any value less than 40mg/</w:t>
      </w:r>
      <w:proofErr w:type="spellStart"/>
      <w:r w:rsidRPr="00383343">
        <w:rPr>
          <w:rFonts w:cstheme="minorHAnsi"/>
          <w:bCs/>
          <w:szCs w:val="22"/>
        </w:rPr>
        <w:t>dL</w:t>
      </w:r>
      <w:proofErr w:type="spellEnd"/>
      <w:r w:rsidRPr="00383343">
        <w:rPr>
          <w:rFonts w:cstheme="minorHAnsi"/>
          <w:bCs/>
          <w:szCs w:val="22"/>
        </w:rPr>
        <w:t>, determine if there was an anti-hyperglycemic medication administered by hospital staff within the 24 hours before the event and during the encounter (including emergency department and observation stays contiguous with the admission). If No, do not include in the numerator.</w:t>
      </w:r>
    </w:p>
    <w:p w14:paraId="676E641B" w14:textId="51E926CB" w:rsidR="00F51330" w:rsidRPr="00383343" w:rsidRDefault="00F51330" w:rsidP="00F51330">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lastRenderedPageBreak/>
        <w:t>a. The 24-hour timeframe extends from the end of the medication administration to the start of the blood glucose test.</w:t>
      </w:r>
    </w:p>
    <w:p w14:paraId="11035BF8" w14:textId="602FFFE4" w:rsidR="00F51330" w:rsidRPr="00383343" w:rsidRDefault="00F51330" w:rsidP="00F51330">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3. For any value less than 40mg/</w:t>
      </w:r>
      <w:proofErr w:type="spellStart"/>
      <w:r w:rsidRPr="00383343">
        <w:rPr>
          <w:rFonts w:cstheme="minorHAnsi"/>
          <w:bCs/>
          <w:szCs w:val="22"/>
        </w:rPr>
        <w:t>dL</w:t>
      </w:r>
      <w:proofErr w:type="spellEnd"/>
      <w:r w:rsidRPr="00383343">
        <w:rPr>
          <w:rFonts w:cstheme="minorHAnsi"/>
          <w:bCs/>
          <w:szCs w:val="22"/>
        </w:rPr>
        <w:t>, do not include any events (identified in Step 1) if it was followed by a repeat POC test for blood glucose within 5 minutes of the initial test and with a result greater than 80 mg/</w:t>
      </w:r>
      <w:proofErr w:type="spellStart"/>
      <w:r w:rsidRPr="00383343">
        <w:rPr>
          <w:rFonts w:cstheme="minorHAnsi"/>
          <w:bCs/>
          <w:szCs w:val="22"/>
        </w:rPr>
        <w:t>dL</w:t>
      </w:r>
      <w:proofErr w:type="spellEnd"/>
      <w:r w:rsidRPr="00383343">
        <w:rPr>
          <w:rFonts w:cstheme="minorHAnsi"/>
          <w:bCs/>
          <w:szCs w:val="22"/>
        </w:rPr>
        <w:t>.</w:t>
      </w:r>
    </w:p>
    <w:p w14:paraId="471F9200" w14:textId="20BAD860" w:rsidR="00CE352E" w:rsidRPr="00383343" w:rsidRDefault="00F51330" w:rsidP="00F51330">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a. Rationale: The measure logic does not require a repeat blood glucose test to be performed. The expectation is that in most cases of severe hypoglycemia, the clinical team will be treating the patient and will not immediately repeat the test. However, if the hypoglycemic event is suspected to be spurious, for example if the patient is clinically asymptomatic, and a repeat test is performed to confirm that suspicion, this step will remove false positives that can occur in POC testing to ensure hospitals are not penalized for erroneous results. The 5-minute timeframe extends from the start of the severe hypoglycemic test to the start of the repeat hypoglycemic test.</w:t>
      </w:r>
    </w:p>
    <w:p w14:paraId="62585032" w14:textId="77777777" w:rsidR="00F51330" w:rsidRPr="00383343" w:rsidRDefault="00F51330" w:rsidP="00F51330">
      <w:pPr>
        <w:pBdr>
          <w:top w:val="single" w:sz="4" w:space="1" w:color="auto"/>
          <w:left w:val="single" w:sz="4" w:space="4" w:color="auto"/>
          <w:bottom w:val="single" w:sz="4" w:space="1" w:color="auto"/>
          <w:right w:val="single" w:sz="4" w:space="4" w:color="auto"/>
        </w:pBdr>
        <w:rPr>
          <w:rFonts w:cstheme="minorHAnsi"/>
          <w:bCs/>
          <w:szCs w:val="22"/>
        </w:rPr>
      </w:pPr>
    </w:p>
    <w:p w14:paraId="5E0ECAD3" w14:textId="3CD100A6" w:rsidR="00AE7257" w:rsidRPr="00383343" w:rsidRDefault="00CE352E" w:rsidP="00AB4F77">
      <w:pPr>
        <w:pBdr>
          <w:top w:val="single" w:sz="4" w:space="1" w:color="auto"/>
          <w:left w:val="single" w:sz="4" w:space="4" w:color="auto"/>
          <w:bottom w:val="single" w:sz="4" w:space="1" w:color="auto"/>
          <w:right w:val="single" w:sz="4" w:space="4" w:color="auto"/>
        </w:pBdr>
        <w:rPr>
          <w:rFonts w:cstheme="minorHAnsi"/>
          <w:bCs/>
          <w:szCs w:val="22"/>
        </w:rPr>
      </w:pPr>
      <w:r w:rsidRPr="00383343">
        <w:rPr>
          <w:rFonts w:cstheme="minorHAnsi"/>
          <w:bCs/>
          <w:szCs w:val="22"/>
        </w:rPr>
        <w:t>Only the first qualifying severe hypoglycemic event is counted in the numerator, and only one severe hypoglycemic event is counted per encounter.</w:t>
      </w:r>
      <w:r w:rsidR="00AE7257" w:rsidRPr="00383343">
        <w:rPr>
          <w:rFonts w:cstheme="minorHAnsi"/>
          <w:bCs/>
          <w:szCs w:val="22"/>
        </w:rPr>
        <w:t xml:space="preserve"> </w:t>
      </w:r>
    </w:p>
    <w:p w14:paraId="3D10A9D8" w14:textId="77777777" w:rsidR="004412CE" w:rsidRPr="0005673C" w:rsidRDefault="004412CE" w:rsidP="004412CE"/>
    <w:p w14:paraId="03D87218" w14:textId="027F9E0F" w:rsidR="004412CE" w:rsidRPr="0005673C" w:rsidRDefault="004412CE" w:rsidP="004412CE">
      <w:r w:rsidRPr="0005673C">
        <w:rPr>
          <w:b/>
        </w:rPr>
        <w:t>S.15. Sampling</w:t>
      </w:r>
      <w:r w:rsidRPr="0005673C">
        <w:t xml:space="preserve"> (If measure is based on a sample, provide instructions for obtaining the sample and guidance on minimum sample size.)</w:t>
      </w:r>
    </w:p>
    <w:p w14:paraId="219DBC91" w14:textId="77777777" w:rsidR="004412CE" w:rsidRPr="0005673C" w:rsidRDefault="004412CE" w:rsidP="004412CE">
      <w:pPr>
        <w:rPr>
          <w:i/>
        </w:rPr>
      </w:pPr>
      <w:r w:rsidRPr="0005673C">
        <w:rPr>
          <w:i/>
        </w:rPr>
        <w:t>IF an instrument-based performance measure (e.g., PRO‐PM), identify whether (and how) proxy responses are allowed.</w:t>
      </w:r>
    </w:p>
    <w:p w14:paraId="3B57C2D8" w14:textId="7BAF5C4C" w:rsidR="004412CE" w:rsidRPr="0005673C" w:rsidRDefault="00125AE0" w:rsidP="004412CE">
      <w:pPr>
        <w:pBdr>
          <w:top w:val="single" w:sz="4" w:space="1" w:color="auto"/>
          <w:left w:val="single" w:sz="4" w:space="4" w:color="auto"/>
          <w:bottom w:val="single" w:sz="4" w:space="1" w:color="auto"/>
          <w:right w:val="single" w:sz="4" w:space="4" w:color="auto"/>
        </w:pBdr>
      </w:pPr>
      <w:r w:rsidRPr="0005673C">
        <w:t xml:space="preserve"> </w:t>
      </w:r>
      <w:r w:rsidR="00A10BFB">
        <w:t>N/A</w:t>
      </w:r>
      <w:r w:rsidR="008E6A3A" w:rsidRPr="008E6A3A">
        <w:t>; this measure does not use a sample or survey.</w:t>
      </w:r>
    </w:p>
    <w:p w14:paraId="30DAACD7" w14:textId="77777777" w:rsidR="004412CE" w:rsidRPr="0005673C" w:rsidRDefault="004412CE" w:rsidP="004412CE"/>
    <w:p w14:paraId="50257BD0" w14:textId="77777777" w:rsidR="0083217E" w:rsidRPr="0005673C" w:rsidRDefault="004412CE" w:rsidP="004412CE">
      <w:r w:rsidRPr="0005673C">
        <w:rPr>
          <w:b/>
        </w:rPr>
        <w:t>S.16. Survey/Patient‐reported data</w:t>
      </w:r>
      <w:r w:rsidRPr="0005673C">
        <w:t xml:space="preserve"> (If measure is based on a survey or instrument, provide instructions for data collection and guidance on minimum response rate.)  Also, specify calculation of response rates to be reported with performance measure results.</w:t>
      </w:r>
    </w:p>
    <w:p w14:paraId="490BADE2" w14:textId="60146217" w:rsidR="00B8287A" w:rsidRPr="0005673C" w:rsidRDefault="00A10BFB" w:rsidP="00125AE0">
      <w:pPr>
        <w:pBdr>
          <w:top w:val="single" w:sz="4" w:space="0" w:color="auto"/>
          <w:left w:val="single" w:sz="4" w:space="4" w:color="auto"/>
          <w:bottom w:val="single" w:sz="4" w:space="1" w:color="auto"/>
          <w:right w:val="single" w:sz="4" w:space="4" w:color="auto"/>
        </w:pBdr>
      </w:pPr>
      <w:r>
        <w:t>N/A</w:t>
      </w:r>
      <w:r w:rsidR="00C42D03" w:rsidRPr="00C42D03">
        <w:t>; this measure does not use a sample or survey.</w:t>
      </w:r>
    </w:p>
    <w:p w14:paraId="601A9057" w14:textId="77777777" w:rsidR="004412CE" w:rsidRPr="0005673C" w:rsidRDefault="004412CE" w:rsidP="004412CE"/>
    <w:p w14:paraId="76204041" w14:textId="77777777" w:rsidR="004412CE" w:rsidRPr="0005673C" w:rsidRDefault="004412CE" w:rsidP="004412CE">
      <w:r w:rsidRPr="0005673C">
        <w:rPr>
          <w:b/>
        </w:rPr>
        <w:t>S.17. Data Source</w:t>
      </w:r>
      <w:r w:rsidRPr="0005673C">
        <w:t xml:space="preserve"> (Check ONLY the sources for which the measure is SPECIFIED AND TESTED). If other, please describe in S.18.</w:t>
      </w:r>
    </w:p>
    <w:p w14:paraId="4E4DF7F8" w14:textId="66726966" w:rsidR="004C7B70" w:rsidRPr="0005673C" w:rsidRDefault="00383343" w:rsidP="004C7B70">
      <w:pPr>
        <w:pStyle w:val="NoSpacing"/>
      </w:pPr>
      <w:sdt>
        <w:sdtPr>
          <w:rPr>
            <w:rFonts w:cstheme="minorHAnsi"/>
            <w:bCs/>
            <w:color w:val="000000" w:themeColor="text1"/>
          </w:rPr>
          <w:id w:val="-1597475867"/>
          <w14:checkbox>
            <w14:checked w14:val="0"/>
            <w14:checkedState w14:val="2612" w14:font="MS Gothic"/>
            <w14:uncheckedState w14:val="2610" w14:font="MS Gothic"/>
          </w14:checkbox>
        </w:sdtPr>
        <w:sdtEndPr/>
        <w:sdtContent>
          <w:r w:rsidR="00125AE0" w:rsidRPr="0005673C">
            <w:rPr>
              <w:rFonts w:ascii="MS Gothic" w:eastAsia="MS Gothic" w:hAnsi="MS Gothic" w:cstheme="minorHAnsi" w:hint="eastAsia"/>
              <w:bCs/>
              <w:color w:val="000000" w:themeColor="text1"/>
            </w:rPr>
            <w:t>☐</w:t>
          </w:r>
        </w:sdtContent>
      </w:sdt>
      <w:r w:rsidR="00E62F8F" w:rsidRPr="0005673C">
        <w:t xml:space="preserve"> </w:t>
      </w:r>
      <w:r w:rsidR="004C7B70" w:rsidRPr="0005673C">
        <w:t xml:space="preserve">Claims  </w:t>
      </w:r>
    </w:p>
    <w:p w14:paraId="202ED6C3" w14:textId="77777777" w:rsidR="004412CE" w:rsidRPr="0005673C" w:rsidRDefault="00383343" w:rsidP="004C7B70">
      <w:pPr>
        <w:pStyle w:val="NoSpacing"/>
      </w:pPr>
      <w:sdt>
        <w:sdtPr>
          <w:rPr>
            <w:rFonts w:cstheme="minorHAnsi"/>
            <w:bCs/>
            <w:color w:val="000000" w:themeColor="text1"/>
          </w:rPr>
          <w:id w:val="1768263623"/>
          <w14:checkbox>
            <w14:checked w14:val="0"/>
            <w14:checkedState w14:val="2612" w14:font="MS Gothic"/>
            <w14:uncheckedState w14:val="2610" w14:font="MS Gothic"/>
          </w14:checkbox>
        </w:sdtPr>
        <w:sdtEndPr/>
        <w:sdtContent>
          <w:r w:rsidR="00E62F8F" w:rsidRPr="0005673C">
            <w:rPr>
              <w:rFonts w:ascii="MS Gothic" w:eastAsia="MS Gothic" w:hAnsi="MS Gothic" w:cstheme="minorHAnsi" w:hint="eastAsia"/>
              <w:bCs/>
              <w:color w:val="000000" w:themeColor="text1"/>
            </w:rPr>
            <w:t>☐</w:t>
          </w:r>
        </w:sdtContent>
      </w:sdt>
      <w:r w:rsidR="00E62F8F" w:rsidRPr="0005673C">
        <w:t xml:space="preserve"> </w:t>
      </w:r>
      <w:r w:rsidR="004412CE" w:rsidRPr="0005673C">
        <w:t>Management Data</w:t>
      </w:r>
    </w:p>
    <w:p w14:paraId="3FF1BF5F" w14:textId="1AC69526" w:rsidR="004412CE" w:rsidRPr="0005673C" w:rsidRDefault="00383343" w:rsidP="004C7B70">
      <w:pPr>
        <w:pStyle w:val="NoSpacing"/>
      </w:pPr>
      <w:sdt>
        <w:sdtPr>
          <w:rPr>
            <w:rFonts w:cstheme="minorHAnsi"/>
            <w:bCs/>
            <w:color w:val="000000" w:themeColor="text1"/>
          </w:rPr>
          <w:id w:val="702134526"/>
          <w14:checkbox>
            <w14:checked w14:val="0"/>
            <w14:checkedState w14:val="2612" w14:font="MS Gothic"/>
            <w14:uncheckedState w14:val="2610" w14:font="MS Gothic"/>
          </w14:checkbox>
        </w:sdtPr>
        <w:sdtEndPr/>
        <w:sdtContent>
          <w:r w:rsidR="00C42D03">
            <w:rPr>
              <w:rFonts w:ascii="MS Gothic" w:eastAsia="MS Gothic" w:hAnsi="MS Gothic" w:cstheme="minorHAnsi" w:hint="eastAsia"/>
              <w:bCs/>
              <w:color w:val="000000" w:themeColor="text1"/>
            </w:rPr>
            <w:t>☐</w:t>
          </w:r>
        </w:sdtContent>
      </w:sdt>
      <w:r w:rsidR="00E62F8F" w:rsidRPr="0005673C">
        <w:t xml:space="preserve"> </w:t>
      </w:r>
      <w:r w:rsidR="004412CE" w:rsidRPr="0005673C">
        <w:t xml:space="preserve">Electronic Health Data                                            </w:t>
      </w:r>
    </w:p>
    <w:p w14:paraId="384772C2" w14:textId="77777777" w:rsidR="004C7B70" w:rsidRPr="0005673C" w:rsidRDefault="00383343" w:rsidP="004C7B70">
      <w:pPr>
        <w:pStyle w:val="NoSpacing"/>
      </w:pPr>
      <w:sdt>
        <w:sdtPr>
          <w:rPr>
            <w:rFonts w:cstheme="minorHAnsi"/>
            <w:bCs/>
            <w:color w:val="000000" w:themeColor="text1"/>
          </w:rPr>
          <w:id w:val="1032156736"/>
          <w14:checkbox>
            <w14:checked w14:val="0"/>
            <w14:checkedState w14:val="2612" w14:font="MS Gothic"/>
            <w14:uncheckedState w14:val="2610" w14:font="MS Gothic"/>
          </w14:checkbox>
        </w:sdtPr>
        <w:sdtEndPr/>
        <w:sdtContent>
          <w:r w:rsidR="00E62F8F" w:rsidRPr="0005673C">
            <w:rPr>
              <w:rFonts w:ascii="MS Gothic" w:eastAsia="MS Gothic" w:hAnsi="MS Gothic" w:cstheme="minorHAnsi" w:hint="eastAsia"/>
              <w:bCs/>
              <w:color w:val="000000" w:themeColor="text1"/>
            </w:rPr>
            <w:t>☐</w:t>
          </w:r>
        </w:sdtContent>
      </w:sdt>
      <w:r w:rsidR="00E62F8F" w:rsidRPr="0005673C">
        <w:t xml:space="preserve"> </w:t>
      </w:r>
      <w:r w:rsidR="004412CE" w:rsidRPr="0005673C">
        <w:t xml:space="preserve">Assessment Data                                          </w:t>
      </w:r>
    </w:p>
    <w:p w14:paraId="280A4EC0" w14:textId="153AA108" w:rsidR="004412CE" w:rsidRPr="0005673C" w:rsidRDefault="00383343" w:rsidP="004C7B70">
      <w:pPr>
        <w:pStyle w:val="NoSpacing"/>
      </w:pPr>
      <w:sdt>
        <w:sdtPr>
          <w:rPr>
            <w:rFonts w:cstheme="minorHAnsi"/>
            <w:bCs/>
            <w:color w:val="000000" w:themeColor="text1"/>
          </w:rPr>
          <w:id w:val="-919487658"/>
          <w14:checkbox>
            <w14:checked w14:val="0"/>
            <w14:checkedState w14:val="2612" w14:font="MS Gothic"/>
            <w14:uncheckedState w14:val="2610" w14:font="MS Gothic"/>
          </w14:checkbox>
        </w:sdtPr>
        <w:sdtEndPr/>
        <w:sdtContent>
          <w:r w:rsidR="00125AE0" w:rsidRPr="0005673C">
            <w:rPr>
              <w:rFonts w:ascii="MS Gothic" w:eastAsia="MS Gothic" w:hAnsi="MS Gothic" w:cstheme="minorHAnsi" w:hint="eastAsia"/>
              <w:bCs/>
              <w:color w:val="000000" w:themeColor="text1"/>
            </w:rPr>
            <w:t>☐</w:t>
          </w:r>
        </w:sdtContent>
      </w:sdt>
      <w:r w:rsidR="00E62F8F" w:rsidRPr="0005673C">
        <w:t xml:space="preserve"> </w:t>
      </w:r>
      <w:r w:rsidR="004412CE" w:rsidRPr="0005673C">
        <w:t>Registry data</w:t>
      </w:r>
    </w:p>
    <w:p w14:paraId="2E7BE029" w14:textId="02C3CE99" w:rsidR="004412CE" w:rsidRPr="0005673C" w:rsidRDefault="00383343" w:rsidP="004C7B70">
      <w:pPr>
        <w:pStyle w:val="NoSpacing"/>
      </w:pPr>
      <w:sdt>
        <w:sdtPr>
          <w:rPr>
            <w:rFonts w:cstheme="minorHAnsi"/>
            <w:bCs/>
            <w:color w:val="000000" w:themeColor="text1"/>
          </w:rPr>
          <w:id w:val="640925653"/>
          <w14:checkbox>
            <w14:checked w14:val="0"/>
            <w14:checkedState w14:val="2612" w14:font="MS Gothic"/>
            <w14:uncheckedState w14:val="2610" w14:font="MS Gothic"/>
          </w14:checkbox>
        </w:sdtPr>
        <w:sdtEndPr/>
        <w:sdtContent>
          <w:r w:rsidR="00125AE0" w:rsidRPr="0005673C">
            <w:rPr>
              <w:rFonts w:ascii="MS Gothic" w:eastAsia="MS Gothic" w:hAnsi="MS Gothic" w:cstheme="minorHAnsi" w:hint="eastAsia"/>
              <w:bCs/>
              <w:color w:val="000000" w:themeColor="text1"/>
            </w:rPr>
            <w:t>☐</w:t>
          </w:r>
        </w:sdtContent>
      </w:sdt>
      <w:r w:rsidR="00E62F8F" w:rsidRPr="0005673C">
        <w:t xml:space="preserve"> </w:t>
      </w:r>
      <w:r w:rsidR="004412CE" w:rsidRPr="0005673C">
        <w:t>Paper Medical Records</w:t>
      </w:r>
    </w:p>
    <w:p w14:paraId="61535883" w14:textId="7C8D1D56" w:rsidR="004C7B70" w:rsidRPr="0005673C" w:rsidRDefault="00383343" w:rsidP="004C7B70">
      <w:pPr>
        <w:pStyle w:val="NoSpacing"/>
      </w:pPr>
      <w:sdt>
        <w:sdtPr>
          <w:rPr>
            <w:rFonts w:cstheme="minorHAnsi"/>
            <w:bCs/>
            <w:color w:val="000000" w:themeColor="text1"/>
          </w:rPr>
          <w:id w:val="-1332523692"/>
          <w14:checkbox>
            <w14:checked w14:val="1"/>
            <w14:checkedState w14:val="2612" w14:font="MS Gothic"/>
            <w14:uncheckedState w14:val="2610" w14:font="MS Gothic"/>
          </w14:checkbox>
        </w:sdtPr>
        <w:sdtEndPr/>
        <w:sdtContent>
          <w:r w:rsidR="00C42D03">
            <w:rPr>
              <w:rFonts w:ascii="MS Gothic" w:eastAsia="MS Gothic" w:hAnsi="MS Gothic" w:cstheme="minorHAnsi" w:hint="eastAsia"/>
              <w:bCs/>
              <w:color w:val="000000" w:themeColor="text1"/>
            </w:rPr>
            <w:t>☒</w:t>
          </w:r>
        </w:sdtContent>
      </w:sdt>
      <w:r w:rsidR="00E62F8F" w:rsidRPr="0005673C">
        <w:t xml:space="preserve"> </w:t>
      </w:r>
      <w:r w:rsidR="004412CE" w:rsidRPr="0005673C">
        <w:t xml:space="preserve">Electronic Health Records   </w:t>
      </w:r>
    </w:p>
    <w:p w14:paraId="55778EB4" w14:textId="77777777" w:rsidR="004412CE" w:rsidRPr="0005673C" w:rsidRDefault="00383343" w:rsidP="004C7B70">
      <w:pPr>
        <w:pStyle w:val="NoSpacing"/>
      </w:pPr>
      <w:sdt>
        <w:sdtPr>
          <w:rPr>
            <w:rFonts w:cstheme="minorHAnsi"/>
            <w:bCs/>
            <w:color w:val="000000" w:themeColor="text1"/>
          </w:rPr>
          <w:id w:val="-330302796"/>
          <w14:checkbox>
            <w14:checked w14:val="0"/>
            <w14:checkedState w14:val="2612" w14:font="MS Gothic"/>
            <w14:uncheckedState w14:val="2610" w14:font="MS Gothic"/>
          </w14:checkbox>
        </w:sdtPr>
        <w:sdtEndPr/>
        <w:sdtContent>
          <w:r w:rsidR="00E62F8F" w:rsidRPr="0005673C">
            <w:rPr>
              <w:rFonts w:ascii="MS Gothic" w:eastAsia="MS Gothic" w:hAnsi="MS Gothic" w:cstheme="minorHAnsi" w:hint="eastAsia"/>
              <w:bCs/>
              <w:color w:val="000000" w:themeColor="text1"/>
            </w:rPr>
            <w:t>☐</w:t>
          </w:r>
        </w:sdtContent>
      </w:sdt>
      <w:r w:rsidR="00E62F8F" w:rsidRPr="0005673C">
        <w:t xml:space="preserve"> </w:t>
      </w:r>
      <w:r w:rsidR="004412CE" w:rsidRPr="0005673C">
        <w:t>Instrument-based data</w:t>
      </w:r>
    </w:p>
    <w:p w14:paraId="66AA658E" w14:textId="11FDBA9B" w:rsidR="004412CE" w:rsidRPr="0005673C" w:rsidRDefault="00383343" w:rsidP="004C7B70">
      <w:pPr>
        <w:pStyle w:val="NoSpacing"/>
      </w:pPr>
      <w:sdt>
        <w:sdtPr>
          <w:rPr>
            <w:rFonts w:cstheme="minorHAnsi"/>
            <w:bCs/>
            <w:color w:val="000000" w:themeColor="text1"/>
          </w:rPr>
          <w:id w:val="2135599099"/>
          <w14:checkbox>
            <w14:checked w14:val="0"/>
            <w14:checkedState w14:val="2612" w14:font="MS Gothic"/>
            <w14:uncheckedState w14:val="2610" w14:font="MS Gothic"/>
          </w14:checkbox>
        </w:sdtPr>
        <w:sdtEndPr/>
        <w:sdtContent>
          <w:r w:rsidR="00125AE0" w:rsidRPr="0005673C">
            <w:rPr>
              <w:rFonts w:ascii="MS Gothic" w:eastAsia="MS Gothic" w:hAnsi="MS Gothic" w:cstheme="minorHAnsi" w:hint="eastAsia"/>
              <w:bCs/>
              <w:color w:val="000000" w:themeColor="text1"/>
            </w:rPr>
            <w:t>☐</w:t>
          </w:r>
        </w:sdtContent>
      </w:sdt>
      <w:r w:rsidR="00E62F8F" w:rsidRPr="0005673C">
        <w:t xml:space="preserve"> </w:t>
      </w:r>
      <w:r w:rsidR="004412CE" w:rsidRPr="0005673C">
        <w:t>Other</w:t>
      </w:r>
    </w:p>
    <w:p w14:paraId="3206F472" w14:textId="77777777" w:rsidR="004C7B70" w:rsidRPr="0005673C" w:rsidRDefault="004C7B70" w:rsidP="004C7B70">
      <w:pPr>
        <w:pStyle w:val="NoSpacing"/>
      </w:pPr>
    </w:p>
    <w:p w14:paraId="4FDC768E" w14:textId="77777777" w:rsidR="004C7B70" w:rsidRPr="0005673C" w:rsidRDefault="004C7B70" w:rsidP="004C7B70">
      <w:pPr>
        <w:pStyle w:val="NoSpacing"/>
      </w:pPr>
      <w:r w:rsidRPr="0005673C">
        <w:rPr>
          <w:b/>
        </w:rPr>
        <w:t>S.18. Data Source or Collection Instrument</w:t>
      </w:r>
      <w:r w:rsidRPr="0005673C">
        <w:t xml:space="preserve"> (Identify the specific data source/data collection instrument e.g. name of database, clinical registry, collection instrument, etc., and describe how data are collected.)</w:t>
      </w:r>
    </w:p>
    <w:p w14:paraId="57BD07D1" w14:textId="77777777" w:rsidR="004C7B70" w:rsidRPr="0005673C" w:rsidRDefault="004C7B70" w:rsidP="004C7B70">
      <w:pPr>
        <w:pStyle w:val="NoSpacing"/>
      </w:pPr>
    </w:p>
    <w:p w14:paraId="09E1BBCA" w14:textId="77777777" w:rsidR="004C7B70" w:rsidRPr="0005673C" w:rsidRDefault="004C7B70" w:rsidP="004C7B70">
      <w:pPr>
        <w:pStyle w:val="NoSpacing"/>
        <w:rPr>
          <w:i/>
        </w:rPr>
      </w:pPr>
      <w:r w:rsidRPr="0005673C">
        <w:rPr>
          <w:i/>
        </w:rPr>
        <w:t>IF instrument-based, identify the specific instrument(s); and standard methods, modes, and languages of administration.</w:t>
      </w:r>
    </w:p>
    <w:p w14:paraId="76E880E8" w14:textId="13EF1107" w:rsidR="00C71BE6" w:rsidRPr="00383343" w:rsidRDefault="00C71BE6" w:rsidP="00C42D03">
      <w:pPr>
        <w:pStyle w:val="NoSpacing"/>
        <w:pBdr>
          <w:top w:val="single" w:sz="4" w:space="1" w:color="auto"/>
          <w:left w:val="single" w:sz="4" w:space="4" w:color="auto"/>
          <w:bottom w:val="single" w:sz="4" w:space="1" w:color="auto"/>
          <w:right w:val="single" w:sz="4" w:space="4" w:color="auto"/>
        </w:pBdr>
      </w:pPr>
      <w:bookmarkStart w:id="9" w:name="_GoBack"/>
      <w:r w:rsidRPr="00383343">
        <w:t xml:space="preserve">Hospitals collect EHR data using certified electronic health record technology (CEHRT). The MAT output, which includes the human readable and XML artifacts of the clinical quality language (CQL) for the </w:t>
      </w:r>
      <w:r w:rsidRPr="00383343">
        <w:lastRenderedPageBreak/>
        <w:t>measure are contained in the eCQM specifications attached. No additional tools are used for data collection for eCQMs.</w:t>
      </w:r>
    </w:p>
    <w:bookmarkEnd w:id="9"/>
    <w:p w14:paraId="0EE3EB04" w14:textId="77777777" w:rsidR="004C7B70" w:rsidRPr="0005673C" w:rsidRDefault="004C7B70" w:rsidP="004C7B70">
      <w:pPr>
        <w:pStyle w:val="NoSpacing"/>
      </w:pPr>
    </w:p>
    <w:p w14:paraId="58BBBE6F" w14:textId="77777777" w:rsidR="004C7B70" w:rsidRPr="0005673C" w:rsidRDefault="004C7B70" w:rsidP="004C7B70">
      <w:pPr>
        <w:pStyle w:val="NoSpacing"/>
      </w:pPr>
      <w:r w:rsidRPr="0005673C">
        <w:rPr>
          <w:b/>
        </w:rPr>
        <w:t>S.19. Data Source or Collection Instrument</w:t>
      </w:r>
      <w:r w:rsidRPr="0005673C">
        <w:t xml:space="preserve"> (available at measure‐specific Web page URL identified in S.1 OR in attached appendix)</w:t>
      </w:r>
    </w:p>
    <w:p w14:paraId="35859B31" w14:textId="77777777" w:rsidR="004C7B70" w:rsidRPr="0005673C" w:rsidRDefault="00383343" w:rsidP="004C7B70">
      <w:pPr>
        <w:pStyle w:val="NoSpacing"/>
      </w:pPr>
      <w:sdt>
        <w:sdtPr>
          <w:rPr>
            <w:rFonts w:cstheme="minorHAnsi"/>
            <w:bCs/>
            <w:color w:val="000000" w:themeColor="text1"/>
          </w:rPr>
          <w:id w:val="-1642029129"/>
          <w14:checkbox>
            <w14:checked w14:val="0"/>
            <w14:checkedState w14:val="2612" w14:font="MS Gothic"/>
            <w14:uncheckedState w14:val="2610" w14:font="MS Gothic"/>
          </w14:checkbox>
        </w:sdtPr>
        <w:sdtEndPr/>
        <w:sdtContent>
          <w:r w:rsidR="00314860" w:rsidRPr="0005673C">
            <w:rPr>
              <w:rFonts w:ascii="MS Gothic" w:eastAsia="MS Gothic" w:hAnsi="MS Gothic" w:cstheme="minorHAnsi" w:hint="eastAsia"/>
              <w:bCs/>
              <w:color w:val="000000" w:themeColor="text1"/>
            </w:rPr>
            <w:t>☐</w:t>
          </w:r>
        </w:sdtContent>
      </w:sdt>
      <w:r w:rsidR="004C7B70" w:rsidRPr="0005673C">
        <w:t xml:space="preserve"> Available at measure‐specific web page URL identified in S.1</w:t>
      </w:r>
    </w:p>
    <w:p w14:paraId="619F6BBC" w14:textId="77777777" w:rsidR="004C7B70" w:rsidRPr="0005673C" w:rsidRDefault="00383343" w:rsidP="004C7B70">
      <w:pPr>
        <w:pStyle w:val="NoSpacing"/>
      </w:pPr>
      <w:sdt>
        <w:sdtPr>
          <w:rPr>
            <w:rFonts w:cstheme="minorHAnsi"/>
            <w:bCs/>
            <w:color w:val="000000" w:themeColor="text1"/>
          </w:rPr>
          <w:id w:val="-1597476817"/>
          <w14:checkbox>
            <w14:checked w14:val="0"/>
            <w14:checkedState w14:val="2612" w14:font="MS Gothic"/>
            <w14:uncheckedState w14:val="2610" w14:font="MS Gothic"/>
          </w14:checkbox>
        </w:sdtPr>
        <w:sdtEndPr/>
        <w:sdtContent>
          <w:r w:rsidR="00314860" w:rsidRPr="0005673C">
            <w:rPr>
              <w:rFonts w:ascii="MS Gothic" w:eastAsia="MS Gothic" w:hAnsi="MS Gothic" w:cstheme="minorHAnsi" w:hint="eastAsia"/>
              <w:bCs/>
              <w:color w:val="000000" w:themeColor="text1"/>
            </w:rPr>
            <w:t>☐</w:t>
          </w:r>
        </w:sdtContent>
      </w:sdt>
      <w:r w:rsidR="004C7B70" w:rsidRPr="0005673C">
        <w:t xml:space="preserve"> Available in attached appendix at A.1</w:t>
      </w:r>
    </w:p>
    <w:p w14:paraId="3BF4E955" w14:textId="41775FC5" w:rsidR="004C7B70" w:rsidRPr="0005673C" w:rsidRDefault="00383343" w:rsidP="004C7B70">
      <w:pPr>
        <w:pStyle w:val="NoSpacing"/>
      </w:pPr>
      <w:sdt>
        <w:sdtPr>
          <w:rPr>
            <w:rFonts w:cstheme="minorHAnsi"/>
            <w:bCs/>
            <w:color w:val="000000" w:themeColor="text1"/>
          </w:rPr>
          <w:id w:val="81347088"/>
          <w14:checkbox>
            <w14:checked w14:val="1"/>
            <w14:checkedState w14:val="2612" w14:font="MS Gothic"/>
            <w14:uncheckedState w14:val="2610" w14:font="MS Gothic"/>
          </w14:checkbox>
        </w:sdtPr>
        <w:sdtEndPr/>
        <w:sdtContent>
          <w:r w:rsidR="00C42D03">
            <w:rPr>
              <w:rFonts w:ascii="MS Gothic" w:eastAsia="MS Gothic" w:hAnsi="MS Gothic" w:cstheme="minorHAnsi" w:hint="eastAsia"/>
              <w:bCs/>
              <w:color w:val="000000" w:themeColor="text1"/>
            </w:rPr>
            <w:t>☒</w:t>
          </w:r>
        </w:sdtContent>
      </w:sdt>
      <w:r w:rsidR="004C7B70" w:rsidRPr="0005673C">
        <w:t xml:space="preserve"> No data collection instrument provided</w:t>
      </w:r>
    </w:p>
    <w:p w14:paraId="3DA83A25" w14:textId="77777777" w:rsidR="004C7B70" w:rsidRPr="0005673C" w:rsidRDefault="004C7B70" w:rsidP="004C7B70">
      <w:pPr>
        <w:pStyle w:val="NoSpacing"/>
      </w:pPr>
    </w:p>
    <w:p w14:paraId="79CB763A" w14:textId="77777777" w:rsidR="004C7B70" w:rsidRPr="0005673C" w:rsidRDefault="004C7B70" w:rsidP="004C7B70">
      <w:pPr>
        <w:pStyle w:val="NoSpacing"/>
      </w:pPr>
      <w:r w:rsidRPr="0005673C">
        <w:rPr>
          <w:b/>
        </w:rPr>
        <w:t>S.20. Level of Analysis</w:t>
      </w:r>
      <w:r w:rsidRPr="0005673C">
        <w:t xml:space="preserve"> (Check ONLY the levels of analysis for which the measure is SPECIFIED AND TESTED)</w:t>
      </w:r>
    </w:p>
    <w:p w14:paraId="0D8398A4" w14:textId="77777777" w:rsidR="00EC7479" w:rsidRPr="0005673C" w:rsidRDefault="00383343" w:rsidP="004C7B70">
      <w:pPr>
        <w:pStyle w:val="NoSpacing"/>
      </w:pPr>
      <w:sdt>
        <w:sdtPr>
          <w:rPr>
            <w:rFonts w:cstheme="minorHAnsi"/>
            <w:bCs/>
            <w:color w:val="000000" w:themeColor="text1"/>
          </w:rPr>
          <w:id w:val="819231852"/>
          <w14:checkbox>
            <w14:checked w14:val="0"/>
            <w14:checkedState w14:val="2612" w14:font="MS Gothic"/>
            <w14:uncheckedState w14:val="2610" w14:font="MS Gothic"/>
          </w14:checkbox>
        </w:sdtPr>
        <w:sdtEndPr/>
        <w:sdtContent>
          <w:r w:rsidR="00EC7479" w:rsidRPr="0005673C">
            <w:rPr>
              <w:rFonts w:ascii="MS Gothic" w:eastAsia="MS Gothic" w:hAnsi="MS Gothic" w:cstheme="minorHAnsi" w:hint="eastAsia"/>
              <w:bCs/>
              <w:color w:val="000000" w:themeColor="text1"/>
            </w:rPr>
            <w:t>☐</w:t>
          </w:r>
        </w:sdtContent>
      </w:sdt>
      <w:r w:rsidR="00EC7479" w:rsidRPr="0005673C">
        <w:t xml:space="preserve">  </w:t>
      </w:r>
      <w:r w:rsidR="004C7B70" w:rsidRPr="0005673C">
        <w:t xml:space="preserve">Other                                                    </w:t>
      </w:r>
    </w:p>
    <w:p w14:paraId="0C8391F0" w14:textId="77777777" w:rsidR="004C7B70" w:rsidRPr="0005673C" w:rsidRDefault="00383343" w:rsidP="004C7B70">
      <w:pPr>
        <w:pStyle w:val="NoSpacing"/>
      </w:pPr>
      <w:sdt>
        <w:sdtPr>
          <w:rPr>
            <w:rFonts w:cstheme="minorHAnsi"/>
            <w:bCs/>
            <w:color w:val="000000" w:themeColor="text1"/>
          </w:rPr>
          <w:id w:val="-1485998763"/>
          <w14:checkbox>
            <w14:checked w14:val="0"/>
            <w14:checkedState w14:val="2612" w14:font="MS Gothic"/>
            <w14:uncheckedState w14:val="2610" w14:font="MS Gothic"/>
          </w14:checkbox>
        </w:sdtPr>
        <w:sdtEndPr/>
        <w:sdtContent>
          <w:r w:rsidR="00EC7479" w:rsidRPr="0005673C">
            <w:rPr>
              <w:rFonts w:ascii="MS Gothic" w:eastAsia="MS Gothic" w:hAnsi="MS Gothic" w:cstheme="minorHAnsi" w:hint="eastAsia"/>
              <w:bCs/>
              <w:color w:val="000000" w:themeColor="text1"/>
            </w:rPr>
            <w:t>☐</w:t>
          </w:r>
        </w:sdtContent>
      </w:sdt>
      <w:r w:rsidR="00EC7479" w:rsidRPr="0005673C">
        <w:t xml:space="preserve">  </w:t>
      </w:r>
      <w:r w:rsidR="004C7B70" w:rsidRPr="0005673C">
        <w:t>Integrated Delivery System</w:t>
      </w:r>
    </w:p>
    <w:p w14:paraId="2EB88B6B" w14:textId="77777777" w:rsidR="00F51B5C" w:rsidRPr="0005673C" w:rsidRDefault="00383343" w:rsidP="004C7B70">
      <w:pPr>
        <w:pStyle w:val="NoSpacing"/>
      </w:pPr>
      <w:sdt>
        <w:sdtPr>
          <w:rPr>
            <w:rFonts w:cstheme="minorHAnsi"/>
            <w:bCs/>
            <w:color w:val="000000" w:themeColor="text1"/>
          </w:rPr>
          <w:id w:val="46958651"/>
          <w14:checkbox>
            <w14:checked w14:val="0"/>
            <w14:checkedState w14:val="2612" w14:font="MS Gothic"/>
            <w14:uncheckedState w14:val="2610" w14:font="MS Gothic"/>
          </w14:checkbox>
        </w:sdtPr>
        <w:sdtEndPr/>
        <w:sdtContent>
          <w:r w:rsidR="00B7120F" w:rsidRPr="0005673C">
            <w:rPr>
              <w:rFonts w:ascii="MS Gothic" w:eastAsia="MS Gothic" w:hAnsi="MS Gothic" w:cstheme="minorHAnsi" w:hint="eastAsia"/>
              <w:bCs/>
              <w:color w:val="000000" w:themeColor="text1"/>
            </w:rPr>
            <w:t>☐</w:t>
          </w:r>
        </w:sdtContent>
      </w:sdt>
      <w:r w:rsidR="00B7120F" w:rsidRPr="0005673C">
        <w:t xml:space="preserve"> </w:t>
      </w:r>
      <w:r w:rsidR="00F51B5C" w:rsidRPr="0005673C">
        <w:t>Clinician</w:t>
      </w:r>
      <w:r w:rsidR="004C7B70" w:rsidRPr="0005673C">
        <w:t xml:space="preserve">: Individual  </w:t>
      </w:r>
    </w:p>
    <w:p w14:paraId="2E826D2B" w14:textId="7D6E0399" w:rsidR="00EC7479" w:rsidRPr="0005673C" w:rsidRDefault="00383343" w:rsidP="004C7B70">
      <w:pPr>
        <w:pStyle w:val="NoSpacing"/>
      </w:pPr>
      <w:sdt>
        <w:sdtPr>
          <w:rPr>
            <w:rFonts w:cstheme="minorHAnsi"/>
            <w:bCs/>
            <w:color w:val="000000" w:themeColor="text1"/>
          </w:rPr>
          <w:id w:val="56059949"/>
          <w14:checkbox>
            <w14:checked w14:val="0"/>
            <w14:checkedState w14:val="2612" w14:font="MS Gothic"/>
            <w14:uncheckedState w14:val="2610" w14:font="MS Gothic"/>
          </w14:checkbox>
        </w:sdtPr>
        <w:sdtEndPr/>
        <w:sdtContent>
          <w:r w:rsidR="00F51B5C" w:rsidRPr="0005673C">
            <w:rPr>
              <w:rFonts w:ascii="MS Gothic" w:eastAsia="MS Gothic" w:hAnsi="MS Gothic" w:cstheme="minorHAnsi" w:hint="eastAsia"/>
              <w:bCs/>
              <w:color w:val="000000" w:themeColor="text1"/>
            </w:rPr>
            <w:t>☐</w:t>
          </w:r>
        </w:sdtContent>
      </w:sdt>
      <w:r w:rsidR="00F51B5C" w:rsidRPr="0005673C">
        <w:t xml:space="preserve"> Clinician: Group/Practice                                  </w:t>
      </w:r>
      <w:r w:rsidR="004C7B70" w:rsidRPr="0005673C">
        <w:t xml:space="preserve">                                   </w:t>
      </w:r>
    </w:p>
    <w:p w14:paraId="5CA2E150" w14:textId="008CFBF2" w:rsidR="004C7B70" w:rsidRPr="0005673C" w:rsidRDefault="00383343" w:rsidP="004C7B70">
      <w:pPr>
        <w:pStyle w:val="NoSpacing"/>
      </w:pPr>
      <w:sdt>
        <w:sdtPr>
          <w:rPr>
            <w:rFonts w:cstheme="minorHAnsi"/>
            <w:bCs/>
            <w:color w:val="000000" w:themeColor="text1"/>
          </w:rPr>
          <w:id w:val="-1436198981"/>
          <w14:checkbox>
            <w14:checked w14:val="0"/>
            <w14:checkedState w14:val="2612" w14:font="MS Gothic"/>
            <w14:uncheckedState w14:val="2610" w14:font="MS Gothic"/>
          </w14:checkbox>
        </w:sdtPr>
        <w:sdtEndPr/>
        <w:sdtContent>
          <w:r w:rsidR="00B7120F" w:rsidRPr="0005673C">
            <w:rPr>
              <w:rFonts w:ascii="MS Gothic" w:eastAsia="MS Gothic" w:hAnsi="MS Gothic" w:cstheme="minorHAnsi" w:hint="eastAsia"/>
              <w:bCs/>
              <w:color w:val="000000" w:themeColor="text1"/>
            </w:rPr>
            <w:t>☐</w:t>
          </w:r>
        </w:sdtContent>
      </w:sdt>
      <w:r w:rsidR="004C7B70" w:rsidRPr="0005673C">
        <w:t xml:space="preserve"> Population: Community, County or City</w:t>
      </w:r>
    </w:p>
    <w:p w14:paraId="7EE1AC1C" w14:textId="3BAA3407" w:rsidR="004C7B70" w:rsidRPr="0005673C" w:rsidRDefault="00383343" w:rsidP="004C7B70">
      <w:pPr>
        <w:pStyle w:val="NoSpacing"/>
      </w:pPr>
      <w:sdt>
        <w:sdtPr>
          <w:rPr>
            <w:rFonts w:cstheme="minorHAnsi"/>
            <w:bCs/>
            <w:color w:val="000000" w:themeColor="text1"/>
          </w:rPr>
          <w:id w:val="-1465035072"/>
          <w14:checkbox>
            <w14:checked w14:val="0"/>
            <w14:checkedState w14:val="2612" w14:font="MS Gothic"/>
            <w14:uncheckedState w14:val="2610" w14:font="MS Gothic"/>
          </w14:checkbox>
        </w:sdtPr>
        <w:sdtEndPr/>
        <w:sdtContent>
          <w:r w:rsidR="00B7120F" w:rsidRPr="0005673C">
            <w:rPr>
              <w:rFonts w:ascii="MS Gothic" w:eastAsia="MS Gothic" w:hAnsi="MS Gothic" w:cstheme="minorHAnsi" w:hint="eastAsia"/>
              <w:bCs/>
              <w:color w:val="000000" w:themeColor="text1"/>
            </w:rPr>
            <w:t>☐</w:t>
          </w:r>
        </w:sdtContent>
      </w:sdt>
      <w:r w:rsidR="00B7120F" w:rsidRPr="0005673C">
        <w:t xml:space="preserve"> </w:t>
      </w:r>
      <w:r w:rsidR="004C7B70" w:rsidRPr="0005673C">
        <w:t>Population: Regional and State</w:t>
      </w:r>
    </w:p>
    <w:p w14:paraId="3294B977" w14:textId="2D520EA1" w:rsidR="00B7120F" w:rsidRPr="0005673C" w:rsidRDefault="00383343" w:rsidP="004C7B70">
      <w:pPr>
        <w:pStyle w:val="NoSpacing"/>
      </w:pPr>
      <w:sdt>
        <w:sdtPr>
          <w:rPr>
            <w:rFonts w:cstheme="minorHAnsi"/>
            <w:bCs/>
            <w:color w:val="000000" w:themeColor="text1"/>
          </w:rPr>
          <w:id w:val="1632443973"/>
          <w14:checkbox>
            <w14:checked w14:val="1"/>
            <w14:checkedState w14:val="2612" w14:font="MS Gothic"/>
            <w14:uncheckedState w14:val="2610" w14:font="MS Gothic"/>
          </w14:checkbox>
        </w:sdtPr>
        <w:sdtEndPr/>
        <w:sdtContent>
          <w:r w:rsidR="00C42D03">
            <w:rPr>
              <w:rFonts w:ascii="MS Gothic" w:eastAsia="MS Gothic" w:hAnsi="MS Gothic" w:cstheme="minorHAnsi" w:hint="eastAsia"/>
              <w:bCs/>
              <w:color w:val="000000" w:themeColor="text1"/>
            </w:rPr>
            <w:t>☒</w:t>
          </w:r>
        </w:sdtContent>
      </w:sdt>
      <w:r w:rsidR="00B7120F" w:rsidRPr="0005673C">
        <w:t xml:space="preserve"> </w:t>
      </w:r>
      <w:r w:rsidR="004C7B70" w:rsidRPr="0005673C">
        <w:t>Facility</w:t>
      </w:r>
    </w:p>
    <w:p w14:paraId="0E9BD77C" w14:textId="77777777" w:rsidR="004C7B70" w:rsidRPr="0005673C" w:rsidRDefault="00383343" w:rsidP="004C7B70">
      <w:pPr>
        <w:pStyle w:val="NoSpacing"/>
      </w:pPr>
      <w:sdt>
        <w:sdtPr>
          <w:rPr>
            <w:rFonts w:cstheme="minorHAnsi"/>
            <w:bCs/>
            <w:color w:val="000000" w:themeColor="text1"/>
          </w:rPr>
          <w:id w:val="2032297948"/>
          <w14:checkbox>
            <w14:checked w14:val="0"/>
            <w14:checkedState w14:val="2612" w14:font="MS Gothic"/>
            <w14:uncheckedState w14:val="2610" w14:font="MS Gothic"/>
          </w14:checkbox>
        </w:sdtPr>
        <w:sdtEndPr/>
        <w:sdtContent>
          <w:r w:rsidR="00B7120F" w:rsidRPr="0005673C">
            <w:rPr>
              <w:rFonts w:ascii="MS Gothic" w:eastAsia="MS Gothic" w:hAnsi="MS Gothic" w:cstheme="minorHAnsi" w:hint="eastAsia"/>
              <w:bCs/>
              <w:color w:val="000000" w:themeColor="text1"/>
            </w:rPr>
            <w:t>☐</w:t>
          </w:r>
        </w:sdtContent>
      </w:sdt>
      <w:r w:rsidR="00B7120F" w:rsidRPr="0005673C">
        <w:t xml:space="preserve"> </w:t>
      </w:r>
      <w:r w:rsidR="004C7B70" w:rsidRPr="0005673C">
        <w:t>Health Plan</w:t>
      </w:r>
    </w:p>
    <w:p w14:paraId="0BA66DF1" w14:textId="77777777" w:rsidR="004C7B70" w:rsidRPr="0005673C" w:rsidRDefault="004C7B70" w:rsidP="004C7B70">
      <w:pPr>
        <w:pStyle w:val="NoSpacing"/>
      </w:pPr>
    </w:p>
    <w:p w14:paraId="0AD46B61" w14:textId="77777777" w:rsidR="004C7B70" w:rsidRPr="0005673C" w:rsidRDefault="004C7B70" w:rsidP="004C7B70">
      <w:pPr>
        <w:pStyle w:val="NoSpacing"/>
      </w:pPr>
      <w:r w:rsidRPr="0005673C">
        <w:rPr>
          <w:b/>
        </w:rPr>
        <w:t>S.21. Care Setting</w:t>
      </w:r>
      <w:r w:rsidRPr="0005673C">
        <w:t xml:space="preserve"> (Check ONLY the settings for which the measure is SPECIFIED AND TESTED)</w:t>
      </w:r>
    </w:p>
    <w:p w14:paraId="12281DE4" w14:textId="77777777" w:rsidR="004C7B70" w:rsidRPr="0005673C" w:rsidRDefault="00383343" w:rsidP="00E37DCD">
      <w:pPr>
        <w:pStyle w:val="NoSpacing"/>
      </w:pPr>
      <w:sdt>
        <w:sdtPr>
          <w:rPr>
            <w:rFonts w:cstheme="minorHAnsi"/>
            <w:bCs/>
            <w:color w:val="000000" w:themeColor="text1"/>
          </w:rPr>
          <w:id w:val="-532421117"/>
          <w14:checkbox>
            <w14:checked w14:val="0"/>
            <w14:checkedState w14:val="2612" w14:font="MS Gothic"/>
            <w14:uncheckedState w14:val="2610" w14:font="MS Gothic"/>
          </w14:checkbox>
        </w:sdtPr>
        <w:sdtEndPr/>
        <w:sdtContent>
          <w:r w:rsidR="00E37DCD" w:rsidRPr="0005673C">
            <w:rPr>
              <w:rFonts w:ascii="MS Gothic" w:eastAsia="MS Gothic" w:hAnsi="MS Gothic" w:cstheme="minorHAnsi" w:hint="eastAsia"/>
              <w:bCs/>
              <w:color w:val="000000" w:themeColor="text1"/>
            </w:rPr>
            <w:t>☐</w:t>
          </w:r>
        </w:sdtContent>
      </w:sdt>
      <w:r w:rsidR="004C7B70" w:rsidRPr="0005673C">
        <w:t xml:space="preserve"> Emergency Department and Services                                  </w:t>
      </w:r>
    </w:p>
    <w:p w14:paraId="280F6967" w14:textId="77777777" w:rsidR="004C7B70" w:rsidRPr="0005673C" w:rsidRDefault="00383343" w:rsidP="00E37DCD">
      <w:pPr>
        <w:pStyle w:val="NoSpacing"/>
      </w:pPr>
      <w:sdt>
        <w:sdtPr>
          <w:rPr>
            <w:rFonts w:cstheme="minorHAnsi"/>
            <w:bCs/>
            <w:color w:val="000000" w:themeColor="text1"/>
          </w:rPr>
          <w:id w:val="1809280768"/>
          <w14:checkbox>
            <w14:checked w14:val="0"/>
            <w14:checkedState w14:val="2612" w14:font="MS Gothic"/>
            <w14:uncheckedState w14:val="2610" w14:font="MS Gothic"/>
          </w14:checkbox>
        </w:sdtPr>
        <w:sdtEndPr/>
        <w:sdtContent>
          <w:r w:rsidR="00E37DCD" w:rsidRPr="0005673C">
            <w:rPr>
              <w:rFonts w:ascii="MS Gothic" w:eastAsia="MS Gothic" w:hAnsi="MS Gothic" w:cstheme="minorHAnsi" w:hint="eastAsia"/>
              <w:bCs/>
              <w:color w:val="000000" w:themeColor="text1"/>
            </w:rPr>
            <w:t>☐</w:t>
          </w:r>
        </w:sdtContent>
      </w:sdt>
      <w:r w:rsidR="00E37DCD" w:rsidRPr="0005673C">
        <w:t xml:space="preserve"> </w:t>
      </w:r>
      <w:r w:rsidR="004C7B70" w:rsidRPr="0005673C">
        <w:t xml:space="preserve">Outpatient Services                                          </w:t>
      </w:r>
    </w:p>
    <w:p w14:paraId="724B6962" w14:textId="0E08B37B" w:rsidR="004C7B70" w:rsidRPr="0005673C" w:rsidRDefault="00383343" w:rsidP="00E37DCD">
      <w:pPr>
        <w:pStyle w:val="NoSpacing"/>
      </w:pPr>
      <w:sdt>
        <w:sdtPr>
          <w:rPr>
            <w:rFonts w:cstheme="minorHAnsi"/>
            <w:bCs/>
            <w:color w:val="000000" w:themeColor="text1"/>
          </w:rPr>
          <w:id w:val="-1517916159"/>
          <w14:checkbox>
            <w14:checked w14:val="1"/>
            <w14:checkedState w14:val="2612" w14:font="MS Gothic"/>
            <w14:uncheckedState w14:val="2610" w14:font="MS Gothic"/>
          </w14:checkbox>
        </w:sdtPr>
        <w:sdtEndPr/>
        <w:sdtContent>
          <w:r w:rsidR="00C42D03">
            <w:rPr>
              <w:rFonts w:ascii="MS Gothic" w:eastAsia="MS Gothic" w:hAnsi="MS Gothic" w:cstheme="minorHAnsi" w:hint="eastAsia"/>
              <w:bCs/>
              <w:color w:val="000000" w:themeColor="text1"/>
            </w:rPr>
            <w:t>☒</w:t>
          </w:r>
        </w:sdtContent>
      </w:sdt>
      <w:r w:rsidR="00E37DCD" w:rsidRPr="0005673C">
        <w:t xml:space="preserve"> </w:t>
      </w:r>
      <w:r w:rsidR="004C7B70" w:rsidRPr="0005673C">
        <w:t xml:space="preserve">Inpatient/Hospital                                </w:t>
      </w:r>
    </w:p>
    <w:p w14:paraId="5216D40E" w14:textId="77777777" w:rsidR="004C7B70" w:rsidRPr="0005673C" w:rsidRDefault="00383343" w:rsidP="00E37DCD">
      <w:pPr>
        <w:pStyle w:val="NoSpacing"/>
      </w:pPr>
      <w:sdt>
        <w:sdtPr>
          <w:rPr>
            <w:rFonts w:cstheme="minorHAnsi"/>
            <w:bCs/>
            <w:color w:val="000000" w:themeColor="text1"/>
          </w:rPr>
          <w:id w:val="713852853"/>
          <w14:checkbox>
            <w14:checked w14:val="0"/>
            <w14:checkedState w14:val="2612" w14:font="MS Gothic"/>
            <w14:uncheckedState w14:val="2610" w14:font="MS Gothic"/>
          </w14:checkbox>
        </w:sdtPr>
        <w:sdtEndPr/>
        <w:sdtContent>
          <w:r w:rsidR="00E37DCD" w:rsidRPr="0005673C">
            <w:rPr>
              <w:rFonts w:ascii="MS Gothic" w:eastAsia="MS Gothic" w:hAnsi="MS Gothic" w:cstheme="minorHAnsi" w:hint="eastAsia"/>
              <w:bCs/>
              <w:color w:val="000000" w:themeColor="text1"/>
            </w:rPr>
            <w:t>☐</w:t>
          </w:r>
        </w:sdtContent>
      </w:sdt>
      <w:r w:rsidR="00E37DCD" w:rsidRPr="0005673C">
        <w:t xml:space="preserve"> </w:t>
      </w:r>
      <w:r w:rsidR="004C7B70" w:rsidRPr="0005673C">
        <w:t xml:space="preserve">Post-Acute Care                                </w:t>
      </w:r>
    </w:p>
    <w:p w14:paraId="50D1F5E0" w14:textId="77777777" w:rsidR="004C7B70" w:rsidRPr="0005673C" w:rsidRDefault="00383343" w:rsidP="00E37DCD">
      <w:pPr>
        <w:pStyle w:val="NoSpacing"/>
      </w:pPr>
      <w:sdt>
        <w:sdtPr>
          <w:rPr>
            <w:rFonts w:cstheme="minorHAnsi"/>
            <w:bCs/>
            <w:color w:val="000000" w:themeColor="text1"/>
          </w:rPr>
          <w:id w:val="-1928412979"/>
          <w14:checkbox>
            <w14:checked w14:val="0"/>
            <w14:checkedState w14:val="2612" w14:font="MS Gothic"/>
            <w14:uncheckedState w14:val="2610" w14:font="MS Gothic"/>
          </w14:checkbox>
        </w:sdtPr>
        <w:sdtEndPr/>
        <w:sdtContent>
          <w:r w:rsidR="00E37DCD" w:rsidRPr="0005673C">
            <w:rPr>
              <w:rFonts w:ascii="MS Gothic" w:eastAsia="MS Gothic" w:hAnsi="MS Gothic" w:cstheme="minorHAnsi" w:hint="eastAsia"/>
              <w:bCs/>
              <w:color w:val="000000" w:themeColor="text1"/>
            </w:rPr>
            <w:t>☐</w:t>
          </w:r>
        </w:sdtContent>
      </w:sdt>
      <w:r w:rsidR="00751CF5" w:rsidRPr="0005673C">
        <w:t xml:space="preserve"> </w:t>
      </w:r>
      <w:r w:rsidR="004C7B70" w:rsidRPr="0005673C">
        <w:t xml:space="preserve">Home                                      </w:t>
      </w:r>
    </w:p>
    <w:p w14:paraId="21D27595" w14:textId="77777777" w:rsidR="004C7B70" w:rsidRPr="0005673C" w:rsidRDefault="004C7B70" w:rsidP="004C7B70">
      <w:pPr>
        <w:pStyle w:val="NoSpacing"/>
      </w:pPr>
    </w:p>
    <w:p w14:paraId="21F59B7D" w14:textId="5478B642" w:rsidR="004C7B70" w:rsidRPr="0005673C" w:rsidRDefault="004C7B70" w:rsidP="004C7B70">
      <w:pPr>
        <w:pStyle w:val="NoSpacing"/>
      </w:pPr>
      <w:r w:rsidRPr="0005673C">
        <w:rPr>
          <w:b/>
        </w:rPr>
        <w:t>S.22. COMPOSITE Performance Measure</w:t>
      </w:r>
      <w:r w:rsidRPr="0005673C">
        <w:t xml:space="preserve"> ‐ Additional Specifications (Use this section as needed for aggregation and weighting rules,</w:t>
      </w:r>
      <w:r w:rsidR="0012366D">
        <w:t xml:space="preserve"> </w:t>
      </w:r>
      <w:r w:rsidRPr="0005673C">
        <w:t>or calculation of individual performance measures if not individually endorsed.)</w:t>
      </w:r>
    </w:p>
    <w:p w14:paraId="665AD363" w14:textId="0DF7EEB9" w:rsidR="004C7B70" w:rsidRPr="0005673C" w:rsidRDefault="00C42D03" w:rsidP="00E82FBF">
      <w:pPr>
        <w:pStyle w:val="NoSpacing"/>
        <w:pBdr>
          <w:top w:val="single" w:sz="4" w:space="1" w:color="auto"/>
          <w:left w:val="single" w:sz="4" w:space="4" w:color="auto"/>
          <w:bottom w:val="single" w:sz="4" w:space="1" w:color="auto"/>
          <w:right w:val="single" w:sz="4" w:space="4" w:color="auto"/>
        </w:pBdr>
      </w:pPr>
      <w:r>
        <w:t>N/A</w:t>
      </w:r>
    </w:p>
    <w:p w14:paraId="4DB8E4B2" w14:textId="77777777" w:rsidR="00C47CB7" w:rsidRPr="007C00E3" w:rsidRDefault="00C47CB7" w:rsidP="000C0FE9">
      <w:pPr>
        <w:pStyle w:val="NoSpacing"/>
        <w:jc w:val="center"/>
      </w:pPr>
    </w:p>
    <w:sectPr w:rsidR="00C47CB7" w:rsidRPr="007C00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04629"/>
    <w:multiLevelType w:val="hybridMultilevel"/>
    <w:tmpl w:val="C5EEC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F97BE9"/>
    <w:multiLevelType w:val="hybridMultilevel"/>
    <w:tmpl w:val="2892D786"/>
    <w:lvl w:ilvl="0" w:tplc="09542F68">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F74ED2"/>
    <w:multiLevelType w:val="hybridMultilevel"/>
    <w:tmpl w:val="165ACFC4"/>
    <w:lvl w:ilvl="0" w:tplc="B5F29748">
      <w:numFmt w:val="bullet"/>
      <w:lvlText w:val="-"/>
      <w:lvlJc w:val="left"/>
      <w:pPr>
        <w:ind w:left="720" w:hanging="360"/>
      </w:pPr>
      <w:rPr>
        <w:rFonts w:ascii="Calibri" w:eastAsia="Times New Roman"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6B6BA3"/>
    <w:multiLevelType w:val="hybridMultilevel"/>
    <w:tmpl w:val="4AE49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C6105E"/>
    <w:multiLevelType w:val="hybridMultilevel"/>
    <w:tmpl w:val="D2D274EE"/>
    <w:lvl w:ilvl="0" w:tplc="642E93A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F77724"/>
    <w:multiLevelType w:val="hybridMultilevel"/>
    <w:tmpl w:val="ECE80B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0E3"/>
    <w:rsid w:val="00000733"/>
    <w:rsid w:val="00001058"/>
    <w:rsid w:val="00010693"/>
    <w:rsid w:val="00032869"/>
    <w:rsid w:val="00047F23"/>
    <w:rsid w:val="0005673C"/>
    <w:rsid w:val="00060253"/>
    <w:rsid w:val="00063E39"/>
    <w:rsid w:val="00087F5A"/>
    <w:rsid w:val="000A151B"/>
    <w:rsid w:val="000A70E4"/>
    <w:rsid w:val="000B039A"/>
    <w:rsid w:val="000C0FE9"/>
    <w:rsid w:val="000C2E6A"/>
    <w:rsid w:val="000D0E06"/>
    <w:rsid w:val="000D1AB8"/>
    <w:rsid w:val="000D2F10"/>
    <w:rsid w:val="000E1523"/>
    <w:rsid w:val="000F5268"/>
    <w:rsid w:val="00103E2A"/>
    <w:rsid w:val="00111A84"/>
    <w:rsid w:val="0011295A"/>
    <w:rsid w:val="0012366D"/>
    <w:rsid w:val="00125AE0"/>
    <w:rsid w:val="00144133"/>
    <w:rsid w:val="00147739"/>
    <w:rsid w:val="00151DDA"/>
    <w:rsid w:val="00162335"/>
    <w:rsid w:val="0016525B"/>
    <w:rsid w:val="001679A7"/>
    <w:rsid w:val="00181B66"/>
    <w:rsid w:val="00184D86"/>
    <w:rsid w:val="00186EC1"/>
    <w:rsid w:val="00197C87"/>
    <w:rsid w:val="001B7C4E"/>
    <w:rsid w:val="001C59F5"/>
    <w:rsid w:val="001D3F66"/>
    <w:rsid w:val="00200191"/>
    <w:rsid w:val="0020414E"/>
    <w:rsid w:val="00214FC1"/>
    <w:rsid w:val="002261B8"/>
    <w:rsid w:val="00236F6E"/>
    <w:rsid w:val="0024031C"/>
    <w:rsid w:val="00267B39"/>
    <w:rsid w:val="00270EDD"/>
    <w:rsid w:val="00273B08"/>
    <w:rsid w:val="002925F9"/>
    <w:rsid w:val="00295EA5"/>
    <w:rsid w:val="002A1557"/>
    <w:rsid w:val="002B78DA"/>
    <w:rsid w:val="002C0724"/>
    <w:rsid w:val="002D3C41"/>
    <w:rsid w:val="002D5E62"/>
    <w:rsid w:val="002F3B6D"/>
    <w:rsid w:val="0030219C"/>
    <w:rsid w:val="00314860"/>
    <w:rsid w:val="00323A75"/>
    <w:rsid w:val="00342869"/>
    <w:rsid w:val="00344DBA"/>
    <w:rsid w:val="0036798D"/>
    <w:rsid w:val="003742FD"/>
    <w:rsid w:val="00383343"/>
    <w:rsid w:val="00384A11"/>
    <w:rsid w:val="003A145F"/>
    <w:rsid w:val="003A4D24"/>
    <w:rsid w:val="003B51BE"/>
    <w:rsid w:val="003B78EC"/>
    <w:rsid w:val="003C4463"/>
    <w:rsid w:val="003E18C9"/>
    <w:rsid w:val="003E3CB4"/>
    <w:rsid w:val="003E63BF"/>
    <w:rsid w:val="003F6B59"/>
    <w:rsid w:val="0041657F"/>
    <w:rsid w:val="00440A15"/>
    <w:rsid w:val="004412CE"/>
    <w:rsid w:val="00466273"/>
    <w:rsid w:val="004703DD"/>
    <w:rsid w:val="00470A2E"/>
    <w:rsid w:val="00473CC7"/>
    <w:rsid w:val="004846AA"/>
    <w:rsid w:val="004A7568"/>
    <w:rsid w:val="004B0193"/>
    <w:rsid w:val="004B0921"/>
    <w:rsid w:val="004B7335"/>
    <w:rsid w:val="004C34E7"/>
    <w:rsid w:val="004C7B70"/>
    <w:rsid w:val="004D5FFB"/>
    <w:rsid w:val="004E3F83"/>
    <w:rsid w:val="004E7CF0"/>
    <w:rsid w:val="004F28AC"/>
    <w:rsid w:val="004F2906"/>
    <w:rsid w:val="00502335"/>
    <w:rsid w:val="005026EF"/>
    <w:rsid w:val="00505ACF"/>
    <w:rsid w:val="00510C04"/>
    <w:rsid w:val="005149E6"/>
    <w:rsid w:val="00514CF9"/>
    <w:rsid w:val="00515CB4"/>
    <w:rsid w:val="0053201A"/>
    <w:rsid w:val="00534484"/>
    <w:rsid w:val="00543AAE"/>
    <w:rsid w:val="00544035"/>
    <w:rsid w:val="00545B41"/>
    <w:rsid w:val="00564F0A"/>
    <w:rsid w:val="0059465E"/>
    <w:rsid w:val="00597F5F"/>
    <w:rsid w:val="005B7801"/>
    <w:rsid w:val="005C0B21"/>
    <w:rsid w:val="005C2324"/>
    <w:rsid w:val="005F0B2F"/>
    <w:rsid w:val="006000D8"/>
    <w:rsid w:val="0060154E"/>
    <w:rsid w:val="00603FF3"/>
    <w:rsid w:val="00614594"/>
    <w:rsid w:val="00616383"/>
    <w:rsid w:val="00626AA0"/>
    <w:rsid w:val="00632354"/>
    <w:rsid w:val="0063454A"/>
    <w:rsid w:val="00634ECF"/>
    <w:rsid w:val="0063778C"/>
    <w:rsid w:val="006446AA"/>
    <w:rsid w:val="00653E20"/>
    <w:rsid w:val="00662F76"/>
    <w:rsid w:val="006762FC"/>
    <w:rsid w:val="00684BD4"/>
    <w:rsid w:val="006C0878"/>
    <w:rsid w:val="006D5693"/>
    <w:rsid w:val="006E1B69"/>
    <w:rsid w:val="006E4DDF"/>
    <w:rsid w:val="006F56FB"/>
    <w:rsid w:val="0072103E"/>
    <w:rsid w:val="0072247F"/>
    <w:rsid w:val="00722D73"/>
    <w:rsid w:val="0074386B"/>
    <w:rsid w:val="007509D4"/>
    <w:rsid w:val="00751CF5"/>
    <w:rsid w:val="007610E0"/>
    <w:rsid w:val="0077040C"/>
    <w:rsid w:val="00785010"/>
    <w:rsid w:val="007A41CE"/>
    <w:rsid w:val="007B6ED0"/>
    <w:rsid w:val="007C00E3"/>
    <w:rsid w:val="007C2832"/>
    <w:rsid w:val="007C5D79"/>
    <w:rsid w:val="007D1229"/>
    <w:rsid w:val="007D5700"/>
    <w:rsid w:val="007E040C"/>
    <w:rsid w:val="007E2FB7"/>
    <w:rsid w:val="007E5D52"/>
    <w:rsid w:val="007E7825"/>
    <w:rsid w:val="008134A3"/>
    <w:rsid w:val="008165C8"/>
    <w:rsid w:val="00832051"/>
    <w:rsid w:val="0083217E"/>
    <w:rsid w:val="00832F21"/>
    <w:rsid w:val="00844050"/>
    <w:rsid w:val="00847AA7"/>
    <w:rsid w:val="0085289D"/>
    <w:rsid w:val="00853F4F"/>
    <w:rsid w:val="00876647"/>
    <w:rsid w:val="00881B65"/>
    <w:rsid w:val="00882F6A"/>
    <w:rsid w:val="008929B1"/>
    <w:rsid w:val="008C608C"/>
    <w:rsid w:val="008D0FFC"/>
    <w:rsid w:val="008D3123"/>
    <w:rsid w:val="008D7353"/>
    <w:rsid w:val="008E3978"/>
    <w:rsid w:val="008E5AB8"/>
    <w:rsid w:val="008E6A3A"/>
    <w:rsid w:val="008F3F26"/>
    <w:rsid w:val="009045B1"/>
    <w:rsid w:val="00910016"/>
    <w:rsid w:val="00927D40"/>
    <w:rsid w:val="009363B8"/>
    <w:rsid w:val="0093719C"/>
    <w:rsid w:val="009457AF"/>
    <w:rsid w:val="009521F8"/>
    <w:rsid w:val="009720C2"/>
    <w:rsid w:val="00975CF6"/>
    <w:rsid w:val="00993E46"/>
    <w:rsid w:val="009A3BF9"/>
    <w:rsid w:val="009C19F2"/>
    <w:rsid w:val="009D0A3E"/>
    <w:rsid w:val="009D427E"/>
    <w:rsid w:val="009D6F60"/>
    <w:rsid w:val="00A10BFB"/>
    <w:rsid w:val="00A16A65"/>
    <w:rsid w:val="00A931D2"/>
    <w:rsid w:val="00AA061D"/>
    <w:rsid w:val="00AA2DFC"/>
    <w:rsid w:val="00AB4F77"/>
    <w:rsid w:val="00AB676C"/>
    <w:rsid w:val="00AE7257"/>
    <w:rsid w:val="00B016A9"/>
    <w:rsid w:val="00B4134F"/>
    <w:rsid w:val="00B51040"/>
    <w:rsid w:val="00B55C10"/>
    <w:rsid w:val="00B57CCB"/>
    <w:rsid w:val="00B7120F"/>
    <w:rsid w:val="00B71571"/>
    <w:rsid w:val="00B71BEC"/>
    <w:rsid w:val="00B80E6F"/>
    <w:rsid w:val="00B8287A"/>
    <w:rsid w:val="00BA0A98"/>
    <w:rsid w:val="00BB56BA"/>
    <w:rsid w:val="00BC35E1"/>
    <w:rsid w:val="00BD1781"/>
    <w:rsid w:val="00BD3ADF"/>
    <w:rsid w:val="00BD49B8"/>
    <w:rsid w:val="00BF18D4"/>
    <w:rsid w:val="00BF6A71"/>
    <w:rsid w:val="00C03755"/>
    <w:rsid w:val="00C03EEA"/>
    <w:rsid w:val="00C0538B"/>
    <w:rsid w:val="00C25B48"/>
    <w:rsid w:val="00C36A9D"/>
    <w:rsid w:val="00C42D03"/>
    <w:rsid w:val="00C47CB7"/>
    <w:rsid w:val="00C56E3F"/>
    <w:rsid w:val="00C57205"/>
    <w:rsid w:val="00C61F0C"/>
    <w:rsid w:val="00C71BE6"/>
    <w:rsid w:val="00C72A42"/>
    <w:rsid w:val="00C74166"/>
    <w:rsid w:val="00C77F3F"/>
    <w:rsid w:val="00C85C86"/>
    <w:rsid w:val="00C91E9D"/>
    <w:rsid w:val="00CD7111"/>
    <w:rsid w:val="00CE1986"/>
    <w:rsid w:val="00CE30A7"/>
    <w:rsid w:val="00CE352E"/>
    <w:rsid w:val="00CE6028"/>
    <w:rsid w:val="00CF61BF"/>
    <w:rsid w:val="00D1389C"/>
    <w:rsid w:val="00D23484"/>
    <w:rsid w:val="00D24B44"/>
    <w:rsid w:val="00D25E3C"/>
    <w:rsid w:val="00D34DAF"/>
    <w:rsid w:val="00D3656A"/>
    <w:rsid w:val="00D5075F"/>
    <w:rsid w:val="00D57B67"/>
    <w:rsid w:val="00D609B8"/>
    <w:rsid w:val="00D86118"/>
    <w:rsid w:val="00DA399A"/>
    <w:rsid w:val="00DA3B24"/>
    <w:rsid w:val="00DC6C7A"/>
    <w:rsid w:val="00DD375E"/>
    <w:rsid w:val="00DE6A89"/>
    <w:rsid w:val="00DF0E3A"/>
    <w:rsid w:val="00DF24D2"/>
    <w:rsid w:val="00E02AC0"/>
    <w:rsid w:val="00E37DCD"/>
    <w:rsid w:val="00E42215"/>
    <w:rsid w:val="00E54CF3"/>
    <w:rsid w:val="00E62F8F"/>
    <w:rsid w:val="00E67361"/>
    <w:rsid w:val="00E716BB"/>
    <w:rsid w:val="00E77271"/>
    <w:rsid w:val="00E82FBF"/>
    <w:rsid w:val="00E8631B"/>
    <w:rsid w:val="00EA1C3D"/>
    <w:rsid w:val="00EB7F53"/>
    <w:rsid w:val="00EC07E3"/>
    <w:rsid w:val="00EC2471"/>
    <w:rsid w:val="00EC7479"/>
    <w:rsid w:val="00EE3B3F"/>
    <w:rsid w:val="00F126D9"/>
    <w:rsid w:val="00F14654"/>
    <w:rsid w:val="00F21394"/>
    <w:rsid w:val="00F24A9D"/>
    <w:rsid w:val="00F25821"/>
    <w:rsid w:val="00F2672C"/>
    <w:rsid w:val="00F3040A"/>
    <w:rsid w:val="00F314F5"/>
    <w:rsid w:val="00F51330"/>
    <w:rsid w:val="00F51B5C"/>
    <w:rsid w:val="00F562A0"/>
    <w:rsid w:val="00F627DE"/>
    <w:rsid w:val="00F7781D"/>
    <w:rsid w:val="00F82927"/>
    <w:rsid w:val="00F935E0"/>
    <w:rsid w:val="00FA4949"/>
    <w:rsid w:val="00FB2DE0"/>
    <w:rsid w:val="00FE23CC"/>
    <w:rsid w:val="00FE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9A6F4"/>
  <w15:docId w15:val="{3E8222D5-AC27-413E-A4E3-E806432C7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00E3"/>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00E3"/>
    <w:pPr>
      <w:spacing w:after="0" w:line="240" w:lineRule="auto"/>
    </w:pPr>
    <w:rPr>
      <w:rFonts w:eastAsia="Times New Roman" w:cs="Times New Roman"/>
      <w:szCs w:val="24"/>
    </w:rPr>
  </w:style>
  <w:style w:type="paragraph" w:styleId="z-TopofForm">
    <w:name w:val="HTML Top of Form"/>
    <w:basedOn w:val="Normal"/>
    <w:next w:val="Normal"/>
    <w:link w:val="z-TopofFormChar"/>
    <w:hidden/>
    <w:uiPriority w:val="99"/>
    <w:semiHidden/>
    <w:unhideWhenUsed/>
    <w:rsid w:val="007C00E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C00E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C00E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C00E3"/>
    <w:rPr>
      <w:rFonts w:ascii="Arial" w:eastAsia="Times New Roman" w:hAnsi="Arial" w:cs="Arial"/>
      <w:vanish/>
      <w:sz w:val="16"/>
      <w:szCs w:val="16"/>
    </w:rPr>
  </w:style>
  <w:style w:type="character" w:styleId="Hyperlink">
    <w:name w:val="Hyperlink"/>
    <w:basedOn w:val="DefaultParagraphFont"/>
    <w:uiPriority w:val="99"/>
    <w:unhideWhenUsed/>
    <w:rsid w:val="007C00E3"/>
    <w:rPr>
      <w:color w:val="0563C1" w:themeColor="hyperlink"/>
      <w:u w:val="single"/>
    </w:rPr>
  </w:style>
  <w:style w:type="character" w:customStyle="1" w:styleId="UnresolvedMention1">
    <w:name w:val="Unresolved Mention1"/>
    <w:basedOn w:val="DefaultParagraphFont"/>
    <w:uiPriority w:val="99"/>
    <w:semiHidden/>
    <w:unhideWhenUsed/>
    <w:rsid w:val="007C00E3"/>
    <w:rPr>
      <w:color w:val="808080"/>
      <w:shd w:val="clear" w:color="auto" w:fill="E6E6E6"/>
    </w:rPr>
  </w:style>
  <w:style w:type="character" w:styleId="CommentReference">
    <w:name w:val="annotation reference"/>
    <w:basedOn w:val="DefaultParagraphFont"/>
    <w:uiPriority w:val="99"/>
    <w:semiHidden/>
    <w:unhideWhenUsed/>
    <w:rsid w:val="00751CF5"/>
    <w:rPr>
      <w:sz w:val="16"/>
      <w:szCs w:val="16"/>
    </w:rPr>
  </w:style>
  <w:style w:type="paragraph" w:styleId="CommentText">
    <w:name w:val="annotation text"/>
    <w:basedOn w:val="Normal"/>
    <w:link w:val="CommentTextChar"/>
    <w:uiPriority w:val="99"/>
    <w:semiHidden/>
    <w:unhideWhenUsed/>
    <w:rsid w:val="00751CF5"/>
    <w:rPr>
      <w:sz w:val="20"/>
      <w:szCs w:val="20"/>
    </w:rPr>
  </w:style>
  <w:style w:type="character" w:customStyle="1" w:styleId="CommentTextChar">
    <w:name w:val="Comment Text Char"/>
    <w:basedOn w:val="DefaultParagraphFont"/>
    <w:link w:val="CommentText"/>
    <w:uiPriority w:val="99"/>
    <w:semiHidden/>
    <w:rsid w:val="00751CF5"/>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51CF5"/>
    <w:rPr>
      <w:b/>
      <w:bCs/>
    </w:rPr>
  </w:style>
  <w:style w:type="character" w:customStyle="1" w:styleId="CommentSubjectChar">
    <w:name w:val="Comment Subject Char"/>
    <w:basedOn w:val="CommentTextChar"/>
    <w:link w:val="CommentSubject"/>
    <w:uiPriority w:val="99"/>
    <w:semiHidden/>
    <w:rsid w:val="00751CF5"/>
    <w:rPr>
      <w:rFonts w:eastAsia="Times New Roman" w:cs="Times New Roman"/>
      <w:b/>
      <w:bCs/>
      <w:sz w:val="20"/>
      <w:szCs w:val="20"/>
    </w:rPr>
  </w:style>
  <w:style w:type="paragraph" w:styleId="BalloonText">
    <w:name w:val="Balloon Text"/>
    <w:basedOn w:val="Normal"/>
    <w:link w:val="BalloonTextChar"/>
    <w:uiPriority w:val="99"/>
    <w:semiHidden/>
    <w:unhideWhenUsed/>
    <w:rsid w:val="00751C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1CF5"/>
    <w:rPr>
      <w:rFonts w:ascii="Segoe UI" w:eastAsia="Times New Roman" w:hAnsi="Segoe UI" w:cs="Segoe UI"/>
      <w:sz w:val="18"/>
      <w:szCs w:val="18"/>
    </w:rPr>
  </w:style>
  <w:style w:type="table" w:styleId="TableGrid">
    <w:name w:val="Table Grid"/>
    <w:basedOn w:val="TableNormal"/>
    <w:uiPriority w:val="39"/>
    <w:rsid w:val="00601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B51040"/>
    <w:rPr>
      <w:color w:val="808080"/>
      <w:shd w:val="clear" w:color="auto" w:fill="E6E6E6"/>
    </w:rPr>
  </w:style>
  <w:style w:type="paragraph" w:styleId="ListParagraph">
    <w:name w:val="List Paragraph"/>
    <w:basedOn w:val="Normal"/>
    <w:uiPriority w:val="34"/>
    <w:qFormat/>
    <w:rsid w:val="00515C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14518">
      <w:bodyDiv w:val="1"/>
      <w:marLeft w:val="0"/>
      <w:marRight w:val="0"/>
      <w:marTop w:val="0"/>
      <w:marBottom w:val="0"/>
      <w:divBdr>
        <w:top w:val="none" w:sz="0" w:space="0" w:color="auto"/>
        <w:left w:val="none" w:sz="0" w:space="0" w:color="auto"/>
        <w:bottom w:val="none" w:sz="0" w:space="0" w:color="auto"/>
        <w:right w:val="none" w:sz="0" w:space="0" w:color="auto"/>
      </w:divBdr>
    </w:div>
    <w:div w:id="286007250">
      <w:bodyDiv w:val="1"/>
      <w:marLeft w:val="0"/>
      <w:marRight w:val="0"/>
      <w:marTop w:val="0"/>
      <w:marBottom w:val="0"/>
      <w:divBdr>
        <w:top w:val="none" w:sz="0" w:space="0" w:color="auto"/>
        <w:left w:val="none" w:sz="0" w:space="0" w:color="auto"/>
        <w:bottom w:val="none" w:sz="0" w:space="0" w:color="auto"/>
        <w:right w:val="none" w:sz="0" w:space="0" w:color="auto"/>
      </w:divBdr>
    </w:div>
    <w:div w:id="1238515857">
      <w:bodyDiv w:val="1"/>
      <w:marLeft w:val="0"/>
      <w:marRight w:val="0"/>
      <w:marTop w:val="0"/>
      <w:marBottom w:val="0"/>
      <w:divBdr>
        <w:top w:val="none" w:sz="0" w:space="0" w:color="auto"/>
        <w:left w:val="none" w:sz="0" w:space="0" w:color="auto"/>
        <w:bottom w:val="none" w:sz="0" w:space="0" w:color="auto"/>
        <w:right w:val="none" w:sz="0" w:space="0" w:color="auto"/>
      </w:divBdr>
    </w:div>
    <w:div w:id="139585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qf.qualityforum.dev.win.dotnet.panth.com/docs/what_good_looks_like.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qf.qualityforum.dev.win.dotnet.panth.com/docs/what_good_looks_like.asp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641CC-5C1B-4396-B2D2-E1E8667F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2744</Words>
  <Characters>15642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Farietta, Thalia</dc:creator>
  <cp:lastModifiedBy>Taiwo, Victoria</cp:lastModifiedBy>
  <cp:revision>4</cp:revision>
  <dcterms:created xsi:type="dcterms:W3CDTF">2019-01-02T14:31:00Z</dcterms:created>
  <dcterms:modified xsi:type="dcterms:W3CDTF">2019-01-07T19:26:00Z</dcterms:modified>
</cp:coreProperties>
</file>