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05622892" w:rsidR="00927027" w:rsidRDefault="008C3D1B" w:rsidP="00927027">
      <w:pPr>
        <w:contextualSpacing/>
        <w:jc w:val="center"/>
        <w:rPr>
          <w:rFonts w:cstheme="minorHAnsi"/>
          <w:b/>
          <w:noProof/>
        </w:rPr>
      </w:pPr>
      <w:r>
        <w:rPr>
          <w:b/>
          <w:smallCaps/>
          <w:noProof/>
          <w:sz w:val="24"/>
          <w:szCs w:val="24"/>
        </w:rPr>
        <w:t xml:space="preserve"> </w:t>
      </w:r>
      <w:r w:rsidR="000E78F6">
        <w:rPr>
          <w:b/>
          <w:smallCaps/>
          <w:noProof/>
          <w:sz w:val="24"/>
          <w:szCs w:val="24"/>
        </w:rPr>
        <w:t>N</w:t>
      </w:r>
      <w:r w:rsidR="000E78F6" w:rsidRPr="001A6D05">
        <w:rPr>
          <w:b/>
          <w:smallCaps/>
          <w:noProof/>
          <w:sz w:val="24"/>
          <w:szCs w:val="24"/>
        </w:rPr>
        <w:t>ational Quality Forum</w:t>
      </w:r>
      <w:r w:rsidR="000E78F6" w:rsidRPr="001A6D05">
        <w:rPr>
          <w:b/>
          <w:noProof/>
          <w:sz w:val="24"/>
          <w:szCs w:val="24"/>
        </w:rPr>
        <w:t>—</w:t>
      </w:r>
      <w:r w:rsidR="00927027">
        <w:rPr>
          <w:rFonts w:cstheme="minorHAnsi"/>
          <w:b/>
          <w:noProof/>
        </w:rPr>
        <w:t>Measure Te</w:t>
      </w:r>
      <w:r w:rsidR="000E78F6">
        <w:rPr>
          <w:rFonts w:cstheme="minorHAnsi"/>
          <w:b/>
          <w:noProof/>
        </w:rPr>
        <w:t>sting (subcriteria 2a2, 2b</w:t>
      </w:r>
      <w:r w:rsidR="00651D44">
        <w:rPr>
          <w:rFonts w:cstheme="minorHAnsi"/>
          <w:b/>
          <w:noProof/>
        </w:rPr>
        <w:t>1</w:t>
      </w:r>
      <w:r w:rsidR="000E78F6">
        <w:rPr>
          <w:rFonts w:cstheme="minorHAnsi"/>
          <w:b/>
          <w:noProof/>
        </w:rPr>
        <w:t>-2b</w:t>
      </w:r>
      <w:r w:rsidR="00651D44">
        <w:rPr>
          <w:rFonts w:cstheme="minorHAnsi"/>
          <w:b/>
          <w:noProof/>
        </w:rPr>
        <w:t>6</w:t>
      </w:r>
      <w:r w:rsidR="000E78F6">
        <w:rPr>
          <w:rFonts w:cstheme="minorHAnsi"/>
          <w:b/>
          <w:noProof/>
        </w:rPr>
        <w:t>)</w:t>
      </w:r>
    </w:p>
    <w:p w14:paraId="0CABCF54" w14:textId="77777777" w:rsidR="00797624" w:rsidRDefault="00797624" w:rsidP="00105D8B">
      <w:pPr>
        <w:contextualSpacing/>
        <w:rPr>
          <w:rFonts w:cstheme="minorHAnsi"/>
          <w:b/>
          <w:noProof/>
        </w:rPr>
      </w:pPr>
    </w:p>
    <w:p w14:paraId="0CABCF55" w14:textId="47474B15"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B0319A">
            <w:rPr>
              <w:rFonts w:ascii="Calibri" w:hAnsi="Calibri" w:cs="Calibri"/>
              <w:color w:val="0000FF"/>
              <w:sz w:val="20"/>
              <w:szCs w:val="20"/>
            </w:rPr>
            <w:t>2363</w:t>
          </w:r>
        </w:sdtContent>
      </w:sdt>
    </w:p>
    <w:p w14:paraId="0CABCF56" w14:textId="7B8CC0CD"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E75AD3" w:rsidRPr="00E75AD3">
            <w:rPr>
              <w:rFonts w:cstheme="minorHAnsi"/>
              <w:color w:val="0000FF"/>
            </w:rPr>
            <w:t>Hospital Harm –</w:t>
          </w:r>
          <w:r w:rsidR="007518CD">
            <w:rPr>
              <w:rFonts w:cstheme="minorHAnsi"/>
              <w:color w:val="0000FF"/>
            </w:rPr>
            <w:t xml:space="preserve"> Severe</w:t>
          </w:r>
          <w:r w:rsidR="00E75AD3" w:rsidRPr="00E75AD3">
            <w:rPr>
              <w:rFonts w:cstheme="minorHAnsi"/>
              <w:color w:val="0000FF"/>
            </w:rPr>
            <w:t xml:space="preserve"> Hypoglycemia</w:t>
          </w:r>
        </w:sdtContent>
      </w:sdt>
    </w:p>
    <w:p w14:paraId="0CABCF57" w14:textId="3D9BFAD8"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u w:val="none"/>
          </w:rPr>
          <w:id w:val="-1689821638"/>
          <w:placeholder>
            <w:docPart w:val="D0A5AE3409394D21BA5FA5F27780E302"/>
          </w:placeholder>
          <w:date>
            <w:dateFormat w:val="M/d/yyyy"/>
            <w:lid w:val="en-US"/>
            <w:storeMappedDataAs w:val="dateTime"/>
            <w:calendar w:val="gregorian"/>
          </w:date>
        </w:sdtPr>
        <w:sdtEndPr>
          <w:rPr>
            <w:rStyle w:val="DefaultParagraphFont"/>
            <w:noProof/>
            <w:color w:val="auto"/>
          </w:rPr>
        </w:sdtEndPr>
        <w:sdtContent>
          <w:r w:rsidR="009C3734">
            <w:rPr>
              <w:rStyle w:val="Style2"/>
              <w:rFonts w:cstheme="minorHAnsi"/>
              <w:u w:val="none"/>
            </w:rPr>
            <w:t>TBD</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134F738D" w:rsidR="000B7D57" w:rsidRPr="00C775CE" w:rsidRDefault="00F9194F"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Content>
                <w:r w:rsidR="00E75AD3">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F9194F"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F9194F"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F9194F"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F9194F"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F9194F"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F9194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54710079" w:rsidR="00145149" w:rsidRPr="000F034A" w:rsidRDefault="00145149" w:rsidP="00145149">
            <w:pPr>
              <w:rPr>
                <w:rFonts w:cstheme="minorHAnsi"/>
              </w:rPr>
            </w:pPr>
            <w:r w:rsidRPr="000F034A">
              <w:rPr>
                <w:rFonts w:cstheme="minorHAnsi"/>
              </w:rPr>
              <w:t>If patient preference (e.g., informed decision</w:t>
            </w:r>
            <w:r w:rsidR="000B1E4E">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41045130"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r w:rsidR="000706DE" w:rsidRPr="00A831B4">
              <w:rPr>
                <w:rFonts w:cstheme="minorHAnsi"/>
                <w:sz w:val="20"/>
                <w:szCs w:val="20"/>
              </w:rPr>
              <w:t>received smoking</w:t>
            </w:r>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F9194F"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F9194F"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F9194F"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F9194F"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F9194F"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F9194F"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F9194F"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6E8F8095" w:rsidR="00A01494" w:rsidRPr="000F1B7A" w:rsidRDefault="00F9194F"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Content>
                <w:r w:rsidR="002373A1">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6CB829CD" w:rsidR="00A01494" w:rsidRPr="000F1B7A" w:rsidRDefault="00F9194F"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Content>
                <w:r w:rsidR="00F049BD">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1A1E9B">
              <w:rPr>
                <w:rFonts w:cstheme="minorHAnsi"/>
                <w:bCs/>
              </w:rPr>
              <w:t>eMeasure</w:t>
            </w:r>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2279BD56" w:rsidR="00A01494" w:rsidRPr="000F1B7A" w:rsidRDefault="00F9194F"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Content>
                <w:r w:rsidR="002373A1">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1A1E9B">
              <w:rPr>
                <w:rFonts w:cstheme="minorHAnsi"/>
                <w:bCs/>
              </w:rPr>
              <w:t>eMeasure</w:t>
            </w:r>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07D5DC72" w:rsidR="00A01494" w:rsidRPr="000F1B7A" w:rsidRDefault="00F9194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5499EDA7" w:rsidR="00A01494" w:rsidRPr="000F1B7A" w:rsidRDefault="00F9194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Pr="002D75EE" w:rsidRDefault="006327D8" w:rsidP="00DB3627">
      <w:pPr>
        <w:autoSpaceDE w:val="0"/>
        <w:autoSpaceDN w:val="0"/>
        <w:adjustRightInd w:val="0"/>
        <w:spacing w:after="0" w:line="240" w:lineRule="auto"/>
        <w:rPr>
          <w:rFonts w:cstheme="minorHAnsi"/>
          <w:b/>
          <w:bCs/>
          <w:sz w:val="12"/>
        </w:rPr>
      </w:pPr>
      <w:r w:rsidRPr="00A25024">
        <w:rPr>
          <w:rFonts w:cstheme="minorHAnsi"/>
          <w:b/>
          <w:bCs/>
        </w:rPr>
        <w:t xml:space="preserve">     </w:t>
      </w:r>
    </w:p>
    <w:p w14:paraId="44FD3C08" w14:textId="77777777" w:rsidR="00006B2B"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p>
    <w:p w14:paraId="0CABCFAE" w14:textId="6FC3C98E" w:rsidR="00C355B9" w:rsidRPr="00316892" w:rsidRDefault="004B5FBE" w:rsidP="007133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Pr>
          <w:rFonts w:cstheme="minorHAnsi"/>
          <w:bCs/>
        </w:rPr>
        <w:t xml:space="preserve"> </w:t>
      </w:r>
      <w:r>
        <w:t>We acquired data from a patient safety organization to support alpha testing of the measure concept, data elements, and validity. We partnered with two health systems to complete beta testing of the MAT output in two different EHR systems. We assessed data element and measure score validity as well as measure score reliability in beta testing.</w:t>
      </w:r>
      <w:r w:rsidDel="004B5FBE">
        <w:rPr>
          <w:rFonts w:cstheme="minorHAnsi"/>
          <w:bCs/>
          <w:color w:val="FF0000"/>
        </w:rPr>
        <w:t xml:space="preserve"> </w:t>
      </w:r>
      <w:r w:rsidR="00184723" w:rsidRPr="00584C4A">
        <w:rPr>
          <w:rFonts w:cstheme="minorHAnsi"/>
          <w:bCs/>
        </w:rPr>
        <w:t>The dataset used varies by testing</w:t>
      </w:r>
      <w:r w:rsidR="00184723">
        <w:rPr>
          <w:rFonts w:cstheme="minorHAnsi"/>
          <w:bCs/>
        </w:rPr>
        <w:t xml:space="preserve"> </w:t>
      </w:r>
      <w:r w:rsidR="00184723" w:rsidRPr="00584C4A">
        <w:rPr>
          <w:rFonts w:cstheme="minorHAnsi"/>
          <w:bCs/>
        </w:rPr>
        <w:t>type; see Section 1.7 for details.</w:t>
      </w:r>
    </w:p>
    <w:p w14:paraId="0CABCFAF" w14:textId="77777777" w:rsidR="009E1846" w:rsidRDefault="009E1846" w:rsidP="00DB3627">
      <w:pPr>
        <w:autoSpaceDE w:val="0"/>
        <w:autoSpaceDN w:val="0"/>
        <w:adjustRightInd w:val="0"/>
        <w:spacing w:after="0" w:line="240" w:lineRule="auto"/>
        <w:rPr>
          <w:rFonts w:cstheme="minorHAnsi"/>
          <w:b/>
        </w:rPr>
      </w:pPr>
    </w:p>
    <w:p w14:paraId="5FE38D04" w14:textId="77777777" w:rsidR="00843CD2"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08A427A5" w14:textId="77777777" w:rsidR="00843CD2" w:rsidRDefault="00843CD2" w:rsidP="00DB3627">
      <w:pPr>
        <w:autoSpaceDE w:val="0"/>
        <w:autoSpaceDN w:val="0"/>
        <w:adjustRightInd w:val="0"/>
        <w:spacing w:after="0" w:line="240" w:lineRule="auto"/>
        <w:rPr>
          <w:rFonts w:cstheme="minorHAnsi"/>
        </w:rPr>
      </w:pPr>
    </w:p>
    <w:p w14:paraId="0CABCFB0" w14:textId="5B94FFA6" w:rsidR="0004593A" w:rsidRPr="00316892" w:rsidRDefault="000574AB" w:rsidP="007133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316892">
        <w:rPr>
          <w:rFonts w:cstheme="minorHAnsi"/>
          <w:color w:val="FF0000"/>
        </w:rPr>
        <w:t xml:space="preserve"> </w:t>
      </w:r>
      <w:sdt>
        <w:sdtPr>
          <w:rPr>
            <w:rStyle w:val="Style1"/>
            <w:color w:val="FF0000"/>
          </w:rPr>
          <w:id w:val="950514773"/>
          <w:text/>
        </w:sdtPr>
        <w:sdtContent>
          <w:r w:rsidR="009C3734">
            <w:rPr>
              <w:rStyle w:val="Style1"/>
              <w:color w:val="FF0000"/>
            </w:rPr>
            <w:t>The dates vary by testing type; see Section 1.7 for details.</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F9194F"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F9194F"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F9194F"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F9194F"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4708DEAC" w:rsidR="000414E8" w:rsidRPr="00A01494" w:rsidRDefault="00F9194F"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B10735">
                  <w:rPr>
                    <w:rFonts w:ascii="MS Gothic" w:eastAsia="MS Gothic" w:hAnsi="MS Gothic" w:cstheme="minorHAnsi" w:hint="eastAsia"/>
                    <w:bCs/>
                    <w:color w:val="0000FF"/>
                  </w:rPr>
                  <w:t>☒</w:t>
                </w:r>
              </w:sdtContent>
            </w:sdt>
            <w:r w:rsidR="000414E8">
              <w:rPr>
                <w:rFonts w:cstheme="minorHAnsi"/>
                <w:bCs/>
              </w:rPr>
              <w:t xml:space="preserve"> </w:t>
            </w:r>
            <w:r w:rsidR="000414E8" w:rsidRPr="00ED3FD0">
              <w:rPr>
                <w:rFonts w:eastAsia="MS Gothic" w:cstheme="minorHAnsi"/>
                <w:bCs/>
              </w:rPr>
              <w:t>hospital/facility/agency</w:t>
            </w:r>
          </w:p>
        </w:tc>
        <w:tc>
          <w:tcPr>
            <w:tcW w:w="5028" w:type="dxa"/>
          </w:tcPr>
          <w:p w14:paraId="0CABCFBE" w14:textId="46F89CAA" w:rsidR="000414E8" w:rsidRPr="00A01494" w:rsidRDefault="00F9194F"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083BE8">
                  <w:rPr>
                    <w:rFonts w:ascii="MS Gothic" w:eastAsia="MS Gothic" w:hAnsi="MS Gothic" w:cstheme="minorHAnsi" w:hint="eastAsia"/>
                    <w:bCs/>
                    <w:color w:val="0000FF"/>
                  </w:rPr>
                  <w:t>☒</w:t>
                </w:r>
              </w:sdtContent>
            </w:sdt>
            <w:r w:rsidR="000414E8">
              <w:rPr>
                <w:rFonts w:cstheme="minorHAnsi"/>
                <w:bCs/>
              </w:rPr>
              <w:t xml:space="preserve"> </w:t>
            </w:r>
            <w:r w:rsidR="000414E8" w:rsidRPr="00ED3FD0">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F9194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F9194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19BFBFEB" w:rsidR="000414E8" w:rsidRPr="00A01494" w:rsidRDefault="00F9194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30D676E0" w:rsidR="000414E8" w:rsidRPr="00A01494" w:rsidRDefault="00F9194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2D75EE" w:rsidRDefault="000414E8" w:rsidP="00DB3627">
      <w:pPr>
        <w:autoSpaceDE w:val="0"/>
        <w:autoSpaceDN w:val="0"/>
        <w:adjustRightInd w:val="0"/>
        <w:spacing w:after="0" w:line="240" w:lineRule="auto"/>
        <w:rPr>
          <w:rFonts w:cstheme="minorHAnsi"/>
          <w:bCs/>
          <w:sz w:val="14"/>
        </w:rPr>
      </w:pPr>
    </w:p>
    <w:p w14:paraId="0CABCFC7" w14:textId="3F1C9253"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62645AE" w14:textId="77777777" w:rsidR="00C03C78" w:rsidRDefault="00C03C78" w:rsidP="00DB3627">
      <w:pPr>
        <w:autoSpaceDE w:val="0"/>
        <w:autoSpaceDN w:val="0"/>
        <w:adjustRightInd w:val="0"/>
        <w:spacing w:after="0" w:line="240" w:lineRule="auto"/>
        <w:rPr>
          <w:rFonts w:cstheme="minorHAnsi"/>
          <w:bCs/>
        </w:rPr>
      </w:pPr>
    </w:p>
    <w:p w14:paraId="0CABCFC8" w14:textId="4A8E9FC3" w:rsidR="002B5016" w:rsidRPr="00316892" w:rsidRDefault="00C03C78" w:rsidP="00DB3627">
      <w:pPr>
        <w:autoSpaceDE w:val="0"/>
        <w:autoSpaceDN w:val="0"/>
        <w:adjustRightInd w:val="0"/>
        <w:spacing w:after="0" w:line="240" w:lineRule="auto"/>
        <w:rPr>
          <w:rFonts w:cstheme="minorHAnsi"/>
          <w:bCs/>
          <w:color w:val="FF0000"/>
          <w:bdr w:val="single" w:sz="4" w:space="0" w:color="auto"/>
        </w:rPr>
      </w:pPr>
      <w:r w:rsidRPr="00316892">
        <w:rPr>
          <w:rFonts w:cstheme="minorHAnsi"/>
          <w:bCs/>
          <w:color w:val="FF0000"/>
          <w:bdr w:val="single" w:sz="4" w:space="0" w:color="auto"/>
        </w:rPr>
        <w:t xml:space="preserve">The number of measured entities (hospitals) </w:t>
      </w:r>
      <w:r w:rsidR="00ED3FD0">
        <w:rPr>
          <w:rFonts w:cstheme="minorHAnsi"/>
          <w:bCs/>
          <w:color w:val="FF0000"/>
          <w:bdr w:val="single" w:sz="4" w:space="0" w:color="auto"/>
        </w:rPr>
        <w:t>varies</w:t>
      </w:r>
      <w:r w:rsidRPr="00316892">
        <w:rPr>
          <w:rFonts w:cstheme="minorHAnsi"/>
          <w:bCs/>
          <w:color w:val="FF0000"/>
          <w:bdr w:val="single" w:sz="4" w:space="0" w:color="auto"/>
        </w:rPr>
        <w:t>; see Section 1.7 for details.</w:t>
      </w:r>
    </w:p>
    <w:p w14:paraId="3079A940" w14:textId="77777777" w:rsidR="00C03C78"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CABCFC9" w14:textId="5D067DF6" w:rsidR="007422FD" w:rsidRPr="00316892" w:rsidRDefault="007422FD" w:rsidP="00DB3627">
      <w:pPr>
        <w:autoSpaceDE w:val="0"/>
        <w:autoSpaceDN w:val="0"/>
        <w:adjustRightInd w:val="0"/>
        <w:spacing w:after="0" w:line="240" w:lineRule="auto"/>
        <w:rPr>
          <w:rFonts w:cstheme="minorHAnsi"/>
          <w:bCs/>
          <w:color w:val="FF0000"/>
        </w:rPr>
      </w:pPr>
      <w:r w:rsidRPr="00316892">
        <w:rPr>
          <w:rFonts w:cstheme="minorHAnsi"/>
          <w:bCs/>
          <w:color w:val="FF0000"/>
        </w:rPr>
        <w:br/>
      </w:r>
      <w:r w:rsidR="00C03C78" w:rsidRPr="00316892">
        <w:rPr>
          <w:rFonts w:cstheme="minorHAnsi"/>
          <w:bCs/>
          <w:color w:val="FF0000"/>
          <w:bdr w:val="single" w:sz="4" w:space="0" w:color="auto"/>
        </w:rPr>
        <w:t xml:space="preserve">The number of admissions/patients </w:t>
      </w:r>
      <w:r w:rsidR="00ED3FD0">
        <w:rPr>
          <w:rFonts w:cstheme="minorHAnsi"/>
          <w:bCs/>
          <w:color w:val="FF0000"/>
          <w:bdr w:val="single" w:sz="4" w:space="0" w:color="auto"/>
        </w:rPr>
        <w:t>varies</w:t>
      </w:r>
      <w:r w:rsidR="00C03C78" w:rsidRPr="00316892">
        <w:rPr>
          <w:rFonts w:cstheme="minorHAnsi"/>
          <w:bCs/>
          <w:color w:val="FF0000"/>
          <w:bdr w:val="single" w:sz="4" w:space="0" w:color="auto"/>
        </w:rPr>
        <w:t>; see Section 1.7 for details.</w:t>
      </w:r>
    </w:p>
    <w:p w14:paraId="7D8D77A4" w14:textId="77777777" w:rsidR="00C03C78" w:rsidRDefault="00C03C78" w:rsidP="00DB3627">
      <w:pPr>
        <w:autoSpaceDE w:val="0"/>
        <w:autoSpaceDN w:val="0"/>
        <w:adjustRightInd w:val="0"/>
        <w:spacing w:after="0" w:line="240" w:lineRule="auto"/>
        <w:rPr>
          <w:rFonts w:cstheme="minorHAnsi"/>
          <w:bCs/>
        </w:rPr>
      </w:pPr>
    </w:p>
    <w:p w14:paraId="0CABCFCA" w14:textId="067A30D6"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9005245" w14:textId="25FEF68D" w:rsidR="008E3175" w:rsidRPr="003B74A9" w:rsidRDefault="003B74A9" w:rsidP="00E37E1B">
      <w:pPr>
        <w:autoSpaceDE w:val="0"/>
        <w:autoSpaceDN w:val="0"/>
        <w:adjustRightInd w:val="0"/>
        <w:spacing w:after="0" w:line="240" w:lineRule="auto"/>
        <w:rPr>
          <w:rFonts w:cstheme="minorHAnsi"/>
          <w:bCs/>
          <w:color w:val="FF0000"/>
        </w:rPr>
      </w:pPr>
      <w:r w:rsidRPr="00E26040">
        <w:rPr>
          <w:rFonts w:cstheme="minorHAnsi"/>
          <w:bCs/>
          <w:color w:val="FF0000"/>
        </w:rPr>
        <w:t xml:space="preserve">The datasets, dates, number of measured hospitals, and number of admissions used in each phase of testing are in </w:t>
      </w:r>
      <w:r w:rsidRPr="00E26040">
        <w:rPr>
          <w:rFonts w:cstheme="minorHAnsi"/>
          <w:b/>
          <w:bCs/>
          <w:color w:val="FF0000"/>
        </w:rPr>
        <w:t>Table 1</w:t>
      </w:r>
      <w:r w:rsidR="008E3175" w:rsidRPr="003B74A9">
        <w:rPr>
          <w:rFonts w:cstheme="minorHAnsi"/>
          <w:bCs/>
          <w:color w:val="FF0000"/>
        </w:rPr>
        <w:t xml:space="preserve">. </w:t>
      </w:r>
    </w:p>
    <w:p w14:paraId="28EFD028" w14:textId="77777777" w:rsidR="008E3175" w:rsidRDefault="008E3175" w:rsidP="00E37E1B">
      <w:pPr>
        <w:autoSpaceDE w:val="0"/>
        <w:autoSpaceDN w:val="0"/>
        <w:adjustRightInd w:val="0"/>
        <w:spacing w:after="0" w:line="240" w:lineRule="auto"/>
        <w:rPr>
          <w:rFonts w:cstheme="minorHAnsi"/>
          <w:b/>
          <w:bCs/>
        </w:rPr>
      </w:pPr>
    </w:p>
    <w:p w14:paraId="0CABCFCB" w14:textId="7F34CD0A" w:rsidR="00E37E1B" w:rsidRPr="005B2698" w:rsidRDefault="0045501C" w:rsidP="005B2698">
      <w:pPr>
        <w:pStyle w:val="Caption"/>
        <w:rPr>
          <w:color w:val="auto"/>
        </w:rPr>
      </w:pPr>
      <w:r w:rsidRPr="005B2698">
        <w:rPr>
          <w:color w:val="auto"/>
        </w:rPr>
        <w:t xml:space="preserve">Table 1. </w:t>
      </w:r>
      <w:bookmarkStart w:id="11" w:name="_Hlk531197354"/>
      <w:r w:rsidR="00ED3FD0" w:rsidRPr="005B2698">
        <w:rPr>
          <w:color w:val="auto"/>
        </w:rPr>
        <w:t>Dataset D</w:t>
      </w:r>
      <w:r w:rsidRPr="005B2698">
        <w:rPr>
          <w:color w:val="auto"/>
        </w:rPr>
        <w:t>escriptions</w:t>
      </w:r>
      <w:bookmarkEnd w:id="11"/>
    </w:p>
    <w:tbl>
      <w:tblPr>
        <w:tblStyle w:val="TableGrid"/>
        <w:tblW w:w="0" w:type="auto"/>
        <w:tblLook w:val="04A0" w:firstRow="1" w:lastRow="0" w:firstColumn="1" w:lastColumn="0" w:noHBand="0" w:noVBand="1"/>
      </w:tblPr>
      <w:tblGrid>
        <w:gridCol w:w="1615"/>
        <w:gridCol w:w="2995"/>
        <w:gridCol w:w="3632"/>
        <w:gridCol w:w="1108"/>
      </w:tblGrid>
      <w:tr w:rsidR="00BF6FBD" w14:paraId="3FDC77D3" w14:textId="77777777" w:rsidTr="00DD7A05">
        <w:tc>
          <w:tcPr>
            <w:tcW w:w="1615" w:type="dxa"/>
            <w:vAlign w:val="center"/>
          </w:tcPr>
          <w:p w14:paraId="2C3782A7" w14:textId="77777777" w:rsidR="00BF6FBD" w:rsidRPr="003F14FD" w:rsidRDefault="00BF6FBD" w:rsidP="00402BC4">
            <w:pPr>
              <w:jc w:val="center"/>
              <w:rPr>
                <w:b/>
              </w:rPr>
            </w:pPr>
            <w:r w:rsidRPr="003F14FD">
              <w:rPr>
                <w:b/>
              </w:rPr>
              <w:t>Dataset</w:t>
            </w:r>
          </w:p>
        </w:tc>
        <w:tc>
          <w:tcPr>
            <w:tcW w:w="2995" w:type="dxa"/>
            <w:vAlign w:val="center"/>
          </w:tcPr>
          <w:p w14:paraId="689C176F" w14:textId="77777777" w:rsidR="00BF6FBD" w:rsidRPr="003F14FD" w:rsidRDefault="00BF6FBD" w:rsidP="00402BC4">
            <w:pPr>
              <w:jc w:val="center"/>
              <w:rPr>
                <w:b/>
              </w:rPr>
            </w:pPr>
            <w:r w:rsidRPr="003F14FD">
              <w:rPr>
                <w:b/>
              </w:rPr>
              <w:t>Applicable Section in the Testing Attachment</w:t>
            </w:r>
          </w:p>
        </w:tc>
        <w:tc>
          <w:tcPr>
            <w:tcW w:w="3632" w:type="dxa"/>
            <w:vAlign w:val="center"/>
          </w:tcPr>
          <w:p w14:paraId="473BE433" w14:textId="77777777" w:rsidR="00BF6FBD" w:rsidRPr="003F14FD" w:rsidRDefault="00BF6FBD" w:rsidP="00402BC4">
            <w:pPr>
              <w:jc w:val="center"/>
              <w:rPr>
                <w:b/>
              </w:rPr>
            </w:pPr>
            <w:r w:rsidRPr="003F14FD">
              <w:rPr>
                <w:b/>
              </w:rPr>
              <w:t>Description of Dataset</w:t>
            </w:r>
          </w:p>
        </w:tc>
        <w:tc>
          <w:tcPr>
            <w:tcW w:w="1108" w:type="dxa"/>
            <w:vAlign w:val="center"/>
          </w:tcPr>
          <w:p w14:paraId="5FAE616D" w14:textId="2D333EF1" w:rsidR="00BF6FBD" w:rsidRPr="003F14FD" w:rsidRDefault="00BF6FBD" w:rsidP="00DB4B60">
            <w:pPr>
              <w:jc w:val="center"/>
              <w:rPr>
                <w:b/>
              </w:rPr>
            </w:pPr>
            <w:r w:rsidRPr="003F14FD">
              <w:rPr>
                <w:b/>
              </w:rPr>
              <w:t xml:space="preserve">EHR </w:t>
            </w:r>
            <w:r w:rsidR="00184723">
              <w:rPr>
                <w:b/>
              </w:rPr>
              <w:t>Vendor</w:t>
            </w:r>
          </w:p>
        </w:tc>
      </w:tr>
      <w:tr w:rsidR="00BF6FBD" w14:paraId="03CD7CB0" w14:textId="77777777" w:rsidTr="00DD7A05">
        <w:tc>
          <w:tcPr>
            <w:tcW w:w="1615" w:type="dxa"/>
          </w:tcPr>
          <w:p w14:paraId="07EDC2B5" w14:textId="76036C7F" w:rsidR="00BF6FBD" w:rsidRPr="003F14FD" w:rsidRDefault="00BF6FBD" w:rsidP="006E03FD">
            <w:pPr>
              <w:jc w:val="center"/>
              <w:rPr>
                <w:b/>
              </w:rPr>
            </w:pPr>
            <w:r w:rsidRPr="003F14FD">
              <w:rPr>
                <w:b/>
              </w:rPr>
              <w:t xml:space="preserve">Beta </w:t>
            </w:r>
            <w:r w:rsidR="00B93E3A">
              <w:rPr>
                <w:b/>
              </w:rPr>
              <w:t>Dataset</w:t>
            </w:r>
            <w:r w:rsidRPr="003F14FD">
              <w:rPr>
                <w:b/>
              </w:rPr>
              <w:t xml:space="preserve"> 1</w:t>
            </w:r>
          </w:p>
        </w:tc>
        <w:tc>
          <w:tcPr>
            <w:tcW w:w="2995" w:type="dxa"/>
          </w:tcPr>
          <w:p w14:paraId="3179BEB1" w14:textId="77777777" w:rsidR="00DD7A05" w:rsidRPr="00DD7A05" w:rsidRDefault="00DD7A05" w:rsidP="00DD7A05">
            <w:r w:rsidRPr="00DD7A05">
              <w:t>Section 2a2 Reliability Testing</w:t>
            </w:r>
          </w:p>
          <w:p w14:paraId="26954F4A" w14:textId="77777777" w:rsidR="00DD7A05" w:rsidRPr="00DD7A05" w:rsidRDefault="00DD7A05" w:rsidP="00DD7A05"/>
          <w:p w14:paraId="490F8C32" w14:textId="77777777" w:rsidR="00DD7A05" w:rsidRPr="00DD7A05" w:rsidRDefault="00DD7A05" w:rsidP="00DD7A05">
            <w:r w:rsidRPr="00DD7A05">
              <w:t>Section 2b1 Validity Testing</w:t>
            </w:r>
          </w:p>
          <w:p w14:paraId="74822A7C" w14:textId="77777777" w:rsidR="00DD7A05" w:rsidRPr="00DD7A05" w:rsidRDefault="00DD7A05" w:rsidP="00DD7A05"/>
          <w:p w14:paraId="40A4CC76" w14:textId="77777777" w:rsidR="00DD7A05" w:rsidRPr="00DD7A05" w:rsidRDefault="00DD7A05" w:rsidP="00DD7A05">
            <w:r w:rsidRPr="00DD7A05">
              <w:t>Section 2b4 Identification of Statistically Significant and Meaningful Differences in Performance</w:t>
            </w:r>
          </w:p>
          <w:p w14:paraId="0D4496A0" w14:textId="77777777" w:rsidR="00DD7A05" w:rsidRPr="00DD7A05" w:rsidRDefault="00DD7A05" w:rsidP="00DD7A05"/>
          <w:p w14:paraId="62B99984" w14:textId="1B531DBE" w:rsidR="00BF6FBD" w:rsidRDefault="00DD7A05" w:rsidP="00DD7A05">
            <w:r w:rsidRPr="00DD7A05">
              <w:t>Section 2b6 Missing Data Analysis</w:t>
            </w:r>
          </w:p>
        </w:tc>
        <w:tc>
          <w:tcPr>
            <w:tcW w:w="3632" w:type="dxa"/>
          </w:tcPr>
          <w:p w14:paraId="05433DEA" w14:textId="77777777" w:rsidR="00BF6FBD" w:rsidRDefault="00BF6FBD" w:rsidP="00BF6FBD">
            <w:r>
              <w:t>Dates of Data: January 1, 2017 - December 31, 2017</w:t>
            </w:r>
          </w:p>
          <w:p w14:paraId="7FAAEF21" w14:textId="77777777" w:rsidR="00BF6FBD" w:rsidRDefault="00BF6FBD" w:rsidP="00BF6FBD"/>
          <w:p w14:paraId="5BA4BCDF" w14:textId="34CCF7F2" w:rsidR="00BF6FBD" w:rsidRDefault="00BF6FBD" w:rsidP="00BF6FBD">
            <w:r>
              <w:t xml:space="preserve">Number of </w:t>
            </w:r>
            <w:r w:rsidR="00C46F5C">
              <w:t>H</w:t>
            </w:r>
            <w:r>
              <w:t>ospitals: 4</w:t>
            </w:r>
          </w:p>
          <w:p w14:paraId="59EEA8D4" w14:textId="77777777" w:rsidR="00BF6FBD" w:rsidRDefault="00BF6FBD" w:rsidP="00BF6FBD"/>
          <w:p w14:paraId="33CFA37C" w14:textId="31AB2425" w:rsidR="00BF6FBD" w:rsidRDefault="00BF6FBD" w:rsidP="00BF6FBD">
            <w:r>
              <w:t>Number of Admissions: 7,748</w:t>
            </w:r>
          </w:p>
          <w:p w14:paraId="3FBF970D" w14:textId="77777777" w:rsidR="00BF6FBD" w:rsidRDefault="00BF6FBD" w:rsidP="00BF6FBD"/>
          <w:p w14:paraId="3412A0BF" w14:textId="77777777" w:rsidR="00BF6FBD" w:rsidRDefault="00BF6FBD" w:rsidP="00BF6FBD">
            <w:r>
              <w:t>Number of Unique Patients: 5,394</w:t>
            </w:r>
          </w:p>
          <w:p w14:paraId="49AD7CC1" w14:textId="77777777" w:rsidR="00BF6FBD" w:rsidRDefault="00BF6FBD" w:rsidP="00BF6FBD"/>
          <w:p w14:paraId="5450EAC7" w14:textId="77777777" w:rsidR="00BF6FBD" w:rsidRDefault="00BF6FBD" w:rsidP="00BF6FBD">
            <w:r w:rsidRPr="00DE70AB">
              <w:t>For Validity Testing: sample of 175 admissions</w:t>
            </w:r>
          </w:p>
          <w:p w14:paraId="1F8493A0" w14:textId="77777777" w:rsidR="0045501C" w:rsidRDefault="0045501C" w:rsidP="00BF6FBD"/>
          <w:p w14:paraId="1F97C8E3" w14:textId="7645AD85" w:rsidR="0045501C" w:rsidRDefault="008E3175" w:rsidP="00BF6FBD">
            <w:r>
              <w:t>H</w:t>
            </w:r>
            <w:r w:rsidR="0045501C">
              <w:t>ospitals were within one health system, in urban location</w:t>
            </w:r>
            <w:r w:rsidR="00FC6C71">
              <w:t>s</w:t>
            </w:r>
            <w:r w:rsidR="0045501C">
              <w:t xml:space="preserve">. Hospitals ranged between 50 – 1,000 beds. Located in </w:t>
            </w:r>
            <w:r w:rsidR="000C4F57">
              <w:t xml:space="preserve">the </w:t>
            </w:r>
            <w:r w:rsidR="00A11858">
              <w:t>Midwest</w:t>
            </w:r>
            <w:r w:rsidR="0045501C">
              <w:t>.</w:t>
            </w:r>
          </w:p>
        </w:tc>
        <w:tc>
          <w:tcPr>
            <w:tcW w:w="1108" w:type="dxa"/>
          </w:tcPr>
          <w:p w14:paraId="1D027EF7" w14:textId="77777777" w:rsidR="00BF6FBD" w:rsidRDefault="00BF6FBD" w:rsidP="00DB4B60">
            <w:pPr>
              <w:jc w:val="center"/>
            </w:pPr>
            <w:r>
              <w:t>Epic</w:t>
            </w:r>
          </w:p>
        </w:tc>
      </w:tr>
      <w:tr w:rsidR="00BF6FBD" w14:paraId="513FA37E" w14:textId="77777777" w:rsidTr="00DD7A05">
        <w:tc>
          <w:tcPr>
            <w:tcW w:w="1615" w:type="dxa"/>
          </w:tcPr>
          <w:p w14:paraId="7D350CD4" w14:textId="7988A58A" w:rsidR="00BF6FBD" w:rsidRPr="003F14FD" w:rsidRDefault="00BF6FBD" w:rsidP="006E03FD">
            <w:pPr>
              <w:jc w:val="center"/>
              <w:rPr>
                <w:b/>
              </w:rPr>
            </w:pPr>
            <w:r w:rsidRPr="003F14FD">
              <w:rPr>
                <w:b/>
              </w:rPr>
              <w:t xml:space="preserve">Beta </w:t>
            </w:r>
            <w:r w:rsidR="00B93E3A">
              <w:rPr>
                <w:b/>
              </w:rPr>
              <w:t>Dataset</w:t>
            </w:r>
            <w:r w:rsidRPr="003F14FD">
              <w:rPr>
                <w:b/>
              </w:rPr>
              <w:t xml:space="preserve"> 2</w:t>
            </w:r>
          </w:p>
        </w:tc>
        <w:tc>
          <w:tcPr>
            <w:tcW w:w="2995" w:type="dxa"/>
          </w:tcPr>
          <w:p w14:paraId="0B02F8B7" w14:textId="77777777" w:rsidR="00087280" w:rsidRPr="00087280" w:rsidRDefault="00087280" w:rsidP="00087280">
            <w:r w:rsidRPr="00087280">
              <w:t>Section 2a2 Reliability Testing</w:t>
            </w:r>
          </w:p>
          <w:p w14:paraId="0C0C40A7" w14:textId="77777777" w:rsidR="00087280" w:rsidRPr="00087280" w:rsidRDefault="00087280" w:rsidP="00087280"/>
          <w:p w14:paraId="4D18F4AC" w14:textId="77777777" w:rsidR="00087280" w:rsidRPr="00087280" w:rsidRDefault="00087280" w:rsidP="00087280">
            <w:r w:rsidRPr="00087280">
              <w:t>Section 2b1 Validity Testing</w:t>
            </w:r>
          </w:p>
          <w:p w14:paraId="516F588E" w14:textId="77777777" w:rsidR="00087280" w:rsidRPr="00087280" w:rsidRDefault="00087280" w:rsidP="00087280"/>
          <w:p w14:paraId="37A512E8" w14:textId="77777777" w:rsidR="00087280" w:rsidRPr="00087280" w:rsidRDefault="00087280" w:rsidP="00087280">
            <w:r w:rsidRPr="00087280">
              <w:t>Section 2b4 Identification of Statistically Significant and Meaningful Differences in Performance</w:t>
            </w:r>
          </w:p>
          <w:p w14:paraId="52D32785" w14:textId="77777777" w:rsidR="00087280" w:rsidRPr="00087280" w:rsidRDefault="00087280" w:rsidP="00087280"/>
          <w:p w14:paraId="6BF8BBD8" w14:textId="099FFFF9" w:rsidR="00BF6FBD" w:rsidRDefault="00087280" w:rsidP="00087280">
            <w:r w:rsidRPr="00087280">
              <w:t>Section 2b6 Missing Data Analysis</w:t>
            </w:r>
          </w:p>
          <w:p w14:paraId="404B4E45" w14:textId="77777777" w:rsidR="00BF6FBD" w:rsidRDefault="00BF6FBD" w:rsidP="00BF6FBD"/>
        </w:tc>
        <w:tc>
          <w:tcPr>
            <w:tcW w:w="3632" w:type="dxa"/>
          </w:tcPr>
          <w:p w14:paraId="24069033" w14:textId="77777777" w:rsidR="00BF6FBD" w:rsidRDefault="00BF6FBD" w:rsidP="00BF6FBD">
            <w:r>
              <w:lastRenderedPageBreak/>
              <w:t>Dates of Data: January 1, 2017 - December 31, 2017</w:t>
            </w:r>
          </w:p>
          <w:p w14:paraId="2AD6B3EB" w14:textId="77777777" w:rsidR="00BF6FBD" w:rsidRDefault="00BF6FBD" w:rsidP="00BF6FBD"/>
          <w:p w14:paraId="09C10B7A" w14:textId="187DB463" w:rsidR="00BF6FBD" w:rsidRDefault="00BF6FBD" w:rsidP="00BF6FBD">
            <w:r>
              <w:t xml:space="preserve">Number of </w:t>
            </w:r>
            <w:r w:rsidR="00C46F5C">
              <w:t>H</w:t>
            </w:r>
            <w:r>
              <w:t>ospitals: 2</w:t>
            </w:r>
          </w:p>
          <w:p w14:paraId="4DE1F746" w14:textId="77777777" w:rsidR="00BF6FBD" w:rsidRDefault="00BF6FBD" w:rsidP="00BF6FBD"/>
          <w:p w14:paraId="70D81BDB" w14:textId="080E6456" w:rsidR="00BF6FBD" w:rsidRDefault="00BF6FBD" w:rsidP="00BF6FBD">
            <w:r>
              <w:t>Number of Admissions: 5,888</w:t>
            </w:r>
          </w:p>
          <w:p w14:paraId="2DB1A230" w14:textId="77777777" w:rsidR="00BF6FBD" w:rsidRDefault="00BF6FBD" w:rsidP="00BF6FBD"/>
          <w:p w14:paraId="12A7C835" w14:textId="77777777" w:rsidR="00BF6FBD" w:rsidRDefault="00BF6FBD" w:rsidP="00BF6FBD">
            <w:r>
              <w:t>Number of Unique Patients: 4,580</w:t>
            </w:r>
          </w:p>
          <w:p w14:paraId="49B858A5" w14:textId="77777777" w:rsidR="00BF6FBD" w:rsidRDefault="00BF6FBD" w:rsidP="00BF6FBD"/>
          <w:p w14:paraId="312E91AB" w14:textId="77777777" w:rsidR="00BF6FBD" w:rsidRDefault="00BF6FBD" w:rsidP="00BF6FBD">
            <w:r>
              <w:t xml:space="preserve">For Validity Testing: sample of </w:t>
            </w:r>
            <w:r w:rsidRPr="00DE70AB">
              <w:t>175 admissions</w:t>
            </w:r>
          </w:p>
          <w:p w14:paraId="17B697C0" w14:textId="77777777" w:rsidR="0045501C" w:rsidRDefault="0045501C" w:rsidP="00BF6FBD"/>
          <w:p w14:paraId="402D7F0B" w14:textId="014FB58B" w:rsidR="0045501C" w:rsidRDefault="008E3175" w:rsidP="00BF6FBD">
            <w:r>
              <w:t>H</w:t>
            </w:r>
            <w:r w:rsidR="0045501C">
              <w:t>ospitals were within one health system, in urban location</w:t>
            </w:r>
            <w:r w:rsidR="00FC6C71">
              <w:t>s</w:t>
            </w:r>
            <w:r w:rsidR="0045501C">
              <w:t xml:space="preserve">. Hospitals ranged between 200 – 3,800 beds. Located in </w:t>
            </w:r>
            <w:r w:rsidR="005E7D1E">
              <w:t>the S</w:t>
            </w:r>
            <w:r w:rsidR="000C4F57">
              <w:t>outh</w:t>
            </w:r>
            <w:r w:rsidR="0045501C">
              <w:t>.</w:t>
            </w:r>
          </w:p>
        </w:tc>
        <w:tc>
          <w:tcPr>
            <w:tcW w:w="1108" w:type="dxa"/>
          </w:tcPr>
          <w:p w14:paraId="2C6F9F51" w14:textId="77777777" w:rsidR="00BF6FBD" w:rsidRDefault="00BF6FBD" w:rsidP="00DB4B60">
            <w:pPr>
              <w:jc w:val="center"/>
            </w:pPr>
            <w:r>
              <w:lastRenderedPageBreak/>
              <w:t>Cerner</w:t>
            </w:r>
          </w:p>
        </w:tc>
      </w:tr>
      <w:tr w:rsidR="00BF6FBD" w14:paraId="116344DA" w14:textId="77777777" w:rsidTr="00DD7A05">
        <w:tc>
          <w:tcPr>
            <w:tcW w:w="1615" w:type="dxa"/>
          </w:tcPr>
          <w:p w14:paraId="116FF40A" w14:textId="27A25DB5" w:rsidR="00BF6FBD" w:rsidRPr="003F14FD" w:rsidRDefault="00B93E3A" w:rsidP="006E03FD">
            <w:pPr>
              <w:jc w:val="center"/>
              <w:rPr>
                <w:b/>
              </w:rPr>
            </w:pPr>
            <w:r>
              <w:rPr>
                <w:b/>
              </w:rPr>
              <w:t xml:space="preserve">Alpha </w:t>
            </w:r>
            <w:r w:rsidR="00BF6FBD" w:rsidRPr="003F14FD">
              <w:rPr>
                <w:b/>
              </w:rPr>
              <w:t>Dataset</w:t>
            </w:r>
          </w:p>
        </w:tc>
        <w:tc>
          <w:tcPr>
            <w:tcW w:w="2995" w:type="dxa"/>
          </w:tcPr>
          <w:p w14:paraId="7034CF10" w14:textId="5302BDC5" w:rsidR="00BF6FBD" w:rsidRDefault="00087280" w:rsidP="00BF6FBD">
            <w:r w:rsidRPr="00087280">
              <w:t>Section 2b1 Validity Testing (Measure Score)</w:t>
            </w:r>
          </w:p>
          <w:p w14:paraId="34F89485" w14:textId="77777777" w:rsidR="00BF6FBD" w:rsidRDefault="00BF6FBD" w:rsidP="00BF6FBD"/>
        </w:tc>
        <w:tc>
          <w:tcPr>
            <w:tcW w:w="3632" w:type="dxa"/>
          </w:tcPr>
          <w:p w14:paraId="3F6687F6" w14:textId="182B15FA" w:rsidR="00BF6FBD" w:rsidRDefault="00BF6FBD" w:rsidP="00BF6FBD">
            <w:r>
              <w:t xml:space="preserve">Dates of Data: June 1, 2016 - May </w:t>
            </w:r>
            <w:r w:rsidR="004838E4">
              <w:t>31</w:t>
            </w:r>
            <w:r>
              <w:t>, 2017</w:t>
            </w:r>
          </w:p>
          <w:p w14:paraId="5B7AB372" w14:textId="77777777" w:rsidR="00BF6FBD" w:rsidRDefault="00BF6FBD" w:rsidP="00BF6FBD"/>
          <w:p w14:paraId="0D42F668" w14:textId="70A9FAD3" w:rsidR="00BF6FBD" w:rsidRDefault="00BF6FBD" w:rsidP="00BF6FBD">
            <w:r>
              <w:t xml:space="preserve">Number of </w:t>
            </w:r>
            <w:r w:rsidR="00C46F5C">
              <w:t>H</w:t>
            </w:r>
            <w:r>
              <w:t>ospitals: 5</w:t>
            </w:r>
          </w:p>
          <w:p w14:paraId="5CF3AD06" w14:textId="77777777" w:rsidR="00BF6FBD" w:rsidRDefault="00BF6FBD" w:rsidP="00BF6FBD"/>
          <w:p w14:paraId="0B41B6B2" w14:textId="5D3F13DA" w:rsidR="00BF6FBD" w:rsidRDefault="00BF6FBD" w:rsidP="00BF6FBD">
            <w:r>
              <w:t>Number of Admissions: 66,127</w:t>
            </w:r>
          </w:p>
          <w:p w14:paraId="730A7346" w14:textId="77777777" w:rsidR="00BF6FBD" w:rsidRDefault="00BF6FBD" w:rsidP="00BF6FBD"/>
          <w:p w14:paraId="72F52F80" w14:textId="52574AE2" w:rsidR="00BF6FBD" w:rsidRDefault="008E3175" w:rsidP="00BF6FBD">
            <w:r>
              <w:t>H</w:t>
            </w:r>
            <w:r w:rsidRPr="00DE70AB">
              <w:t xml:space="preserve">ospitals </w:t>
            </w:r>
            <w:r w:rsidR="00BF6FBD" w:rsidRPr="00DE70AB">
              <w:t xml:space="preserve">were </w:t>
            </w:r>
            <w:r>
              <w:t xml:space="preserve">in two different health systems, both in </w:t>
            </w:r>
            <w:r w:rsidR="00BF6FBD" w:rsidRPr="00DE70AB">
              <w:t xml:space="preserve">urban </w:t>
            </w:r>
            <w:r>
              <w:t xml:space="preserve">locations, </w:t>
            </w:r>
            <w:r w:rsidR="00BF6FBD" w:rsidRPr="00DE70AB">
              <w:t xml:space="preserve">and not-for-profit. </w:t>
            </w:r>
            <w:r w:rsidR="000C4F57" w:rsidRPr="00826124">
              <w:t xml:space="preserve">They were diverse in terms of bed size (between 100-199 beds and 300-399 bed), teaching status, </w:t>
            </w:r>
            <w:r w:rsidR="0045501C">
              <w:t xml:space="preserve">geographic </w:t>
            </w:r>
            <w:r w:rsidR="00BF6FBD">
              <w:t>location</w:t>
            </w:r>
            <w:r w:rsidR="007C4873">
              <w:t xml:space="preserve"> (South, West)</w:t>
            </w:r>
            <w:r w:rsidR="00636DCF">
              <w:t>.</w:t>
            </w:r>
          </w:p>
        </w:tc>
        <w:tc>
          <w:tcPr>
            <w:tcW w:w="1108" w:type="dxa"/>
          </w:tcPr>
          <w:p w14:paraId="432C3112" w14:textId="77777777" w:rsidR="00BF6FBD" w:rsidRDefault="00BF6FBD" w:rsidP="00DB4B60">
            <w:pPr>
              <w:jc w:val="center"/>
            </w:pPr>
            <w:r>
              <w:t>Cerner &amp;</w:t>
            </w:r>
            <w:r w:rsidRPr="00DE70AB">
              <w:t xml:space="preserve"> Epic</w:t>
            </w:r>
          </w:p>
        </w:tc>
      </w:tr>
    </w:tbl>
    <w:p w14:paraId="62D400FE" w14:textId="619A49EC" w:rsidR="00BF6FBD" w:rsidRDefault="00BF6FBD" w:rsidP="002D75EE">
      <w:pPr>
        <w:autoSpaceDE w:val="0"/>
        <w:autoSpaceDN w:val="0"/>
        <w:adjustRightInd w:val="0"/>
        <w:rPr>
          <w:rFonts w:cstheme="minorHAnsi"/>
          <w:bCs/>
          <w:color w:val="FF0000"/>
        </w:rPr>
      </w:pPr>
    </w:p>
    <w:p w14:paraId="7712D632" w14:textId="12272D83" w:rsidR="000F24E0" w:rsidRPr="00A11858" w:rsidRDefault="003B74A9" w:rsidP="002D75EE">
      <w:pPr>
        <w:autoSpaceDE w:val="0"/>
        <w:autoSpaceDN w:val="0"/>
        <w:adjustRightInd w:val="0"/>
        <w:rPr>
          <w:rFonts w:cstheme="minorHAnsi"/>
          <w:b/>
          <w:bCs/>
          <w:color w:val="FF0000"/>
        </w:rPr>
      </w:pPr>
      <w:bookmarkStart w:id="12" w:name="_Hlk531197224"/>
      <w:bookmarkStart w:id="13" w:name="_Hlk531258360"/>
      <w:r w:rsidRPr="00A11858">
        <w:rPr>
          <w:rFonts w:cstheme="minorHAnsi"/>
          <w:b/>
          <w:bCs/>
          <w:color w:val="FF0000"/>
        </w:rPr>
        <w:t>Patient descriptive characteristics in Alpha Dataset are as follows:</w:t>
      </w:r>
    </w:p>
    <w:bookmarkEnd w:id="12"/>
    <w:p w14:paraId="6BF3599D" w14:textId="77777777" w:rsidR="003B74A9" w:rsidRPr="005E7D1E" w:rsidRDefault="003B74A9" w:rsidP="003B74A9">
      <w:pPr>
        <w:pStyle w:val="ListParagraph"/>
        <w:numPr>
          <w:ilvl w:val="0"/>
          <w:numId w:val="30"/>
        </w:numPr>
        <w:autoSpaceDE w:val="0"/>
        <w:autoSpaceDN w:val="0"/>
        <w:adjustRightInd w:val="0"/>
        <w:spacing w:after="0" w:line="240" w:lineRule="auto"/>
        <w:ind w:left="720"/>
        <w:rPr>
          <w:rFonts w:cstheme="minorHAnsi"/>
          <w:bCs/>
          <w:color w:val="FF0000"/>
        </w:rPr>
      </w:pPr>
      <w:r w:rsidRPr="005E7D1E">
        <w:rPr>
          <w:rFonts w:cstheme="minorHAnsi"/>
          <w:bCs/>
          <w:color w:val="FF0000"/>
        </w:rPr>
        <w:t xml:space="preserve">Patient Descriptive Characteristics: </w:t>
      </w:r>
    </w:p>
    <w:p w14:paraId="71C1BAE4" w14:textId="77777777" w:rsidR="003B74A9" w:rsidRPr="005E7D1E" w:rsidRDefault="003B74A9" w:rsidP="003B74A9">
      <w:pPr>
        <w:pStyle w:val="ListParagraph"/>
        <w:numPr>
          <w:ilvl w:val="1"/>
          <w:numId w:val="30"/>
        </w:numPr>
        <w:autoSpaceDE w:val="0"/>
        <w:autoSpaceDN w:val="0"/>
        <w:adjustRightInd w:val="0"/>
        <w:spacing w:after="0" w:line="240" w:lineRule="auto"/>
        <w:ind w:left="1440"/>
        <w:rPr>
          <w:rFonts w:cstheme="minorHAnsi"/>
          <w:bCs/>
          <w:color w:val="FF0000"/>
        </w:rPr>
      </w:pPr>
      <w:r w:rsidRPr="005E7D1E">
        <w:rPr>
          <w:rFonts w:cstheme="minorHAnsi"/>
          <w:bCs/>
          <w:color w:val="FF0000"/>
        </w:rPr>
        <w:t>Mean age at admission = 58.7 years with a standard deviation of 20.4 years</w:t>
      </w:r>
    </w:p>
    <w:p w14:paraId="302BBB88" w14:textId="77777777" w:rsidR="003B74A9" w:rsidRPr="005E7D1E" w:rsidRDefault="003B74A9" w:rsidP="003B74A9">
      <w:pPr>
        <w:pStyle w:val="ListParagraph"/>
        <w:numPr>
          <w:ilvl w:val="1"/>
          <w:numId w:val="30"/>
        </w:numPr>
        <w:autoSpaceDE w:val="0"/>
        <w:autoSpaceDN w:val="0"/>
        <w:adjustRightInd w:val="0"/>
        <w:spacing w:after="0" w:line="240" w:lineRule="auto"/>
        <w:ind w:left="1440"/>
        <w:rPr>
          <w:rFonts w:cstheme="minorHAnsi"/>
          <w:bCs/>
          <w:color w:val="FF0000"/>
        </w:rPr>
      </w:pPr>
      <w:r w:rsidRPr="005E7D1E">
        <w:rPr>
          <w:rFonts w:cstheme="minorHAnsi"/>
          <w:bCs/>
          <w:color w:val="FF0000"/>
        </w:rPr>
        <w:t>58.2% female, 41.8% male</w:t>
      </w:r>
    </w:p>
    <w:p w14:paraId="18C6303E" w14:textId="14C3F497" w:rsidR="003B74A9" w:rsidRDefault="003B74A9" w:rsidP="003B74A9">
      <w:pPr>
        <w:pStyle w:val="ListParagraph"/>
        <w:numPr>
          <w:ilvl w:val="1"/>
          <w:numId w:val="30"/>
        </w:numPr>
        <w:autoSpaceDE w:val="0"/>
        <w:autoSpaceDN w:val="0"/>
        <w:adjustRightInd w:val="0"/>
        <w:spacing w:after="0" w:line="240" w:lineRule="auto"/>
        <w:ind w:left="1440"/>
        <w:rPr>
          <w:rFonts w:cstheme="minorHAnsi"/>
          <w:bCs/>
          <w:color w:val="FF0000"/>
        </w:rPr>
      </w:pPr>
      <w:r w:rsidRPr="005E7D1E">
        <w:rPr>
          <w:rFonts w:cstheme="minorHAnsi"/>
          <w:bCs/>
          <w:color w:val="FF0000"/>
        </w:rPr>
        <w:t>64.5% White, 9.7% Black or Africa</w:t>
      </w:r>
      <w:r w:rsidR="009E0ECE" w:rsidRPr="005E7D1E">
        <w:rPr>
          <w:rFonts w:cstheme="minorHAnsi"/>
          <w:bCs/>
          <w:color w:val="FF0000"/>
        </w:rPr>
        <w:t>n-</w:t>
      </w:r>
      <w:r w:rsidRPr="005E7D1E">
        <w:rPr>
          <w:rFonts w:cstheme="minorHAnsi"/>
          <w:bCs/>
          <w:color w:val="FF0000"/>
        </w:rPr>
        <w:t>American, 8.0% Asian, 1.0% Native Hawaiian or Other Pacific Islander, 0.2% American Indian or Alaska Native, 15.7% Other, and 0.9</w:t>
      </w:r>
      <w:r w:rsidR="00983D96" w:rsidRPr="005E7D1E">
        <w:rPr>
          <w:rFonts w:cstheme="minorHAnsi"/>
          <w:bCs/>
          <w:color w:val="FF0000"/>
        </w:rPr>
        <w:t>%</w:t>
      </w:r>
      <w:r w:rsidRPr="005E7D1E">
        <w:rPr>
          <w:rFonts w:cstheme="minorHAnsi"/>
          <w:bCs/>
          <w:color w:val="FF0000"/>
        </w:rPr>
        <w:t xml:space="preserve"> declined or unknown</w:t>
      </w:r>
    </w:p>
    <w:p w14:paraId="14E1E8CE" w14:textId="77777777" w:rsidR="005E7D1E" w:rsidRPr="005E7D1E" w:rsidRDefault="005E7D1E" w:rsidP="005E7D1E">
      <w:pPr>
        <w:pStyle w:val="ListParagraph"/>
        <w:autoSpaceDE w:val="0"/>
        <w:autoSpaceDN w:val="0"/>
        <w:adjustRightInd w:val="0"/>
        <w:spacing w:after="0" w:line="240" w:lineRule="auto"/>
        <w:ind w:left="1440"/>
        <w:rPr>
          <w:rFonts w:cstheme="minorHAnsi"/>
          <w:bCs/>
          <w:color w:val="FF0000"/>
        </w:rPr>
      </w:pPr>
    </w:p>
    <w:bookmarkEnd w:id="13"/>
    <w:p w14:paraId="18D948C4" w14:textId="7E154EC7" w:rsidR="0045501C" w:rsidRDefault="003B74A9" w:rsidP="002D363E">
      <w:pPr>
        <w:autoSpaceDE w:val="0"/>
        <w:autoSpaceDN w:val="0"/>
        <w:adjustRightInd w:val="0"/>
        <w:spacing w:line="240" w:lineRule="auto"/>
      </w:pPr>
      <w:r w:rsidRPr="005E7D1E">
        <w:rPr>
          <w:color w:val="FF0000"/>
        </w:rPr>
        <w:t>Patient</w:t>
      </w:r>
      <w:r w:rsidR="00562A46" w:rsidRPr="005E7D1E">
        <w:rPr>
          <w:rFonts w:cstheme="minorHAnsi"/>
          <w:bCs/>
          <w:color w:val="FF0000"/>
        </w:rPr>
        <w:t xml:space="preserve"> descriptive characteristics</w:t>
      </w:r>
      <w:r w:rsidR="005B11AB" w:rsidRPr="005E7D1E">
        <w:rPr>
          <w:rFonts w:cstheme="minorHAnsi"/>
          <w:bCs/>
          <w:color w:val="FF0000"/>
        </w:rPr>
        <w:t xml:space="preserve"> included </w:t>
      </w:r>
      <w:r w:rsidR="005B11AB">
        <w:rPr>
          <w:rFonts w:cstheme="minorHAnsi"/>
          <w:bCs/>
          <w:color w:val="FF0000"/>
        </w:rPr>
        <w:t xml:space="preserve">in the analysis by hospital for </w:t>
      </w:r>
      <w:r w:rsidR="005B11AB" w:rsidRPr="005B11AB">
        <w:rPr>
          <w:rFonts w:cstheme="minorHAnsi"/>
          <w:b/>
          <w:bCs/>
          <w:color w:val="FF0000"/>
        </w:rPr>
        <w:t>Beta Datasets 1 and 2</w:t>
      </w:r>
      <w:r>
        <w:rPr>
          <w:rFonts w:cstheme="minorHAnsi"/>
          <w:bCs/>
          <w:color w:val="FF0000"/>
        </w:rPr>
        <w:t xml:space="preserve"> are provided in </w:t>
      </w:r>
      <w:r w:rsidRPr="00E26040">
        <w:rPr>
          <w:rFonts w:cstheme="minorHAnsi"/>
          <w:b/>
          <w:bCs/>
          <w:color w:val="FF0000"/>
        </w:rPr>
        <w:t>Table 2</w:t>
      </w:r>
      <w:r w:rsidR="000B1E4E" w:rsidRPr="00316892">
        <w:rPr>
          <w:rFonts w:cstheme="minorHAnsi"/>
          <w:bCs/>
          <w:color w:val="FF0000"/>
        </w:rPr>
        <w:t>.</w:t>
      </w:r>
      <w:r w:rsidR="00B946FA" w:rsidRPr="00B946FA">
        <w:t xml:space="preserve"> </w:t>
      </w:r>
    </w:p>
    <w:p w14:paraId="5AF00F62" w14:textId="225F9A98" w:rsidR="004207BE" w:rsidRPr="00316892" w:rsidRDefault="004207BE">
      <w:pPr>
        <w:autoSpaceDE w:val="0"/>
        <w:autoSpaceDN w:val="0"/>
        <w:adjustRightInd w:val="0"/>
        <w:spacing w:after="0" w:line="240" w:lineRule="auto"/>
        <w:rPr>
          <w:rFonts w:cstheme="minorHAnsi"/>
          <w:b/>
          <w:bCs/>
          <w:color w:val="FF0000"/>
        </w:rPr>
      </w:pPr>
    </w:p>
    <w:p w14:paraId="73CECD5E" w14:textId="6F76DF42" w:rsidR="004A02E3" w:rsidRDefault="00C42EAE" w:rsidP="005B2698">
      <w:pPr>
        <w:pStyle w:val="Caption"/>
        <w:rPr>
          <w:rStyle w:val="CommentReference"/>
        </w:rPr>
      </w:pPr>
      <w:r w:rsidRPr="00316892">
        <w:t>Table 2. Demographic</w:t>
      </w:r>
      <w:r w:rsidR="00875A29">
        <w:t xml:space="preserve"> Characteristics of Eligible Patient P</w:t>
      </w:r>
      <w:r w:rsidRPr="00316892">
        <w:t>opulation (</w:t>
      </w:r>
      <w:r w:rsidR="008E3175">
        <w:t xml:space="preserve">Beta </w:t>
      </w:r>
      <w:r w:rsidRPr="00316892">
        <w:t>Dataset</w:t>
      </w:r>
      <w:r w:rsidR="005B11AB">
        <w:t>s 1 and 2</w:t>
      </w:r>
      <w:r w:rsidRPr="00316892">
        <w:t>)</w:t>
      </w:r>
      <w:r w:rsidR="00FC6276" w:rsidRPr="00FC6276">
        <w:rPr>
          <w:rStyle w:val="CommentReference"/>
        </w:rPr>
        <w:t xml:space="preserve"> </w:t>
      </w:r>
    </w:p>
    <w:tbl>
      <w:tblPr>
        <w:tblStyle w:val="TableGrid"/>
        <w:tblW w:w="8725" w:type="dxa"/>
        <w:tblLayout w:type="fixed"/>
        <w:tblLook w:val="04A0" w:firstRow="1" w:lastRow="0" w:firstColumn="1" w:lastColumn="0" w:noHBand="0" w:noVBand="1"/>
      </w:tblPr>
      <w:tblGrid>
        <w:gridCol w:w="2488"/>
        <w:gridCol w:w="2079"/>
        <w:gridCol w:w="2079"/>
        <w:gridCol w:w="2079"/>
      </w:tblGrid>
      <w:tr w:rsidR="004A02E3" w:rsidRPr="004A02E3" w14:paraId="68B92D0A" w14:textId="77777777" w:rsidTr="00F86E29">
        <w:trPr>
          <w:cantSplit/>
          <w:trHeight w:val="390"/>
          <w:tblHeader/>
        </w:trPr>
        <w:tc>
          <w:tcPr>
            <w:tcW w:w="2448" w:type="dxa"/>
            <w:tcBorders>
              <w:top w:val="single" w:sz="4" w:space="0" w:color="auto"/>
              <w:left w:val="single" w:sz="4" w:space="0" w:color="auto"/>
              <w:bottom w:val="single" w:sz="4" w:space="0" w:color="auto"/>
              <w:right w:val="single" w:sz="4" w:space="0" w:color="auto"/>
            </w:tcBorders>
            <w:vAlign w:val="center"/>
            <w:hideMark/>
          </w:tcPr>
          <w:p w14:paraId="5FA9768C" w14:textId="77777777" w:rsidR="004A02E3" w:rsidRPr="004A02E3" w:rsidRDefault="004A02E3" w:rsidP="00184723">
            <w:pPr>
              <w:jc w:val="center"/>
              <w:rPr>
                <w:rFonts w:cstheme="minorHAnsi"/>
                <w:b/>
                <w:bCs/>
                <w:color w:val="FF0000"/>
              </w:rPr>
            </w:pPr>
            <w:bookmarkStart w:id="14" w:name="_Hlk535912669"/>
            <w:r w:rsidRPr="004A02E3">
              <w:rPr>
                <w:rFonts w:cstheme="minorHAnsi"/>
                <w:b/>
                <w:bCs/>
                <w:color w:val="FF0000"/>
              </w:rPr>
              <w:t>Initial Patient Population Characteristics</w:t>
            </w:r>
          </w:p>
        </w:tc>
        <w:tc>
          <w:tcPr>
            <w:tcW w:w="2045" w:type="dxa"/>
            <w:tcBorders>
              <w:top w:val="single" w:sz="4" w:space="0" w:color="auto"/>
              <w:left w:val="single" w:sz="4" w:space="0" w:color="auto"/>
              <w:bottom w:val="single" w:sz="4" w:space="0" w:color="auto"/>
              <w:right w:val="single" w:sz="4" w:space="0" w:color="auto"/>
            </w:tcBorders>
            <w:vAlign w:val="center"/>
            <w:hideMark/>
          </w:tcPr>
          <w:p w14:paraId="0335CC2E" w14:textId="304FA8C3" w:rsidR="004A02E3" w:rsidRPr="004A02E3" w:rsidRDefault="00935672" w:rsidP="00184723">
            <w:pPr>
              <w:autoSpaceDE w:val="0"/>
              <w:autoSpaceDN w:val="0"/>
              <w:adjustRightInd w:val="0"/>
              <w:jc w:val="center"/>
              <w:rPr>
                <w:rFonts w:cstheme="minorHAnsi"/>
                <w:b/>
                <w:bCs/>
                <w:color w:val="FF0000"/>
              </w:rPr>
            </w:pPr>
            <w:r>
              <w:rPr>
                <w:rFonts w:cstheme="minorHAnsi"/>
                <w:b/>
                <w:bCs/>
                <w:color w:val="FF0000"/>
              </w:rPr>
              <w:t>Beta Dataset</w:t>
            </w:r>
            <w:r w:rsidR="004A02E3" w:rsidRPr="004A02E3">
              <w:rPr>
                <w:rFonts w:cstheme="minorHAnsi"/>
                <w:b/>
                <w:bCs/>
                <w:color w:val="FF0000"/>
              </w:rPr>
              <w:t xml:space="preserve"> 1</w:t>
            </w:r>
            <w:r w:rsidR="004A02E3" w:rsidRPr="004A02E3">
              <w:rPr>
                <w:rFonts w:cstheme="minorHAnsi"/>
                <w:b/>
                <w:bCs/>
                <w:color w:val="FF0000"/>
              </w:rPr>
              <w:br/>
              <w:t>(N, %)</w:t>
            </w:r>
          </w:p>
        </w:tc>
        <w:tc>
          <w:tcPr>
            <w:tcW w:w="2045" w:type="dxa"/>
            <w:tcBorders>
              <w:top w:val="single" w:sz="4" w:space="0" w:color="auto"/>
              <w:left w:val="single" w:sz="4" w:space="0" w:color="auto"/>
              <w:bottom w:val="single" w:sz="4" w:space="0" w:color="auto"/>
              <w:right w:val="single" w:sz="4" w:space="0" w:color="auto"/>
            </w:tcBorders>
            <w:vAlign w:val="center"/>
            <w:hideMark/>
          </w:tcPr>
          <w:p w14:paraId="41E6A2BB" w14:textId="21C496CD" w:rsidR="004A02E3" w:rsidRPr="004A02E3" w:rsidRDefault="00935672" w:rsidP="00184723">
            <w:pPr>
              <w:autoSpaceDE w:val="0"/>
              <w:autoSpaceDN w:val="0"/>
              <w:adjustRightInd w:val="0"/>
              <w:jc w:val="center"/>
              <w:rPr>
                <w:rFonts w:cstheme="minorHAnsi"/>
                <w:b/>
                <w:bCs/>
                <w:color w:val="FF0000"/>
              </w:rPr>
            </w:pPr>
            <w:r>
              <w:rPr>
                <w:rFonts w:cstheme="minorHAnsi"/>
                <w:b/>
                <w:bCs/>
                <w:color w:val="FF0000"/>
              </w:rPr>
              <w:t>Beta Dataset</w:t>
            </w:r>
            <w:r w:rsidR="004A02E3" w:rsidRPr="004A02E3">
              <w:rPr>
                <w:rFonts w:cstheme="minorHAnsi"/>
                <w:b/>
                <w:bCs/>
                <w:color w:val="FF0000"/>
              </w:rPr>
              <w:t xml:space="preserve"> 2</w:t>
            </w:r>
            <w:r w:rsidR="004A02E3" w:rsidRPr="004A02E3">
              <w:rPr>
                <w:rFonts w:cstheme="minorHAnsi"/>
                <w:b/>
                <w:bCs/>
                <w:color w:val="FF0000"/>
              </w:rPr>
              <w:br/>
              <w:t>(N, %)</w:t>
            </w:r>
          </w:p>
        </w:tc>
        <w:tc>
          <w:tcPr>
            <w:tcW w:w="2045" w:type="dxa"/>
            <w:tcBorders>
              <w:top w:val="single" w:sz="4" w:space="0" w:color="auto"/>
              <w:left w:val="single" w:sz="4" w:space="0" w:color="auto"/>
              <w:bottom w:val="single" w:sz="4" w:space="0" w:color="auto"/>
              <w:right w:val="single" w:sz="4" w:space="0" w:color="auto"/>
            </w:tcBorders>
            <w:vAlign w:val="center"/>
            <w:hideMark/>
          </w:tcPr>
          <w:p w14:paraId="47FDA53F" w14:textId="3FC98C9A" w:rsidR="004A02E3" w:rsidRPr="004A02E3" w:rsidRDefault="004A02E3" w:rsidP="00184723">
            <w:pPr>
              <w:autoSpaceDE w:val="0"/>
              <w:autoSpaceDN w:val="0"/>
              <w:adjustRightInd w:val="0"/>
              <w:jc w:val="center"/>
              <w:rPr>
                <w:rFonts w:cstheme="minorHAnsi"/>
                <w:b/>
                <w:bCs/>
                <w:color w:val="FF0000"/>
              </w:rPr>
            </w:pPr>
            <w:r w:rsidRPr="004A02E3">
              <w:rPr>
                <w:rFonts w:cstheme="minorHAnsi"/>
                <w:b/>
                <w:bCs/>
                <w:color w:val="FF0000"/>
              </w:rPr>
              <w:t xml:space="preserve">Across </w:t>
            </w:r>
            <w:r w:rsidR="0052609B">
              <w:rPr>
                <w:rFonts w:cstheme="minorHAnsi"/>
                <w:b/>
                <w:bCs/>
                <w:color w:val="FF0000"/>
              </w:rPr>
              <w:t xml:space="preserve">Beta </w:t>
            </w:r>
            <w:r w:rsidRPr="004A02E3">
              <w:rPr>
                <w:rFonts w:cstheme="minorHAnsi"/>
                <w:b/>
                <w:bCs/>
                <w:color w:val="FF0000"/>
              </w:rPr>
              <w:t>Sites</w:t>
            </w:r>
            <w:r w:rsidRPr="004A02E3">
              <w:rPr>
                <w:rFonts w:cstheme="minorHAnsi"/>
                <w:b/>
                <w:bCs/>
                <w:color w:val="FF0000"/>
              </w:rPr>
              <w:br/>
              <w:t>(N, %)</w:t>
            </w:r>
          </w:p>
        </w:tc>
      </w:tr>
      <w:tr w:rsidR="004A02E3" w:rsidRPr="004A02E3" w14:paraId="3CD59E8A"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2301B998" w14:textId="77777777" w:rsidR="004A02E3" w:rsidRPr="004A02E3" w:rsidRDefault="004A02E3" w:rsidP="00184723">
            <w:pPr>
              <w:autoSpaceDE w:val="0"/>
              <w:autoSpaceDN w:val="0"/>
              <w:adjustRightInd w:val="0"/>
              <w:rPr>
                <w:rFonts w:cstheme="minorHAnsi"/>
                <w:b/>
                <w:bCs/>
                <w:color w:val="FF0000"/>
              </w:rPr>
            </w:pPr>
            <w:r w:rsidRPr="004A02E3">
              <w:rPr>
                <w:rFonts w:cstheme="minorHAnsi"/>
                <w:b/>
                <w:bCs/>
                <w:color w:val="FF0000"/>
              </w:rPr>
              <w:t xml:space="preserve">Number of unique patients </w:t>
            </w:r>
          </w:p>
        </w:tc>
        <w:tc>
          <w:tcPr>
            <w:tcW w:w="2045" w:type="dxa"/>
            <w:tcBorders>
              <w:top w:val="single" w:sz="4" w:space="0" w:color="auto"/>
              <w:left w:val="single" w:sz="4" w:space="0" w:color="auto"/>
              <w:bottom w:val="single" w:sz="4" w:space="0" w:color="auto"/>
              <w:right w:val="single" w:sz="4" w:space="0" w:color="auto"/>
            </w:tcBorders>
            <w:vAlign w:val="center"/>
          </w:tcPr>
          <w:p w14:paraId="1439B159" w14:textId="77777777" w:rsidR="004A02E3" w:rsidRPr="004A02E3" w:rsidRDefault="004A02E3" w:rsidP="00184723">
            <w:pPr>
              <w:autoSpaceDE w:val="0"/>
              <w:autoSpaceDN w:val="0"/>
              <w:adjustRightInd w:val="0"/>
              <w:rPr>
                <w:rFonts w:cs="Calibri"/>
                <w:color w:val="FF0000"/>
              </w:rPr>
            </w:pPr>
            <w:r w:rsidRPr="004A02E3">
              <w:rPr>
                <w:rFonts w:cs="Calibri"/>
                <w:color w:val="FF0000"/>
              </w:rPr>
              <w:t>5394</w:t>
            </w:r>
          </w:p>
        </w:tc>
        <w:tc>
          <w:tcPr>
            <w:tcW w:w="2045" w:type="dxa"/>
            <w:tcBorders>
              <w:top w:val="single" w:sz="4" w:space="0" w:color="auto"/>
              <w:left w:val="single" w:sz="4" w:space="0" w:color="auto"/>
              <w:bottom w:val="single" w:sz="4" w:space="0" w:color="auto"/>
              <w:right w:val="single" w:sz="4" w:space="0" w:color="auto"/>
            </w:tcBorders>
            <w:vAlign w:val="center"/>
          </w:tcPr>
          <w:p w14:paraId="04554E7F" w14:textId="77777777" w:rsidR="004A02E3" w:rsidRPr="004A02E3" w:rsidRDefault="004A02E3" w:rsidP="00184723">
            <w:pPr>
              <w:autoSpaceDE w:val="0"/>
              <w:autoSpaceDN w:val="0"/>
              <w:adjustRightInd w:val="0"/>
              <w:rPr>
                <w:rFonts w:cs="Calibri"/>
                <w:color w:val="FF0000"/>
              </w:rPr>
            </w:pPr>
            <w:r w:rsidRPr="004A02E3">
              <w:rPr>
                <w:rFonts w:cs="Calibri"/>
                <w:color w:val="FF0000"/>
              </w:rPr>
              <w:t>4580</w:t>
            </w:r>
          </w:p>
        </w:tc>
        <w:tc>
          <w:tcPr>
            <w:tcW w:w="2045" w:type="dxa"/>
            <w:tcBorders>
              <w:top w:val="single" w:sz="4" w:space="0" w:color="auto"/>
              <w:left w:val="single" w:sz="4" w:space="0" w:color="auto"/>
              <w:bottom w:val="single" w:sz="4" w:space="0" w:color="auto"/>
              <w:right w:val="single" w:sz="4" w:space="0" w:color="auto"/>
            </w:tcBorders>
            <w:vAlign w:val="center"/>
          </w:tcPr>
          <w:p w14:paraId="57B1033A" w14:textId="77777777" w:rsidR="004A02E3" w:rsidRPr="004A02E3" w:rsidRDefault="004A02E3" w:rsidP="00184723">
            <w:pPr>
              <w:autoSpaceDE w:val="0"/>
              <w:autoSpaceDN w:val="0"/>
              <w:adjustRightInd w:val="0"/>
              <w:rPr>
                <w:rFonts w:cs="Calibri"/>
                <w:color w:val="FF0000"/>
              </w:rPr>
            </w:pPr>
            <w:r w:rsidRPr="004A02E3">
              <w:rPr>
                <w:rFonts w:cs="Calibri"/>
                <w:color w:val="FF0000"/>
              </w:rPr>
              <w:t>9974</w:t>
            </w:r>
          </w:p>
        </w:tc>
      </w:tr>
      <w:tr w:rsidR="004A02E3" w:rsidRPr="004A02E3" w14:paraId="0D6E32ED" w14:textId="77777777" w:rsidTr="00F86E29">
        <w:trPr>
          <w:trHeight w:val="251"/>
        </w:trPr>
        <w:tc>
          <w:tcPr>
            <w:tcW w:w="2448" w:type="dxa"/>
            <w:tcBorders>
              <w:top w:val="single" w:sz="4" w:space="0" w:color="auto"/>
              <w:left w:val="single" w:sz="4" w:space="0" w:color="auto"/>
              <w:bottom w:val="single" w:sz="4" w:space="0" w:color="auto"/>
              <w:right w:val="single" w:sz="4" w:space="0" w:color="auto"/>
            </w:tcBorders>
            <w:hideMark/>
          </w:tcPr>
          <w:p w14:paraId="6A2FDF22" w14:textId="77777777" w:rsidR="004A02E3" w:rsidRPr="004A02E3" w:rsidRDefault="004A02E3" w:rsidP="00184723">
            <w:pPr>
              <w:autoSpaceDE w:val="0"/>
              <w:autoSpaceDN w:val="0"/>
              <w:adjustRightInd w:val="0"/>
              <w:rPr>
                <w:rFonts w:cstheme="minorHAnsi"/>
                <w:b/>
                <w:bCs/>
                <w:color w:val="FF0000"/>
              </w:rPr>
            </w:pPr>
            <w:r w:rsidRPr="004A02E3">
              <w:rPr>
                <w:rFonts w:cstheme="minorHAnsi"/>
                <w:b/>
                <w:bCs/>
                <w:color w:val="FF0000"/>
              </w:rPr>
              <w:t>Average Age [Mean(SD)]</w:t>
            </w:r>
          </w:p>
        </w:tc>
        <w:tc>
          <w:tcPr>
            <w:tcW w:w="2045" w:type="dxa"/>
            <w:tcBorders>
              <w:top w:val="single" w:sz="4" w:space="0" w:color="auto"/>
              <w:left w:val="single" w:sz="4" w:space="0" w:color="auto"/>
              <w:bottom w:val="single" w:sz="4" w:space="0" w:color="auto"/>
              <w:right w:val="single" w:sz="4" w:space="0" w:color="auto"/>
            </w:tcBorders>
            <w:vAlign w:val="center"/>
          </w:tcPr>
          <w:p w14:paraId="499014BC" w14:textId="203478B7" w:rsidR="004A02E3" w:rsidRPr="004A02E3" w:rsidRDefault="004A02E3" w:rsidP="00184723">
            <w:pPr>
              <w:autoSpaceDE w:val="0"/>
              <w:autoSpaceDN w:val="0"/>
              <w:adjustRightInd w:val="0"/>
              <w:rPr>
                <w:rFonts w:cs="Calibri"/>
                <w:color w:val="FF0000"/>
              </w:rPr>
            </w:pPr>
            <w:r w:rsidRPr="004A02E3">
              <w:rPr>
                <w:rFonts w:cs="Calibri"/>
                <w:color w:val="FF0000"/>
              </w:rPr>
              <w:t>59 (1</w:t>
            </w:r>
            <w:r w:rsidR="007C4873">
              <w:rPr>
                <w:rFonts w:cs="Calibri"/>
                <w:color w:val="FF0000"/>
              </w:rPr>
              <w:t>5</w:t>
            </w:r>
            <w:r w:rsidRPr="004A02E3">
              <w:rPr>
                <w:rFonts w:cs="Calibri"/>
                <w:color w:val="FF0000"/>
              </w:rPr>
              <w:t>)</w:t>
            </w:r>
          </w:p>
        </w:tc>
        <w:tc>
          <w:tcPr>
            <w:tcW w:w="2045" w:type="dxa"/>
            <w:tcBorders>
              <w:top w:val="single" w:sz="4" w:space="0" w:color="auto"/>
              <w:left w:val="single" w:sz="4" w:space="0" w:color="auto"/>
              <w:bottom w:val="single" w:sz="4" w:space="0" w:color="auto"/>
              <w:right w:val="single" w:sz="4" w:space="0" w:color="auto"/>
            </w:tcBorders>
            <w:vAlign w:val="center"/>
          </w:tcPr>
          <w:p w14:paraId="37785407" w14:textId="7565651C" w:rsidR="004A02E3" w:rsidRPr="004A02E3" w:rsidRDefault="004A02E3" w:rsidP="00184723">
            <w:pPr>
              <w:autoSpaceDE w:val="0"/>
              <w:autoSpaceDN w:val="0"/>
              <w:adjustRightInd w:val="0"/>
              <w:rPr>
                <w:rFonts w:cs="Calibri"/>
                <w:color w:val="FF0000"/>
              </w:rPr>
            </w:pPr>
            <w:r w:rsidRPr="004A02E3">
              <w:rPr>
                <w:rFonts w:cs="Calibri"/>
                <w:color w:val="FF0000"/>
              </w:rPr>
              <w:t>6</w:t>
            </w:r>
            <w:r w:rsidR="007C4873">
              <w:rPr>
                <w:rFonts w:cs="Calibri"/>
                <w:color w:val="FF0000"/>
              </w:rPr>
              <w:t>5</w:t>
            </w:r>
            <w:r w:rsidRPr="004A02E3">
              <w:rPr>
                <w:rFonts w:cs="Calibri"/>
                <w:color w:val="FF0000"/>
              </w:rPr>
              <w:t xml:space="preserve"> (1</w:t>
            </w:r>
            <w:r w:rsidR="007C4873">
              <w:rPr>
                <w:rFonts w:cs="Calibri"/>
                <w:color w:val="FF0000"/>
              </w:rPr>
              <w:t>6</w:t>
            </w:r>
            <w:r w:rsidRPr="004A02E3">
              <w:rPr>
                <w:rFonts w:cs="Calibri"/>
                <w:color w:val="FF0000"/>
              </w:rPr>
              <w:t>)</w:t>
            </w:r>
          </w:p>
        </w:tc>
        <w:tc>
          <w:tcPr>
            <w:tcW w:w="2045" w:type="dxa"/>
            <w:tcBorders>
              <w:top w:val="single" w:sz="4" w:space="0" w:color="auto"/>
              <w:left w:val="single" w:sz="4" w:space="0" w:color="auto"/>
              <w:bottom w:val="single" w:sz="4" w:space="0" w:color="auto"/>
              <w:right w:val="single" w:sz="4" w:space="0" w:color="auto"/>
            </w:tcBorders>
            <w:vAlign w:val="center"/>
          </w:tcPr>
          <w:p w14:paraId="1E3C6151" w14:textId="2A74FCBC" w:rsidR="004A02E3" w:rsidRPr="004A02E3" w:rsidRDefault="004A02E3" w:rsidP="00184723">
            <w:pPr>
              <w:autoSpaceDE w:val="0"/>
              <w:autoSpaceDN w:val="0"/>
              <w:adjustRightInd w:val="0"/>
              <w:rPr>
                <w:rFonts w:cs="Calibri"/>
                <w:color w:val="FF0000"/>
              </w:rPr>
            </w:pPr>
            <w:r w:rsidRPr="004A02E3">
              <w:rPr>
                <w:rFonts w:cs="Calibri"/>
                <w:color w:val="FF0000"/>
              </w:rPr>
              <w:t>6</w:t>
            </w:r>
            <w:r w:rsidR="007C4873">
              <w:rPr>
                <w:rFonts w:cs="Calibri"/>
                <w:color w:val="FF0000"/>
              </w:rPr>
              <w:t>2</w:t>
            </w:r>
            <w:r w:rsidRPr="004A02E3">
              <w:rPr>
                <w:rFonts w:cs="Calibri"/>
                <w:color w:val="FF0000"/>
              </w:rPr>
              <w:t xml:space="preserve"> (15)</w:t>
            </w:r>
          </w:p>
        </w:tc>
      </w:tr>
      <w:tr w:rsidR="004A02E3" w:rsidRPr="004A02E3" w14:paraId="66443920" w14:textId="77777777" w:rsidTr="00F86E29">
        <w:trPr>
          <w:trHeight w:val="341"/>
        </w:trPr>
        <w:tc>
          <w:tcPr>
            <w:tcW w:w="2448" w:type="dxa"/>
            <w:tcBorders>
              <w:top w:val="single" w:sz="4" w:space="0" w:color="auto"/>
              <w:left w:val="single" w:sz="4" w:space="0" w:color="auto"/>
              <w:bottom w:val="single" w:sz="4" w:space="0" w:color="auto"/>
              <w:right w:val="single" w:sz="4" w:space="0" w:color="auto"/>
            </w:tcBorders>
            <w:hideMark/>
          </w:tcPr>
          <w:p w14:paraId="57A4610C" w14:textId="77777777" w:rsidR="004A02E3" w:rsidRPr="004A02E3" w:rsidRDefault="004A02E3" w:rsidP="00184723">
            <w:pPr>
              <w:autoSpaceDE w:val="0"/>
              <w:autoSpaceDN w:val="0"/>
              <w:adjustRightInd w:val="0"/>
              <w:rPr>
                <w:rFonts w:cstheme="minorHAnsi"/>
                <w:bCs/>
                <w:color w:val="FF0000"/>
              </w:rPr>
            </w:pPr>
            <w:r w:rsidRPr="004A02E3">
              <w:rPr>
                <w:rFonts w:cstheme="minorHAnsi"/>
                <w:bCs/>
                <w:color w:val="FF0000"/>
              </w:rPr>
              <w:t xml:space="preserve">        18-35</w:t>
            </w:r>
          </w:p>
        </w:tc>
        <w:tc>
          <w:tcPr>
            <w:tcW w:w="2045" w:type="dxa"/>
            <w:tcBorders>
              <w:top w:val="single" w:sz="4" w:space="0" w:color="auto"/>
              <w:left w:val="single" w:sz="4" w:space="0" w:color="auto"/>
              <w:bottom w:val="single" w:sz="4" w:space="0" w:color="auto"/>
              <w:right w:val="single" w:sz="4" w:space="0" w:color="auto"/>
            </w:tcBorders>
          </w:tcPr>
          <w:p w14:paraId="582BF6FA" w14:textId="77777777" w:rsidR="004A02E3" w:rsidRPr="004A02E3" w:rsidRDefault="004A02E3" w:rsidP="00184723">
            <w:pPr>
              <w:autoSpaceDE w:val="0"/>
              <w:autoSpaceDN w:val="0"/>
              <w:adjustRightInd w:val="0"/>
              <w:rPr>
                <w:rFonts w:cs="Calibri"/>
                <w:color w:val="FF0000"/>
              </w:rPr>
            </w:pPr>
            <w:r w:rsidRPr="004A02E3">
              <w:rPr>
                <w:color w:val="FF0000"/>
              </w:rPr>
              <w:t>415, 7.7%</w:t>
            </w:r>
          </w:p>
        </w:tc>
        <w:tc>
          <w:tcPr>
            <w:tcW w:w="2045" w:type="dxa"/>
            <w:tcBorders>
              <w:top w:val="single" w:sz="4" w:space="0" w:color="auto"/>
              <w:left w:val="single" w:sz="4" w:space="0" w:color="auto"/>
              <w:bottom w:val="single" w:sz="4" w:space="0" w:color="auto"/>
              <w:right w:val="single" w:sz="4" w:space="0" w:color="auto"/>
            </w:tcBorders>
            <w:vAlign w:val="center"/>
          </w:tcPr>
          <w:p w14:paraId="29AECB0F" w14:textId="77777777" w:rsidR="004A02E3" w:rsidRPr="004A02E3" w:rsidRDefault="004A02E3" w:rsidP="00184723">
            <w:pPr>
              <w:autoSpaceDE w:val="0"/>
              <w:autoSpaceDN w:val="0"/>
              <w:adjustRightInd w:val="0"/>
              <w:rPr>
                <w:rFonts w:cs="Calibri"/>
                <w:color w:val="FF0000"/>
              </w:rPr>
            </w:pPr>
            <w:r w:rsidRPr="004A02E3">
              <w:rPr>
                <w:color w:val="FF0000"/>
              </w:rPr>
              <w:t>244, 5.3%</w:t>
            </w:r>
          </w:p>
        </w:tc>
        <w:tc>
          <w:tcPr>
            <w:tcW w:w="2045" w:type="dxa"/>
            <w:tcBorders>
              <w:top w:val="single" w:sz="4" w:space="0" w:color="auto"/>
              <w:left w:val="single" w:sz="4" w:space="0" w:color="auto"/>
              <w:bottom w:val="single" w:sz="4" w:space="0" w:color="auto"/>
              <w:right w:val="single" w:sz="4" w:space="0" w:color="auto"/>
            </w:tcBorders>
            <w:vAlign w:val="center"/>
          </w:tcPr>
          <w:p w14:paraId="31B0CA0E" w14:textId="77777777" w:rsidR="004A02E3" w:rsidRPr="004A02E3" w:rsidRDefault="004A02E3" w:rsidP="00184723">
            <w:pPr>
              <w:autoSpaceDE w:val="0"/>
              <w:autoSpaceDN w:val="0"/>
              <w:adjustRightInd w:val="0"/>
              <w:rPr>
                <w:rFonts w:cs="Calibri"/>
                <w:color w:val="FF0000"/>
              </w:rPr>
            </w:pPr>
            <w:r w:rsidRPr="004A02E3">
              <w:rPr>
                <w:color w:val="FF0000"/>
              </w:rPr>
              <w:t>659, 6.6%</w:t>
            </w:r>
          </w:p>
        </w:tc>
      </w:tr>
      <w:tr w:rsidR="004A02E3" w:rsidRPr="004A02E3" w14:paraId="32DFAA20"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625069BF"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36-64</w:t>
            </w:r>
          </w:p>
        </w:tc>
        <w:tc>
          <w:tcPr>
            <w:tcW w:w="2045" w:type="dxa"/>
            <w:tcBorders>
              <w:top w:val="single" w:sz="4" w:space="0" w:color="auto"/>
              <w:left w:val="single" w:sz="4" w:space="0" w:color="auto"/>
              <w:bottom w:val="single" w:sz="4" w:space="0" w:color="auto"/>
              <w:right w:val="single" w:sz="4" w:space="0" w:color="auto"/>
            </w:tcBorders>
          </w:tcPr>
          <w:p w14:paraId="41F5BE85" w14:textId="77777777" w:rsidR="004A02E3" w:rsidRPr="004A02E3" w:rsidRDefault="004A02E3" w:rsidP="00184723">
            <w:pPr>
              <w:autoSpaceDE w:val="0"/>
              <w:autoSpaceDN w:val="0"/>
              <w:adjustRightInd w:val="0"/>
              <w:rPr>
                <w:rFonts w:cstheme="minorHAnsi"/>
                <w:bCs/>
                <w:color w:val="FF0000"/>
              </w:rPr>
            </w:pPr>
            <w:r w:rsidRPr="004A02E3">
              <w:rPr>
                <w:color w:val="FF0000"/>
              </w:rPr>
              <w:t>2929, 54.3%</w:t>
            </w:r>
          </w:p>
        </w:tc>
        <w:tc>
          <w:tcPr>
            <w:tcW w:w="2045" w:type="dxa"/>
            <w:tcBorders>
              <w:top w:val="single" w:sz="4" w:space="0" w:color="auto"/>
              <w:left w:val="single" w:sz="4" w:space="0" w:color="auto"/>
              <w:bottom w:val="single" w:sz="4" w:space="0" w:color="auto"/>
              <w:right w:val="single" w:sz="4" w:space="0" w:color="auto"/>
            </w:tcBorders>
            <w:vAlign w:val="center"/>
          </w:tcPr>
          <w:p w14:paraId="0B9AD102" w14:textId="77777777" w:rsidR="004A02E3" w:rsidRPr="004A02E3" w:rsidRDefault="004A02E3" w:rsidP="00184723">
            <w:pPr>
              <w:autoSpaceDE w:val="0"/>
              <w:autoSpaceDN w:val="0"/>
              <w:adjustRightInd w:val="0"/>
              <w:rPr>
                <w:rFonts w:cstheme="minorHAnsi"/>
                <w:bCs/>
                <w:color w:val="FF0000"/>
              </w:rPr>
            </w:pPr>
            <w:r w:rsidRPr="004A02E3">
              <w:rPr>
                <w:color w:val="FF0000"/>
              </w:rPr>
              <w:t>1827, 39.9%</w:t>
            </w:r>
          </w:p>
        </w:tc>
        <w:tc>
          <w:tcPr>
            <w:tcW w:w="2045" w:type="dxa"/>
            <w:tcBorders>
              <w:top w:val="single" w:sz="4" w:space="0" w:color="auto"/>
              <w:left w:val="single" w:sz="4" w:space="0" w:color="auto"/>
              <w:bottom w:val="single" w:sz="4" w:space="0" w:color="auto"/>
              <w:right w:val="single" w:sz="4" w:space="0" w:color="auto"/>
            </w:tcBorders>
            <w:vAlign w:val="center"/>
          </w:tcPr>
          <w:p w14:paraId="4D50E14A" w14:textId="77777777" w:rsidR="004A02E3" w:rsidRPr="004A02E3" w:rsidRDefault="004A02E3" w:rsidP="00184723">
            <w:pPr>
              <w:autoSpaceDE w:val="0"/>
              <w:autoSpaceDN w:val="0"/>
              <w:adjustRightInd w:val="0"/>
              <w:rPr>
                <w:rFonts w:cstheme="minorHAnsi"/>
                <w:bCs/>
                <w:color w:val="FF0000"/>
              </w:rPr>
            </w:pPr>
            <w:r w:rsidRPr="004A02E3">
              <w:rPr>
                <w:color w:val="FF0000"/>
              </w:rPr>
              <w:t>4756, 47.7%</w:t>
            </w:r>
          </w:p>
        </w:tc>
      </w:tr>
      <w:tr w:rsidR="004A02E3" w:rsidRPr="004A02E3" w14:paraId="339519C4"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498E6A16"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65+</w:t>
            </w:r>
          </w:p>
        </w:tc>
        <w:tc>
          <w:tcPr>
            <w:tcW w:w="2045" w:type="dxa"/>
            <w:tcBorders>
              <w:top w:val="single" w:sz="4" w:space="0" w:color="auto"/>
              <w:left w:val="single" w:sz="4" w:space="0" w:color="auto"/>
              <w:bottom w:val="single" w:sz="4" w:space="0" w:color="auto"/>
              <w:right w:val="single" w:sz="4" w:space="0" w:color="auto"/>
            </w:tcBorders>
          </w:tcPr>
          <w:p w14:paraId="7788AD5F" w14:textId="77777777" w:rsidR="004A02E3" w:rsidRPr="004A02E3" w:rsidRDefault="004A02E3" w:rsidP="00184723">
            <w:pPr>
              <w:autoSpaceDE w:val="0"/>
              <w:autoSpaceDN w:val="0"/>
              <w:adjustRightInd w:val="0"/>
              <w:rPr>
                <w:rFonts w:cstheme="minorHAnsi"/>
                <w:bCs/>
                <w:color w:val="FF0000"/>
              </w:rPr>
            </w:pPr>
            <w:r w:rsidRPr="004A02E3">
              <w:rPr>
                <w:color w:val="FF0000"/>
              </w:rPr>
              <w:t>2050, 38.0%</w:t>
            </w:r>
          </w:p>
        </w:tc>
        <w:tc>
          <w:tcPr>
            <w:tcW w:w="2045" w:type="dxa"/>
            <w:tcBorders>
              <w:top w:val="single" w:sz="4" w:space="0" w:color="auto"/>
              <w:left w:val="single" w:sz="4" w:space="0" w:color="auto"/>
              <w:bottom w:val="single" w:sz="4" w:space="0" w:color="auto"/>
              <w:right w:val="single" w:sz="4" w:space="0" w:color="auto"/>
            </w:tcBorders>
            <w:vAlign w:val="center"/>
          </w:tcPr>
          <w:p w14:paraId="51701E7B" w14:textId="77777777" w:rsidR="004A02E3" w:rsidRPr="004A02E3" w:rsidRDefault="004A02E3" w:rsidP="00184723">
            <w:pPr>
              <w:autoSpaceDE w:val="0"/>
              <w:autoSpaceDN w:val="0"/>
              <w:adjustRightInd w:val="0"/>
              <w:rPr>
                <w:rFonts w:cstheme="minorHAnsi"/>
                <w:bCs/>
                <w:color w:val="FF0000"/>
              </w:rPr>
            </w:pPr>
            <w:r w:rsidRPr="004A02E3">
              <w:rPr>
                <w:color w:val="FF0000"/>
              </w:rPr>
              <w:t>2509, 54.8%</w:t>
            </w:r>
          </w:p>
        </w:tc>
        <w:tc>
          <w:tcPr>
            <w:tcW w:w="2045" w:type="dxa"/>
            <w:tcBorders>
              <w:top w:val="single" w:sz="4" w:space="0" w:color="auto"/>
              <w:left w:val="single" w:sz="4" w:space="0" w:color="auto"/>
              <w:bottom w:val="single" w:sz="4" w:space="0" w:color="auto"/>
              <w:right w:val="single" w:sz="4" w:space="0" w:color="auto"/>
            </w:tcBorders>
            <w:vAlign w:val="center"/>
          </w:tcPr>
          <w:p w14:paraId="554E3005" w14:textId="77777777" w:rsidR="004A02E3" w:rsidRPr="004A02E3" w:rsidRDefault="004A02E3" w:rsidP="00184723">
            <w:pPr>
              <w:autoSpaceDE w:val="0"/>
              <w:autoSpaceDN w:val="0"/>
              <w:adjustRightInd w:val="0"/>
              <w:rPr>
                <w:rFonts w:cstheme="minorHAnsi"/>
                <w:bCs/>
                <w:color w:val="FF0000"/>
              </w:rPr>
            </w:pPr>
            <w:r w:rsidRPr="004A02E3">
              <w:rPr>
                <w:color w:val="FF0000"/>
              </w:rPr>
              <w:t>4559, 45.7%</w:t>
            </w:r>
          </w:p>
        </w:tc>
      </w:tr>
      <w:tr w:rsidR="004A02E3" w:rsidRPr="004A02E3" w14:paraId="1782564B"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7A0A47E5" w14:textId="77777777" w:rsidR="004A02E3" w:rsidRPr="004A02E3" w:rsidRDefault="004A02E3" w:rsidP="00184723">
            <w:pPr>
              <w:autoSpaceDE w:val="0"/>
              <w:autoSpaceDN w:val="0"/>
              <w:adjustRightInd w:val="0"/>
              <w:rPr>
                <w:rFonts w:cstheme="minorHAnsi"/>
                <w:b/>
                <w:bCs/>
                <w:color w:val="FF0000"/>
              </w:rPr>
            </w:pPr>
            <w:r w:rsidRPr="004A02E3">
              <w:rPr>
                <w:rFonts w:cstheme="minorHAnsi"/>
                <w:b/>
                <w:bCs/>
                <w:color w:val="FF0000"/>
              </w:rPr>
              <w:t>Sex </w:t>
            </w:r>
          </w:p>
        </w:tc>
        <w:tc>
          <w:tcPr>
            <w:tcW w:w="2045" w:type="dxa"/>
            <w:tcBorders>
              <w:top w:val="single" w:sz="4" w:space="0" w:color="auto"/>
              <w:left w:val="single" w:sz="4" w:space="0" w:color="auto"/>
              <w:bottom w:val="single" w:sz="4" w:space="0" w:color="auto"/>
              <w:right w:val="single" w:sz="4" w:space="0" w:color="auto"/>
            </w:tcBorders>
            <w:vAlign w:val="center"/>
          </w:tcPr>
          <w:p w14:paraId="77751845"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62310779"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0DF8A944" w14:textId="77777777" w:rsidR="004A02E3" w:rsidRPr="004A02E3" w:rsidRDefault="004A02E3" w:rsidP="00184723">
            <w:pPr>
              <w:autoSpaceDE w:val="0"/>
              <w:autoSpaceDN w:val="0"/>
              <w:adjustRightInd w:val="0"/>
              <w:rPr>
                <w:rFonts w:cstheme="minorHAnsi"/>
                <w:bCs/>
                <w:color w:val="FF0000"/>
              </w:rPr>
            </w:pPr>
          </w:p>
        </w:tc>
      </w:tr>
      <w:tr w:rsidR="004A02E3" w:rsidRPr="004A02E3" w14:paraId="37E33938"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7E3544BF" w14:textId="77777777" w:rsidR="004A02E3" w:rsidRPr="004A02E3" w:rsidRDefault="004A02E3" w:rsidP="00184723">
            <w:pPr>
              <w:autoSpaceDE w:val="0"/>
              <w:autoSpaceDN w:val="0"/>
              <w:adjustRightInd w:val="0"/>
              <w:rPr>
                <w:rFonts w:cstheme="minorHAnsi"/>
                <w:b/>
                <w:bCs/>
                <w:color w:val="FF0000"/>
              </w:rPr>
            </w:pPr>
            <w:r w:rsidRPr="004A02E3">
              <w:rPr>
                <w:rFonts w:cstheme="minorHAnsi"/>
                <w:bCs/>
                <w:color w:val="FF0000"/>
              </w:rPr>
              <w:t xml:space="preserve">        Male</w:t>
            </w:r>
          </w:p>
        </w:tc>
        <w:tc>
          <w:tcPr>
            <w:tcW w:w="2045" w:type="dxa"/>
            <w:tcBorders>
              <w:top w:val="single" w:sz="4" w:space="0" w:color="auto"/>
              <w:left w:val="single" w:sz="4" w:space="0" w:color="auto"/>
              <w:bottom w:val="single" w:sz="4" w:space="0" w:color="auto"/>
              <w:right w:val="single" w:sz="4" w:space="0" w:color="auto"/>
            </w:tcBorders>
            <w:vAlign w:val="center"/>
          </w:tcPr>
          <w:p w14:paraId="5C9B5ADB" w14:textId="77777777" w:rsidR="004A02E3" w:rsidRPr="004A02E3" w:rsidRDefault="004A02E3" w:rsidP="00184723">
            <w:pPr>
              <w:autoSpaceDE w:val="0"/>
              <w:autoSpaceDN w:val="0"/>
              <w:adjustRightInd w:val="0"/>
              <w:rPr>
                <w:rFonts w:cstheme="minorHAnsi"/>
                <w:bCs/>
                <w:color w:val="FF0000"/>
              </w:rPr>
            </w:pPr>
            <w:r w:rsidRPr="004A02E3">
              <w:rPr>
                <w:color w:val="FF0000"/>
              </w:rPr>
              <w:t>2930, 54.3%</w:t>
            </w:r>
          </w:p>
        </w:tc>
        <w:tc>
          <w:tcPr>
            <w:tcW w:w="2045" w:type="dxa"/>
            <w:tcBorders>
              <w:top w:val="single" w:sz="4" w:space="0" w:color="auto"/>
              <w:left w:val="single" w:sz="4" w:space="0" w:color="auto"/>
              <w:bottom w:val="single" w:sz="4" w:space="0" w:color="auto"/>
              <w:right w:val="single" w:sz="4" w:space="0" w:color="auto"/>
            </w:tcBorders>
            <w:vAlign w:val="center"/>
          </w:tcPr>
          <w:p w14:paraId="4EF96CFB" w14:textId="77777777" w:rsidR="004A02E3" w:rsidRPr="004A02E3" w:rsidRDefault="004A02E3" w:rsidP="00184723">
            <w:pPr>
              <w:autoSpaceDE w:val="0"/>
              <w:autoSpaceDN w:val="0"/>
              <w:adjustRightInd w:val="0"/>
              <w:rPr>
                <w:rFonts w:cstheme="minorHAnsi"/>
                <w:bCs/>
                <w:color w:val="FF0000"/>
              </w:rPr>
            </w:pPr>
            <w:r w:rsidRPr="004A02E3">
              <w:rPr>
                <w:color w:val="FF0000"/>
              </w:rPr>
              <w:t>2304, 50.3%</w:t>
            </w:r>
          </w:p>
        </w:tc>
        <w:tc>
          <w:tcPr>
            <w:tcW w:w="2045" w:type="dxa"/>
            <w:tcBorders>
              <w:top w:val="single" w:sz="4" w:space="0" w:color="auto"/>
              <w:left w:val="single" w:sz="4" w:space="0" w:color="auto"/>
              <w:bottom w:val="single" w:sz="4" w:space="0" w:color="auto"/>
              <w:right w:val="single" w:sz="4" w:space="0" w:color="auto"/>
            </w:tcBorders>
            <w:vAlign w:val="center"/>
          </w:tcPr>
          <w:p w14:paraId="51D6C8D3" w14:textId="77777777" w:rsidR="004A02E3" w:rsidRPr="004A02E3" w:rsidRDefault="004A02E3" w:rsidP="00184723">
            <w:pPr>
              <w:autoSpaceDE w:val="0"/>
              <w:autoSpaceDN w:val="0"/>
              <w:adjustRightInd w:val="0"/>
              <w:rPr>
                <w:rFonts w:cstheme="minorHAnsi"/>
                <w:bCs/>
                <w:color w:val="FF0000"/>
              </w:rPr>
            </w:pPr>
            <w:r w:rsidRPr="004A02E3">
              <w:rPr>
                <w:color w:val="FF0000"/>
              </w:rPr>
              <w:t>5234, 52.5%</w:t>
            </w:r>
          </w:p>
        </w:tc>
      </w:tr>
      <w:tr w:rsidR="004A02E3" w:rsidRPr="004A02E3" w14:paraId="4DF3D0C7"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2316E8C5"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Female</w:t>
            </w:r>
          </w:p>
        </w:tc>
        <w:tc>
          <w:tcPr>
            <w:tcW w:w="2045" w:type="dxa"/>
            <w:tcBorders>
              <w:top w:val="single" w:sz="4" w:space="0" w:color="auto"/>
              <w:left w:val="single" w:sz="4" w:space="0" w:color="auto"/>
              <w:bottom w:val="single" w:sz="4" w:space="0" w:color="auto"/>
              <w:right w:val="single" w:sz="4" w:space="0" w:color="auto"/>
            </w:tcBorders>
            <w:vAlign w:val="center"/>
          </w:tcPr>
          <w:p w14:paraId="40EC95B9" w14:textId="77777777" w:rsidR="004A02E3" w:rsidRPr="004A02E3" w:rsidRDefault="004A02E3" w:rsidP="00184723">
            <w:pPr>
              <w:autoSpaceDE w:val="0"/>
              <w:autoSpaceDN w:val="0"/>
              <w:adjustRightInd w:val="0"/>
              <w:rPr>
                <w:rFonts w:cstheme="minorHAnsi"/>
                <w:bCs/>
                <w:color w:val="FF0000"/>
              </w:rPr>
            </w:pPr>
            <w:r w:rsidRPr="004A02E3">
              <w:rPr>
                <w:color w:val="FF0000"/>
              </w:rPr>
              <w:t>2464, 45.7%</w:t>
            </w:r>
          </w:p>
        </w:tc>
        <w:tc>
          <w:tcPr>
            <w:tcW w:w="2045" w:type="dxa"/>
            <w:tcBorders>
              <w:top w:val="single" w:sz="4" w:space="0" w:color="auto"/>
              <w:left w:val="single" w:sz="4" w:space="0" w:color="auto"/>
              <w:bottom w:val="single" w:sz="4" w:space="0" w:color="auto"/>
              <w:right w:val="single" w:sz="4" w:space="0" w:color="auto"/>
            </w:tcBorders>
            <w:vAlign w:val="center"/>
          </w:tcPr>
          <w:p w14:paraId="4F38B0F9" w14:textId="77777777" w:rsidR="004A02E3" w:rsidRPr="004A02E3" w:rsidRDefault="004A02E3" w:rsidP="00184723">
            <w:pPr>
              <w:autoSpaceDE w:val="0"/>
              <w:autoSpaceDN w:val="0"/>
              <w:adjustRightInd w:val="0"/>
              <w:rPr>
                <w:rFonts w:cstheme="minorHAnsi"/>
                <w:bCs/>
                <w:color w:val="FF0000"/>
              </w:rPr>
            </w:pPr>
            <w:r w:rsidRPr="004A02E3">
              <w:rPr>
                <w:color w:val="FF0000"/>
              </w:rPr>
              <w:t>2263, 49.4%</w:t>
            </w:r>
          </w:p>
        </w:tc>
        <w:tc>
          <w:tcPr>
            <w:tcW w:w="2045" w:type="dxa"/>
            <w:tcBorders>
              <w:top w:val="single" w:sz="4" w:space="0" w:color="auto"/>
              <w:left w:val="single" w:sz="4" w:space="0" w:color="auto"/>
              <w:bottom w:val="single" w:sz="4" w:space="0" w:color="auto"/>
              <w:right w:val="single" w:sz="4" w:space="0" w:color="auto"/>
            </w:tcBorders>
            <w:vAlign w:val="center"/>
          </w:tcPr>
          <w:p w14:paraId="4CEA2755" w14:textId="77777777" w:rsidR="004A02E3" w:rsidRPr="004A02E3" w:rsidRDefault="004A02E3" w:rsidP="00184723">
            <w:pPr>
              <w:autoSpaceDE w:val="0"/>
              <w:autoSpaceDN w:val="0"/>
              <w:adjustRightInd w:val="0"/>
              <w:rPr>
                <w:rFonts w:cstheme="minorHAnsi"/>
                <w:bCs/>
                <w:color w:val="FF0000"/>
              </w:rPr>
            </w:pPr>
            <w:r w:rsidRPr="004A02E3">
              <w:rPr>
                <w:color w:val="FF0000"/>
              </w:rPr>
              <w:t>4727, 47.4%</w:t>
            </w:r>
          </w:p>
        </w:tc>
      </w:tr>
      <w:tr w:rsidR="004A02E3" w:rsidRPr="004A02E3" w14:paraId="45A3F48B"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1D9D4786"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lastRenderedPageBreak/>
              <w:t>Unknown</w:t>
            </w:r>
          </w:p>
        </w:tc>
        <w:tc>
          <w:tcPr>
            <w:tcW w:w="2045" w:type="dxa"/>
            <w:tcBorders>
              <w:top w:val="single" w:sz="4" w:space="0" w:color="auto"/>
              <w:left w:val="single" w:sz="4" w:space="0" w:color="auto"/>
              <w:bottom w:val="single" w:sz="4" w:space="0" w:color="auto"/>
              <w:right w:val="single" w:sz="4" w:space="0" w:color="auto"/>
            </w:tcBorders>
            <w:vAlign w:val="center"/>
          </w:tcPr>
          <w:p w14:paraId="35CDA25E" w14:textId="77777777" w:rsidR="004A02E3" w:rsidRPr="004A02E3" w:rsidRDefault="004A02E3" w:rsidP="00184723">
            <w:pPr>
              <w:autoSpaceDE w:val="0"/>
              <w:autoSpaceDN w:val="0"/>
              <w:adjustRightInd w:val="0"/>
              <w:rPr>
                <w:rFonts w:cstheme="minorHAnsi"/>
                <w:bCs/>
                <w:color w:val="FF0000"/>
              </w:rPr>
            </w:pPr>
            <w:r w:rsidRPr="004A02E3">
              <w:rPr>
                <w:color w:val="FF0000"/>
              </w:rPr>
              <w:t>0, 0.0%</w:t>
            </w:r>
          </w:p>
        </w:tc>
        <w:tc>
          <w:tcPr>
            <w:tcW w:w="2045" w:type="dxa"/>
            <w:tcBorders>
              <w:top w:val="single" w:sz="4" w:space="0" w:color="auto"/>
              <w:left w:val="single" w:sz="4" w:space="0" w:color="auto"/>
              <w:bottom w:val="single" w:sz="4" w:space="0" w:color="auto"/>
              <w:right w:val="single" w:sz="4" w:space="0" w:color="auto"/>
            </w:tcBorders>
            <w:vAlign w:val="center"/>
          </w:tcPr>
          <w:p w14:paraId="2CDABCF4" w14:textId="77777777" w:rsidR="004A02E3" w:rsidRPr="004A02E3" w:rsidRDefault="004A02E3" w:rsidP="00184723">
            <w:pPr>
              <w:autoSpaceDE w:val="0"/>
              <w:autoSpaceDN w:val="0"/>
              <w:adjustRightInd w:val="0"/>
              <w:rPr>
                <w:rFonts w:cstheme="minorHAnsi"/>
                <w:bCs/>
                <w:color w:val="FF0000"/>
              </w:rPr>
            </w:pPr>
            <w:r w:rsidRPr="004A02E3">
              <w:rPr>
                <w:color w:val="FF0000"/>
              </w:rPr>
              <w:t>13, 0.3%</w:t>
            </w:r>
          </w:p>
        </w:tc>
        <w:tc>
          <w:tcPr>
            <w:tcW w:w="2045" w:type="dxa"/>
            <w:tcBorders>
              <w:top w:val="single" w:sz="4" w:space="0" w:color="auto"/>
              <w:left w:val="single" w:sz="4" w:space="0" w:color="auto"/>
              <w:bottom w:val="single" w:sz="4" w:space="0" w:color="auto"/>
              <w:right w:val="single" w:sz="4" w:space="0" w:color="auto"/>
            </w:tcBorders>
            <w:vAlign w:val="center"/>
          </w:tcPr>
          <w:p w14:paraId="5E8F9715" w14:textId="77777777" w:rsidR="004A02E3" w:rsidRPr="004A02E3" w:rsidRDefault="004A02E3" w:rsidP="00184723">
            <w:pPr>
              <w:autoSpaceDE w:val="0"/>
              <w:autoSpaceDN w:val="0"/>
              <w:adjustRightInd w:val="0"/>
              <w:rPr>
                <w:rFonts w:cstheme="minorHAnsi"/>
                <w:bCs/>
                <w:color w:val="FF0000"/>
              </w:rPr>
            </w:pPr>
            <w:r w:rsidRPr="004A02E3">
              <w:rPr>
                <w:color w:val="FF0000"/>
              </w:rPr>
              <w:t>13, 0.1%</w:t>
            </w:r>
          </w:p>
        </w:tc>
      </w:tr>
      <w:tr w:rsidR="004A02E3" w:rsidRPr="004A02E3" w14:paraId="0B10498B"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3DE95243" w14:textId="77777777" w:rsidR="004A02E3" w:rsidRPr="004A02E3" w:rsidRDefault="004A02E3" w:rsidP="00184723">
            <w:pPr>
              <w:autoSpaceDE w:val="0"/>
              <w:autoSpaceDN w:val="0"/>
              <w:adjustRightInd w:val="0"/>
              <w:rPr>
                <w:rFonts w:cstheme="minorHAnsi"/>
                <w:b/>
                <w:bCs/>
                <w:color w:val="FF0000"/>
              </w:rPr>
            </w:pPr>
            <w:r w:rsidRPr="004A02E3">
              <w:rPr>
                <w:rFonts w:cstheme="minorHAnsi"/>
                <w:b/>
                <w:bCs/>
                <w:color w:val="FF0000"/>
              </w:rPr>
              <w:t>Race</w:t>
            </w:r>
          </w:p>
        </w:tc>
        <w:tc>
          <w:tcPr>
            <w:tcW w:w="2045" w:type="dxa"/>
            <w:tcBorders>
              <w:top w:val="single" w:sz="4" w:space="0" w:color="auto"/>
              <w:left w:val="single" w:sz="4" w:space="0" w:color="auto"/>
              <w:bottom w:val="single" w:sz="4" w:space="0" w:color="auto"/>
              <w:right w:val="single" w:sz="4" w:space="0" w:color="auto"/>
            </w:tcBorders>
            <w:vAlign w:val="center"/>
          </w:tcPr>
          <w:p w14:paraId="3B059F0B"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61B34681"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35A4B714" w14:textId="77777777" w:rsidR="004A02E3" w:rsidRPr="004A02E3" w:rsidRDefault="004A02E3" w:rsidP="00184723">
            <w:pPr>
              <w:autoSpaceDE w:val="0"/>
              <w:autoSpaceDN w:val="0"/>
              <w:adjustRightInd w:val="0"/>
              <w:rPr>
                <w:rFonts w:cstheme="minorHAnsi"/>
                <w:bCs/>
                <w:color w:val="FF0000"/>
              </w:rPr>
            </w:pPr>
          </w:p>
        </w:tc>
      </w:tr>
      <w:tr w:rsidR="004A02E3" w:rsidRPr="004A02E3" w14:paraId="3E44CC31"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0AE213B8" w14:textId="00FBCDFA" w:rsidR="004A02E3" w:rsidRPr="004A02E3" w:rsidRDefault="002E0A9D" w:rsidP="002E0A9D">
            <w:pPr>
              <w:autoSpaceDE w:val="0"/>
              <w:autoSpaceDN w:val="0"/>
              <w:adjustRightInd w:val="0"/>
              <w:ind w:left="330" w:hanging="330"/>
              <w:rPr>
                <w:rFonts w:cstheme="minorHAnsi"/>
                <w:b/>
                <w:bCs/>
                <w:color w:val="FF0000"/>
              </w:rPr>
            </w:pPr>
            <w:r>
              <w:rPr>
                <w:rFonts w:cstheme="minorHAnsi"/>
                <w:bCs/>
                <w:color w:val="FF0000"/>
              </w:rPr>
              <w:t xml:space="preserve">        Black or African-</w:t>
            </w:r>
            <w:r w:rsidR="004A02E3" w:rsidRPr="004A02E3">
              <w:rPr>
                <w:rFonts w:cstheme="minorHAnsi"/>
                <w:bCs/>
                <w:color w:val="FF0000"/>
              </w:rPr>
              <w:t>American</w:t>
            </w:r>
          </w:p>
        </w:tc>
        <w:tc>
          <w:tcPr>
            <w:tcW w:w="2045" w:type="dxa"/>
            <w:tcBorders>
              <w:top w:val="single" w:sz="4" w:space="0" w:color="auto"/>
              <w:left w:val="single" w:sz="4" w:space="0" w:color="auto"/>
              <w:bottom w:val="single" w:sz="4" w:space="0" w:color="auto"/>
              <w:right w:val="single" w:sz="4" w:space="0" w:color="auto"/>
            </w:tcBorders>
            <w:vAlign w:val="center"/>
          </w:tcPr>
          <w:p w14:paraId="1E1B327E" w14:textId="77777777" w:rsidR="004A02E3" w:rsidRPr="004A02E3" w:rsidRDefault="004A02E3" w:rsidP="00184723">
            <w:pPr>
              <w:autoSpaceDE w:val="0"/>
              <w:autoSpaceDN w:val="0"/>
              <w:adjustRightInd w:val="0"/>
              <w:rPr>
                <w:rFonts w:cstheme="minorHAnsi"/>
                <w:bCs/>
                <w:color w:val="FF0000"/>
              </w:rPr>
            </w:pPr>
            <w:r w:rsidRPr="004A02E3">
              <w:rPr>
                <w:color w:val="FF0000"/>
              </w:rPr>
              <w:t>1377, 25.5%</w:t>
            </w:r>
          </w:p>
        </w:tc>
        <w:tc>
          <w:tcPr>
            <w:tcW w:w="2045" w:type="dxa"/>
            <w:tcBorders>
              <w:top w:val="single" w:sz="4" w:space="0" w:color="auto"/>
              <w:left w:val="single" w:sz="4" w:space="0" w:color="auto"/>
              <w:bottom w:val="single" w:sz="4" w:space="0" w:color="auto"/>
              <w:right w:val="single" w:sz="4" w:space="0" w:color="auto"/>
            </w:tcBorders>
            <w:vAlign w:val="center"/>
          </w:tcPr>
          <w:p w14:paraId="146CCB8A" w14:textId="77777777" w:rsidR="004A02E3" w:rsidRPr="004A02E3" w:rsidRDefault="004A02E3" w:rsidP="00184723">
            <w:pPr>
              <w:autoSpaceDE w:val="0"/>
              <w:autoSpaceDN w:val="0"/>
              <w:adjustRightInd w:val="0"/>
              <w:rPr>
                <w:rFonts w:cstheme="minorHAnsi"/>
                <w:bCs/>
                <w:color w:val="FF0000"/>
              </w:rPr>
            </w:pPr>
            <w:r w:rsidRPr="004A02E3">
              <w:rPr>
                <w:color w:val="FF0000"/>
              </w:rPr>
              <w:t>638, 13.9%</w:t>
            </w:r>
          </w:p>
        </w:tc>
        <w:tc>
          <w:tcPr>
            <w:tcW w:w="2045" w:type="dxa"/>
            <w:tcBorders>
              <w:top w:val="single" w:sz="4" w:space="0" w:color="auto"/>
              <w:left w:val="single" w:sz="4" w:space="0" w:color="auto"/>
              <w:bottom w:val="single" w:sz="4" w:space="0" w:color="auto"/>
              <w:right w:val="single" w:sz="4" w:space="0" w:color="auto"/>
            </w:tcBorders>
            <w:vAlign w:val="center"/>
          </w:tcPr>
          <w:p w14:paraId="2CC936B7" w14:textId="77777777" w:rsidR="004A02E3" w:rsidRPr="004A02E3" w:rsidRDefault="004A02E3" w:rsidP="00184723">
            <w:pPr>
              <w:autoSpaceDE w:val="0"/>
              <w:autoSpaceDN w:val="0"/>
              <w:adjustRightInd w:val="0"/>
              <w:rPr>
                <w:rFonts w:cstheme="minorHAnsi"/>
                <w:bCs/>
                <w:color w:val="FF0000"/>
              </w:rPr>
            </w:pPr>
            <w:r w:rsidRPr="004A02E3">
              <w:rPr>
                <w:color w:val="FF0000"/>
              </w:rPr>
              <w:t>2015, 20.2%</w:t>
            </w:r>
          </w:p>
        </w:tc>
      </w:tr>
      <w:tr w:rsidR="004A02E3" w:rsidRPr="004A02E3" w14:paraId="7A31CEEF" w14:textId="77777777" w:rsidTr="00F86E29">
        <w:trPr>
          <w:trHeight w:val="300"/>
        </w:trPr>
        <w:tc>
          <w:tcPr>
            <w:tcW w:w="2448" w:type="dxa"/>
            <w:tcBorders>
              <w:top w:val="single" w:sz="4" w:space="0" w:color="auto"/>
              <w:left w:val="single" w:sz="4" w:space="0" w:color="auto"/>
              <w:bottom w:val="single" w:sz="4" w:space="0" w:color="auto"/>
              <w:right w:val="single" w:sz="4" w:space="0" w:color="auto"/>
            </w:tcBorders>
            <w:hideMark/>
          </w:tcPr>
          <w:p w14:paraId="705A591A"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White</w:t>
            </w:r>
          </w:p>
        </w:tc>
        <w:tc>
          <w:tcPr>
            <w:tcW w:w="2045" w:type="dxa"/>
            <w:tcBorders>
              <w:top w:val="single" w:sz="4" w:space="0" w:color="auto"/>
              <w:left w:val="single" w:sz="4" w:space="0" w:color="auto"/>
              <w:bottom w:val="single" w:sz="4" w:space="0" w:color="auto"/>
              <w:right w:val="single" w:sz="4" w:space="0" w:color="auto"/>
            </w:tcBorders>
            <w:vAlign w:val="center"/>
          </w:tcPr>
          <w:p w14:paraId="55192A76" w14:textId="77777777" w:rsidR="004A02E3" w:rsidRPr="004A02E3" w:rsidRDefault="004A02E3" w:rsidP="00184723">
            <w:pPr>
              <w:autoSpaceDE w:val="0"/>
              <w:autoSpaceDN w:val="0"/>
              <w:adjustRightInd w:val="0"/>
              <w:rPr>
                <w:rFonts w:cstheme="minorHAnsi"/>
                <w:bCs/>
                <w:color w:val="FF0000"/>
              </w:rPr>
            </w:pPr>
            <w:r w:rsidRPr="004A02E3">
              <w:rPr>
                <w:color w:val="FF0000"/>
              </w:rPr>
              <w:t>3729, 69.1%</w:t>
            </w:r>
          </w:p>
        </w:tc>
        <w:tc>
          <w:tcPr>
            <w:tcW w:w="2045" w:type="dxa"/>
            <w:tcBorders>
              <w:top w:val="single" w:sz="4" w:space="0" w:color="auto"/>
              <w:left w:val="single" w:sz="4" w:space="0" w:color="auto"/>
              <w:bottom w:val="single" w:sz="4" w:space="0" w:color="auto"/>
              <w:right w:val="single" w:sz="4" w:space="0" w:color="auto"/>
            </w:tcBorders>
            <w:vAlign w:val="center"/>
          </w:tcPr>
          <w:p w14:paraId="417EDFFC" w14:textId="77777777" w:rsidR="004A02E3" w:rsidRPr="004A02E3" w:rsidRDefault="004A02E3" w:rsidP="00184723">
            <w:pPr>
              <w:autoSpaceDE w:val="0"/>
              <w:autoSpaceDN w:val="0"/>
              <w:adjustRightInd w:val="0"/>
              <w:rPr>
                <w:rFonts w:cstheme="minorHAnsi"/>
                <w:bCs/>
                <w:color w:val="FF0000"/>
              </w:rPr>
            </w:pPr>
            <w:r w:rsidRPr="004A02E3">
              <w:rPr>
                <w:color w:val="FF0000"/>
              </w:rPr>
              <w:t>2458, 53.7%</w:t>
            </w:r>
          </w:p>
        </w:tc>
        <w:tc>
          <w:tcPr>
            <w:tcW w:w="2045" w:type="dxa"/>
            <w:tcBorders>
              <w:top w:val="single" w:sz="4" w:space="0" w:color="auto"/>
              <w:left w:val="single" w:sz="4" w:space="0" w:color="auto"/>
              <w:bottom w:val="single" w:sz="4" w:space="0" w:color="auto"/>
              <w:right w:val="single" w:sz="4" w:space="0" w:color="auto"/>
            </w:tcBorders>
            <w:vAlign w:val="center"/>
          </w:tcPr>
          <w:p w14:paraId="3B63AEB3" w14:textId="77777777" w:rsidR="004A02E3" w:rsidRPr="004A02E3" w:rsidRDefault="004A02E3" w:rsidP="00184723">
            <w:pPr>
              <w:autoSpaceDE w:val="0"/>
              <w:autoSpaceDN w:val="0"/>
              <w:adjustRightInd w:val="0"/>
              <w:rPr>
                <w:rFonts w:cstheme="minorHAnsi"/>
                <w:bCs/>
                <w:color w:val="FF0000"/>
              </w:rPr>
            </w:pPr>
            <w:r w:rsidRPr="004A02E3">
              <w:rPr>
                <w:color w:val="FF0000"/>
              </w:rPr>
              <w:t>6187, 62.0%</w:t>
            </w:r>
          </w:p>
        </w:tc>
      </w:tr>
      <w:tr w:rsidR="004A02E3" w:rsidRPr="004A02E3" w14:paraId="76C87F69"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63DC92B8"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Other</w:t>
            </w:r>
          </w:p>
        </w:tc>
        <w:tc>
          <w:tcPr>
            <w:tcW w:w="2045" w:type="dxa"/>
            <w:tcBorders>
              <w:top w:val="single" w:sz="4" w:space="0" w:color="auto"/>
              <w:left w:val="single" w:sz="4" w:space="0" w:color="auto"/>
              <w:bottom w:val="single" w:sz="4" w:space="0" w:color="auto"/>
              <w:right w:val="single" w:sz="4" w:space="0" w:color="auto"/>
            </w:tcBorders>
            <w:vAlign w:val="center"/>
          </w:tcPr>
          <w:p w14:paraId="1FF58C44" w14:textId="77777777" w:rsidR="004A02E3" w:rsidRPr="004A02E3" w:rsidRDefault="004A02E3" w:rsidP="00184723">
            <w:pPr>
              <w:autoSpaceDE w:val="0"/>
              <w:autoSpaceDN w:val="0"/>
              <w:adjustRightInd w:val="0"/>
              <w:rPr>
                <w:rFonts w:cstheme="minorHAnsi"/>
                <w:bCs/>
                <w:color w:val="FF0000"/>
              </w:rPr>
            </w:pPr>
            <w:r w:rsidRPr="004A02E3">
              <w:rPr>
                <w:color w:val="FF0000"/>
              </w:rPr>
              <w:t>288, 5.3%</w:t>
            </w:r>
          </w:p>
        </w:tc>
        <w:tc>
          <w:tcPr>
            <w:tcW w:w="2045" w:type="dxa"/>
            <w:tcBorders>
              <w:top w:val="single" w:sz="4" w:space="0" w:color="auto"/>
              <w:left w:val="single" w:sz="4" w:space="0" w:color="auto"/>
              <w:bottom w:val="single" w:sz="4" w:space="0" w:color="auto"/>
              <w:right w:val="single" w:sz="4" w:space="0" w:color="auto"/>
            </w:tcBorders>
            <w:vAlign w:val="center"/>
          </w:tcPr>
          <w:p w14:paraId="2A12C400" w14:textId="77777777" w:rsidR="004A02E3" w:rsidRPr="004A02E3" w:rsidRDefault="004A02E3" w:rsidP="00184723">
            <w:pPr>
              <w:autoSpaceDE w:val="0"/>
              <w:autoSpaceDN w:val="0"/>
              <w:adjustRightInd w:val="0"/>
              <w:rPr>
                <w:rFonts w:cstheme="minorHAnsi"/>
                <w:bCs/>
                <w:color w:val="FF0000"/>
              </w:rPr>
            </w:pPr>
            <w:r w:rsidRPr="004A02E3">
              <w:rPr>
                <w:color w:val="FF0000"/>
              </w:rPr>
              <w:t>1269, 27.7%</w:t>
            </w:r>
          </w:p>
        </w:tc>
        <w:tc>
          <w:tcPr>
            <w:tcW w:w="2045" w:type="dxa"/>
            <w:tcBorders>
              <w:top w:val="single" w:sz="4" w:space="0" w:color="auto"/>
              <w:left w:val="single" w:sz="4" w:space="0" w:color="auto"/>
              <w:bottom w:val="single" w:sz="4" w:space="0" w:color="auto"/>
              <w:right w:val="single" w:sz="4" w:space="0" w:color="auto"/>
            </w:tcBorders>
            <w:vAlign w:val="center"/>
          </w:tcPr>
          <w:p w14:paraId="2CF60FCA" w14:textId="77777777" w:rsidR="004A02E3" w:rsidRPr="004A02E3" w:rsidRDefault="004A02E3" w:rsidP="00184723">
            <w:pPr>
              <w:autoSpaceDE w:val="0"/>
              <w:autoSpaceDN w:val="0"/>
              <w:adjustRightInd w:val="0"/>
              <w:rPr>
                <w:rFonts w:cstheme="minorHAnsi"/>
                <w:bCs/>
                <w:color w:val="FF0000"/>
              </w:rPr>
            </w:pPr>
            <w:r w:rsidRPr="004A02E3">
              <w:rPr>
                <w:color w:val="FF0000"/>
              </w:rPr>
              <w:t>1557, 15.6%</w:t>
            </w:r>
          </w:p>
        </w:tc>
      </w:tr>
      <w:tr w:rsidR="004A02E3" w:rsidRPr="004A02E3" w14:paraId="0333E677"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04CCE6D8"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Unknown</w:t>
            </w:r>
          </w:p>
        </w:tc>
        <w:tc>
          <w:tcPr>
            <w:tcW w:w="2045" w:type="dxa"/>
            <w:tcBorders>
              <w:top w:val="single" w:sz="4" w:space="0" w:color="auto"/>
              <w:left w:val="single" w:sz="4" w:space="0" w:color="auto"/>
              <w:bottom w:val="single" w:sz="4" w:space="0" w:color="auto"/>
              <w:right w:val="single" w:sz="4" w:space="0" w:color="auto"/>
            </w:tcBorders>
            <w:vAlign w:val="center"/>
          </w:tcPr>
          <w:p w14:paraId="43C09E25" w14:textId="77777777" w:rsidR="004A02E3" w:rsidRPr="004A02E3" w:rsidRDefault="004A02E3" w:rsidP="00184723">
            <w:pPr>
              <w:autoSpaceDE w:val="0"/>
              <w:autoSpaceDN w:val="0"/>
              <w:adjustRightInd w:val="0"/>
              <w:rPr>
                <w:rFonts w:cstheme="minorHAnsi"/>
                <w:bCs/>
                <w:color w:val="FF0000"/>
              </w:rPr>
            </w:pPr>
            <w:r w:rsidRPr="004A02E3">
              <w:rPr>
                <w:color w:val="FF0000"/>
              </w:rPr>
              <w:t>0, 0.0%</w:t>
            </w:r>
          </w:p>
        </w:tc>
        <w:tc>
          <w:tcPr>
            <w:tcW w:w="2045" w:type="dxa"/>
            <w:tcBorders>
              <w:top w:val="single" w:sz="4" w:space="0" w:color="auto"/>
              <w:left w:val="single" w:sz="4" w:space="0" w:color="auto"/>
              <w:bottom w:val="single" w:sz="4" w:space="0" w:color="auto"/>
              <w:right w:val="single" w:sz="4" w:space="0" w:color="auto"/>
            </w:tcBorders>
            <w:vAlign w:val="center"/>
          </w:tcPr>
          <w:p w14:paraId="4F7FDBB0" w14:textId="77777777" w:rsidR="004A02E3" w:rsidRPr="004A02E3" w:rsidRDefault="004A02E3" w:rsidP="00184723">
            <w:pPr>
              <w:autoSpaceDE w:val="0"/>
              <w:autoSpaceDN w:val="0"/>
              <w:adjustRightInd w:val="0"/>
              <w:rPr>
                <w:rFonts w:cstheme="minorHAnsi"/>
                <w:bCs/>
                <w:color w:val="FF0000"/>
              </w:rPr>
            </w:pPr>
            <w:r w:rsidRPr="004A02E3">
              <w:rPr>
                <w:color w:val="FF0000"/>
              </w:rPr>
              <w:t>215, 4.7%</w:t>
            </w:r>
          </w:p>
        </w:tc>
        <w:tc>
          <w:tcPr>
            <w:tcW w:w="2045" w:type="dxa"/>
            <w:tcBorders>
              <w:top w:val="single" w:sz="4" w:space="0" w:color="auto"/>
              <w:left w:val="single" w:sz="4" w:space="0" w:color="auto"/>
              <w:bottom w:val="single" w:sz="4" w:space="0" w:color="auto"/>
              <w:right w:val="single" w:sz="4" w:space="0" w:color="auto"/>
            </w:tcBorders>
            <w:vAlign w:val="center"/>
          </w:tcPr>
          <w:p w14:paraId="771BDE81" w14:textId="77777777" w:rsidR="004A02E3" w:rsidRPr="004A02E3" w:rsidRDefault="004A02E3" w:rsidP="00184723">
            <w:pPr>
              <w:autoSpaceDE w:val="0"/>
              <w:autoSpaceDN w:val="0"/>
              <w:adjustRightInd w:val="0"/>
              <w:rPr>
                <w:rFonts w:cstheme="minorHAnsi"/>
                <w:bCs/>
                <w:color w:val="FF0000"/>
              </w:rPr>
            </w:pPr>
            <w:r w:rsidRPr="004A02E3">
              <w:rPr>
                <w:color w:val="FF0000"/>
              </w:rPr>
              <w:t>215, 2.2%</w:t>
            </w:r>
          </w:p>
        </w:tc>
      </w:tr>
      <w:tr w:rsidR="004A02E3" w:rsidRPr="004A02E3" w14:paraId="5E4A46AA"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791D1069" w14:textId="77777777" w:rsidR="004A02E3" w:rsidRPr="004A02E3" w:rsidRDefault="004A02E3" w:rsidP="00184723">
            <w:pPr>
              <w:autoSpaceDE w:val="0"/>
              <w:autoSpaceDN w:val="0"/>
              <w:adjustRightInd w:val="0"/>
              <w:rPr>
                <w:rFonts w:cstheme="minorHAnsi"/>
                <w:bCs/>
                <w:color w:val="FF0000"/>
              </w:rPr>
            </w:pPr>
            <w:r w:rsidRPr="004A02E3">
              <w:rPr>
                <w:rFonts w:cstheme="minorHAnsi"/>
                <w:b/>
                <w:bCs/>
                <w:color w:val="FF0000"/>
              </w:rPr>
              <w:t>Ethnicity</w:t>
            </w:r>
          </w:p>
        </w:tc>
        <w:tc>
          <w:tcPr>
            <w:tcW w:w="2045" w:type="dxa"/>
            <w:tcBorders>
              <w:top w:val="single" w:sz="4" w:space="0" w:color="auto"/>
              <w:left w:val="single" w:sz="4" w:space="0" w:color="auto"/>
              <w:bottom w:val="single" w:sz="4" w:space="0" w:color="auto"/>
              <w:right w:val="single" w:sz="4" w:space="0" w:color="auto"/>
            </w:tcBorders>
            <w:vAlign w:val="center"/>
          </w:tcPr>
          <w:p w14:paraId="6B0B7A4A"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325F5A40"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0F161C59" w14:textId="77777777" w:rsidR="004A02E3" w:rsidRPr="004A02E3" w:rsidRDefault="004A02E3" w:rsidP="00184723">
            <w:pPr>
              <w:autoSpaceDE w:val="0"/>
              <w:autoSpaceDN w:val="0"/>
              <w:adjustRightInd w:val="0"/>
              <w:rPr>
                <w:rFonts w:cstheme="minorHAnsi"/>
                <w:bCs/>
                <w:color w:val="FF0000"/>
              </w:rPr>
            </w:pPr>
          </w:p>
        </w:tc>
      </w:tr>
      <w:tr w:rsidR="004A02E3" w:rsidRPr="004A02E3" w14:paraId="6B269797"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6285DAC5" w14:textId="77777777" w:rsidR="004A02E3" w:rsidRPr="004A02E3" w:rsidRDefault="004A02E3" w:rsidP="00184723">
            <w:pPr>
              <w:autoSpaceDE w:val="0"/>
              <w:autoSpaceDN w:val="0"/>
              <w:adjustRightInd w:val="0"/>
              <w:rPr>
                <w:rFonts w:cstheme="minorHAnsi"/>
                <w:b/>
                <w:bCs/>
                <w:color w:val="FF0000"/>
              </w:rPr>
            </w:pPr>
            <w:r w:rsidRPr="004A02E3">
              <w:rPr>
                <w:rFonts w:cstheme="minorHAnsi"/>
                <w:bCs/>
                <w:color w:val="FF0000"/>
              </w:rPr>
              <w:t xml:space="preserve">      Hispanic </w:t>
            </w:r>
            <w:r w:rsidRPr="004A02E3">
              <w:rPr>
                <w:rFonts w:cstheme="minorHAnsi"/>
                <w:color w:val="FF0000"/>
              </w:rPr>
              <w:t>or Latino</w:t>
            </w:r>
          </w:p>
        </w:tc>
        <w:tc>
          <w:tcPr>
            <w:tcW w:w="2045" w:type="dxa"/>
            <w:tcBorders>
              <w:top w:val="single" w:sz="4" w:space="0" w:color="auto"/>
              <w:left w:val="single" w:sz="4" w:space="0" w:color="auto"/>
              <w:bottom w:val="single" w:sz="4" w:space="0" w:color="auto"/>
              <w:right w:val="single" w:sz="4" w:space="0" w:color="auto"/>
            </w:tcBorders>
            <w:vAlign w:val="center"/>
          </w:tcPr>
          <w:p w14:paraId="4426B0CD" w14:textId="77777777" w:rsidR="004A02E3" w:rsidRPr="004A02E3" w:rsidRDefault="004A02E3" w:rsidP="00184723">
            <w:pPr>
              <w:autoSpaceDE w:val="0"/>
              <w:autoSpaceDN w:val="0"/>
              <w:adjustRightInd w:val="0"/>
              <w:rPr>
                <w:rFonts w:cstheme="minorHAnsi"/>
                <w:bCs/>
                <w:color w:val="FF0000"/>
              </w:rPr>
            </w:pPr>
            <w:r w:rsidRPr="004A02E3">
              <w:rPr>
                <w:color w:val="FF0000"/>
              </w:rPr>
              <w:t>82, 1.5%</w:t>
            </w:r>
          </w:p>
        </w:tc>
        <w:tc>
          <w:tcPr>
            <w:tcW w:w="2045" w:type="dxa"/>
            <w:tcBorders>
              <w:top w:val="single" w:sz="4" w:space="0" w:color="auto"/>
              <w:left w:val="single" w:sz="4" w:space="0" w:color="auto"/>
              <w:bottom w:val="single" w:sz="4" w:space="0" w:color="auto"/>
              <w:right w:val="single" w:sz="4" w:space="0" w:color="auto"/>
            </w:tcBorders>
            <w:vAlign w:val="center"/>
          </w:tcPr>
          <w:p w14:paraId="1B597E45" w14:textId="77777777" w:rsidR="004A02E3" w:rsidRPr="004A02E3" w:rsidRDefault="004A02E3" w:rsidP="00184723">
            <w:pPr>
              <w:autoSpaceDE w:val="0"/>
              <w:autoSpaceDN w:val="0"/>
              <w:adjustRightInd w:val="0"/>
              <w:rPr>
                <w:rFonts w:cstheme="minorHAnsi"/>
                <w:bCs/>
                <w:color w:val="FF0000"/>
              </w:rPr>
            </w:pPr>
            <w:r w:rsidRPr="004A02E3">
              <w:rPr>
                <w:color w:val="FF0000"/>
              </w:rPr>
              <w:t>781, 17.1%</w:t>
            </w:r>
          </w:p>
        </w:tc>
        <w:tc>
          <w:tcPr>
            <w:tcW w:w="2045" w:type="dxa"/>
            <w:tcBorders>
              <w:top w:val="single" w:sz="4" w:space="0" w:color="auto"/>
              <w:left w:val="single" w:sz="4" w:space="0" w:color="auto"/>
              <w:bottom w:val="single" w:sz="4" w:space="0" w:color="auto"/>
              <w:right w:val="single" w:sz="4" w:space="0" w:color="auto"/>
            </w:tcBorders>
            <w:vAlign w:val="center"/>
          </w:tcPr>
          <w:p w14:paraId="534DCFB8" w14:textId="77777777" w:rsidR="004A02E3" w:rsidRPr="004A02E3" w:rsidRDefault="004A02E3" w:rsidP="00184723">
            <w:pPr>
              <w:autoSpaceDE w:val="0"/>
              <w:autoSpaceDN w:val="0"/>
              <w:adjustRightInd w:val="0"/>
              <w:rPr>
                <w:rFonts w:cstheme="minorHAnsi"/>
                <w:bCs/>
                <w:color w:val="FF0000"/>
              </w:rPr>
            </w:pPr>
            <w:r w:rsidRPr="004A02E3">
              <w:rPr>
                <w:color w:val="FF0000"/>
              </w:rPr>
              <w:t>863, 8.7%</w:t>
            </w:r>
          </w:p>
        </w:tc>
      </w:tr>
      <w:tr w:rsidR="004A02E3" w:rsidRPr="004A02E3" w14:paraId="60C8B486"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42925C37" w14:textId="77777777" w:rsidR="004A02E3" w:rsidRPr="004A02E3" w:rsidRDefault="004A02E3" w:rsidP="00184723">
            <w:pPr>
              <w:autoSpaceDE w:val="0"/>
              <w:autoSpaceDN w:val="0"/>
              <w:adjustRightInd w:val="0"/>
              <w:ind w:left="337"/>
              <w:rPr>
                <w:rFonts w:cstheme="minorHAnsi"/>
                <w:color w:val="FF0000"/>
              </w:rPr>
            </w:pPr>
            <w:r w:rsidRPr="004A02E3">
              <w:rPr>
                <w:rFonts w:cstheme="minorHAnsi"/>
                <w:bCs/>
                <w:color w:val="FF0000"/>
              </w:rPr>
              <w:t>Non-Hispanic</w:t>
            </w:r>
          </w:p>
        </w:tc>
        <w:tc>
          <w:tcPr>
            <w:tcW w:w="2045" w:type="dxa"/>
            <w:tcBorders>
              <w:top w:val="single" w:sz="4" w:space="0" w:color="auto"/>
              <w:left w:val="single" w:sz="4" w:space="0" w:color="auto"/>
              <w:bottom w:val="single" w:sz="4" w:space="0" w:color="auto"/>
              <w:right w:val="single" w:sz="4" w:space="0" w:color="auto"/>
            </w:tcBorders>
            <w:vAlign w:val="center"/>
          </w:tcPr>
          <w:p w14:paraId="03E8743D" w14:textId="77777777" w:rsidR="004A02E3" w:rsidRPr="004A02E3" w:rsidRDefault="004A02E3" w:rsidP="00184723">
            <w:pPr>
              <w:autoSpaceDE w:val="0"/>
              <w:autoSpaceDN w:val="0"/>
              <w:adjustRightInd w:val="0"/>
              <w:rPr>
                <w:rFonts w:cstheme="minorHAnsi"/>
                <w:bCs/>
                <w:color w:val="FF0000"/>
              </w:rPr>
            </w:pPr>
            <w:r w:rsidRPr="004A02E3">
              <w:rPr>
                <w:color w:val="FF0000"/>
              </w:rPr>
              <w:t>5279, 97.9%</w:t>
            </w:r>
          </w:p>
        </w:tc>
        <w:tc>
          <w:tcPr>
            <w:tcW w:w="2045" w:type="dxa"/>
            <w:tcBorders>
              <w:top w:val="single" w:sz="4" w:space="0" w:color="auto"/>
              <w:left w:val="single" w:sz="4" w:space="0" w:color="auto"/>
              <w:bottom w:val="single" w:sz="4" w:space="0" w:color="auto"/>
              <w:right w:val="single" w:sz="4" w:space="0" w:color="auto"/>
            </w:tcBorders>
            <w:vAlign w:val="center"/>
          </w:tcPr>
          <w:p w14:paraId="07BFFBDD" w14:textId="77777777" w:rsidR="004A02E3" w:rsidRPr="004A02E3" w:rsidRDefault="004A02E3" w:rsidP="00184723">
            <w:pPr>
              <w:autoSpaceDE w:val="0"/>
              <w:autoSpaceDN w:val="0"/>
              <w:adjustRightInd w:val="0"/>
              <w:rPr>
                <w:rFonts w:cstheme="minorHAnsi"/>
                <w:bCs/>
                <w:color w:val="FF0000"/>
              </w:rPr>
            </w:pPr>
            <w:r w:rsidRPr="004A02E3">
              <w:rPr>
                <w:color w:val="FF0000"/>
              </w:rPr>
              <w:t>3582, 78.2%</w:t>
            </w:r>
          </w:p>
        </w:tc>
        <w:tc>
          <w:tcPr>
            <w:tcW w:w="2045" w:type="dxa"/>
            <w:tcBorders>
              <w:top w:val="single" w:sz="4" w:space="0" w:color="auto"/>
              <w:left w:val="single" w:sz="4" w:space="0" w:color="auto"/>
              <w:bottom w:val="single" w:sz="4" w:space="0" w:color="auto"/>
              <w:right w:val="single" w:sz="4" w:space="0" w:color="auto"/>
            </w:tcBorders>
            <w:vAlign w:val="center"/>
          </w:tcPr>
          <w:p w14:paraId="6B2E0D7F" w14:textId="77777777" w:rsidR="004A02E3" w:rsidRPr="004A02E3" w:rsidRDefault="004A02E3" w:rsidP="00184723">
            <w:pPr>
              <w:autoSpaceDE w:val="0"/>
              <w:autoSpaceDN w:val="0"/>
              <w:adjustRightInd w:val="0"/>
              <w:rPr>
                <w:rFonts w:cstheme="minorHAnsi"/>
                <w:bCs/>
                <w:color w:val="FF0000"/>
              </w:rPr>
            </w:pPr>
            <w:r w:rsidRPr="004A02E3">
              <w:rPr>
                <w:color w:val="FF0000"/>
              </w:rPr>
              <w:t>8861, 88.8%</w:t>
            </w:r>
          </w:p>
        </w:tc>
      </w:tr>
      <w:tr w:rsidR="004A02E3" w:rsidRPr="004A02E3" w14:paraId="0906258D"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0EC26E65"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Unknown</w:t>
            </w:r>
          </w:p>
        </w:tc>
        <w:tc>
          <w:tcPr>
            <w:tcW w:w="2045" w:type="dxa"/>
            <w:tcBorders>
              <w:top w:val="single" w:sz="4" w:space="0" w:color="auto"/>
              <w:left w:val="single" w:sz="4" w:space="0" w:color="auto"/>
              <w:bottom w:val="single" w:sz="4" w:space="0" w:color="auto"/>
              <w:right w:val="single" w:sz="4" w:space="0" w:color="auto"/>
            </w:tcBorders>
            <w:vAlign w:val="center"/>
          </w:tcPr>
          <w:p w14:paraId="5411D9E1" w14:textId="77777777" w:rsidR="004A02E3" w:rsidRPr="004A02E3" w:rsidRDefault="004A02E3" w:rsidP="00184723">
            <w:pPr>
              <w:autoSpaceDE w:val="0"/>
              <w:autoSpaceDN w:val="0"/>
              <w:adjustRightInd w:val="0"/>
              <w:rPr>
                <w:rFonts w:cstheme="minorHAnsi"/>
                <w:bCs/>
                <w:color w:val="FF0000"/>
              </w:rPr>
            </w:pPr>
            <w:r w:rsidRPr="004A02E3">
              <w:rPr>
                <w:color w:val="FF0000"/>
              </w:rPr>
              <w:t>33, 0.6%</w:t>
            </w:r>
          </w:p>
        </w:tc>
        <w:tc>
          <w:tcPr>
            <w:tcW w:w="2045" w:type="dxa"/>
            <w:tcBorders>
              <w:top w:val="single" w:sz="4" w:space="0" w:color="auto"/>
              <w:left w:val="single" w:sz="4" w:space="0" w:color="auto"/>
              <w:bottom w:val="single" w:sz="4" w:space="0" w:color="auto"/>
              <w:right w:val="single" w:sz="4" w:space="0" w:color="auto"/>
            </w:tcBorders>
            <w:vAlign w:val="center"/>
          </w:tcPr>
          <w:p w14:paraId="4BE067A0" w14:textId="77777777" w:rsidR="004A02E3" w:rsidRPr="004A02E3" w:rsidRDefault="004A02E3" w:rsidP="00184723">
            <w:pPr>
              <w:autoSpaceDE w:val="0"/>
              <w:autoSpaceDN w:val="0"/>
              <w:adjustRightInd w:val="0"/>
              <w:rPr>
                <w:rFonts w:cstheme="minorHAnsi"/>
                <w:bCs/>
                <w:color w:val="FF0000"/>
              </w:rPr>
            </w:pPr>
            <w:r w:rsidRPr="004A02E3">
              <w:rPr>
                <w:color w:val="FF0000"/>
              </w:rPr>
              <w:t>217, 4.7%</w:t>
            </w:r>
          </w:p>
        </w:tc>
        <w:tc>
          <w:tcPr>
            <w:tcW w:w="2045" w:type="dxa"/>
            <w:tcBorders>
              <w:top w:val="single" w:sz="4" w:space="0" w:color="auto"/>
              <w:left w:val="single" w:sz="4" w:space="0" w:color="auto"/>
              <w:bottom w:val="single" w:sz="4" w:space="0" w:color="auto"/>
              <w:right w:val="single" w:sz="4" w:space="0" w:color="auto"/>
            </w:tcBorders>
            <w:vAlign w:val="center"/>
          </w:tcPr>
          <w:p w14:paraId="7AF44BA0" w14:textId="77777777" w:rsidR="004A02E3" w:rsidRPr="004A02E3" w:rsidRDefault="004A02E3" w:rsidP="00184723">
            <w:pPr>
              <w:autoSpaceDE w:val="0"/>
              <w:autoSpaceDN w:val="0"/>
              <w:adjustRightInd w:val="0"/>
              <w:rPr>
                <w:rFonts w:cstheme="minorHAnsi"/>
                <w:bCs/>
                <w:color w:val="FF0000"/>
              </w:rPr>
            </w:pPr>
            <w:r w:rsidRPr="004A02E3">
              <w:rPr>
                <w:color w:val="FF0000"/>
              </w:rPr>
              <w:t>250, 2.5%</w:t>
            </w:r>
          </w:p>
        </w:tc>
      </w:tr>
      <w:tr w:rsidR="004A02E3" w:rsidRPr="004A02E3" w14:paraId="727C8FD6"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4BDB3F67" w14:textId="77777777" w:rsidR="004A02E3" w:rsidRPr="004A02E3" w:rsidRDefault="004A02E3" w:rsidP="00184723">
            <w:pPr>
              <w:autoSpaceDE w:val="0"/>
              <w:autoSpaceDN w:val="0"/>
              <w:adjustRightInd w:val="0"/>
              <w:rPr>
                <w:rFonts w:cstheme="minorHAnsi"/>
                <w:bCs/>
                <w:color w:val="FF0000"/>
              </w:rPr>
            </w:pPr>
            <w:r w:rsidRPr="004A02E3">
              <w:rPr>
                <w:rFonts w:cstheme="minorHAnsi"/>
                <w:b/>
                <w:bCs/>
                <w:color w:val="FF0000"/>
              </w:rPr>
              <w:t>(Primary</w:t>
            </w:r>
            <w:r w:rsidRPr="004A02E3">
              <w:rPr>
                <w:rFonts w:cstheme="minorHAnsi"/>
                <w:b/>
                <w:color w:val="FF0000"/>
              </w:rPr>
              <w:t>) Payer</w:t>
            </w:r>
          </w:p>
        </w:tc>
        <w:tc>
          <w:tcPr>
            <w:tcW w:w="2045" w:type="dxa"/>
            <w:tcBorders>
              <w:top w:val="single" w:sz="4" w:space="0" w:color="auto"/>
              <w:left w:val="single" w:sz="4" w:space="0" w:color="auto"/>
              <w:bottom w:val="single" w:sz="4" w:space="0" w:color="auto"/>
              <w:right w:val="single" w:sz="4" w:space="0" w:color="auto"/>
            </w:tcBorders>
            <w:vAlign w:val="center"/>
          </w:tcPr>
          <w:p w14:paraId="351C4090"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17E5AE9B" w14:textId="77777777" w:rsidR="004A02E3" w:rsidRPr="004A02E3" w:rsidRDefault="004A02E3" w:rsidP="00184723">
            <w:pPr>
              <w:autoSpaceDE w:val="0"/>
              <w:autoSpaceDN w:val="0"/>
              <w:adjustRightInd w:val="0"/>
              <w:rPr>
                <w:rFonts w:cstheme="minorHAnsi"/>
                <w:bCs/>
                <w:color w:val="FF0000"/>
              </w:rPr>
            </w:pPr>
          </w:p>
        </w:tc>
        <w:tc>
          <w:tcPr>
            <w:tcW w:w="2045" w:type="dxa"/>
            <w:tcBorders>
              <w:top w:val="single" w:sz="4" w:space="0" w:color="auto"/>
              <w:left w:val="single" w:sz="4" w:space="0" w:color="auto"/>
              <w:bottom w:val="single" w:sz="4" w:space="0" w:color="auto"/>
              <w:right w:val="single" w:sz="4" w:space="0" w:color="auto"/>
            </w:tcBorders>
            <w:vAlign w:val="center"/>
          </w:tcPr>
          <w:p w14:paraId="61681F10" w14:textId="77777777" w:rsidR="004A02E3" w:rsidRPr="004A02E3" w:rsidRDefault="004A02E3" w:rsidP="00184723">
            <w:pPr>
              <w:autoSpaceDE w:val="0"/>
              <w:autoSpaceDN w:val="0"/>
              <w:adjustRightInd w:val="0"/>
              <w:rPr>
                <w:rFonts w:cstheme="minorHAnsi"/>
                <w:bCs/>
                <w:color w:val="FF0000"/>
              </w:rPr>
            </w:pPr>
          </w:p>
        </w:tc>
      </w:tr>
      <w:tr w:rsidR="004A02E3" w:rsidRPr="004A02E3" w14:paraId="4BFC2D8C"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2FA6FB94" w14:textId="77777777" w:rsidR="004A02E3" w:rsidRPr="004A02E3" w:rsidRDefault="004A02E3" w:rsidP="00184723">
            <w:pPr>
              <w:autoSpaceDE w:val="0"/>
              <w:autoSpaceDN w:val="0"/>
              <w:adjustRightInd w:val="0"/>
              <w:rPr>
                <w:rFonts w:cstheme="minorHAnsi"/>
                <w:b/>
                <w:color w:val="FF0000"/>
              </w:rPr>
            </w:pPr>
            <w:r w:rsidRPr="004A02E3">
              <w:rPr>
                <w:rFonts w:cstheme="minorHAnsi"/>
                <w:bCs/>
                <w:color w:val="FF0000"/>
              </w:rPr>
              <w:t xml:space="preserve">       Medicare</w:t>
            </w:r>
          </w:p>
        </w:tc>
        <w:tc>
          <w:tcPr>
            <w:tcW w:w="2045" w:type="dxa"/>
            <w:tcBorders>
              <w:top w:val="single" w:sz="4" w:space="0" w:color="auto"/>
              <w:left w:val="single" w:sz="4" w:space="0" w:color="auto"/>
              <w:bottom w:val="single" w:sz="4" w:space="0" w:color="auto"/>
              <w:right w:val="single" w:sz="4" w:space="0" w:color="auto"/>
            </w:tcBorders>
            <w:vAlign w:val="center"/>
          </w:tcPr>
          <w:p w14:paraId="340E39E7" w14:textId="77777777" w:rsidR="004A02E3" w:rsidRPr="004A02E3" w:rsidRDefault="004A02E3" w:rsidP="00184723">
            <w:pPr>
              <w:autoSpaceDE w:val="0"/>
              <w:autoSpaceDN w:val="0"/>
              <w:adjustRightInd w:val="0"/>
              <w:rPr>
                <w:rFonts w:cstheme="minorHAnsi"/>
                <w:bCs/>
                <w:color w:val="FF0000"/>
              </w:rPr>
            </w:pPr>
            <w:r w:rsidRPr="004A02E3">
              <w:rPr>
                <w:color w:val="FF0000"/>
              </w:rPr>
              <w:t>2826, 52.4%</w:t>
            </w:r>
          </w:p>
        </w:tc>
        <w:tc>
          <w:tcPr>
            <w:tcW w:w="2045" w:type="dxa"/>
            <w:tcBorders>
              <w:top w:val="single" w:sz="4" w:space="0" w:color="auto"/>
              <w:left w:val="single" w:sz="4" w:space="0" w:color="auto"/>
              <w:bottom w:val="single" w:sz="4" w:space="0" w:color="auto"/>
              <w:right w:val="single" w:sz="4" w:space="0" w:color="auto"/>
            </w:tcBorders>
            <w:vAlign w:val="center"/>
          </w:tcPr>
          <w:p w14:paraId="20D0244B" w14:textId="77777777" w:rsidR="004A02E3" w:rsidRPr="004A02E3" w:rsidRDefault="004A02E3" w:rsidP="00184723">
            <w:pPr>
              <w:autoSpaceDE w:val="0"/>
              <w:autoSpaceDN w:val="0"/>
              <w:adjustRightInd w:val="0"/>
              <w:rPr>
                <w:rFonts w:cstheme="minorHAnsi"/>
                <w:bCs/>
                <w:color w:val="FF0000"/>
              </w:rPr>
            </w:pPr>
            <w:r w:rsidRPr="004A02E3">
              <w:rPr>
                <w:color w:val="FF0000"/>
              </w:rPr>
              <w:t>2276, 49.7%</w:t>
            </w:r>
          </w:p>
        </w:tc>
        <w:tc>
          <w:tcPr>
            <w:tcW w:w="2045" w:type="dxa"/>
            <w:tcBorders>
              <w:top w:val="single" w:sz="4" w:space="0" w:color="auto"/>
              <w:left w:val="single" w:sz="4" w:space="0" w:color="auto"/>
              <w:bottom w:val="single" w:sz="4" w:space="0" w:color="auto"/>
              <w:right w:val="single" w:sz="4" w:space="0" w:color="auto"/>
            </w:tcBorders>
            <w:vAlign w:val="center"/>
          </w:tcPr>
          <w:p w14:paraId="6C0D0EC3" w14:textId="77777777" w:rsidR="004A02E3" w:rsidRPr="004A02E3" w:rsidRDefault="004A02E3" w:rsidP="00184723">
            <w:pPr>
              <w:autoSpaceDE w:val="0"/>
              <w:autoSpaceDN w:val="0"/>
              <w:adjustRightInd w:val="0"/>
              <w:rPr>
                <w:rFonts w:cstheme="minorHAnsi"/>
                <w:bCs/>
                <w:color w:val="FF0000"/>
              </w:rPr>
            </w:pPr>
            <w:r w:rsidRPr="004A02E3">
              <w:rPr>
                <w:color w:val="FF0000"/>
              </w:rPr>
              <w:t>5102, 51.2%</w:t>
            </w:r>
          </w:p>
        </w:tc>
      </w:tr>
      <w:tr w:rsidR="004A02E3" w:rsidRPr="004A02E3" w14:paraId="19E86303"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246C447B"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Medicaid</w:t>
            </w:r>
          </w:p>
        </w:tc>
        <w:tc>
          <w:tcPr>
            <w:tcW w:w="2045" w:type="dxa"/>
            <w:tcBorders>
              <w:top w:val="single" w:sz="4" w:space="0" w:color="auto"/>
              <w:left w:val="single" w:sz="4" w:space="0" w:color="auto"/>
              <w:bottom w:val="single" w:sz="4" w:space="0" w:color="auto"/>
              <w:right w:val="single" w:sz="4" w:space="0" w:color="auto"/>
            </w:tcBorders>
            <w:vAlign w:val="center"/>
          </w:tcPr>
          <w:p w14:paraId="688BD662" w14:textId="77777777" w:rsidR="004A02E3" w:rsidRPr="004A02E3" w:rsidRDefault="004A02E3" w:rsidP="00184723">
            <w:pPr>
              <w:autoSpaceDE w:val="0"/>
              <w:autoSpaceDN w:val="0"/>
              <w:adjustRightInd w:val="0"/>
              <w:rPr>
                <w:rFonts w:cstheme="minorHAnsi"/>
                <w:bCs/>
                <w:color w:val="FF0000"/>
              </w:rPr>
            </w:pPr>
            <w:r w:rsidRPr="004A02E3">
              <w:rPr>
                <w:color w:val="FF0000"/>
              </w:rPr>
              <w:t>572, 10.6%</w:t>
            </w:r>
          </w:p>
        </w:tc>
        <w:tc>
          <w:tcPr>
            <w:tcW w:w="2045" w:type="dxa"/>
            <w:tcBorders>
              <w:top w:val="single" w:sz="4" w:space="0" w:color="auto"/>
              <w:left w:val="single" w:sz="4" w:space="0" w:color="auto"/>
              <w:bottom w:val="single" w:sz="4" w:space="0" w:color="auto"/>
              <w:right w:val="single" w:sz="4" w:space="0" w:color="auto"/>
            </w:tcBorders>
            <w:vAlign w:val="center"/>
          </w:tcPr>
          <w:p w14:paraId="57AC542D" w14:textId="77777777" w:rsidR="004A02E3" w:rsidRPr="004A02E3" w:rsidRDefault="004A02E3" w:rsidP="00184723">
            <w:pPr>
              <w:autoSpaceDE w:val="0"/>
              <w:autoSpaceDN w:val="0"/>
              <w:adjustRightInd w:val="0"/>
              <w:rPr>
                <w:rFonts w:cstheme="minorHAnsi"/>
                <w:bCs/>
                <w:color w:val="FF0000"/>
              </w:rPr>
            </w:pPr>
            <w:r w:rsidRPr="004A02E3">
              <w:rPr>
                <w:color w:val="FF0000"/>
              </w:rPr>
              <w:t>412, 9.0%</w:t>
            </w:r>
          </w:p>
        </w:tc>
        <w:tc>
          <w:tcPr>
            <w:tcW w:w="2045" w:type="dxa"/>
            <w:tcBorders>
              <w:top w:val="single" w:sz="4" w:space="0" w:color="auto"/>
              <w:left w:val="single" w:sz="4" w:space="0" w:color="auto"/>
              <w:bottom w:val="single" w:sz="4" w:space="0" w:color="auto"/>
              <w:right w:val="single" w:sz="4" w:space="0" w:color="auto"/>
            </w:tcBorders>
            <w:vAlign w:val="center"/>
          </w:tcPr>
          <w:p w14:paraId="092635BE" w14:textId="77777777" w:rsidR="004A02E3" w:rsidRPr="004A02E3" w:rsidRDefault="004A02E3" w:rsidP="00184723">
            <w:pPr>
              <w:autoSpaceDE w:val="0"/>
              <w:autoSpaceDN w:val="0"/>
              <w:adjustRightInd w:val="0"/>
              <w:rPr>
                <w:rFonts w:cstheme="minorHAnsi"/>
                <w:bCs/>
                <w:color w:val="FF0000"/>
              </w:rPr>
            </w:pPr>
            <w:r w:rsidRPr="004A02E3">
              <w:rPr>
                <w:color w:val="FF0000"/>
              </w:rPr>
              <w:t>984, 9.9%</w:t>
            </w:r>
          </w:p>
        </w:tc>
      </w:tr>
      <w:tr w:rsidR="004A02E3" w:rsidRPr="004A02E3" w14:paraId="627935E6"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032B2B48"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Private Insurance</w:t>
            </w:r>
          </w:p>
        </w:tc>
        <w:tc>
          <w:tcPr>
            <w:tcW w:w="2045" w:type="dxa"/>
            <w:tcBorders>
              <w:top w:val="single" w:sz="4" w:space="0" w:color="auto"/>
              <w:left w:val="single" w:sz="4" w:space="0" w:color="auto"/>
              <w:bottom w:val="single" w:sz="4" w:space="0" w:color="auto"/>
              <w:right w:val="single" w:sz="4" w:space="0" w:color="auto"/>
            </w:tcBorders>
            <w:vAlign w:val="center"/>
          </w:tcPr>
          <w:p w14:paraId="2A281DAF" w14:textId="77777777" w:rsidR="004A02E3" w:rsidRPr="004A02E3" w:rsidRDefault="004A02E3" w:rsidP="00184723">
            <w:pPr>
              <w:autoSpaceDE w:val="0"/>
              <w:autoSpaceDN w:val="0"/>
              <w:adjustRightInd w:val="0"/>
              <w:rPr>
                <w:rFonts w:cstheme="minorHAnsi"/>
                <w:bCs/>
                <w:color w:val="FF0000"/>
              </w:rPr>
            </w:pPr>
            <w:r w:rsidRPr="004A02E3">
              <w:rPr>
                <w:color w:val="FF0000"/>
              </w:rPr>
              <w:t>1732, 32.1%</w:t>
            </w:r>
          </w:p>
        </w:tc>
        <w:tc>
          <w:tcPr>
            <w:tcW w:w="2045" w:type="dxa"/>
            <w:tcBorders>
              <w:top w:val="single" w:sz="4" w:space="0" w:color="auto"/>
              <w:left w:val="single" w:sz="4" w:space="0" w:color="auto"/>
              <w:bottom w:val="single" w:sz="4" w:space="0" w:color="auto"/>
              <w:right w:val="single" w:sz="4" w:space="0" w:color="auto"/>
            </w:tcBorders>
            <w:vAlign w:val="center"/>
          </w:tcPr>
          <w:p w14:paraId="600782B7" w14:textId="77777777" w:rsidR="004A02E3" w:rsidRPr="004A02E3" w:rsidRDefault="004A02E3" w:rsidP="00184723">
            <w:pPr>
              <w:autoSpaceDE w:val="0"/>
              <w:autoSpaceDN w:val="0"/>
              <w:adjustRightInd w:val="0"/>
              <w:rPr>
                <w:rFonts w:cstheme="minorHAnsi"/>
                <w:bCs/>
                <w:color w:val="FF0000"/>
              </w:rPr>
            </w:pPr>
            <w:r w:rsidRPr="004A02E3">
              <w:rPr>
                <w:color w:val="FF0000"/>
              </w:rPr>
              <w:t>1451, 31.7%</w:t>
            </w:r>
          </w:p>
        </w:tc>
        <w:tc>
          <w:tcPr>
            <w:tcW w:w="2045" w:type="dxa"/>
            <w:tcBorders>
              <w:top w:val="single" w:sz="4" w:space="0" w:color="auto"/>
              <w:left w:val="single" w:sz="4" w:space="0" w:color="auto"/>
              <w:bottom w:val="single" w:sz="4" w:space="0" w:color="auto"/>
              <w:right w:val="single" w:sz="4" w:space="0" w:color="auto"/>
            </w:tcBorders>
            <w:vAlign w:val="center"/>
          </w:tcPr>
          <w:p w14:paraId="1B2E838B" w14:textId="77777777" w:rsidR="004A02E3" w:rsidRPr="004A02E3" w:rsidRDefault="004A02E3" w:rsidP="00184723">
            <w:pPr>
              <w:autoSpaceDE w:val="0"/>
              <w:autoSpaceDN w:val="0"/>
              <w:adjustRightInd w:val="0"/>
              <w:rPr>
                <w:rFonts w:cstheme="minorHAnsi"/>
                <w:bCs/>
                <w:color w:val="FF0000"/>
              </w:rPr>
            </w:pPr>
            <w:r w:rsidRPr="004A02E3">
              <w:rPr>
                <w:color w:val="FF0000"/>
              </w:rPr>
              <w:t>3183, 31.9%</w:t>
            </w:r>
          </w:p>
        </w:tc>
      </w:tr>
      <w:tr w:rsidR="004A02E3" w:rsidRPr="004A02E3" w14:paraId="4AB676E5"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5F15A08E"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bCs/>
                <w:color w:val="FF0000"/>
              </w:rPr>
              <w:t xml:space="preserve">Self-pay </w:t>
            </w:r>
            <w:r w:rsidRPr="004A02E3">
              <w:rPr>
                <w:rFonts w:cstheme="minorHAnsi"/>
                <w:color w:val="FF0000"/>
              </w:rPr>
              <w:t>or Uninsured</w:t>
            </w:r>
          </w:p>
        </w:tc>
        <w:tc>
          <w:tcPr>
            <w:tcW w:w="2045" w:type="dxa"/>
            <w:tcBorders>
              <w:top w:val="single" w:sz="4" w:space="0" w:color="auto"/>
              <w:left w:val="single" w:sz="4" w:space="0" w:color="auto"/>
              <w:bottom w:val="single" w:sz="4" w:space="0" w:color="auto"/>
              <w:right w:val="single" w:sz="4" w:space="0" w:color="auto"/>
            </w:tcBorders>
            <w:vAlign w:val="center"/>
          </w:tcPr>
          <w:p w14:paraId="5BBD45EB" w14:textId="77777777" w:rsidR="004A02E3" w:rsidRPr="004A02E3" w:rsidRDefault="004A02E3" w:rsidP="00184723">
            <w:pPr>
              <w:autoSpaceDE w:val="0"/>
              <w:autoSpaceDN w:val="0"/>
              <w:adjustRightInd w:val="0"/>
              <w:rPr>
                <w:rFonts w:cstheme="minorHAnsi"/>
                <w:bCs/>
                <w:color w:val="FF0000"/>
              </w:rPr>
            </w:pPr>
            <w:r w:rsidRPr="004A02E3">
              <w:rPr>
                <w:color w:val="FF0000"/>
              </w:rPr>
              <w:t>4, 0.1%</w:t>
            </w:r>
          </w:p>
        </w:tc>
        <w:tc>
          <w:tcPr>
            <w:tcW w:w="2045" w:type="dxa"/>
            <w:tcBorders>
              <w:top w:val="single" w:sz="4" w:space="0" w:color="auto"/>
              <w:left w:val="single" w:sz="4" w:space="0" w:color="auto"/>
              <w:bottom w:val="single" w:sz="4" w:space="0" w:color="auto"/>
              <w:right w:val="single" w:sz="4" w:space="0" w:color="auto"/>
            </w:tcBorders>
            <w:vAlign w:val="center"/>
          </w:tcPr>
          <w:p w14:paraId="07303C84" w14:textId="77777777" w:rsidR="004A02E3" w:rsidRPr="004A02E3" w:rsidRDefault="004A02E3" w:rsidP="00184723">
            <w:pPr>
              <w:autoSpaceDE w:val="0"/>
              <w:autoSpaceDN w:val="0"/>
              <w:adjustRightInd w:val="0"/>
              <w:rPr>
                <w:rFonts w:cstheme="minorHAnsi"/>
                <w:bCs/>
                <w:color w:val="FF0000"/>
              </w:rPr>
            </w:pPr>
            <w:r w:rsidRPr="004A02E3">
              <w:rPr>
                <w:color w:val="FF0000"/>
              </w:rPr>
              <w:t>131, 2.9%</w:t>
            </w:r>
          </w:p>
        </w:tc>
        <w:tc>
          <w:tcPr>
            <w:tcW w:w="2045" w:type="dxa"/>
            <w:tcBorders>
              <w:top w:val="single" w:sz="4" w:space="0" w:color="auto"/>
              <w:left w:val="single" w:sz="4" w:space="0" w:color="auto"/>
              <w:bottom w:val="single" w:sz="4" w:space="0" w:color="auto"/>
              <w:right w:val="single" w:sz="4" w:space="0" w:color="auto"/>
            </w:tcBorders>
            <w:vAlign w:val="center"/>
          </w:tcPr>
          <w:p w14:paraId="608E35E5" w14:textId="77777777" w:rsidR="004A02E3" w:rsidRPr="004A02E3" w:rsidRDefault="004A02E3" w:rsidP="00184723">
            <w:pPr>
              <w:autoSpaceDE w:val="0"/>
              <w:autoSpaceDN w:val="0"/>
              <w:adjustRightInd w:val="0"/>
              <w:rPr>
                <w:rFonts w:cstheme="minorHAnsi"/>
                <w:bCs/>
                <w:color w:val="FF0000"/>
              </w:rPr>
            </w:pPr>
            <w:r w:rsidRPr="004A02E3">
              <w:rPr>
                <w:color w:val="FF0000"/>
              </w:rPr>
              <w:t>135, 1.4%</w:t>
            </w:r>
          </w:p>
        </w:tc>
      </w:tr>
      <w:tr w:rsidR="004A02E3" w:rsidRPr="004A02E3" w14:paraId="76EFBDD7"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54FC0DD3" w14:textId="77777777" w:rsidR="004A02E3" w:rsidRPr="004A02E3" w:rsidRDefault="004A02E3" w:rsidP="00184723">
            <w:pPr>
              <w:autoSpaceDE w:val="0"/>
              <w:autoSpaceDN w:val="0"/>
              <w:adjustRightInd w:val="0"/>
              <w:ind w:left="337"/>
              <w:rPr>
                <w:rFonts w:cstheme="minorHAnsi"/>
                <w:color w:val="FF0000"/>
              </w:rPr>
            </w:pPr>
            <w:r w:rsidRPr="004A02E3">
              <w:rPr>
                <w:rFonts w:cstheme="minorHAnsi"/>
                <w:bCs/>
                <w:color w:val="FF0000"/>
              </w:rPr>
              <w:t>Other (such as other government plans)</w:t>
            </w:r>
          </w:p>
        </w:tc>
        <w:tc>
          <w:tcPr>
            <w:tcW w:w="2045" w:type="dxa"/>
            <w:tcBorders>
              <w:top w:val="single" w:sz="4" w:space="0" w:color="auto"/>
              <w:left w:val="single" w:sz="4" w:space="0" w:color="auto"/>
              <w:bottom w:val="single" w:sz="4" w:space="0" w:color="auto"/>
              <w:right w:val="single" w:sz="4" w:space="0" w:color="auto"/>
            </w:tcBorders>
            <w:vAlign w:val="center"/>
          </w:tcPr>
          <w:p w14:paraId="64AB414D" w14:textId="77777777" w:rsidR="004A02E3" w:rsidRPr="004A02E3" w:rsidRDefault="004A02E3" w:rsidP="00184723">
            <w:pPr>
              <w:autoSpaceDE w:val="0"/>
              <w:autoSpaceDN w:val="0"/>
              <w:adjustRightInd w:val="0"/>
              <w:rPr>
                <w:rFonts w:cstheme="minorHAnsi"/>
                <w:bCs/>
                <w:color w:val="FF0000"/>
              </w:rPr>
            </w:pPr>
            <w:r w:rsidRPr="004A02E3">
              <w:rPr>
                <w:color w:val="FF0000"/>
              </w:rPr>
              <w:t>178, 3.3%</w:t>
            </w:r>
          </w:p>
        </w:tc>
        <w:tc>
          <w:tcPr>
            <w:tcW w:w="2045" w:type="dxa"/>
            <w:tcBorders>
              <w:top w:val="single" w:sz="4" w:space="0" w:color="auto"/>
              <w:left w:val="single" w:sz="4" w:space="0" w:color="auto"/>
              <w:bottom w:val="single" w:sz="4" w:space="0" w:color="auto"/>
              <w:right w:val="single" w:sz="4" w:space="0" w:color="auto"/>
            </w:tcBorders>
            <w:vAlign w:val="center"/>
          </w:tcPr>
          <w:p w14:paraId="18F50529" w14:textId="77777777" w:rsidR="004A02E3" w:rsidRPr="004A02E3" w:rsidRDefault="004A02E3" w:rsidP="00184723">
            <w:pPr>
              <w:autoSpaceDE w:val="0"/>
              <w:autoSpaceDN w:val="0"/>
              <w:adjustRightInd w:val="0"/>
              <w:rPr>
                <w:rFonts w:cstheme="minorHAnsi"/>
                <w:bCs/>
                <w:color w:val="FF0000"/>
              </w:rPr>
            </w:pPr>
            <w:r w:rsidRPr="004A02E3">
              <w:rPr>
                <w:color w:val="FF0000"/>
              </w:rPr>
              <w:t>310, 6.8%</w:t>
            </w:r>
          </w:p>
        </w:tc>
        <w:tc>
          <w:tcPr>
            <w:tcW w:w="2045" w:type="dxa"/>
            <w:tcBorders>
              <w:top w:val="single" w:sz="4" w:space="0" w:color="auto"/>
              <w:left w:val="single" w:sz="4" w:space="0" w:color="auto"/>
              <w:bottom w:val="single" w:sz="4" w:space="0" w:color="auto"/>
              <w:right w:val="single" w:sz="4" w:space="0" w:color="auto"/>
            </w:tcBorders>
            <w:vAlign w:val="center"/>
          </w:tcPr>
          <w:p w14:paraId="0AD3B5BD" w14:textId="77777777" w:rsidR="004A02E3" w:rsidRPr="004A02E3" w:rsidRDefault="004A02E3" w:rsidP="00184723">
            <w:pPr>
              <w:autoSpaceDE w:val="0"/>
              <w:autoSpaceDN w:val="0"/>
              <w:adjustRightInd w:val="0"/>
              <w:rPr>
                <w:rFonts w:cstheme="minorHAnsi"/>
                <w:bCs/>
                <w:color w:val="FF0000"/>
              </w:rPr>
            </w:pPr>
            <w:r w:rsidRPr="004A02E3">
              <w:rPr>
                <w:color w:val="FF0000"/>
              </w:rPr>
              <w:t>488, 4.9%</w:t>
            </w:r>
          </w:p>
        </w:tc>
      </w:tr>
      <w:tr w:rsidR="004A02E3" w:rsidRPr="004A02E3" w14:paraId="416F3C6A" w14:textId="77777777" w:rsidTr="00F86E29">
        <w:trPr>
          <w:trHeight w:val="290"/>
        </w:trPr>
        <w:tc>
          <w:tcPr>
            <w:tcW w:w="2448" w:type="dxa"/>
            <w:tcBorders>
              <w:top w:val="single" w:sz="4" w:space="0" w:color="auto"/>
              <w:left w:val="single" w:sz="4" w:space="0" w:color="auto"/>
              <w:bottom w:val="single" w:sz="4" w:space="0" w:color="auto"/>
              <w:right w:val="single" w:sz="4" w:space="0" w:color="auto"/>
            </w:tcBorders>
            <w:hideMark/>
          </w:tcPr>
          <w:p w14:paraId="6652EB6C" w14:textId="77777777" w:rsidR="004A02E3" w:rsidRPr="004A02E3" w:rsidRDefault="004A02E3" w:rsidP="00184723">
            <w:pPr>
              <w:autoSpaceDE w:val="0"/>
              <w:autoSpaceDN w:val="0"/>
              <w:adjustRightInd w:val="0"/>
              <w:ind w:left="337"/>
              <w:rPr>
                <w:rFonts w:cstheme="minorHAnsi"/>
                <w:bCs/>
                <w:color w:val="FF0000"/>
              </w:rPr>
            </w:pPr>
            <w:r w:rsidRPr="004A02E3">
              <w:rPr>
                <w:rFonts w:cstheme="minorHAnsi"/>
                <w:color w:val="FF0000"/>
              </w:rPr>
              <w:t>Unknown</w:t>
            </w:r>
          </w:p>
        </w:tc>
        <w:tc>
          <w:tcPr>
            <w:tcW w:w="2045" w:type="dxa"/>
            <w:tcBorders>
              <w:top w:val="single" w:sz="4" w:space="0" w:color="auto"/>
              <w:left w:val="single" w:sz="4" w:space="0" w:color="auto"/>
              <w:bottom w:val="single" w:sz="4" w:space="0" w:color="auto"/>
              <w:right w:val="single" w:sz="4" w:space="0" w:color="auto"/>
            </w:tcBorders>
            <w:vAlign w:val="center"/>
          </w:tcPr>
          <w:p w14:paraId="161E7411" w14:textId="77777777" w:rsidR="004A02E3" w:rsidRPr="004A02E3" w:rsidRDefault="004A02E3" w:rsidP="00184723">
            <w:pPr>
              <w:autoSpaceDE w:val="0"/>
              <w:autoSpaceDN w:val="0"/>
              <w:adjustRightInd w:val="0"/>
              <w:rPr>
                <w:rFonts w:cstheme="minorHAnsi"/>
                <w:bCs/>
                <w:color w:val="FF0000"/>
              </w:rPr>
            </w:pPr>
            <w:r w:rsidRPr="004A02E3">
              <w:rPr>
                <w:color w:val="FF0000"/>
              </w:rPr>
              <w:t>82, 1.5%</w:t>
            </w:r>
          </w:p>
        </w:tc>
        <w:tc>
          <w:tcPr>
            <w:tcW w:w="2045" w:type="dxa"/>
            <w:tcBorders>
              <w:top w:val="single" w:sz="4" w:space="0" w:color="auto"/>
              <w:left w:val="single" w:sz="4" w:space="0" w:color="auto"/>
              <w:bottom w:val="single" w:sz="4" w:space="0" w:color="auto"/>
              <w:right w:val="single" w:sz="4" w:space="0" w:color="auto"/>
            </w:tcBorders>
            <w:vAlign w:val="center"/>
          </w:tcPr>
          <w:p w14:paraId="29575DE2" w14:textId="77777777" w:rsidR="004A02E3" w:rsidRPr="004A02E3" w:rsidRDefault="004A02E3" w:rsidP="00184723">
            <w:pPr>
              <w:autoSpaceDE w:val="0"/>
              <w:autoSpaceDN w:val="0"/>
              <w:adjustRightInd w:val="0"/>
              <w:rPr>
                <w:rFonts w:cstheme="minorHAnsi"/>
                <w:bCs/>
                <w:color w:val="FF0000"/>
              </w:rPr>
            </w:pPr>
            <w:r w:rsidRPr="004A02E3">
              <w:rPr>
                <w:color w:val="FF0000"/>
              </w:rPr>
              <w:t>0, 0.0%</w:t>
            </w:r>
          </w:p>
        </w:tc>
        <w:tc>
          <w:tcPr>
            <w:tcW w:w="2045" w:type="dxa"/>
            <w:tcBorders>
              <w:top w:val="single" w:sz="4" w:space="0" w:color="auto"/>
              <w:left w:val="single" w:sz="4" w:space="0" w:color="auto"/>
              <w:bottom w:val="single" w:sz="4" w:space="0" w:color="auto"/>
              <w:right w:val="single" w:sz="4" w:space="0" w:color="auto"/>
            </w:tcBorders>
            <w:vAlign w:val="center"/>
          </w:tcPr>
          <w:p w14:paraId="17B9794D" w14:textId="77777777" w:rsidR="004A02E3" w:rsidRPr="004A02E3" w:rsidRDefault="004A02E3" w:rsidP="00184723">
            <w:pPr>
              <w:autoSpaceDE w:val="0"/>
              <w:autoSpaceDN w:val="0"/>
              <w:adjustRightInd w:val="0"/>
              <w:rPr>
                <w:rFonts w:cstheme="minorHAnsi"/>
                <w:bCs/>
                <w:color w:val="FF0000"/>
              </w:rPr>
            </w:pPr>
            <w:r w:rsidRPr="004A02E3">
              <w:rPr>
                <w:color w:val="FF0000"/>
              </w:rPr>
              <w:t>82, 0.8%</w:t>
            </w:r>
          </w:p>
        </w:tc>
      </w:tr>
    </w:tbl>
    <w:bookmarkEnd w:id="14"/>
    <w:p w14:paraId="2132C114" w14:textId="2C31BAD1" w:rsidR="00590DF0" w:rsidRPr="004A02E3" w:rsidRDefault="001773A8" w:rsidP="00E37E1B">
      <w:pPr>
        <w:autoSpaceDE w:val="0"/>
        <w:autoSpaceDN w:val="0"/>
        <w:adjustRightInd w:val="0"/>
        <w:spacing w:after="0" w:line="240" w:lineRule="auto"/>
        <w:rPr>
          <w:color w:val="FF0000"/>
        </w:rPr>
      </w:pPr>
      <w:r w:rsidRPr="00316892">
        <w:rPr>
          <w:rFonts w:cstheme="minorHAnsi"/>
          <w:bCs/>
          <w:color w:val="FF0000"/>
        </w:rPr>
        <w:t>+ “Others” include all possible payers other than Medicare and Medicaid, such as other government plans (e.g. federal, state, local),</w:t>
      </w:r>
      <w:r w:rsidR="00590DF0" w:rsidRPr="00316892">
        <w:rPr>
          <w:rFonts w:cstheme="minorHAnsi"/>
          <w:bCs/>
          <w:color w:val="FF0000"/>
        </w:rPr>
        <w:t xml:space="preserve"> private health insurance, etc.</w:t>
      </w:r>
    </w:p>
    <w:p w14:paraId="592A8A6C" w14:textId="77777777" w:rsidR="005B2698" w:rsidRDefault="005B2698" w:rsidP="00E37E1B">
      <w:pPr>
        <w:autoSpaceDE w:val="0"/>
        <w:autoSpaceDN w:val="0"/>
        <w:adjustRightInd w:val="0"/>
        <w:spacing w:after="0" w:line="240" w:lineRule="auto"/>
        <w:rPr>
          <w:rFonts w:cstheme="minorHAnsi"/>
          <w:b/>
          <w:bCs/>
        </w:rPr>
      </w:pPr>
    </w:p>
    <w:p w14:paraId="0CABCFCC" w14:textId="5A8270B4" w:rsidR="0021054A" w:rsidRPr="00624B1C" w:rsidRDefault="0021054A" w:rsidP="00E37E1B">
      <w:pPr>
        <w:autoSpaceDE w:val="0"/>
        <w:autoSpaceDN w:val="0"/>
        <w:adjustRightInd w:val="0"/>
        <w:spacing w:after="0" w:line="240" w:lineRule="auto"/>
        <w:rPr>
          <w:rFonts w:cstheme="minorHAnsi"/>
          <w:bCs/>
        </w:rPr>
      </w:pPr>
      <w:r w:rsidRPr="00624B1C">
        <w:rPr>
          <w:rFonts w:cstheme="minorHAnsi"/>
          <w:b/>
          <w:bCs/>
        </w:rPr>
        <w:t>1.8</w:t>
      </w:r>
      <w:r w:rsidRPr="00624B1C">
        <w:rPr>
          <w:rFonts w:cstheme="minorHAnsi"/>
          <w:bCs/>
        </w:rPr>
        <w:t xml:space="preserve"> </w:t>
      </w:r>
      <w:r w:rsidRPr="00624B1C">
        <w:rPr>
          <w:rFonts w:cstheme="minorHAnsi"/>
          <w:b/>
          <w:bCs/>
        </w:rPr>
        <w:t xml:space="preserve">What were the </w:t>
      </w:r>
      <w:r w:rsidR="009C7513" w:rsidRPr="00624B1C">
        <w:rPr>
          <w:rFonts w:cstheme="minorHAnsi"/>
          <w:b/>
          <w:bCs/>
        </w:rPr>
        <w:t>social risk factors</w:t>
      </w:r>
      <w:r w:rsidRPr="00624B1C">
        <w:rPr>
          <w:rFonts w:cstheme="minorHAnsi"/>
          <w:b/>
          <w:bCs/>
        </w:rPr>
        <w:t xml:space="preserve"> that were available and analyzed</w:t>
      </w:r>
      <w:r w:rsidRPr="00624B1C">
        <w:rPr>
          <w:rFonts w:cstheme="minorHAnsi"/>
          <w:bCs/>
        </w:rPr>
        <w:t xml:space="preserve">? For example, patient-reported data (e.g., income, education, language), proxy variables when </w:t>
      </w:r>
      <w:r w:rsidR="009C7513" w:rsidRPr="00624B1C">
        <w:rPr>
          <w:rFonts w:cstheme="minorHAnsi"/>
          <w:bCs/>
        </w:rPr>
        <w:t>social risk</w:t>
      </w:r>
      <w:r w:rsidRPr="00624B1C">
        <w:rPr>
          <w:rFonts w:cstheme="minorHAnsi"/>
          <w:bCs/>
        </w:rPr>
        <w:t xml:space="preserve"> data are not collected from each patient (e.g. census tract), or patient community characteristics (e.g. percent vacant housing, crime rate)</w:t>
      </w:r>
      <w:r w:rsidR="009C7513" w:rsidRPr="00624B1C">
        <w:rPr>
          <w:rFonts w:cstheme="minorHAnsi"/>
          <w:bCs/>
        </w:rPr>
        <w:t xml:space="preserve"> which do not have to be a proxy for patient-level data</w:t>
      </w:r>
      <w:r w:rsidR="00292F42">
        <w:rPr>
          <w:rFonts w:cstheme="minorHAnsi"/>
          <w:bCs/>
        </w:rPr>
        <w:t>.</w:t>
      </w:r>
    </w:p>
    <w:p w14:paraId="023F51C6" w14:textId="77777777" w:rsidR="00661DF6" w:rsidRPr="00624B1C" w:rsidRDefault="00661DF6" w:rsidP="0028251B">
      <w:pPr>
        <w:autoSpaceDE w:val="0"/>
        <w:autoSpaceDN w:val="0"/>
        <w:adjustRightInd w:val="0"/>
        <w:spacing w:after="0" w:line="240" w:lineRule="auto"/>
        <w:rPr>
          <w:rFonts w:cstheme="minorHAnsi"/>
          <w:bCs/>
        </w:rPr>
      </w:pPr>
    </w:p>
    <w:p w14:paraId="45C94101" w14:textId="48D5C5D9" w:rsidR="0028251B" w:rsidRPr="00316892" w:rsidRDefault="00661DF6"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316892">
        <w:rPr>
          <w:rFonts w:cstheme="minorHAnsi"/>
          <w:bCs/>
          <w:color w:val="FF0000"/>
        </w:rPr>
        <w:t>As described in Section 1.7</w:t>
      </w:r>
      <w:r w:rsidR="0028251B" w:rsidRPr="00316892">
        <w:rPr>
          <w:rFonts w:cstheme="minorHAnsi"/>
          <w:bCs/>
          <w:color w:val="FF0000"/>
        </w:rPr>
        <w:t>,</w:t>
      </w:r>
      <w:r w:rsidR="002E0A9D">
        <w:rPr>
          <w:rFonts w:cstheme="minorHAnsi"/>
          <w:bCs/>
          <w:color w:val="FF0000"/>
        </w:rPr>
        <w:t xml:space="preserve"> Table 2</w:t>
      </w:r>
      <w:r w:rsidR="005D4D97" w:rsidRPr="00316892">
        <w:rPr>
          <w:rFonts w:cstheme="minorHAnsi"/>
          <w:bCs/>
          <w:color w:val="FF0000"/>
        </w:rPr>
        <w:t>,</w:t>
      </w:r>
      <w:r w:rsidR="0028251B" w:rsidRPr="00316892">
        <w:rPr>
          <w:rFonts w:cstheme="minorHAnsi"/>
          <w:bCs/>
          <w:color w:val="FF0000"/>
        </w:rPr>
        <w:t xml:space="preserve"> we collected information on the following </w:t>
      </w:r>
      <w:r w:rsidR="0042726B">
        <w:rPr>
          <w:rFonts w:cstheme="minorHAnsi"/>
          <w:bCs/>
          <w:color w:val="FF0000"/>
        </w:rPr>
        <w:t>social risk factors</w:t>
      </w:r>
      <w:r w:rsidR="0028251B" w:rsidRPr="00316892">
        <w:rPr>
          <w:rFonts w:cstheme="minorHAnsi"/>
          <w:bCs/>
          <w:color w:val="FF0000"/>
        </w:rPr>
        <w:t xml:space="preserve"> using data extracted from hospital EHR systems:</w:t>
      </w:r>
      <w:r w:rsidR="006D384C">
        <w:rPr>
          <w:rFonts w:cstheme="minorHAnsi"/>
          <w:bCs/>
          <w:color w:val="FF0000"/>
        </w:rPr>
        <w:t xml:space="preserve"> race,</w:t>
      </w:r>
      <w:r w:rsidR="0028251B" w:rsidRPr="00316892">
        <w:rPr>
          <w:rFonts w:cstheme="minorHAnsi"/>
          <w:bCs/>
          <w:color w:val="FF0000"/>
        </w:rPr>
        <w:t xml:space="preserve"> </w:t>
      </w:r>
      <w:r w:rsidR="0042726B" w:rsidRPr="00316892">
        <w:rPr>
          <w:rFonts w:cstheme="minorHAnsi"/>
          <w:bCs/>
          <w:color w:val="FF0000"/>
        </w:rPr>
        <w:t>ethnicity,</w:t>
      </w:r>
      <w:r w:rsidR="0042726B">
        <w:rPr>
          <w:rFonts w:cstheme="minorHAnsi"/>
          <w:bCs/>
          <w:color w:val="FF0000"/>
        </w:rPr>
        <w:t xml:space="preserve"> </w:t>
      </w:r>
      <w:r w:rsidR="0028251B" w:rsidRPr="00316892">
        <w:rPr>
          <w:rFonts w:cstheme="minorHAnsi"/>
          <w:bCs/>
          <w:color w:val="FF0000"/>
        </w:rPr>
        <w:t xml:space="preserve">and </w:t>
      </w:r>
      <w:r w:rsidR="00935672">
        <w:rPr>
          <w:rFonts w:cstheme="minorHAnsi"/>
          <w:bCs/>
          <w:color w:val="FF0000"/>
        </w:rPr>
        <w:t xml:space="preserve">primary </w:t>
      </w:r>
      <w:r w:rsidR="0028251B" w:rsidRPr="00316892">
        <w:rPr>
          <w:rFonts w:cstheme="minorHAnsi"/>
          <w:bCs/>
          <w:color w:val="FF0000"/>
        </w:rPr>
        <w:t xml:space="preserve">payer. </w:t>
      </w:r>
    </w:p>
    <w:p w14:paraId="0CABCFCD" w14:textId="2584DAB4" w:rsidR="004348CC" w:rsidRPr="00624B1C" w:rsidRDefault="00483E94" w:rsidP="000F5920">
      <w:pPr>
        <w:autoSpaceDE w:val="0"/>
        <w:autoSpaceDN w:val="0"/>
        <w:adjustRightInd w:val="0"/>
        <w:spacing w:after="0" w:line="240" w:lineRule="auto"/>
        <w:rPr>
          <w:rFonts w:cstheme="minorHAnsi"/>
          <w:bCs/>
        </w:rPr>
      </w:pPr>
      <w:r w:rsidRPr="00624B1C">
        <w:rPr>
          <w:rFonts w:cstheme="minorHAnsi"/>
          <w:noProof/>
        </w:rPr>
        <w:t>________</w:t>
      </w:r>
      <w:r w:rsidR="00E37E1B" w:rsidRPr="00624B1C">
        <w:rPr>
          <w:rFonts w:cstheme="minorHAnsi"/>
          <w:noProof/>
        </w:rPr>
        <w:t>_______________</w:t>
      </w:r>
      <w:r w:rsidR="003755CB" w:rsidRPr="00624B1C">
        <w:rPr>
          <w:rFonts w:cstheme="minorHAnsi"/>
          <w:noProof/>
        </w:rPr>
        <w:t>_________</w:t>
      </w:r>
    </w:p>
    <w:p w14:paraId="0CABCFCE" w14:textId="77777777" w:rsidR="008A403A" w:rsidRPr="00624B1C" w:rsidRDefault="00021170" w:rsidP="00DB3627">
      <w:pPr>
        <w:autoSpaceDE w:val="0"/>
        <w:autoSpaceDN w:val="0"/>
        <w:adjustRightInd w:val="0"/>
        <w:spacing w:after="0" w:line="240" w:lineRule="auto"/>
        <w:rPr>
          <w:rFonts w:cstheme="minorHAnsi"/>
          <w:b/>
          <w:bCs/>
        </w:rPr>
      </w:pPr>
      <w:r w:rsidRPr="00624B1C">
        <w:rPr>
          <w:rFonts w:cstheme="minorHAnsi"/>
          <w:b/>
          <w:noProof/>
        </w:rPr>
        <w:t>2</w:t>
      </w:r>
      <w:r w:rsidR="00EA5F47" w:rsidRPr="00624B1C">
        <w:rPr>
          <w:rFonts w:cstheme="minorHAnsi"/>
          <w:b/>
          <w:noProof/>
        </w:rPr>
        <w:t>a</w:t>
      </w:r>
      <w:r w:rsidRPr="00624B1C">
        <w:rPr>
          <w:rFonts w:cstheme="minorHAnsi"/>
          <w:b/>
          <w:noProof/>
        </w:rPr>
        <w:t xml:space="preserve">2. </w:t>
      </w:r>
      <w:r w:rsidRPr="00624B1C">
        <w:rPr>
          <w:rFonts w:cstheme="minorHAnsi"/>
          <w:b/>
          <w:bCs/>
        </w:rPr>
        <w:t>RELIABILITY TESTING</w:t>
      </w:r>
      <w:r w:rsidR="008A403A" w:rsidRPr="00624B1C">
        <w:rPr>
          <w:rFonts w:cstheme="minorHAnsi"/>
          <w:b/>
          <w:bCs/>
        </w:rPr>
        <w:t xml:space="preserve"> </w:t>
      </w:r>
    </w:p>
    <w:p w14:paraId="0CABCFCF" w14:textId="77777777" w:rsidR="00E310B9" w:rsidRPr="00624B1C" w:rsidRDefault="00E310B9" w:rsidP="00DB3627">
      <w:pPr>
        <w:autoSpaceDE w:val="0"/>
        <w:autoSpaceDN w:val="0"/>
        <w:adjustRightInd w:val="0"/>
        <w:spacing w:after="0" w:line="240" w:lineRule="auto"/>
        <w:rPr>
          <w:rFonts w:cstheme="minorHAnsi"/>
          <w:b/>
          <w:bCs/>
        </w:rPr>
      </w:pPr>
      <w:r w:rsidRPr="00624B1C">
        <w:rPr>
          <w:rFonts w:cstheme="minorHAnsi"/>
          <w:b/>
          <w:bCs/>
          <w:i/>
          <w:u w:val="single"/>
        </w:rPr>
        <w:t>Note</w:t>
      </w:r>
      <w:r w:rsidRPr="00624B1C">
        <w:rPr>
          <w:rFonts w:cstheme="minorHAnsi"/>
          <w:bCs/>
          <w:i/>
        </w:rPr>
        <w:t>: If accuracy/correctness (validity) of data elements was empirically tested</w:t>
      </w:r>
      <w:r w:rsidRPr="00624B1C">
        <w:rPr>
          <w:rFonts w:cstheme="minorHAnsi"/>
          <w:bCs/>
        </w:rPr>
        <w:t xml:space="preserve">, </w:t>
      </w:r>
      <w:r w:rsidRPr="00624B1C">
        <w:rPr>
          <w:rFonts w:cstheme="minorHAnsi"/>
          <w:bCs/>
          <w:i/>
        </w:rPr>
        <w:t xml:space="preserve">separate reliability testing of data elements is not required – </w:t>
      </w:r>
      <w:r w:rsidR="00127C06" w:rsidRPr="00624B1C">
        <w:rPr>
          <w:rFonts w:cstheme="minorHAnsi"/>
          <w:bCs/>
          <w:i/>
        </w:rPr>
        <w:t xml:space="preserve">in 2a2.1 </w:t>
      </w:r>
      <w:r w:rsidR="00C867F0" w:rsidRPr="00624B1C">
        <w:rPr>
          <w:rFonts w:cstheme="minorHAnsi"/>
          <w:bCs/>
          <w:i/>
        </w:rPr>
        <w:t>check critical data elements;</w:t>
      </w:r>
      <w:r w:rsidR="00127C06" w:rsidRPr="00624B1C">
        <w:rPr>
          <w:rFonts w:cstheme="minorHAnsi"/>
          <w:bCs/>
          <w:i/>
        </w:rPr>
        <w:t xml:space="preserve"> in 2a2.2 enter “</w:t>
      </w:r>
      <w:bookmarkStart w:id="15" w:name="_Hlk515444427"/>
      <w:r w:rsidR="00127C06" w:rsidRPr="00624B1C">
        <w:rPr>
          <w:rFonts w:cstheme="minorHAnsi"/>
          <w:bCs/>
          <w:i/>
        </w:rPr>
        <w:t>see s</w:t>
      </w:r>
      <w:r w:rsidR="002F2687" w:rsidRPr="00624B1C">
        <w:rPr>
          <w:rFonts w:cstheme="minorHAnsi"/>
          <w:bCs/>
          <w:i/>
        </w:rPr>
        <w:t>e</w:t>
      </w:r>
      <w:r w:rsidR="00127C06" w:rsidRPr="00624B1C">
        <w:rPr>
          <w:rFonts w:cstheme="minorHAnsi"/>
          <w:bCs/>
          <w:i/>
        </w:rPr>
        <w:t xml:space="preserve">ction 2b2 for </w:t>
      </w:r>
      <w:r w:rsidRPr="00624B1C">
        <w:rPr>
          <w:rFonts w:cstheme="minorHAnsi"/>
          <w:bCs/>
          <w:i/>
        </w:rPr>
        <w:t xml:space="preserve">validity </w:t>
      </w:r>
      <w:r w:rsidR="00127C06" w:rsidRPr="00624B1C">
        <w:rPr>
          <w:rFonts w:cstheme="minorHAnsi"/>
          <w:bCs/>
          <w:i/>
        </w:rPr>
        <w:t xml:space="preserve">testing </w:t>
      </w:r>
      <w:r w:rsidR="002F2687" w:rsidRPr="00624B1C">
        <w:rPr>
          <w:rFonts w:cstheme="minorHAnsi"/>
          <w:bCs/>
          <w:i/>
        </w:rPr>
        <w:t>of data elements</w:t>
      </w:r>
      <w:bookmarkEnd w:id="15"/>
      <w:r w:rsidR="002F2687" w:rsidRPr="00624B1C">
        <w:rPr>
          <w:rFonts w:cstheme="minorHAnsi"/>
          <w:bCs/>
          <w:i/>
        </w:rPr>
        <w:t>”</w:t>
      </w:r>
      <w:r w:rsidR="00C867F0" w:rsidRPr="00624B1C">
        <w:rPr>
          <w:rFonts w:cstheme="minorHAnsi"/>
          <w:bCs/>
          <w:i/>
        </w:rPr>
        <w:t>;</w:t>
      </w:r>
      <w:r w:rsidR="002F2687" w:rsidRPr="00624B1C">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3459720"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Content>
          <w:r w:rsidR="00636DC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467F0A">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8E8B440" w14:textId="77777777" w:rsidR="00903DEB" w:rsidRPr="00316892" w:rsidRDefault="00903DE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316892">
        <w:rPr>
          <w:rFonts w:cstheme="minorHAnsi"/>
          <w:bCs/>
          <w:color w:val="FF0000"/>
          <w:u w:val="single"/>
        </w:rPr>
        <w:t>Data Element Reliability</w:t>
      </w:r>
    </w:p>
    <w:p w14:paraId="5257D05E" w14:textId="1D400781" w:rsidR="00903DEB" w:rsidRPr="00316892" w:rsidRDefault="00903DE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316892">
        <w:rPr>
          <w:rFonts w:cstheme="minorHAnsi"/>
          <w:bCs/>
          <w:color w:val="FF0000"/>
        </w:rPr>
        <w:t xml:space="preserve">N/A. Since data element validity was empirically tested, </w:t>
      </w:r>
      <w:r w:rsidR="00A5515B" w:rsidRPr="00316892">
        <w:rPr>
          <w:rFonts w:cstheme="minorHAnsi"/>
          <w:bCs/>
          <w:color w:val="FF0000"/>
        </w:rPr>
        <w:t xml:space="preserve">separate reliability testing of data elements is not required </w:t>
      </w:r>
      <w:r w:rsidRPr="00316892">
        <w:rPr>
          <w:rFonts w:cstheme="minorHAnsi"/>
          <w:bCs/>
          <w:color w:val="FF0000"/>
        </w:rPr>
        <w:t>per the NQF Measure Evaluation Criteria and Guidance</w:t>
      </w:r>
      <w:r w:rsidR="000B2735">
        <w:rPr>
          <w:rFonts w:cstheme="minorHAnsi"/>
          <w:bCs/>
          <w:color w:val="FF0000"/>
        </w:rPr>
        <w:t xml:space="preserve"> </w:t>
      </w:r>
      <w:r w:rsidR="00513491">
        <w:rPr>
          <w:rFonts w:cstheme="minorHAnsi"/>
          <w:bCs/>
          <w:color w:val="FF0000"/>
        </w:rPr>
        <w:t>(</w:t>
      </w:r>
      <w:r w:rsidR="00CD467D" w:rsidRPr="00316892">
        <w:rPr>
          <w:rFonts w:cstheme="minorHAnsi"/>
          <w:bCs/>
          <w:color w:val="FF0000"/>
        </w:rPr>
        <w:t>see section 2b2 for validity testing of data elements</w:t>
      </w:r>
      <w:r w:rsidR="00A5515B">
        <w:rPr>
          <w:rFonts w:cstheme="minorHAnsi"/>
          <w:bCs/>
          <w:color w:val="FF0000"/>
        </w:rPr>
        <w:t>)</w:t>
      </w:r>
      <w:r w:rsidR="00CD467D" w:rsidRPr="00316892">
        <w:rPr>
          <w:rFonts w:cstheme="minorHAnsi"/>
          <w:bCs/>
          <w:color w:val="FF0000"/>
        </w:rPr>
        <w:t>.</w:t>
      </w:r>
    </w:p>
    <w:p w14:paraId="0CABCFD2" w14:textId="053C5170" w:rsidR="008C54A9" w:rsidRPr="00255C67" w:rsidRDefault="008C54A9"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7B774E9" w14:textId="77777777" w:rsidR="00AF6875" w:rsidRPr="009B766D" w:rsidRDefault="00AF6875"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9B766D">
        <w:rPr>
          <w:rFonts w:cstheme="minorHAnsi"/>
          <w:bCs/>
          <w:color w:val="FF0000"/>
          <w:u w:val="single"/>
        </w:rPr>
        <w:t>Measure Score Reliability</w:t>
      </w:r>
    </w:p>
    <w:p w14:paraId="765E0546" w14:textId="7FC0A236" w:rsidR="00935672" w:rsidRDefault="00562A46"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316892">
        <w:rPr>
          <w:rFonts w:cstheme="minorHAnsi"/>
          <w:bCs/>
          <w:color w:val="FF0000"/>
        </w:rPr>
        <w:t xml:space="preserve">The reliability of a </w:t>
      </w:r>
      <w:r w:rsidR="009556C5">
        <w:rPr>
          <w:rFonts w:cstheme="minorHAnsi"/>
          <w:bCs/>
          <w:color w:val="FF0000"/>
        </w:rPr>
        <w:t xml:space="preserve">measure score </w:t>
      </w:r>
      <w:r w:rsidRPr="00316892">
        <w:rPr>
          <w:rFonts w:cstheme="minorHAnsi"/>
          <w:bCs/>
          <w:color w:val="FF0000"/>
        </w:rPr>
        <w:t xml:space="preserve">is the degree to which repeated measurements of the same entity agree with each other. We estimated the measure score </w:t>
      </w:r>
      <w:bookmarkStart w:id="16" w:name="_Hlk531259521"/>
      <w:r w:rsidRPr="00316892">
        <w:rPr>
          <w:rFonts w:cstheme="minorHAnsi"/>
          <w:bCs/>
          <w:color w:val="FF0000"/>
        </w:rPr>
        <w:t xml:space="preserve">reliability </w:t>
      </w:r>
      <w:r w:rsidR="00935672">
        <w:rPr>
          <w:rFonts w:cstheme="minorHAnsi"/>
          <w:bCs/>
          <w:color w:val="FF0000"/>
        </w:rPr>
        <w:t xml:space="preserve">using </w:t>
      </w:r>
      <w:r w:rsidR="00935672" w:rsidRPr="00E26040">
        <w:rPr>
          <w:rFonts w:cstheme="minorHAnsi"/>
          <w:b/>
          <w:bCs/>
          <w:color w:val="FF0000"/>
        </w:rPr>
        <w:t xml:space="preserve">Beta Datasets </w:t>
      </w:r>
      <w:r w:rsidR="0052609B">
        <w:rPr>
          <w:rFonts w:cstheme="minorHAnsi"/>
          <w:b/>
          <w:bCs/>
          <w:color w:val="FF0000"/>
        </w:rPr>
        <w:t>1</w:t>
      </w:r>
      <w:r w:rsidR="00935672" w:rsidRPr="00E26040">
        <w:rPr>
          <w:rFonts w:cstheme="minorHAnsi"/>
          <w:b/>
          <w:bCs/>
          <w:color w:val="FF0000"/>
        </w:rPr>
        <w:t xml:space="preserve"> and </w:t>
      </w:r>
      <w:r w:rsidR="0052609B">
        <w:rPr>
          <w:rFonts w:cstheme="minorHAnsi"/>
          <w:b/>
          <w:bCs/>
          <w:color w:val="FF0000"/>
        </w:rPr>
        <w:t>2</w:t>
      </w:r>
      <w:r w:rsidR="00935672">
        <w:rPr>
          <w:rFonts w:cstheme="minorHAnsi"/>
          <w:bCs/>
          <w:color w:val="FF0000"/>
        </w:rPr>
        <w:t xml:space="preserve">. </w:t>
      </w:r>
    </w:p>
    <w:p w14:paraId="71FF5684" w14:textId="53F6F660" w:rsidR="00935672" w:rsidRDefault="00550600"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17" w:name="_Hlk531260413"/>
      <w:bookmarkEnd w:id="16"/>
      <w:r>
        <w:rPr>
          <w:rFonts w:cstheme="minorHAnsi"/>
          <w:bCs/>
          <w:color w:val="FF0000"/>
        </w:rPr>
        <w:t>W</w:t>
      </w:r>
      <w:r w:rsidR="00935672" w:rsidRPr="00E26040">
        <w:rPr>
          <w:rFonts w:cstheme="minorHAnsi"/>
          <w:bCs/>
          <w:color w:val="FF0000"/>
        </w:rPr>
        <w:t>e assessed signa</w:t>
      </w:r>
      <w:r w:rsidR="00935672">
        <w:rPr>
          <w:rFonts w:cstheme="minorHAnsi"/>
          <w:bCs/>
          <w:color w:val="FF0000"/>
        </w:rPr>
        <w:t>l-</w:t>
      </w:r>
      <w:r w:rsidR="00935672" w:rsidRPr="00E26040">
        <w:rPr>
          <w:rFonts w:cstheme="minorHAnsi"/>
          <w:bCs/>
          <w:color w:val="FF0000"/>
        </w:rPr>
        <w:t xml:space="preserve"> to</w:t>
      </w:r>
      <w:r w:rsidR="00935672">
        <w:rPr>
          <w:rFonts w:cstheme="minorHAnsi"/>
          <w:bCs/>
          <w:color w:val="FF0000"/>
        </w:rPr>
        <w:t>-</w:t>
      </w:r>
      <w:r w:rsidR="00935672" w:rsidRPr="00E26040">
        <w:rPr>
          <w:rFonts w:cstheme="minorHAnsi"/>
          <w:bCs/>
          <w:color w:val="FF0000"/>
        </w:rPr>
        <w:t xml:space="preserve">noise reliability that describes how well the measure can distinguish the performance of one hospital from </w:t>
      </w:r>
      <w:bookmarkStart w:id="18" w:name="_Hlk531360795"/>
      <w:r w:rsidR="00935672" w:rsidRPr="00E26040">
        <w:rPr>
          <w:rFonts w:cstheme="minorHAnsi"/>
          <w:bCs/>
          <w:color w:val="FF0000"/>
        </w:rPr>
        <w:t>another</w:t>
      </w:r>
      <w:r w:rsidR="007C15F6">
        <w:rPr>
          <w:rFonts w:cstheme="minorHAnsi"/>
          <w:bCs/>
          <w:color w:val="FF0000"/>
        </w:rPr>
        <w:t xml:space="preserve"> (Adams and Mehrota, 2010; Yu and Mehrota, 2013)</w:t>
      </w:r>
      <w:bookmarkEnd w:id="18"/>
      <w:r w:rsidR="00935672" w:rsidRPr="00E26040">
        <w:rPr>
          <w:rFonts w:cstheme="minorHAnsi"/>
          <w:bCs/>
          <w:color w:val="FF0000"/>
        </w:rPr>
        <w:t>. The signal is the proportion of the variability in measured performance that can be explained by real differences in performance. Scores can range from 0 to 1. A reliability of zero implies that all the variability in a measure is attributable to measurement error. A reliability of one implies that all the variability is attributable to real difference</w:t>
      </w:r>
      <w:r w:rsidR="00103CA2">
        <w:rPr>
          <w:rFonts w:cstheme="minorHAnsi"/>
          <w:bCs/>
          <w:color w:val="FF0000"/>
        </w:rPr>
        <w:t>s</w:t>
      </w:r>
      <w:r w:rsidR="00935672" w:rsidRPr="00E26040">
        <w:rPr>
          <w:rFonts w:cstheme="minorHAnsi"/>
          <w:bCs/>
          <w:color w:val="FF0000"/>
        </w:rPr>
        <w:t xml:space="preserve"> in performance</w:t>
      </w:r>
      <w:bookmarkEnd w:id="17"/>
      <w:r w:rsidR="00935672" w:rsidRPr="00E26040">
        <w:rPr>
          <w:rFonts w:cstheme="minorHAnsi"/>
          <w:bCs/>
          <w:color w:val="FF0000"/>
        </w:rPr>
        <w:t>.</w:t>
      </w:r>
    </w:p>
    <w:p w14:paraId="2361EB77" w14:textId="77777777" w:rsidR="009623AB"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44569219" w14:textId="474CAA10" w:rsidR="009623AB"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bookmarkStart w:id="19" w:name="_Hlk536108929"/>
      <w:r w:rsidRPr="00F9194F">
        <w:rPr>
          <w:rFonts w:cstheme="minorHAnsi"/>
          <w:bCs/>
          <w:color w:val="00B0F0"/>
        </w:rPr>
        <w:t>We use the Adam’s beta-binomial method (Adams</w:t>
      </w:r>
      <w:r w:rsidR="00944B8A" w:rsidRPr="00F9194F">
        <w:rPr>
          <w:rFonts w:cstheme="minorHAnsi"/>
          <w:bCs/>
          <w:color w:val="00B0F0"/>
        </w:rPr>
        <w:t>,</w:t>
      </w:r>
      <w:r w:rsidRPr="00F9194F">
        <w:rPr>
          <w:rFonts w:cstheme="minorHAnsi"/>
          <w:bCs/>
          <w:color w:val="00B0F0"/>
        </w:rPr>
        <w:t xml:space="preserve"> 2009) to calculate the signal-to-noise ratio reliability. Briefly, using variability between hospitals (signal: provider-to-provider variance) and variability within hospitals (noise: provider-specific-error variance), the reliability for each hospital can be defined as</w:t>
      </w:r>
    </w:p>
    <w:p w14:paraId="3FE83CDC" w14:textId="74B64BF7" w:rsidR="00562A46"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9194F">
        <w:rPr>
          <w:noProof/>
          <w:color w:val="00B0F0"/>
        </w:rPr>
        <w:drawing>
          <wp:inline distT="0" distB="0" distL="0" distR="0" wp14:anchorId="7B772910" wp14:editId="256F4EEA">
            <wp:extent cx="3513201" cy="578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66213" cy="603986"/>
                    </a:xfrm>
                    <a:prstGeom prst="rect">
                      <a:avLst/>
                    </a:prstGeom>
                  </pic:spPr>
                </pic:pic>
              </a:graphicData>
            </a:graphic>
          </wp:inline>
        </w:drawing>
      </w:r>
    </w:p>
    <w:p w14:paraId="6D0E43E1" w14:textId="1E0573BE" w:rsidR="009623AB"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9194F">
        <w:rPr>
          <w:rFonts w:cstheme="minorHAnsi"/>
          <w:bCs/>
          <w:color w:val="00B0F0"/>
        </w:rPr>
        <w:t>We estimate the beta-binomial variance as the provider-to-provider variance as</w:t>
      </w:r>
    </w:p>
    <w:p w14:paraId="5235F752" w14:textId="21FBA25B" w:rsidR="009623AB"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9194F">
        <w:rPr>
          <w:noProof/>
          <w:color w:val="00B0F0"/>
        </w:rPr>
        <w:drawing>
          <wp:inline distT="0" distB="0" distL="0" distR="0" wp14:anchorId="4F76392E" wp14:editId="057C810A">
            <wp:extent cx="2084841" cy="48880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66178" cy="507878"/>
                    </a:xfrm>
                    <a:prstGeom prst="rect">
                      <a:avLst/>
                    </a:prstGeom>
                  </pic:spPr>
                </pic:pic>
              </a:graphicData>
            </a:graphic>
          </wp:inline>
        </w:drawing>
      </w:r>
    </w:p>
    <w:p w14:paraId="432E7E96" w14:textId="2D9E55B8" w:rsidR="009623AB"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9194F">
        <w:rPr>
          <w:rFonts w:cstheme="minorHAnsi"/>
          <w:bCs/>
          <w:color w:val="00B0F0"/>
        </w:rPr>
        <w:t>where α, β are the estimated beta-binomial parameters using denominators and rates from all hospitals. The provider-specific-error variance is estimated as</w:t>
      </w:r>
    </w:p>
    <w:p w14:paraId="2E4B4345" w14:textId="4FC59C5C" w:rsidR="009623AB"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9194F">
        <w:rPr>
          <w:noProof/>
          <w:color w:val="00B0F0"/>
        </w:rPr>
        <w:drawing>
          <wp:inline distT="0" distB="0" distL="0" distR="0" wp14:anchorId="1002ECF9" wp14:editId="5B49C613">
            <wp:extent cx="1998118" cy="494775"/>
            <wp:effectExtent l="0" t="0" r="254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4137" cy="518551"/>
                    </a:xfrm>
                    <a:prstGeom prst="rect">
                      <a:avLst/>
                    </a:prstGeom>
                    <a:noFill/>
                    <a:ln>
                      <a:noFill/>
                    </a:ln>
                  </pic:spPr>
                </pic:pic>
              </a:graphicData>
            </a:graphic>
          </wp:inline>
        </w:drawing>
      </w:r>
    </w:p>
    <w:p w14:paraId="3ECDAE78" w14:textId="15CADB5D" w:rsidR="009623AB" w:rsidRPr="00F9194F"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9194F">
        <w:rPr>
          <w:rFonts w:cstheme="minorHAnsi"/>
          <w:bCs/>
          <w:color w:val="00B0F0"/>
        </w:rPr>
        <w:t>where n is the numerator of a hospital and p ̂ is the harm rate of a hospital.</w:t>
      </w:r>
    </w:p>
    <w:bookmarkEnd w:id="19"/>
    <w:p w14:paraId="224E3376" w14:textId="77777777" w:rsidR="009623AB" w:rsidRPr="00316892" w:rsidRDefault="009623AB"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4B73A9C0" w14:textId="11007141" w:rsidR="00562A46" w:rsidRPr="00316892" w:rsidRDefault="00562A46" w:rsidP="00CB42B4">
      <w:pPr>
        <w:pBdr>
          <w:top w:val="single" w:sz="4" w:space="1" w:color="auto"/>
          <w:left w:val="single" w:sz="4" w:space="4" w:color="auto"/>
          <w:bottom w:val="single" w:sz="4" w:space="1" w:color="auto"/>
          <w:right w:val="single" w:sz="4" w:space="4" w:color="auto"/>
        </w:pBdr>
        <w:spacing w:after="0"/>
        <w:rPr>
          <w:color w:val="FF0000"/>
          <w:u w:val="single"/>
        </w:rPr>
      </w:pPr>
      <w:r w:rsidRPr="00316892">
        <w:rPr>
          <w:color w:val="FF0000"/>
          <w:u w:val="single"/>
        </w:rPr>
        <w:t>References</w:t>
      </w:r>
      <w:r w:rsidR="00AE58D3">
        <w:rPr>
          <w:color w:val="FF0000"/>
          <w:u w:val="single"/>
        </w:rPr>
        <w:t>:</w:t>
      </w:r>
    </w:p>
    <w:p w14:paraId="6C2BA959" w14:textId="3F9E75E2" w:rsidR="007C15F6" w:rsidRPr="007C15F6" w:rsidRDefault="007C15F6" w:rsidP="00E26040">
      <w:pPr>
        <w:pBdr>
          <w:top w:val="single" w:sz="4" w:space="1" w:color="auto"/>
          <w:left w:val="single" w:sz="4" w:space="4" w:color="auto"/>
          <w:bottom w:val="single" w:sz="4" w:space="1" w:color="auto"/>
          <w:right w:val="single" w:sz="4" w:space="4" w:color="auto"/>
        </w:pBdr>
        <w:spacing w:after="0"/>
        <w:rPr>
          <w:color w:val="FF0000"/>
        </w:rPr>
      </w:pPr>
      <w:bookmarkStart w:id="20" w:name="_Hlk531360811"/>
      <w:r w:rsidRPr="007C15F6">
        <w:rPr>
          <w:color w:val="FF0000"/>
        </w:rPr>
        <w:t>Adams J, Mehrota, A, Thoman J, McGlynn, E. (2010). Physician cost profiling – reliability and risk of misclassification. NEJM, 362(11): 1014-1021.</w:t>
      </w:r>
    </w:p>
    <w:p w14:paraId="032E8FFE" w14:textId="7B85090A" w:rsidR="007C15F6" w:rsidRDefault="007C15F6" w:rsidP="00E26040">
      <w:pPr>
        <w:pBdr>
          <w:top w:val="single" w:sz="4" w:space="1" w:color="auto"/>
          <w:left w:val="single" w:sz="4" w:space="4" w:color="auto"/>
          <w:bottom w:val="single" w:sz="4" w:space="1" w:color="auto"/>
          <w:right w:val="single" w:sz="4" w:space="4" w:color="auto"/>
        </w:pBdr>
        <w:spacing w:after="0"/>
        <w:rPr>
          <w:color w:val="FF0000"/>
        </w:rPr>
      </w:pPr>
      <w:r w:rsidRPr="007C15F6">
        <w:rPr>
          <w:color w:val="FF0000"/>
        </w:rPr>
        <w:t>Yu, H, Mehrota, A, Adams J. (2013). Reliability of utilization measures for primary care physician profiling. Healthcare, 1, 22-29</w:t>
      </w:r>
      <w:bookmarkEnd w:id="20"/>
      <w:r w:rsidRPr="007C15F6">
        <w:rPr>
          <w:color w:val="FF0000"/>
        </w:rPr>
        <w:t>.</w:t>
      </w:r>
    </w:p>
    <w:p w14:paraId="39B8B999" w14:textId="72191F58" w:rsidR="009623AB" w:rsidRPr="00F9194F" w:rsidRDefault="009623AB" w:rsidP="00E26040">
      <w:pPr>
        <w:pBdr>
          <w:top w:val="single" w:sz="4" w:space="1" w:color="auto"/>
          <w:left w:val="single" w:sz="4" w:space="4" w:color="auto"/>
          <w:bottom w:val="single" w:sz="4" w:space="1" w:color="auto"/>
          <w:right w:val="single" w:sz="4" w:space="4" w:color="auto"/>
        </w:pBdr>
        <w:spacing w:after="0"/>
        <w:rPr>
          <w:color w:val="00B0F0"/>
        </w:rPr>
      </w:pPr>
      <w:bookmarkStart w:id="21" w:name="_Hlk536108960"/>
      <w:r w:rsidRPr="00F9194F">
        <w:rPr>
          <w:color w:val="00B0F0"/>
        </w:rPr>
        <w:t>Adams, J. The Reliability of Provider Profiling: A Tutorial. Santa Monica, CA: RAND Corporation, 2009. https://www.rand.org/pubs/technical_reports/TR653.html.</w:t>
      </w:r>
    </w:p>
    <w:bookmarkEnd w:id="21"/>
    <w:p w14:paraId="498E1E08" w14:textId="77777777" w:rsidR="00F9194F" w:rsidRDefault="00F9194F" w:rsidP="00B31A46">
      <w:pPr>
        <w:autoSpaceDE w:val="0"/>
        <w:autoSpaceDN w:val="0"/>
        <w:adjustRightInd w:val="0"/>
        <w:spacing w:line="240" w:lineRule="auto"/>
        <w:rPr>
          <w:rFonts w:cstheme="minorHAnsi"/>
          <w:b/>
          <w:bCs/>
        </w:rPr>
      </w:pPr>
    </w:p>
    <w:p w14:paraId="65397C1F" w14:textId="17378FA3" w:rsidR="00724B66" w:rsidRDefault="00092566" w:rsidP="00B31A46">
      <w:pPr>
        <w:autoSpaceDE w:val="0"/>
        <w:autoSpaceDN w:val="0"/>
        <w:adjustRightInd w:val="0"/>
        <w:spacing w:line="240" w:lineRule="auto"/>
        <w:rPr>
          <w:rFonts w:cstheme="minorHAnsi"/>
          <w:bCs/>
        </w:rPr>
      </w:pPr>
      <w:r w:rsidRPr="009B0CA4">
        <w:rPr>
          <w:rFonts w:cstheme="minorHAnsi"/>
          <w:b/>
          <w:bCs/>
        </w:rPr>
        <w:t>2a2.</w:t>
      </w:r>
      <w:r w:rsidR="008C54A9" w:rsidRPr="009B0CA4">
        <w:rPr>
          <w:rFonts w:cstheme="minorHAnsi"/>
          <w:b/>
          <w:bCs/>
        </w:rPr>
        <w:t xml:space="preserve">3. For each level </w:t>
      </w:r>
      <w:r w:rsidR="008F7E67" w:rsidRPr="009B0CA4">
        <w:rPr>
          <w:rFonts w:cstheme="minorHAnsi"/>
          <w:b/>
          <w:bCs/>
        </w:rPr>
        <w:t xml:space="preserve">of testing </w:t>
      </w:r>
      <w:r w:rsidR="008C54A9" w:rsidRPr="009B0CA4">
        <w:rPr>
          <w:rFonts w:cstheme="minorHAnsi"/>
          <w:b/>
          <w:bCs/>
        </w:rPr>
        <w:t>checked above, w</w:t>
      </w:r>
      <w:r w:rsidR="00900DBF" w:rsidRPr="009B0CA4">
        <w:rPr>
          <w:rFonts w:cstheme="minorHAnsi"/>
          <w:b/>
          <w:bCs/>
        </w:rPr>
        <w:t>hat were the statistical results</w:t>
      </w:r>
      <w:r w:rsidR="007422FD" w:rsidRPr="009B0CA4">
        <w:rPr>
          <w:rFonts w:cstheme="minorHAnsi"/>
          <w:b/>
          <w:bCs/>
        </w:rPr>
        <w:t xml:space="preserve"> from reliability testing</w:t>
      </w:r>
      <w:r w:rsidR="00900DBF" w:rsidRPr="009B0CA4">
        <w:rPr>
          <w:rFonts w:cstheme="minorHAnsi"/>
          <w:bCs/>
        </w:rPr>
        <w:t>?</w:t>
      </w:r>
      <w:r w:rsidR="00B037BA" w:rsidRPr="009B0CA4">
        <w:rPr>
          <w:rFonts w:cstheme="minorHAnsi"/>
          <w:bCs/>
        </w:rPr>
        <w:t xml:space="preserve"> </w:t>
      </w:r>
      <w:r w:rsidR="00AA5213" w:rsidRPr="009B0CA4">
        <w:rPr>
          <w:rFonts w:cstheme="minorHAnsi"/>
          <w:bCs/>
        </w:rPr>
        <w:t xml:space="preserve"> (e</w:t>
      </w:r>
      <w:r w:rsidR="00AA5213" w:rsidRPr="009B0CA4">
        <w:rPr>
          <w:rFonts w:cstheme="minorHAnsi"/>
          <w:bCs/>
          <w:i/>
        </w:rPr>
        <w:t>.g., percent agreement and kappa for the critical data elements; distribution of reliability statistics from a signal-to-noise analysis</w:t>
      </w:r>
      <w:r w:rsidR="00AA5213" w:rsidRPr="009B0CA4">
        <w:rPr>
          <w:rFonts w:cstheme="minorHAnsi"/>
          <w:bCs/>
        </w:rPr>
        <w:t>)</w:t>
      </w:r>
    </w:p>
    <w:p w14:paraId="15337EC0" w14:textId="31570838" w:rsidR="00EE44C0" w:rsidRPr="00B34C6F" w:rsidRDefault="00EE44C0" w:rsidP="002E0A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u w:val="single"/>
        </w:rPr>
      </w:pPr>
      <w:bookmarkStart w:id="22" w:name="_Hlk531261976"/>
      <w:r w:rsidRPr="00B34C6F">
        <w:rPr>
          <w:color w:val="FF0000"/>
          <w:u w:val="single"/>
        </w:rPr>
        <w:lastRenderedPageBreak/>
        <w:t>Measure Score Reliability</w:t>
      </w:r>
      <w:r w:rsidR="008C7DDA" w:rsidRPr="00B34C6F">
        <w:rPr>
          <w:color w:val="FF0000"/>
          <w:u w:val="single"/>
        </w:rPr>
        <w:t xml:space="preserve"> Results</w:t>
      </w:r>
    </w:p>
    <w:p w14:paraId="628BEEA9" w14:textId="36D790C3" w:rsidR="007C5F41" w:rsidRPr="002E0A9D" w:rsidRDefault="008C7DDA" w:rsidP="002E0A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2E0A9D">
        <w:rPr>
          <w:color w:val="FF0000"/>
        </w:rPr>
        <w:t xml:space="preserve">There were 13,636 </w:t>
      </w:r>
      <w:r w:rsidR="00313C1B" w:rsidRPr="002E0A9D">
        <w:rPr>
          <w:color w:val="FF0000"/>
        </w:rPr>
        <w:t xml:space="preserve">eligible encounters </w:t>
      </w:r>
      <w:r w:rsidR="00D50A1D" w:rsidRPr="002E0A9D">
        <w:rPr>
          <w:color w:val="FF0000"/>
        </w:rPr>
        <w:t xml:space="preserve">across 6 hospitals </w:t>
      </w:r>
      <w:r w:rsidRPr="002E0A9D">
        <w:rPr>
          <w:color w:val="FF0000"/>
        </w:rPr>
        <w:t xml:space="preserve">in </w:t>
      </w:r>
      <w:r w:rsidR="00AE58D3" w:rsidRPr="00B34C6F">
        <w:rPr>
          <w:b/>
          <w:color w:val="FF0000"/>
        </w:rPr>
        <w:t xml:space="preserve">Beta </w:t>
      </w:r>
      <w:r w:rsidRPr="00B34C6F">
        <w:rPr>
          <w:b/>
          <w:color w:val="FF0000"/>
        </w:rPr>
        <w:t>Dataset</w:t>
      </w:r>
      <w:r w:rsidR="003F44FE" w:rsidRPr="00B34C6F">
        <w:rPr>
          <w:b/>
          <w:color w:val="FF0000"/>
        </w:rPr>
        <w:t>s</w:t>
      </w:r>
      <w:r w:rsidRPr="00B34C6F">
        <w:rPr>
          <w:b/>
          <w:color w:val="FF0000"/>
        </w:rPr>
        <w:t xml:space="preserve"> </w:t>
      </w:r>
      <w:r w:rsidR="00AE58D3" w:rsidRPr="00B34C6F">
        <w:rPr>
          <w:b/>
          <w:color w:val="FF0000"/>
        </w:rPr>
        <w:t xml:space="preserve">1 </w:t>
      </w:r>
      <w:r w:rsidRPr="00B34C6F">
        <w:rPr>
          <w:b/>
          <w:color w:val="FF0000"/>
        </w:rPr>
        <w:t xml:space="preserve">and </w:t>
      </w:r>
      <w:r w:rsidR="00AE58D3" w:rsidRPr="00B34C6F">
        <w:rPr>
          <w:b/>
          <w:color w:val="FF0000"/>
        </w:rPr>
        <w:t>2</w:t>
      </w:r>
      <w:r w:rsidRPr="002E0A9D">
        <w:rPr>
          <w:color w:val="FF0000"/>
        </w:rPr>
        <w:t>.</w:t>
      </w:r>
      <w:r w:rsidR="009D31A0" w:rsidRPr="002E0A9D">
        <w:rPr>
          <w:color w:val="FF0000"/>
        </w:rPr>
        <w:t xml:space="preserve"> The </w:t>
      </w:r>
      <w:r w:rsidR="00B152CA" w:rsidRPr="002E0A9D">
        <w:rPr>
          <w:color w:val="FF0000"/>
        </w:rPr>
        <w:t>s</w:t>
      </w:r>
      <w:r w:rsidR="00550600">
        <w:rPr>
          <w:color w:val="FF0000"/>
        </w:rPr>
        <w:t>ignal-to-noise ratio</w:t>
      </w:r>
      <w:r w:rsidR="00B152CA" w:rsidRPr="002E0A9D">
        <w:rPr>
          <w:color w:val="FF0000"/>
        </w:rPr>
        <w:t xml:space="preserve"> yielded a median </w:t>
      </w:r>
      <w:r w:rsidR="00313C1B" w:rsidRPr="002E0A9D">
        <w:rPr>
          <w:color w:val="FF0000"/>
        </w:rPr>
        <w:t xml:space="preserve">reliability score </w:t>
      </w:r>
      <w:r w:rsidR="00B152CA" w:rsidRPr="002E0A9D">
        <w:rPr>
          <w:color w:val="FF0000"/>
        </w:rPr>
        <w:t xml:space="preserve">of </w:t>
      </w:r>
      <w:bookmarkStart w:id="23" w:name="_Hlk531262486"/>
      <w:r w:rsidR="00B152CA" w:rsidRPr="002E0A9D">
        <w:rPr>
          <w:color w:val="FF0000"/>
        </w:rPr>
        <w:t>0.889 (range: 0.815-0.924)</w:t>
      </w:r>
      <w:bookmarkEnd w:id="23"/>
      <w:r w:rsidR="00052239">
        <w:rPr>
          <w:color w:val="FF0000"/>
        </w:rPr>
        <w:t>.</w:t>
      </w:r>
    </w:p>
    <w:bookmarkEnd w:id="22"/>
    <w:p w14:paraId="27B5D02E" w14:textId="75B26B40" w:rsidR="00876AC6" w:rsidRPr="00CC5DB2" w:rsidRDefault="0048008A" w:rsidP="00DB3627">
      <w:pPr>
        <w:autoSpaceDE w:val="0"/>
        <w:autoSpaceDN w:val="0"/>
        <w:adjustRightInd w:val="0"/>
        <w:spacing w:after="0" w:line="240" w:lineRule="auto"/>
        <w:rPr>
          <w:rFonts w:cstheme="minorHAnsi"/>
          <w:bCs/>
        </w:rPr>
      </w:pPr>
      <w:r w:rsidRPr="002E0A9D">
        <w:rPr>
          <w:color w:val="FF0000"/>
        </w:rPr>
        <w:br/>
      </w:r>
      <w:r w:rsidR="00092566" w:rsidRPr="0031274E">
        <w:rPr>
          <w:rFonts w:cstheme="minorHAnsi"/>
          <w:b/>
          <w:bCs/>
        </w:rPr>
        <w:t xml:space="preserve">2a2.4 </w:t>
      </w:r>
      <w:r w:rsidR="007422FD" w:rsidRPr="0031274E">
        <w:rPr>
          <w:rFonts w:cstheme="minorHAnsi"/>
          <w:b/>
          <w:bCs/>
        </w:rPr>
        <w:t xml:space="preserve">What </w:t>
      </w:r>
      <w:r w:rsidR="000B2DF7" w:rsidRPr="0031274E">
        <w:rPr>
          <w:rFonts w:cstheme="minorHAnsi"/>
          <w:b/>
          <w:bCs/>
        </w:rPr>
        <w:t>is your interpretation of the results in terms of</w:t>
      </w:r>
      <w:r w:rsidR="007422FD" w:rsidRPr="0031274E">
        <w:rPr>
          <w:rFonts w:cstheme="minorHAnsi"/>
          <w:b/>
          <w:bCs/>
        </w:rPr>
        <w:t xml:space="preserve"> demonstrating reliability</w:t>
      </w:r>
      <w:r w:rsidR="007422FD" w:rsidRPr="0031274E">
        <w:rPr>
          <w:rFonts w:cstheme="minorHAnsi"/>
          <w:bCs/>
        </w:rPr>
        <w:t xml:space="preserve">? </w:t>
      </w:r>
      <w:r w:rsidR="000B2DF7" w:rsidRPr="0031274E">
        <w:rPr>
          <w:rFonts w:cstheme="minorHAnsi"/>
          <w:bCs/>
        </w:rPr>
        <w:t>(i</w:t>
      </w:r>
      <w:r w:rsidR="000B2DF7" w:rsidRPr="0031274E">
        <w:rPr>
          <w:rFonts w:cstheme="minorHAnsi"/>
          <w:bCs/>
          <w:i/>
        </w:rPr>
        <w:t xml:space="preserve">.e., what do the </w:t>
      </w:r>
      <w:r w:rsidR="000B2DF7" w:rsidRPr="00CC5DB2">
        <w:rPr>
          <w:rFonts w:cstheme="minorHAnsi"/>
          <w:bCs/>
          <w:i/>
        </w:rPr>
        <w:t>results mean and what are the norms for the test conducted</w:t>
      </w:r>
      <w:r w:rsidR="007757CE" w:rsidRPr="00CC5DB2">
        <w:rPr>
          <w:rFonts w:cstheme="minorHAnsi"/>
          <w:bCs/>
          <w:i/>
        </w:rPr>
        <w:t>?</w:t>
      </w:r>
      <w:r w:rsidR="000B2DF7" w:rsidRPr="00CC5DB2">
        <w:rPr>
          <w:rFonts w:cstheme="minorHAnsi"/>
          <w:bCs/>
        </w:rPr>
        <w:t>)</w:t>
      </w:r>
    </w:p>
    <w:p w14:paraId="2DCA0A94" w14:textId="685D0BF4" w:rsidR="00D06241" w:rsidRDefault="00B152CA" w:rsidP="00042B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bookmarkStart w:id="24" w:name="_Hlk532391821"/>
      <w:r>
        <w:rPr>
          <w:color w:val="FF0000"/>
        </w:rPr>
        <w:t xml:space="preserve">The </w:t>
      </w:r>
      <w:r w:rsidRPr="00E26040">
        <w:rPr>
          <w:color w:val="FF0000"/>
        </w:rPr>
        <w:t xml:space="preserve">signal-to-noise </w:t>
      </w:r>
      <w:r w:rsidR="009D2C82">
        <w:rPr>
          <w:color w:val="FF0000"/>
        </w:rPr>
        <w:t xml:space="preserve">ratio </w:t>
      </w:r>
      <w:r w:rsidR="00B035F3">
        <w:rPr>
          <w:color w:val="FF0000"/>
        </w:rPr>
        <w:t>of 0.89</w:t>
      </w:r>
      <w:r>
        <w:rPr>
          <w:color w:val="FF0000"/>
        </w:rPr>
        <w:t xml:space="preserve"> indicate</w:t>
      </w:r>
      <w:r w:rsidR="00550600">
        <w:rPr>
          <w:color w:val="FF0000"/>
        </w:rPr>
        <w:t>s excellent</w:t>
      </w:r>
      <w:r w:rsidR="00D06241">
        <w:rPr>
          <w:color w:val="FF0000"/>
        </w:rPr>
        <w:t xml:space="preserve"> </w:t>
      </w:r>
      <w:bookmarkEnd w:id="24"/>
      <w:r w:rsidR="00B72FFD">
        <w:rPr>
          <w:color w:val="FF0000"/>
        </w:rPr>
        <w:t>agreement</w:t>
      </w:r>
      <w:r w:rsidR="00D06241">
        <w:rPr>
          <w:color w:val="FF0000"/>
        </w:rPr>
        <w:t>.</w:t>
      </w:r>
    </w:p>
    <w:p w14:paraId="625A473B" w14:textId="77777777" w:rsidR="00D06241" w:rsidRDefault="00D06241" w:rsidP="00042B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p>
    <w:p w14:paraId="5131FF22" w14:textId="165B5792" w:rsidR="00D06241" w:rsidRPr="00D06241"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D06241">
        <w:rPr>
          <w:color w:val="FF0000"/>
        </w:rPr>
        <w:t>Our interpretation of these results is based on the standards establish</w:t>
      </w:r>
      <w:r>
        <w:rPr>
          <w:color w:val="FF0000"/>
        </w:rPr>
        <w:t>ed by Landis and Koch (1977)</w:t>
      </w:r>
      <w:r w:rsidRPr="00D06241">
        <w:rPr>
          <w:color w:val="FF0000"/>
        </w:rPr>
        <w:t>:</w:t>
      </w:r>
    </w:p>
    <w:p w14:paraId="0615A887"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&lt; 0 – Less than chance agreement; </w:t>
      </w:r>
    </w:p>
    <w:p w14:paraId="07EEE91C"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 – 0.2 Slight agreement; </w:t>
      </w:r>
    </w:p>
    <w:p w14:paraId="73719522"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0.21 – 0.39 Fair agreement; </w:t>
      </w:r>
    </w:p>
    <w:p w14:paraId="677341DE"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0.4 – 0.59 Moderate agreement; </w:t>
      </w:r>
    </w:p>
    <w:p w14:paraId="4BB2E00D"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0.6 – 0.79 Substantial agreement; </w:t>
      </w:r>
    </w:p>
    <w:p w14:paraId="284A3CF9"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0.8 – 0.99 Almost Perfect agreement; and</w:t>
      </w:r>
    </w:p>
    <w:p w14:paraId="4311E5AA" w14:textId="77777777" w:rsidR="00D06241" w:rsidRPr="00B2496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1 Perfect agreement</w:t>
      </w:r>
    </w:p>
    <w:p w14:paraId="489FFD61" w14:textId="77777777" w:rsidR="00D06241"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p>
    <w:p w14:paraId="0A71DDC1" w14:textId="71585114" w:rsidR="00D06241" w:rsidRPr="00E26040" w:rsidRDefault="00D06241" w:rsidP="00D0624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u w:val="single"/>
        </w:rPr>
      </w:pPr>
      <w:r w:rsidRPr="00E26040">
        <w:rPr>
          <w:color w:val="FF0000"/>
          <w:u w:val="single"/>
        </w:rPr>
        <w:t>Reference</w:t>
      </w:r>
      <w:r w:rsidR="00AE58D3">
        <w:rPr>
          <w:color w:val="FF0000"/>
          <w:u w:val="single"/>
        </w:rPr>
        <w:t>:</w:t>
      </w:r>
    </w:p>
    <w:p w14:paraId="0CABCFD5" w14:textId="20E5C074" w:rsidR="006F2F20" w:rsidRPr="002C76C0" w:rsidRDefault="00D06241" w:rsidP="002C76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D06241">
        <w:rPr>
          <w:color w:val="FF0000"/>
        </w:rPr>
        <w:t>Landis J, Koch G. The measurement of observer agreement for categorical data. Biometrics 1977;33:159-174.</w:t>
      </w:r>
    </w:p>
    <w:p w14:paraId="0518D776" w14:textId="77777777" w:rsidR="00052239" w:rsidRDefault="00052239" w:rsidP="00DB3627">
      <w:pPr>
        <w:autoSpaceDE w:val="0"/>
        <w:autoSpaceDN w:val="0"/>
        <w:adjustRightInd w:val="0"/>
        <w:spacing w:after="0" w:line="240" w:lineRule="auto"/>
        <w:rPr>
          <w:rFonts w:cstheme="minorHAnsi"/>
          <w:b/>
          <w:noProof/>
        </w:rPr>
      </w:pPr>
    </w:p>
    <w:p w14:paraId="0CABCFD6" w14:textId="5B73D0A9"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17E03C22" w:rsidR="00696262" w:rsidRPr="00B15DC0"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9E311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sidRPr="00B15DC0">
        <w:rPr>
          <w:rFonts w:cstheme="minorHAnsi"/>
          <w:b/>
          <w:bCs/>
        </w:rPr>
        <w:t>C</w:t>
      </w:r>
      <w:r w:rsidR="00D1754D" w:rsidRPr="00B15DC0">
        <w:rPr>
          <w:rFonts w:cstheme="minorHAnsi"/>
          <w:b/>
          <w:bCs/>
        </w:rPr>
        <w:t xml:space="preserve">ritical </w:t>
      </w:r>
      <w:r w:rsidR="00B037BA" w:rsidRPr="00B15DC0">
        <w:rPr>
          <w:rFonts w:cstheme="minorHAnsi"/>
          <w:b/>
          <w:bCs/>
        </w:rPr>
        <w:t>data</w:t>
      </w:r>
      <w:r w:rsidR="00A41377" w:rsidRPr="00B15DC0">
        <w:rPr>
          <w:rFonts w:cstheme="minorHAnsi"/>
          <w:b/>
          <w:bCs/>
        </w:rPr>
        <w:t xml:space="preserve"> elements</w:t>
      </w:r>
      <w:r w:rsidR="000414E8" w:rsidRPr="00B15DC0">
        <w:rPr>
          <w:rFonts w:cstheme="minorHAnsi"/>
          <w:b/>
          <w:bCs/>
        </w:rPr>
        <w:t xml:space="preserve"> </w:t>
      </w:r>
      <w:r w:rsidR="000414E8" w:rsidRPr="00B15DC0">
        <w:rPr>
          <w:rFonts w:cstheme="minorHAnsi"/>
          <w:bCs/>
        </w:rPr>
        <w:t>(</w:t>
      </w:r>
      <w:r w:rsidR="000414E8" w:rsidRPr="00B15DC0">
        <w:rPr>
          <w:rFonts w:cstheme="minorHAnsi"/>
          <w:bCs/>
          <w:i/>
        </w:rPr>
        <w:t>data element validity must address ALL critical data elements</w:t>
      </w:r>
      <w:r w:rsidR="000414E8" w:rsidRPr="00B15DC0">
        <w:rPr>
          <w:rFonts w:cstheme="minorHAnsi"/>
          <w:bCs/>
        </w:rPr>
        <w:t>)</w:t>
      </w:r>
    </w:p>
    <w:p w14:paraId="0CABCFD8" w14:textId="1615AFA2" w:rsidR="00696262" w:rsidRPr="00B15DC0" w:rsidRDefault="00F9194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F72794" w:rsidRPr="00B15DC0">
            <w:rPr>
              <w:rFonts w:ascii="MS Gothic" w:eastAsia="MS Gothic" w:hAnsi="MS Gothic" w:cstheme="minorHAnsi" w:hint="eastAsia"/>
              <w:bCs/>
              <w:color w:val="0000FF"/>
            </w:rPr>
            <w:t>☒</w:t>
          </w:r>
        </w:sdtContent>
      </w:sdt>
      <w:r w:rsidR="000414E8" w:rsidRPr="00B15DC0">
        <w:rPr>
          <w:rFonts w:eastAsia="MS Mincho" w:cstheme="minorHAnsi"/>
          <w:b/>
          <w:bCs/>
          <w:color w:val="0000FF"/>
        </w:rPr>
        <w:t xml:space="preserve"> </w:t>
      </w:r>
      <w:r w:rsidR="005232D6" w:rsidRPr="00B15DC0">
        <w:rPr>
          <w:rFonts w:eastAsia="MS Gothic" w:cstheme="minorHAnsi"/>
          <w:b/>
          <w:bCs/>
        </w:rPr>
        <w:t>P</w:t>
      </w:r>
      <w:r w:rsidR="00696262" w:rsidRPr="00B15DC0">
        <w:rPr>
          <w:rFonts w:eastAsia="MS Gothic" w:cstheme="minorHAnsi"/>
          <w:b/>
          <w:bCs/>
        </w:rPr>
        <w:t xml:space="preserve">erformance </w:t>
      </w:r>
      <w:r w:rsidR="00696262" w:rsidRPr="00B15DC0">
        <w:rPr>
          <w:rFonts w:cstheme="minorHAnsi"/>
          <w:b/>
          <w:bCs/>
        </w:rPr>
        <w:t>measure score</w:t>
      </w:r>
    </w:p>
    <w:p w14:paraId="0CABCFD9" w14:textId="72B6DCD1" w:rsidR="000574AB" w:rsidRPr="00A25024" w:rsidRDefault="00F9194F"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F72794" w:rsidRPr="00B15DC0">
            <w:rPr>
              <w:rFonts w:ascii="MS Gothic" w:eastAsia="MS Gothic" w:hAnsi="MS Gothic" w:cstheme="minorHAnsi" w:hint="eastAsia"/>
              <w:bCs/>
              <w:color w:val="0000FF"/>
            </w:rPr>
            <w:t>☒</w:t>
          </w:r>
        </w:sdtContent>
      </w:sdt>
      <w:r w:rsidR="000414E8" w:rsidRPr="00B15DC0">
        <w:rPr>
          <w:rFonts w:eastAsia="MS Mincho" w:cstheme="minorHAnsi"/>
          <w:b/>
          <w:bCs/>
          <w:color w:val="0000FF"/>
        </w:rPr>
        <w:t xml:space="preserve"> </w:t>
      </w:r>
      <w:r w:rsidR="005232D6" w:rsidRPr="00B15DC0">
        <w:rPr>
          <w:rFonts w:eastAsia="MS Mincho" w:cstheme="minorHAnsi"/>
          <w:b/>
          <w:bCs/>
        </w:rPr>
        <w:t>E</w:t>
      </w:r>
      <w:r w:rsidR="00696262" w:rsidRPr="00B15DC0">
        <w:rPr>
          <w:rFonts w:eastAsia="MS Mincho" w:cstheme="minorHAnsi"/>
          <w:b/>
          <w:bCs/>
        </w:rPr>
        <w:t>mpirical validity testing</w:t>
      </w:r>
      <w:r w:rsidR="004B6CEE" w:rsidRPr="00B15DC0">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D31A0D" w:rsidRPr="00B15DC0">
            <w:rPr>
              <w:rFonts w:ascii="MS Gothic" w:eastAsia="MS Gothic" w:hAnsi="MS Gothic" w:cstheme="minorHAnsi" w:hint="eastAsia"/>
              <w:bCs/>
              <w:color w:val="0000FF"/>
            </w:rPr>
            <w:t>☒</w:t>
          </w:r>
        </w:sdtContent>
      </w:sdt>
      <w:r w:rsidR="00A25024" w:rsidRPr="00B15DC0">
        <w:rPr>
          <w:rFonts w:eastAsia="MS Mincho" w:cstheme="minorHAnsi"/>
          <w:b/>
          <w:bCs/>
          <w:color w:val="0000FF"/>
        </w:rPr>
        <w:t xml:space="preserve"> </w:t>
      </w:r>
      <w:r w:rsidR="005232D6" w:rsidRPr="00B15DC0">
        <w:rPr>
          <w:rFonts w:cstheme="minorHAnsi"/>
          <w:b/>
          <w:bCs/>
        </w:rPr>
        <w:t>S</w:t>
      </w:r>
      <w:r w:rsidR="00D50704" w:rsidRPr="00B15DC0">
        <w:rPr>
          <w:rFonts w:cstheme="minorHAnsi"/>
          <w:b/>
          <w:bCs/>
        </w:rPr>
        <w:t>ystematic assessment</w:t>
      </w:r>
      <w:r w:rsidR="00D50704" w:rsidRPr="00A25024">
        <w:rPr>
          <w:rFonts w:cstheme="minorHAnsi"/>
          <w:b/>
          <w:bCs/>
        </w:rPr>
        <w:t xml:space="preserve">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934B90">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0B7C76B5" w:rsidR="00CA06D8" w:rsidRDefault="00CA06D8" w:rsidP="00DB3627">
      <w:pPr>
        <w:autoSpaceDE w:val="0"/>
        <w:autoSpaceDN w:val="0"/>
        <w:adjustRightInd w:val="0"/>
        <w:spacing w:after="0" w:line="240" w:lineRule="auto"/>
        <w:rPr>
          <w:rFonts w:cstheme="minorHAnsi"/>
        </w:rPr>
      </w:pPr>
    </w:p>
    <w:p w14:paraId="0CABCFDC" w14:textId="72A48A15" w:rsidR="00833325"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D52424A" w14:textId="2FFFBD40" w:rsidR="00590DF0" w:rsidRDefault="00590DF0" w:rsidP="00DB3627">
      <w:pPr>
        <w:autoSpaceDE w:val="0"/>
        <w:autoSpaceDN w:val="0"/>
        <w:adjustRightInd w:val="0"/>
        <w:spacing w:after="0" w:line="240" w:lineRule="auto"/>
        <w:rPr>
          <w:rFonts w:cstheme="minorHAnsi"/>
          <w:bCs/>
          <w:i/>
        </w:rPr>
      </w:pPr>
    </w:p>
    <w:p w14:paraId="603520A4" w14:textId="78E93095" w:rsidR="00051575" w:rsidRDefault="000F5920" w:rsidP="000D27F2">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Pr>
          <w:rFonts w:cstheme="minorHAnsi"/>
          <w:bCs/>
          <w:color w:val="FF0000"/>
        </w:rPr>
        <w:t>Data element v</w:t>
      </w:r>
      <w:r w:rsidR="00FA7888" w:rsidRPr="00316892">
        <w:rPr>
          <w:rFonts w:cstheme="minorHAnsi"/>
          <w:bCs/>
          <w:color w:val="FF0000"/>
        </w:rPr>
        <w:t xml:space="preserve">alidity </w:t>
      </w:r>
      <w:r w:rsidR="004C5E3B">
        <w:rPr>
          <w:rFonts w:cstheme="minorHAnsi"/>
          <w:bCs/>
          <w:color w:val="FF0000"/>
        </w:rPr>
        <w:t>was</w:t>
      </w:r>
      <w:r w:rsidR="004C5E3B" w:rsidRPr="00316892">
        <w:rPr>
          <w:rFonts w:cstheme="minorHAnsi"/>
          <w:bCs/>
          <w:color w:val="FF0000"/>
        </w:rPr>
        <w:t xml:space="preserve"> </w:t>
      </w:r>
      <w:r w:rsidR="00FA7888" w:rsidRPr="00316892">
        <w:rPr>
          <w:rFonts w:cstheme="minorHAnsi"/>
          <w:bCs/>
          <w:color w:val="FF0000"/>
        </w:rPr>
        <w:t>assessed by evaluating the accuracy</w:t>
      </w:r>
      <w:r w:rsidR="00051575">
        <w:rPr>
          <w:rFonts w:cstheme="minorHAnsi"/>
          <w:bCs/>
          <w:color w:val="FF0000"/>
        </w:rPr>
        <w:t xml:space="preserve"> </w:t>
      </w:r>
      <w:r w:rsidR="00B03567">
        <w:rPr>
          <w:rFonts w:cstheme="minorHAnsi"/>
          <w:bCs/>
          <w:color w:val="FF0000"/>
        </w:rPr>
        <w:t>of</w:t>
      </w:r>
      <w:r w:rsidR="00FA7888" w:rsidRPr="00316892">
        <w:rPr>
          <w:rFonts w:cstheme="minorHAnsi"/>
          <w:bCs/>
          <w:color w:val="FF0000"/>
        </w:rPr>
        <w:t xml:space="preserve"> electronically extracted EHR data elements</w:t>
      </w:r>
      <w:r w:rsidR="00051575">
        <w:rPr>
          <w:rFonts w:cstheme="minorHAnsi"/>
          <w:bCs/>
          <w:color w:val="FF0000"/>
        </w:rPr>
        <w:t xml:space="preserve"> </w:t>
      </w:r>
      <w:r w:rsidR="00B03567">
        <w:rPr>
          <w:rFonts w:cstheme="minorHAnsi"/>
          <w:bCs/>
          <w:color w:val="FF0000"/>
        </w:rPr>
        <w:t>compared with</w:t>
      </w:r>
      <w:r w:rsidR="00FA7888" w:rsidRPr="00316892">
        <w:rPr>
          <w:rFonts w:cstheme="minorHAnsi"/>
          <w:bCs/>
          <w:color w:val="FF0000"/>
        </w:rPr>
        <w:t xml:space="preserve"> manually chart abstracted data elements</w:t>
      </w:r>
      <w:r w:rsidR="009065E4">
        <w:rPr>
          <w:rFonts w:cstheme="minorHAnsi"/>
          <w:bCs/>
          <w:color w:val="FF0000"/>
        </w:rPr>
        <w:t xml:space="preserve"> </w:t>
      </w:r>
      <w:r w:rsidR="009065E4" w:rsidRPr="00F9194F">
        <w:rPr>
          <w:rFonts w:cstheme="minorHAnsi"/>
          <w:bCs/>
          <w:color w:val="00B0F0"/>
        </w:rPr>
        <w:t>from the same patients</w:t>
      </w:r>
      <w:r w:rsidR="00FA7888" w:rsidRPr="00F9194F">
        <w:rPr>
          <w:rFonts w:cstheme="minorHAnsi"/>
          <w:bCs/>
          <w:color w:val="00B0F0"/>
        </w:rPr>
        <w:t xml:space="preserve">, </w:t>
      </w:r>
      <w:r w:rsidR="00FA7888" w:rsidRPr="00316892">
        <w:rPr>
          <w:rFonts w:cstheme="minorHAnsi"/>
          <w:bCs/>
          <w:color w:val="FF0000"/>
        </w:rPr>
        <w:t>which is considered the “gold standard” for the purpose of th</w:t>
      </w:r>
      <w:r w:rsidR="00FA7888">
        <w:rPr>
          <w:rFonts w:cstheme="minorHAnsi"/>
          <w:bCs/>
          <w:color w:val="FF0000"/>
        </w:rPr>
        <w:t>ese</w:t>
      </w:r>
      <w:r w:rsidR="00F96AE4">
        <w:rPr>
          <w:rFonts w:cstheme="minorHAnsi"/>
          <w:bCs/>
          <w:color w:val="FF0000"/>
        </w:rPr>
        <w:t xml:space="preserve"> analyse</w:t>
      </w:r>
      <w:r w:rsidR="00FA7888" w:rsidRPr="00316892">
        <w:rPr>
          <w:rFonts w:cstheme="minorHAnsi"/>
          <w:bCs/>
          <w:color w:val="FF0000"/>
        </w:rPr>
        <w:t>s</w:t>
      </w:r>
      <w:r w:rsidR="003E0766">
        <w:rPr>
          <w:rFonts w:cstheme="minorHAnsi"/>
          <w:bCs/>
          <w:color w:val="FF0000"/>
        </w:rPr>
        <w:t>.</w:t>
      </w:r>
    </w:p>
    <w:p w14:paraId="4FC8CBF4" w14:textId="0C0B768F" w:rsidR="009A7A53" w:rsidRPr="00F9194F" w:rsidRDefault="009A7A53" w:rsidP="009A7A53">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F9194F">
        <w:rPr>
          <w:rFonts w:cstheme="minorHAnsi"/>
          <w:bCs/>
          <w:i/>
          <w:color w:val="FF0000"/>
          <w:u w:val="single"/>
        </w:rPr>
        <w:t>Data Element Validity</w:t>
      </w:r>
      <w:r w:rsidR="00F9194F">
        <w:rPr>
          <w:rFonts w:cstheme="minorHAnsi"/>
          <w:bCs/>
          <w:color w:val="FF0000"/>
        </w:rPr>
        <w:t>:</w:t>
      </w:r>
      <w:r w:rsidRPr="00F9194F">
        <w:rPr>
          <w:rFonts w:cstheme="minorHAnsi"/>
          <w:bCs/>
          <w:color w:val="FF0000"/>
        </w:rPr>
        <w:t xml:space="preserve"> </w:t>
      </w:r>
    </w:p>
    <w:p w14:paraId="0B3F1963" w14:textId="77777777" w:rsidR="00817111" w:rsidRPr="00D11A81" w:rsidRDefault="009A7A53" w:rsidP="0081711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00B0F0"/>
        </w:rPr>
      </w:pPr>
      <w:r w:rsidRPr="00316892">
        <w:rPr>
          <w:rFonts w:cstheme="minorHAnsi"/>
          <w:bCs/>
          <w:color w:val="FF0000"/>
        </w:rPr>
        <w:t xml:space="preserve">For </w:t>
      </w:r>
      <w:r w:rsidRPr="00E26040">
        <w:rPr>
          <w:rFonts w:cstheme="minorHAnsi"/>
          <w:b/>
          <w:bCs/>
          <w:color w:val="FF0000"/>
        </w:rPr>
        <w:t>Beta</w:t>
      </w:r>
      <w:r>
        <w:rPr>
          <w:rFonts w:cstheme="minorHAnsi"/>
          <w:b/>
          <w:bCs/>
          <w:color w:val="FF0000"/>
        </w:rPr>
        <w:t xml:space="preserve"> </w:t>
      </w:r>
      <w:r w:rsidRPr="009B766D">
        <w:rPr>
          <w:rFonts w:cstheme="minorHAnsi"/>
          <w:b/>
          <w:bCs/>
          <w:color w:val="FF0000"/>
        </w:rPr>
        <w:t xml:space="preserve">Datasets </w:t>
      </w:r>
      <w:r>
        <w:rPr>
          <w:rFonts w:cstheme="minorHAnsi"/>
          <w:b/>
          <w:bCs/>
          <w:color w:val="FF0000"/>
        </w:rPr>
        <w:t>1</w:t>
      </w:r>
      <w:r w:rsidRPr="009B766D">
        <w:rPr>
          <w:rFonts w:cstheme="minorHAnsi"/>
          <w:b/>
          <w:bCs/>
          <w:color w:val="FF0000"/>
        </w:rPr>
        <w:t xml:space="preserve"> and </w:t>
      </w:r>
      <w:r>
        <w:rPr>
          <w:rFonts w:cstheme="minorHAnsi"/>
          <w:b/>
          <w:bCs/>
          <w:color w:val="FF0000"/>
        </w:rPr>
        <w:t>2</w:t>
      </w:r>
      <w:r w:rsidRPr="00316892">
        <w:rPr>
          <w:rFonts w:cstheme="minorHAnsi"/>
          <w:bCs/>
          <w:color w:val="FF0000"/>
        </w:rPr>
        <w:t xml:space="preserve">, </w:t>
      </w:r>
      <w:r>
        <w:rPr>
          <w:rFonts w:cstheme="minorHAnsi"/>
          <w:bCs/>
          <w:color w:val="FF0000"/>
        </w:rPr>
        <w:t xml:space="preserve">a stratified sample of </w:t>
      </w:r>
      <w:r w:rsidRPr="00316892">
        <w:rPr>
          <w:rFonts w:cstheme="minorHAnsi"/>
          <w:bCs/>
          <w:color w:val="FF0000"/>
        </w:rPr>
        <w:t xml:space="preserve">175 total </w:t>
      </w:r>
      <w:r>
        <w:rPr>
          <w:rFonts w:cstheme="minorHAnsi"/>
          <w:bCs/>
          <w:color w:val="FF0000"/>
        </w:rPr>
        <w:t>admission</w:t>
      </w:r>
      <w:r w:rsidRPr="00316892">
        <w:rPr>
          <w:rFonts w:cstheme="minorHAnsi"/>
          <w:bCs/>
          <w:color w:val="FF0000"/>
        </w:rPr>
        <w:t>s were selected at each hospital test site</w:t>
      </w:r>
      <w:r w:rsidR="001C174A">
        <w:rPr>
          <w:rFonts w:cstheme="minorHAnsi"/>
          <w:bCs/>
          <w:color w:val="FF0000"/>
        </w:rPr>
        <w:t>.</w:t>
      </w:r>
      <w:bookmarkStart w:id="25" w:name="_Hlk532396407"/>
      <w:r w:rsidR="001C174A">
        <w:rPr>
          <w:rFonts w:cstheme="minorHAnsi"/>
          <w:bCs/>
          <w:color w:val="FF0000"/>
        </w:rPr>
        <w:t xml:space="preserve"> </w:t>
      </w:r>
      <w:bookmarkStart w:id="26" w:name="_Hlk536023232"/>
      <w:r w:rsidR="001C174A" w:rsidRPr="00D11A81">
        <w:rPr>
          <w:rFonts w:cstheme="minorHAnsi"/>
          <w:bCs/>
          <w:color w:val="00B0F0"/>
        </w:rPr>
        <w:t>Sample size calculations ensure a robust sample was used for validity testing. Specifically, we derived our sample size based on the following assumptions:</w:t>
      </w:r>
      <w:r w:rsidR="003005A4" w:rsidRPr="00D11A81">
        <w:rPr>
          <w:rFonts w:cstheme="minorHAnsi"/>
          <w:bCs/>
          <w:color w:val="00B0F0"/>
        </w:rPr>
        <w:t xml:space="preserve"> </w:t>
      </w:r>
      <w:r w:rsidR="00817111" w:rsidRPr="00D11A81">
        <w:rPr>
          <w:rFonts w:cstheme="minorHAnsi"/>
          <w:bCs/>
          <w:color w:val="00B0F0"/>
        </w:rPr>
        <w:t xml:space="preserve">Our primary endpoint for sample size estimation is PPV, which is applicable for both data element validity and measure score validity. We adjudicated all our numerator cases in alpha test and obtained high PPVs (&gt;90% in most of the cases). </w:t>
      </w:r>
      <w:r w:rsidR="00817111" w:rsidRPr="00D11A81">
        <w:rPr>
          <w:rFonts w:cstheme="minorHAnsi"/>
          <w:bCs/>
          <w:color w:val="00B0F0"/>
        </w:rPr>
        <w:lastRenderedPageBreak/>
        <w:t>Based on this, we approximate the sample size based on one-sample proportion formula as the following:</w:t>
      </w:r>
    </w:p>
    <w:p w14:paraId="0EBD9753" w14:textId="77777777" w:rsidR="00817111" w:rsidRPr="00D11A81" w:rsidRDefault="00817111" w:rsidP="0081711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00B0F0"/>
        </w:rPr>
      </w:pPr>
      <w:r w:rsidRPr="00D11A81">
        <w:rPr>
          <w:rFonts w:cstheme="minorHAnsi"/>
          <w:bCs/>
          <w:color w:val="00B0F0"/>
        </w:rPr>
        <w:t>n=(moe/z_(α/2) )^2* p* (1-p)</w:t>
      </w:r>
    </w:p>
    <w:p w14:paraId="2F6FC24F" w14:textId="12DBC700" w:rsidR="001C174A" w:rsidRPr="00D11A81" w:rsidRDefault="00817111" w:rsidP="0081711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00B0F0"/>
        </w:rPr>
      </w:pPr>
      <w:r w:rsidRPr="00D11A81">
        <w:rPr>
          <w:rFonts w:cstheme="minorHAnsi"/>
          <w:bCs/>
          <w:color w:val="00B0F0"/>
        </w:rPr>
        <w:t xml:space="preserve">Where </w:t>
      </w:r>
      <w:r w:rsidRPr="00D11A81">
        <w:rPr>
          <w:rFonts w:cstheme="minorHAnsi"/>
          <w:bCs/>
          <w:i/>
          <w:color w:val="00B0F0"/>
        </w:rPr>
        <w:t>a</w:t>
      </w:r>
      <w:r w:rsidRPr="00D11A81">
        <w:rPr>
          <w:rFonts w:cstheme="minorHAnsi"/>
          <w:bCs/>
          <w:color w:val="00B0F0"/>
        </w:rPr>
        <w:t xml:space="preserve"> is the type I error rate, </w:t>
      </w:r>
      <w:r w:rsidRPr="00D11A81">
        <w:rPr>
          <w:rFonts w:cstheme="minorHAnsi"/>
          <w:bCs/>
          <w:i/>
          <w:color w:val="00B0F0"/>
        </w:rPr>
        <w:t>moe</w:t>
      </w:r>
      <w:r w:rsidRPr="00D11A81">
        <w:rPr>
          <w:rFonts w:cstheme="minorHAnsi"/>
          <w:bCs/>
          <w:color w:val="00B0F0"/>
        </w:rPr>
        <w:t xml:space="preserve"> is the margin of error, p </w:t>
      </w:r>
      <w:r w:rsidR="00AC70FE" w:rsidRPr="00D11A81">
        <w:rPr>
          <w:rFonts w:cstheme="minorHAnsi"/>
          <w:bCs/>
          <w:color w:val="00B0F0"/>
        </w:rPr>
        <w:t>is the</w:t>
      </w:r>
      <w:r w:rsidRPr="00D11A81">
        <w:rPr>
          <w:rFonts w:cstheme="minorHAnsi"/>
          <w:bCs/>
          <w:color w:val="00B0F0"/>
        </w:rPr>
        <w:t xml:space="preserve"> proportion, here PPV, of interest. We simulate </w:t>
      </w:r>
      <w:r w:rsidR="00AC70FE" w:rsidRPr="00D11A81">
        <w:rPr>
          <w:rFonts w:cstheme="minorHAnsi"/>
          <w:bCs/>
          <w:color w:val="00B0F0"/>
        </w:rPr>
        <w:t xml:space="preserve">a </w:t>
      </w:r>
      <w:r w:rsidRPr="00D11A81">
        <w:rPr>
          <w:rFonts w:cstheme="minorHAnsi"/>
          <w:bCs/>
          <w:color w:val="00B0F0"/>
        </w:rPr>
        <w:t xml:space="preserve">series of </w:t>
      </w:r>
      <w:r w:rsidRPr="00D11A81">
        <w:rPr>
          <w:rFonts w:cstheme="minorHAnsi"/>
          <w:bCs/>
          <w:i/>
          <w:color w:val="00B0F0"/>
        </w:rPr>
        <w:t>moe</w:t>
      </w:r>
      <w:r w:rsidRPr="00D11A81">
        <w:rPr>
          <w:rFonts w:cstheme="minorHAnsi"/>
          <w:bCs/>
          <w:color w:val="00B0F0"/>
        </w:rPr>
        <w:t xml:space="preserve"> </w:t>
      </w:r>
      <w:r w:rsidR="00AC70FE" w:rsidRPr="00D11A81">
        <w:rPr>
          <w:rFonts w:cstheme="minorHAnsi"/>
          <w:bCs/>
          <w:color w:val="00B0F0"/>
        </w:rPr>
        <w:t xml:space="preserve">and </w:t>
      </w:r>
      <w:r w:rsidRPr="00D11A81">
        <w:rPr>
          <w:rFonts w:cstheme="minorHAnsi"/>
          <w:bCs/>
          <w:color w:val="00B0F0"/>
        </w:rPr>
        <w:t>target PPV</w:t>
      </w:r>
      <w:r w:rsidR="00AC70FE" w:rsidRPr="00D11A81">
        <w:rPr>
          <w:rFonts w:cstheme="minorHAnsi"/>
          <w:bCs/>
          <w:color w:val="00B0F0"/>
        </w:rPr>
        <w:t xml:space="preserve"> values</w:t>
      </w:r>
      <w:r w:rsidRPr="00D11A81">
        <w:rPr>
          <w:rFonts w:cstheme="minorHAnsi"/>
          <w:bCs/>
          <w:color w:val="00B0F0"/>
        </w:rPr>
        <w:t xml:space="preserve"> for sample size and 95% confidence interval (CI) estimation. For example, with a </w:t>
      </w:r>
      <w:r w:rsidRPr="00D11A81">
        <w:rPr>
          <w:rFonts w:cstheme="minorHAnsi"/>
          <w:bCs/>
          <w:i/>
          <w:color w:val="00B0F0"/>
        </w:rPr>
        <w:t>moe</w:t>
      </w:r>
      <w:r w:rsidRPr="00D11A81">
        <w:rPr>
          <w:rFonts w:cstheme="minorHAnsi"/>
          <w:bCs/>
          <w:color w:val="00B0F0"/>
        </w:rPr>
        <w:t xml:space="preserve"> of 6% and </w:t>
      </w:r>
      <w:r w:rsidR="00AC70FE" w:rsidRPr="00D11A81">
        <w:rPr>
          <w:rFonts w:cstheme="minorHAnsi"/>
          <w:bCs/>
          <w:color w:val="00B0F0"/>
        </w:rPr>
        <w:t xml:space="preserve">a </w:t>
      </w:r>
      <w:r w:rsidRPr="00D11A81">
        <w:rPr>
          <w:rFonts w:cstheme="minorHAnsi"/>
          <w:bCs/>
          <w:color w:val="00B0F0"/>
        </w:rPr>
        <w:t xml:space="preserve">target PPV of 0.9, a sample size of 100 will give rise to a 95% CI of 0.84 – 0.96. We concluded that a sample size of 100 from each hospital would </w:t>
      </w:r>
      <w:r w:rsidR="00AC70FE" w:rsidRPr="00D11A81">
        <w:rPr>
          <w:rFonts w:cstheme="minorHAnsi"/>
          <w:bCs/>
          <w:color w:val="00B0F0"/>
        </w:rPr>
        <w:t>ensure</w:t>
      </w:r>
      <w:r w:rsidRPr="00D11A81">
        <w:rPr>
          <w:rFonts w:cstheme="minorHAnsi"/>
          <w:bCs/>
          <w:color w:val="00B0F0"/>
        </w:rPr>
        <w:t xml:space="preserve"> an accurate PPV</w:t>
      </w:r>
      <w:r w:rsidR="00AC70FE" w:rsidRPr="00D11A81">
        <w:rPr>
          <w:rFonts w:cstheme="minorHAnsi"/>
          <w:bCs/>
          <w:color w:val="00B0F0"/>
        </w:rPr>
        <w:t xml:space="preserve"> estimation</w:t>
      </w:r>
      <w:r w:rsidRPr="00D11A81">
        <w:rPr>
          <w:rFonts w:cstheme="minorHAnsi"/>
          <w:bCs/>
          <w:color w:val="00B0F0"/>
        </w:rPr>
        <w:t>. Also, combining the samples from more than 1 hospitals would give us even more accurate estimation</w:t>
      </w:r>
      <w:r w:rsidR="003005A4" w:rsidRPr="00D11A81">
        <w:rPr>
          <w:rFonts w:cstheme="minorHAnsi"/>
          <w:bCs/>
          <w:color w:val="00B0F0"/>
        </w:rPr>
        <w:t>.</w:t>
      </w:r>
    </w:p>
    <w:bookmarkEnd w:id="26"/>
    <w:p w14:paraId="29B6E0F6" w14:textId="2913A8B3" w:rsidR="009A7A53" w:rsidRPr="00316892" w:rsidDel="00FA7888" w:rsidRDefault="003B0FE7" w:rsidP="009A7A53">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FE0D51">
        <w:rPr>
          <w:rFonts w:cstheme="minorHAnsi"/>
          <w:b/>
          <w:bCs/>
          <w:color w:val="FF0000"/>
        </w:rPr>
        <w:t>Beta Dataset 1</w:t>
      </w:r>
      <w:r w:rsidRPr="00FE0D51">
        <w:rPr>
          <w:rFonts w:cstheme="minorHAnsi"/>
          <w:bCs/>
          <w:color w:val="FF0000"/>
        </w:rPr>
        <w:t xml:space="preserve"> had 175 encounters, 97 being admissions </w:t>
      </w:r>
      <w:bookmarkStart w:id="27" w:name="_Hlk532399472"/>
      <w:r w:rsidRPr="00FE0D51">
        <w:rPr>
          <w:rFonts w:cstheme="minorHAnsi"/>
          <w:bCs/>
          <w:color w:val="FF0000"/>
        </w:rPr>
        <w:t>with harm events</w:t>
      </w:r>
      <w:bookmarkEnd w:id="27"/>
      <w:r w:rsidR="003E18E5">
        <w:rPr>
          <w:rFonts w:cstheme="minorHAnsi"/>
          <w:bCs/>
          <w:color w:val="FF0000"/>
        </w:rPr>
        <w:t xml:space="preserve"> and </w:t>
      </w:r>
      <w:r w:rsidR="003E18E5" w:rsidRPr="00D11A81">
        <w:rPr>
          <w:rFonts w:cstheme="minorHAnsi"/>
          <w:bCs/>
          <w:color w:val="00B0F0"/>
        </w:rPr>
        <w:t>78 being admissions without a harm event (denominator-only)</w:t>
      </w:r>
      <w:r w:rsidRPr="00FE0D51">
        <w:rPr>
          <w:rFonts w:cstheme="minorHAnsi"/>
          <w:bCs/>
          <w:color w:val="FF0000"/>
        </w:rPr>
        <w:t xml:space="preserve">; and </w:t>
      </w:r>
      <w:r w:rsidRPr="00FE0D51">
        <w:rPr>
          <w:rFonts w:cstheme="minorHAnsi"/>
          <w:b/>
          <w:bCs/>
          <w:color w:val="FF0000"/>
        </w:rPr>
        <w:t>Beta Dataset 2</w:t>
      </w:r>
      <w:r w:rsidRPr="00FE0D51">
        <w:rPr>
          <w:rFonts w:cstheme="minorHAnsi"/>
          <w:bCs/>
          <w:color w:val="FF0000"/>
        </w:rPr>
        <w:t xml:space="preserve"> had 175 encounters, 100 being admissions</w:t>
      </w:r>
      <w:bookmarkEnd w:id="25"/>
      <w:r w:rsidRPr="00FE0D51">
        <w:rPr>
          <w:rFonts w:cstheme="minorHAnsi"/>
          <w:bCs/>
          <w:color w:val="FF0000"/>
        </w:rPr>
        <w:t xml:space="preserve"> with harm events</w:t>
      </w:r>
      <w:r w:rsidR="003E18E5">
        <w:rPr>
          <w:rFonts w:cstheme="minorHAnsi"/>
          <w:bCs/>
          <w:color w:val="FF0000"/>
        </w:rPr>
        <w:t xml:space="preserve"> and </w:t>
      </w:r>
      <w:bookmarkStart w:id="28" w:name="_Hlk536109121"/>
      <w:r w:rsidR="003E18E5" w:rsidRPr="00D11A81">
        <w:rPr>
          <w:rFonts w:cstheme="minorHAnsi"/>
          <w:bCs/>
          <w:color w:val="00B0F0"/>
        </w:rPr>
        <w:t>75 being admissions without a harm event (denominator-only</w:t>
      </w:r>
      <w:bookmarkEnd w:id="28"/>
      <w:r w:rsidR="003E18E5" w:rsidRPr="00D11A81">
        <w:rPr>
          <w:rFonts w:cstheme="minorHAnsi"/>
          <w:bCs/>
          <w:color w:val="00B0F0"/>
        </w:rPr>
        <w:t>)</w:t>
      </w:r>
      <w:r w:rsidR="009A7A53" w:rsidRPr="00D11A81">
        <w:rPr>
          <w:rFonts w:cstheme="minorHAnsi"/>
          <w:bCs/>
          <w:color w:val="00B0F0"/>
        </w:rPr>
        <w:t xml:space="preserve">. </w:t>
      </w:r>
      <w:r w:rsidR="009A7A53" w:rsidRPr="00316892" w:rsidDel="00FA7888">
        <w:rPr>
          <w:rFonts w:cstheme="minorHAnsi"/>
          <w:bCs/>
          <w:color w:val="FF0000"/>
        </w:rPr>
        <w:t xml:space="preserve">Data were abstracted from the EHR by </w:t>
      </w:r>
      <w:r w:rsidR="009A7A53" w:rsidRPr="00316892">
        <w:rPr>
          <w:rFonts w:cstheme="minorHAnsi"/>
          <w:bCs/>
          <w:color w:val="FF0000"/>
        </w:rPr>
        <w:t xml:space="preserve">trained </w:t>
      </w:r>
      <w:r w:rsidR="009A7A53" w:rsidRPr="00316892" w:rsidDel="00FA7888">
        <w:rPr>
          <w:rFonts w:cstheme="minorHAnsi"/>
          <w:bCs/>
          <w:color w:val="FF0000"/>
        </w:rPr>
        <w:t>abstractors at each test site; abstractors at all sites had experience abstracting data for chart-based quality measure reporting. Abstractors were provided with an instruction manual an</w:t>
      </w:r>
      <w:r w:rsidR="00C87D8D">
        <w:rPr>
          <w:rFonts w:cstheme="minorHAnsi"/>
          <w:bCs/>
          <w:color w:val="FF0000"/>
        </w:rPr>
        <w:t>d an</w:t>
      </w:r>
      <w:r w:rsidR="009A7A53" w:rsidRPr="00316892" w:rsidDel="00FA7888">
        <w:rPr>
          <w:rFonts w:cstheme="minorHAnsi"/>
          <w:bCs/>
          <w:color w:val="FF0000"/>
        </w:rPr>
        <w:t xml:space="preserve"> Access database to document the information abstracted from the EHR. </w:t>
      </w:r>
      <w:bookmarkStart w:id="29" w:name="_Hlk536109180"/>
      <w:r w:rsidR="003005A4" w:rsidRPr="00D11A81">
        <w:rPr>
          <w:rFonts w:cstheme="minorHAnsi"/>
          <w:bCs/>
          <w:color w:val="00B0F0"/>
        </w:rPr>
        <w:t xml:space="preserve">Access databases were only pre-populated with the unique patient identifier; abstractors were asked to input </w:t>
      </w:r>
      <w:r w:rsidR="00C53187" w:rsidRPr="00D11A81">
        <w:rPr>
          <w:rFonts w:cstheme="minorHAnsi"/>
          <w:bCs/>
          <w:color w:val="00B0F0"/>
        </w:rPr>
        <w:t xml:space="preserve">all other </w:t>
      </w:r>
      <w:r w:rsidR="003005A4" w:rsidRPr="00D11A81">
        <w:rPr>
          <w:rFonts w:cstheme="minorHAnsi"/>
          <w:bCs/>
          <w:color w:val="00B0F0"/>
        </w:rPr>
        <w:t>data from the chart independently of the EHR dataset</w:t>
      </w:r>
      <w:bookmarkEnd w:id="29"/>
      <w:r w:rsidR="003005A4" w:rsidRPr="00D11A81">
        <w:rPr>
          <w:rFonts w:cstheme="minorHAnsi"/>
          <w:bCs/>
          <w:color w:val="00B0F0"/>
        </w:rPr>
        <w:t xml:space="preserve">. </w:t>
      </w:r>
      <w:r w:rsidR="009A7A53" w:rsidRPr="00316892" w:rsidDel="00FA7888">
        <w:rPr>
          <w:rFonts w:cstheme="minorHAnsi"/>
          <w:bCs/>
          <w:color w:val="FF0000"/>
        </w:rPr>
        <w:t>Abstraction training was also provided to each site.</w:t>
      </w:r>
      <w:r w:rsidR="00787BC1">
        <w:rPr>
          <w:rFonts w:cstheme="minorHAnsi"/>
          <w:bCs/>
          <w:color w:val="FF0000"/>
        </w:rPr>
        <w:t xml:space="preserve"> </w:t>
      </w:r>
    </w:p>
    <w:p w14:paraId="79A184AE" w14:textId="4D014E25" w:rsidR="009A7A53" w:rsidRDefault="009A7A53" w:rsidP="009A7A53">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316892">
        <w:rPr>
          <w:rFonts w:cstheme="minorHAnsi"/>
          <w:b/>
          <w:bCs/>
          <w:color w:val="FF0000"/>
        </w:rPr>
        <w:t xml:space="preserve">Table </w:t>
      </w:r>
      <w:r w:rsidR="000E44E2">
        <w:rPr>
          <w:rFonts w:cstheme="minorHAnsi"/>
          <w:b/>
          <w:bCs/>
          <w:color w:val="FF0000"/>
        </w:rPr>
        <w:t>3</w:t>
      </w:r>
      <w:r w:rsidR="000E44E2" w:rsidRPr="00316892">
        <w:rPr>
          <w:rFonts w:cstheme="minorHAnsi"/>
          <w:bCs/>
          <w:color w:val="FF0000"/>
        </w:rPr>
        <w:t xml:space="preserve"> </w:t>
      </w:r>
      <w:r w:rsidRPr="00316892">
        <w:rPr>
          <w:rFonts w:cstheme="minorHAnsi"/>
          <w:bCs/>
          <w:color w:val="FF0000"/>
        </w:rPr>
        <w:t>shows the</w:t>
      </w:r>
      <w:r w:rsidRPr="00D11A81">
        <w:rPr>
          <w:rFonts w:cstheme="minorHAnsi"/>
          <w:bCs/>
          <w:color w:val="00B0F0"/>
        </w:rPr>
        <w:t xml:space="preserve"> </w:t>
      </w:r>
      <w:r w:rsidR="006E33AF" w:rsidRPr="00D11A81">
        <w:rPr>
          <w:rFonts w:cstheme="minorHAnsi"/>
          <w:bCs/>
          <w:color w:val="00B0F0"/>
        </w:rPr>
        <w:t>s</w:t>
      </w:r>
      <w:r w:rsidR="00D11A81" w:rsidRPr="00D11A81">
        <w:rPr>
          <w:rFonts w:cstheme="minorHAnsi"/>
          <w:bCs/>
          <w:color w:val="00B0F0"/>
        </w:rPr>
        <w:t>ensitivity</w:t>
      </w:r>
      <w:r w:rsidR="006E33AF" w:rsidRPr="00D11A81">
        <w:rPr>
          <w:rFonts w:cstheme="minorHAnsi"/>
          <w:bCs/>
          <w:color w:val="00B0F0"/>
        </w:rPr>
        <w:t xml:space="preserve"> </w:t>
      </w:r>
      <w:r w:rsidRPr="00316892">
        <w:rPr>
          <w:rFonts w:cstheme="minorHAnsi"/>
          <w:bCs/>
          <w:color w:val="FF0000"/>
        </w:rPr>
        <w:t xml:space="preserve">agreement </w:t>
      </w:r>
      <w:bookmarkStart w:id="30" w:name="_Hlk536109247"/>
      <w:r w:rsidRPr="00316892">
        <w:rPr>
          <w:rFonts w:cstheme="minorHAnsi"/>
          <w:bCs/>
          <w:color w:val="FF0000"/>
        </w:rPr>
        <w:t xml:space="preserve">rate </w:t>
      </w:r>
      <w:r w:rsidR="00787BC1" w:rsidRPr="00D11A81">
        <w:rPr>
          <w:rFonts w:cstheme="minorHAnsi"/>
          <w:bCs/>
          <w:color w:val="00B0F0"/>
        </w:rPr>
        <w:t xml:space="preserve">(# </w:t>
      </w:r>
      <w:r w:rsidR="006E33AF" w:rsidRPr="00D11A81">
        <w:rPr>
          <w:rFonts w:cstheme="minorHAnsi"/>
          <w:bCs/>
          <w:color w:val="00B0F0"/>
        </w:rPr>
        <w:t xml:space="preserve">exact </w:t>
      </w:r>
      <w:r w:rsidR="00787BC1" w:rsidRPr="00D11A81">
        <w:rPr>
          <w:rFonts w:cstheme="minorHAnsi"/>
          <w:bCs/>
          <w:color w:val="00B0F0"/>
        </w:rPr>
        <w:t>match</w:t>
      </w:r>
      <w:r w:rsidR="006E33AF" w:rsidRPr="00D11A81">
        <w:rPr>
          <w:rFonts w:cstheme="minorHAnsi"/>
          <w:bCs/>
          <w:color w:val="00B0F0"/>
        </w:rPr>
        <w:t>es in both data sources</w:t>
      </w:r>
      <w:r w:rsidR="00787BC1" w:rsidRPr="00D11A81">
        <w:rPr>
          <w:rFonts w:cstheme="minorHAnsi"/>
          <w:bCs/>
          <w:color w:val="00B0F0"/>
        </w:rPr>
        <w:t xml:space="preserve"> / # sampled in the chart) </w:t>
      </w:r>
      <w:bookmarkEnd w:id="30"/>
      <w:r w:rsidRPr="00316892">
        <w:rPr>
          <w:rFonts w:cstheme="minorHAnsi"/>
          <w:bCs/>
          <w:color w:val="FF0000"/>
        </w:rPr>
        <w:t>between the data extracted from the EHR electronically and manual chart abstraction</w:t>
      </w:r>
      <w:r w:rsidR="00787BC1">
        <w:rPr>
          <w:rFonts w:cstheme="minorHAnsi"/>
          <w:bCs/>
          <w:color w:val="FF0000"/>
        </w:rPr>
        <w:t xml:space="preserve"> </w:t>
      </w:r>
      <w:r w:rsidRPr="00316892">
        <w:rPr>
          <w:rFonts w:cstheme="minorHAnsi"/>
          <w:bCs/>
          <w:color w:val="FF0000"/>
        </w:rPr>
        <w:t xml:space="preserve">in </w:t>
      </w:r>
      <w:r w:rsidRPr="00E26040">
        <w:rPr>
          <w:rFonts w:cstheme="minorHAnsi"/>
          <w:b/>
          <w:bCs/>
          <w:color w:val="FF0000"/>
        </w:rPr>
        <w:t xml:space="preserve">Beta </w:t>
      </w:r>
      <w:r w:rsidRPr="009B766D">
        <w:rPr>
          <w:rFonts w:cstheme="minorHAnsi"/>
          <w:b/>
          <w:bCs/>
          <w:color w:val="FF0000"/>
        </w:rPr>
        <w:t xml:space="preserve">Datasets </w:t>
      </w:r>
      <w:r>
        <w:rPr>
          <w:rFonts w:cstheme="minorHAnsi"/>
          <w:b/>
          <w:bCs/>
          <w:color w:val="FF0000"/>
        </w:rPr>
        <w:t>1</w:t>
      </w:r>
      <w:r w:rsidRPr="009B766D">
        <w:rPr>
          <w:rFonts w:cstheme="minorHAnsi"/>
          <w:b/>
          <w:bCs/>
          <w:color w:val="FF0000"/>
        </w:rPr>
        <w:t xml:space="preserve"> and </w:t>
      </w:r>
      <w:r>
        <w:rPr>
          <w:rFonts w:cstheme="minorHAnsi"/>
          <w:b/>
          <w:bCs/>
          <w:color w:val="FF0000"/>
        </w:rPr>
        <w:t>2</w:t>
      </w:r>
      <w:r w:rsidRPr="00316892">
        <w:rPr>
          <w:rFonts w:cstheme="minorHAnsi"/>
          <w:bCs/>
          <w:color w:val="FF0000"/>
        </w:rPr>
        <w:t xml:space="preserve">. Each data element matched if the </w:t>
      </w:r>
      <w:r w:rsidR="00E61713">
        <w:rPr>
          <w:rFonts w:cstheme="minorHAnsi"/>
          <w:bCs/>
          <w:color w:val="FF0000"/>
        </w:rPr>
        <w:t>specific</w:t>
      </w:r>
      <w:r w:rsidR="00E61713" w:rsidRPr="00316892">
        <w:rPr>
          <w:rFonts w:cstheme="minorHAnsi"/>
          <w:bCs/>
          <w:color w:val="FF0000"/>
        </w:rPr>
        <w:t xml:space="preserve"> </w:t>
      </w:r>
      <w:r w:rsidRPr="00316892">
        <w:rPr>
          <w:rFonts w:cstheme="minorHAnsi"/>
          <w:bCs/>
          <w:color w:val="FF0000"/>
        </w:rPr>
        <w:t>electronically extracted value exactly matched the manual</w:t>
      </w:r>
      <w:r w:rsidR="00EC497A">
        <w:rPr>
          <w:rFonts w:cstheme="minorHAnsi"/>
          <w:bCs/>
          <w:color w:val="FF0000"/>
        </w:rPr>
        <w:t>ly abstracted</w:t>
      </w:r>
      <w:r w:rsidRPr="00316892">
        <w:rPr>
          <w:rFonts w:cstheme="minorHAnsi"/>
          <w:bCs/>
          <w:color w:val="FF0000"/>
        </w:rPr>
        <w:t xml:space="preserve"> value</w:t>
      </w:r>
      <w:r w:rsidR="00787BC1">
        <w:rPr>
          <w:rFonts w:cstheme="minorHAnsi"/>
          <w:bCs/>
          <w:color w:val="FF0000"/>
        </w:rPr>
        <w:t xml:space="preserve"> (gold standard)</w:t>
      </w:r>
      <w:r w:rsidRPr="00316892">
        <w:rPr>
          <w:rFonts w:cstheme="minorHAnsi"/>
          <w:bCs/>
          <w:color w:val="FF0000"/>
        </w:rPr>
        <w:t xml:space="preserve">. </w:t>
      </w:r>
      <w:bookmarkStart w:id="31" w:name="_Hlk536109378"/>
      <w:r w:rsidR="00E61713" w:rsidRPr="00D11A81">
        <w:rPr>
          <w:rFonts w:cstheme="minorHAnsi"/>
          <w:bCs/>
          <w:color w:val="00B0F0"/>
        </w:rPr>
        <w:t xml:space="preserve">For example, out of 84 </w:t>
      </w:r>
      <w:r w:rsidR="006E33AF" w:rsidRPr="00D11A81">
        <w:rPr>
          <w:rFonts w:cstheme="minorHAnsi"/>
          <w:bCs/>
          <w:color w:val="00B0F0"/>
        </w:rPr>
        <w:t xml:space="preserve">specific </w:t>
      </w:r>
      <w:r w:rsidR="00E61713" w:rsidRPr="00D11A81">
        <w:rPr>
          <w:rFonts w:cstheme="minorHAnsi"/>
          <w:bCs/>
          <w:color w:val="00B0F0"/>
        </w:rPr>
        <w:t>instances where a patient was administered a</w:t>
      </w:r>
      <w:r w:rsidR="00E61713" w:rsidRPr="00D11A81">
        <w:rPr>
          <w:color w:val="00B0F0"/>
        </w:rPr>
        <w:t xml:space="preserve"> </w:t>
      </w:r>
      <w:r w:rsidR="00E61713" w:rsidRPr="00D11A81">
        <w:rPr>
          <w:rFonts w:cstheme="minorHAnsi"/>
          <w:bCs/>
          <w:color w:val="00B0F0"/>
        </w:rPr>
        <w:t>antihyperglycemic medication (in the chart data), 68 of those</w:t>
      </w:r>
      <w:r w:rsidR="003005A4" w:rsidRPr="00D11A81">
        <w:rPr>
          <w:rFonts w:cstheme="minorHAnsi"/>
          <w:bCs/>
          <w:color w:val="00B0F0"/>
        </w:rPr>
        <w:t xml:space="preserve"> specific</w:t>
      </w:r>
      <w:r w:rsidR="00E61713" w:rsidRPr="00D11A81">
        <w:rPr>
          <w:rFonts w:cstheme="minorHAnsi"/>
          <w:bCs/>
          <w:color w:val="00B0F0"/>
        </w:rPr>
        <w:t xml:space="preserve"> cases were extracted correctly in the EHR data, resulting in an 81% match rate. </w:t>
      </w:r>
      <w:bookmarkEnd w:id="31"/>
      <w:r w:rsidRPr="00316892">
        <w:rPr>
          <w:rFonts w:cstheme="minorHAnsi"/>
          <w:bCs/>
          <w:color w:val="FF0000"/>
        </w:rPr>
        <w:t>For dat</w:t>
      </w:r>
      <w:r w:rsidR="003235EA">
        <w:rPr>
          <w:rFonts w:cstheme="minorHAnsi"/>
          <w:bCs/>
          <w:color w:val="FF0000"/>
        </w:rPr>
        <w:t>e</w:t>
      </w:r>
      <w:r w:rsidRPr="00316892">
        <w:rPr>
          <w:rFonts w:cstheme="minorHAnsi"/>
          <w:bCs/>
          <w:color w:val="FF0000"/>
        </w:rPr>
        <w:t xml:space="preserve">/time data elements, we matched month, day, year, hour, and minutes. For glucose lab values, we matched </w:t>
      </w:r>
      <w:r w:rsidR="003235EA">
        <w:rPr>
          <w:rFonts w:cstheme="minorHAnsi"/>
          <w:bCs/>
          <w:color w:val="FF0000"/>
        </w:rPr>
        <w:t>on the glucose</w:t>
      </w:r>
      <w:r w:rsidR="003235EA" w:rsidRPr="00316892">
        <w:rPr>
          <w:rFonts w:cstheme="minorHAnsi"/>
          <w:bCs/>
          <w:color w:val="FF0000"/>
        </w:rPr>
        <w:t xml:space="preserve"> value </w:t>
      </w:r>
      <w:r w:rsidR="003235EA">
        <w:rPr>
          <w:rFonts w:cstheme="minorHAnsi"/>
          <w:bCs/>
          <w:color w:val="FF0000"/>
        </w:rPr>
        <w:t>result (</w:t>
      </w:r>
      <w:r w:rsidR="003235EA" w:rsidRPr="00316892">
        <w:rPr>
          <w:rFonts w:cstheme="minorHAnsi"/>
          <w:bCs/>
          <w:color w:val="FF0000"/>
        </w:rPr>
        <w:t>whole integers</w:t>
      </w:r>
      <w:r w:rsidR="003235EA">
        <w:rPr>
          <w:rFonts w:cstheme="minorHAnsi"/>
          <w:bCs/>
          <w:color w:val="FF0000"/>
        </w:rPr>
        <w:t>),</w:t>
      </w:r>
      <w:r w:rsidRPr="00316892">
        <w:rPr>
          <w:rFonts w:cstheme="minorHAnsi"/>
          <w:bCs/>
          <w:color w:val="FF0000"/>
        </w:rPr>
        <w:t xml:space="preserve"> date, time</w:t>
      </w:r>
      <w:r w:rsidR="003235EA">
        <w:rPr>
          <w:rFonts w:cstheme="minorHAnsi"/>
          <w:bCs/>
          <w:color w:val="FF0000"/>
        </w:rPr>
        <w:t xml:space="preserve"> +/- one </w:t>
      </w:r>
      <w:r w:rsidR="003235EA" w:rsidRPr="00316892">
        <w:rPr>
          <w:rFonts w:cstheme="minorHAnsi"/>
          <w:bCs/>
          <w:color w:val="FF0000"/>
        </w:rPr>
        <w:t>minute</w:t>
      </w:r>
      <w:r w:rsidRPr="00316892">
        <w:rPr>
          <w:rFonts w:cstheme="minorHAnsi"/>
          <w:bCs/>
          <w:color w:val="FF0000"/>
        </w:rPr>
        <w:t xml:space="preserve">. For administration of an antihyperglycemic medications, we matched on </w:t>
      </w:r>
      <w:r>
        <w:rPr>
          <w:rFonts w:cstheme="minorHAnsi"/>
          <w:bCs/>
          <w:color w:val="FF0000"/>
        </w:rPr>
        <w:t>the name of the medication</w:t>
      </w:r>
      <w:r w:rsidRPr="00316892">
        <w:rPr>
          <w:rFonts w:cstheme="minorHAnsi"/>
          <w:bCs/>
          <w:color w:val="FF0000"/>
        </w:rPr>
        <w:t xml:space="preserve"> </w:t>
      </w:r>
      <w:r>
        <w:rPr>
          <w:rFonts w:cstheme="minorHAnsi"/>
          <w:bCs/>
          <w:color w:val="FF0000"/>
        </w:rPr>
        <w:t>ordered</w:t>
      </w:r>
      <w:r w:rsidR="00E61713">
        <w:rPr>
          <w:rFonts w:cstheme="minorHAnsi"/>
          <w:bCs/>
          <w:color w:val="FF0000"/>
        </w:rPr>
        <w:t>, as the timestamps of medication administered in the EHR were autogenerated, and not found as easily in the chart</w:t>
      </w:r>
      <w:r w:rsidRPr="00316892">
        <w:rPr>
          <w:rFonts w:cstheme="minorHAnsi"/>
          <w:bCs/>
          <w:color w:val="FF0000"/>
        </w:rPr>
        <w:t>.</w:t>
      </w:r>
    </w:p>
    <w:p w14:paraId="5320D79E" w14:textId="3F119B75" w:rsidR="00787BC1" w:rsidRDefault="000757F6" w:rsidP="00787BC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Pr>
          <w:rFonts w:cstheme="minorHAnsi"/>
          <w:bCs/>
          <w:color w:val="FF0000"/>
        </w:rPr>
        <w:t xml:space="preserve"> </w:t>
      </w:r>
    </w:p>
    <w:p w14:paraId="015321F7" w14:textId="77777777" w:rsidR="00115F26" w:rsidRDefault="000D27F2" w:rsidP="00115F26">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B34C6F">
        <w:rPr>
          <w:rFonts w:cstheme="minorHAnsi"/>
          <w:bCs/>
          <w:color w:val="FF0000"/>
          <w:u w:val="single"/>
        </w:rPr>
        <w:t>Empirical Measure Score Validity</w:t>
      </w:r>
      <w:bookmarkStart w:id="32" w:name="_Hlk531366227"/>
      <w:r w:rsidR="00115F26">
        <w:rPr>
          <w:rFonts w:cstheme="minorHAnsi"/>
          <w:bCs/>
          <w:color w:val="FF0000"/>
        </w:rPr>
        <w:t xml:space="preserve"> </w:t>
      </w:r>
    </w:p>
    <w:p w14:paraId="53CBBD6A" w14:textId="5FE987A0" w:rsidR="00115F26" w:rsidRPr="00D11A81" w:rsidRDefault="00115F26" w:rsidP="00115F26">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00B0F0"/>
        </w:rPr>
      </w:pPr>
      <w:bookmarkStart w:id="33" w:name="_Hlk536106503"/>
      <w:r w:rsidRPr="00D11A81">
        <w:rPr>
          <w:rFonts w:cstheme="minorHAnsi"/>
          <w:bCs/>
          <w:color w:val="00B0F0"/>
        </w:rPr>
        <w:t xml:space="preserve">Measure score validity assesses whether the harm rate (or, the measure score outcome) calculated for each facility is in fact </w:t>
      </w:r>
      <w:r w:rsidR="00C35998" w:rsidRPr="00D11A81">
        <w:rPr>
          <w:rFonts w:cstheme="minorHAnsi"/>
          <w:bCs/>
          <w:color w:val="00B0F0"/>
        </w:rPr>
        <w:t>accurate</w:t>
      </w:r>
      <w:r w:rsidRPr="00D11A81">
        <w:rPr>
          <w:rFonts w:cstheme="minorHAnsi"/>
          <w:bCs/>
          <w:color w:val="00B0F0"/>
        </w:rPr>
        <w:t xml:space="preserve">. The measure score is calculated for each facility based on the number of encounters that experienced a harm compared to the total number of encounters. Therefore, we validated each individual harm identified </w:t>
      </w:r>
      <w:r w:rsidR="00C35998" w:rsidRPr="00D11A81">
        <w:rPr>
          <w:rFonts w:cstheme="minorHAnsi"/>
          <w:bCs/>
          <w:color w:val="00B0F0"/>
        </w:rPr>
        <w:t xml:space="preserve">in a sample of cases </w:t>
      </w:r>
      <w:r w:rsidRPr="00D11A81">
        <w:rPr>
          <w:rFonts w:cstheme="minorHAnsi"/>
          <w:bCs/>
          <w:color w:val="00B0F0"/>
        </w:rPr>
        <w:t xml:space="preserve">in the EHR by chart review by trained abstractors to confirm that the chart, or gold standard, reflects </w:t>
      </w:r>
      <w:r w:rsidR="00C35998" w:rsidRPr="00D11A81">
        <w:rPr>
          <w:rFonts w:cstheme="minorHAnsi"/>
          <w:bCs/>
          <w:color w:val="00B0F0"/>
        </w:rPr>
        <w:t xml:space="preserve">that </w:t>
      </w:r>
      <w:r w:rsidRPr="00D11A81">
        <w:rPr>
          <w:rFonts w:cstheme="minorHAnsi"/>
          <w:bCs/>
          <w:color w:val="00B0F0"/>
        </w:rPr>
        <w:t xml:space="preserve">a harm occurred. Because no further calculations are conducted to generate a facility level score (as is with risk-adjusted measures), </w:t>
      </w:r>
      <w:r w:rsidR="00326AD4" w:rsidRPr="00D11A81">
        <w:rPr>
          <w:rFonts w:cstheme="minorHAnsi"/>
          <w:bCs/>
          <w:color w:val="00B0F0"/>
        </w:rPr>
        <w:t xml:space="preserve">We did not compare the harm rate to any other external measure of quality. For measures that count harm events without other statistical manipulation, the confirmation that the measure logic is accurately capturing true harm events is the gold standard for assessing validity of the measure score. </w:t>
      </w:r>
    </w:p>
    <w:bookmarkEnd w:id="33"/>
    <w:p w14:paraId="06D9F875" w14:textId="2C464C83" w:rsidR="00787BC1" w:rsidRDefault="000D27F2" w:rsidP="00115F26">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D11A81">
        <w:rPr>
          <w:rFonts w:cstheme="minorHAnsi"/>
          <w:bCs/>
          <w:color w:val="00B0F0"/>
        </w:rPr>
        <w:t>T</w:t>
      </w:r>
      <w:r w:rsidR="00326AD4" w:rsidRPr="00D11A81">
        <w:rPr>
          <w:rFonts w:cstheme="minorHAnsi"/>
          <w:bCs/>
          <w:color w:val="00B0F0"/>
        </w:rPr>
        <w:t>herefore, t</w:t>
      </w:r>
      <w:r w:rsidRPr="00D11A81">
        <w:rPr>
          <w:rFonts w:cstheme="minorHAnsi"/>
          <w:bCs/>
          <w:color w:val="00B0F0"/>
        </w:rPr>
        <w:t xml:space="preserve">o </w:t>
      </w:r>
      <w:r w:rsidRPr="00316892">
        <w:rPr>
          <w:rFonts w:cstheme="minorHAnsi"/>
          <w:bCs/>
          <w:color w:val="FF0000"/>
        </w:rPr>
        <w:t xml:space="preserve">validate the </w:t>
      </w:r>
      <w:bookmarkStart w:id="34" w:name="_Hlk531362651"/>
      <w:r w:rsidR="00796079">
        <w:rPr>
          <w:rFonts w:cstheme="minorHAnsi"/>
          <w:bCs/>
          <w:color w:val="FF0000"/>
        </w:rPr>
        <w:t xml:space="preserve">EHR-extracted </w:t>
      </w:r>
      <w:r w:rsidR="009D2ADD">
        <w:rPr>
          <w:rFonts w:cstheme="minorHAnsi"/>
          <w:bCs/>
          <w:color w:val="FF0000"/>
        </w:rPr>
        <w:t>numerator</w:t>
      </w:r>
      <w:r w:rsidR="00796079">
        <w:rPr>
          <w:rFonts w:cstheme="minorHAnsi"/>
          <w:bCs/>
          <w:color w:val="FF0000"/>
        </w:rPr>
        <w:t xml:space="preserve"> against the gold standard of the patient medical chart, </w:t>
      </w:r>
      <w:r w:rsidR="009D2ADD">
        <w:rPr>
          <w:rFonts w:cstheme="minorHAnsi"/>
          <w:bCs/>
          <w:color w:val="FF0000"/>
        </w:rPr>
        <w:t xml:space="preserve">to assess whether the harms actually occurred and captured the </w:t>
      </w:r>
      <w:bookmarkEnd w:id="34"/>
      <w:r w:rsidRPr="00316892">
        <w:rPr>
          <w:rFonts w:cstheme="minorHAnsi"/>
          <w:bCs/>
          <w:color w:val="FF0000"/>
        </w:rPr>
        <w:t>intended outcome</w:t>
      </w:r>
      <w:r>
        <w:rPr>
          <w:rFonts w:cstheme="minorHAnsi"/>
          <w:bCs/>
          <w:color w:val="FF0000"/>
        </w:rPr>
        <w:t>,</w:t>
      </w:r>
      <w:r w:rsidRPr="00316892">
        <w:rPr>
          <w:rFonts w:cstheme="minorHAnsi"/>
          <w:bCs/>
          <w:color w:val="FF0000"/>
        </w:rPr>
        <w:t xml:space="preserve"> we </w:t>
      </w:r>
      <w:r w:rsidR="0092023C">
        <w:rPr>
          <w:rFonts w:cstheme="minorHAnsi"/>
          <w:bCs/>
          <w:color w:val="FF0000"/>
        </w:rPr>
        <w:t xml:space="preserve">clinically adjudicated each </w:t>
      </w:r>
      <w:bookmarkStart w:id="35" w:name="_Hlk532399889"/>
      <w:r w:rsidR="003B0FE7" w:rsidRPr="003B0FE7">
        <w:rPr>
          <w:rFonts w:cstheme="minorHAnsi"/>
          <w:bCs/>
          <w:color w:val="FF0000"/>
        </w:rPr>
        <w:t xml:space="preserve">admission </w:t>
      </w:r>
      <w:r w:rsidR="003B0FE7">
        <w:rPr>
          <w:rFonts w:cstheme="minorHAnsi"/>
          <w:bCs/>
          <w:color w:val="FF0000"/>
        </w:rPr>
        <w:t xml:space="preserve">that </w:t>
      </w:r>
      <w:r w:rsidR="003B0FE7" w:rsidRPr="003B0FE7">
        <w:rPr>
          <w:rFonts w:cstheme="minorHAnsi"/>
          <w:bCs/>
          <w:color w:val="FF0000"/>
        </w:rPr>
        <w:t>met the criteria for a harm</w:t>
      </w:r>
      <w:r w:rsidR="003B0FE7" w:rsidRPr="003B0FE7" w:rsidDel="003B0FE7">
        <w:rPr>
          <w:rFonts w:cstheme="minorHAnsi"/>
          <w:bCs/>
          <w:color w:val="FF0000"/>
        </w:rPr>
        <w:t xml:space="preserve"> </w:t>
      </w:r>
      <w:bookmarkEnd w:id="35"/>
      <w:r w:rsidR="0092023C">
        <w:rPr>
          <w:rFonts w:cstheme="minorHAnsi"/>
          <w:bCs/>
          <w:color w:val="FF0000"/>
        </w:rPr>
        <w:t xml:space="preserve">among the </w:t>
      </w:r>
      <w:r w:rsidR="003B0FE7">
        <w:rPr>
          <w:rFonts w:cstheme="minorHAnsi"/>
          <w:bCs/>
          <w:color w:val="FF0000"/>
        </w:rPr>
        <w:t>sample of</w:t>
      </w:r>
      <w:r w:rsidR="0092023C">
        <w:rPr>
          <w:rFonts w:cstheme="minorHAnsi"/>
          <w:bCs/>
          <w:color w:val="FF0000"/>
        </w:rPr>
        <w:t xml:space="preserve"> </w:t>
      </w:r>
      <w:bookmarkStart w:id="36" w:name="_Hlk532399921"/>
      <w:r w:rsidR="0092023C">
        <w:rPr>
          <w:rFonts w:cstheme="minorHAnsi"/>
          <w:bCs/>
          <w:color w:val="FF0000"/>
        </w:rPr>
        <w:t xml:space="preserve">abstracted records, and </w:t>
      </w:r>
      <w:bookmarkEnd w:id="36"/>
      <w:r w:rsidRPr="00316892">
        <w:rPr>
          <w:rFonts w:cstheme="minorHAnsi"/>
          <w:bCs/>
          <w:color w:val="FF0000"/>
        </w:rPr>
        <w:t>calculated the positive predictive value (PPV) for all numerator cases</w:t>
      </w:r>
      <w:bookmarkStart w:id="37" w:name="_Hlk532395053"/>
      <w:r w:rsidR="000E44E2" w:rsidRPr="000E44E2">
        <w:rPr>
          <w:rFonts w:cstheme="minorHAnsi"/>
          <w:bCs/>
        </w:rPr>
        <w:t xml:space="preserve"> </w:t>
      </w:r>
      <w:r w:rsidR="000E44E2" w:rsidRPr="00024F83">
        <w:rPr>
          <w:rFonts w:cstheme="minorHAnsi"/>
          <w:bCs/>
          <w:color w:val="FF0000"/>
        </w:rPr>
        <w:t>and denominator</w:t>
      </w:r>
      <w:r w:rsidR="003B0FE7" w:rsidRPr="00024F83">
        <w:rPr>
          <w:rFonts w:cstheme="minorHAnsi"/>
          <w:bCs/>
          <w:color w:val="FF0000"/>
        </w:rPr>
        <w:t xml:space="preserve"> cases</w:t>
      </w:r>
      <w:r w:rsidR="000E44E2" w:rsidRPr="00024F83">
        <w:rPr>
          <w:rFonts w:cstheme="minorHAnsi"/>
          <w:bCs/>
          <w:color w:val="FF0000"/>
        </w:rPr>
        <w:t xml:space="preserve">, as shown in </w:t>
      </w:r>
      <w:r w:rsidR="000E44E2" w:rsidRPr="00024F83">
        <w:rPr>
          <w:rFonts w:cstheme="minorHAnsi"/>
          <w:b/>
          <w:bCs/>
          <w:color w:val="FF0000"/>
        </w:rPr>
        <w:t xml:space="preserve">Table </w:t>
      </w:r>
      <w:bookmarkEnd w:id="37"/>
      <w:r w:rsidR="00551D3C">
        <w:rPr>
          <w:rFonts w:cstheme="minorHAnsi"/>
          <w:b/>
          <w:bCs/>
          <w:color w:val="FF0000"/>
        </w:rPr>
        <w:t>5</w:t>
      </w:r>
      <w:r w:rsidR="00787BC1">
        <w:rPr>
          <w:rFonts w:cstheme="minorHAnsi"/>
          <w:b/>
          <w:bCs/>
          <w:color w:val="FF0000"/>
        </w:rPr>
        <w:t xml:space="preserve">, </w:t>
      </w:r>
      <w:r w:rsidR="000E44E2" w:rsidRPr="00024F83">
        <w:rPr>
          <w:rFonts w:cstheme="minorHAnsi"/>
          <w:bCs/>
          <w:color w:val="FF0000"/>
        </w:rPr>
        <w:t xml:space="preserve">in </w:t>
      </w:r>
      <w:r w:rsidR="000E44E2" w:rsidRPr="00024F83">
        <w:rPr>
          <w:rFonts w:cstheme="minorHAnsi"/>
          <w:b/>
          <w:bCs/>
          <w:color w:val="FF0000"/>
        </w:rPr>
        <w:t>Alpha Dataset, and Beta Datasets 1 and 2</w:t>
      </w:r>
      <w:r w:rsidRPr="00024F83">
        <w:rPr>
          <w:rFonts w:cstheme="minorHAnsi"/>
          <w:bCs/>
          <w:color w:val="FF0000"/>
        </w:rPr>
        <w:t>.</w:t>
      </w:r>
      <w:r w:rsidRPr="00316892">
        <w:rPr>
          <w:rFonts w:cstheme="minorHAnsi"/>
          <w:bCs/>
          <w:color w:val="FF0000"/>
        </w:rPr>
        <w:t xml:space="preserve"> The PPV </w:t>
      </w:r>
      <w:r w:rsidRPr="00695BDA">
        <w:rPr>
          <w:rFonts w:cstheme="minorHAnsi"/>
          <w:bCs/>
          <w:color w:val="FF0000"/>
        </w:rPr>
        <w:t xml:space="preserve">describes the probability that a </w:t>
      </w:r>
      <w:r w:rsidRPr="00695BDA">
        <w:rPr>
          <w:rFonts w:cstheme="minorHAnsi"/>
          <w:bCs/>
          <w:color w:val="FF0000"/>
        </w:rPr>
        <w:lastRenderedPageBreak/>
        <w:t>patient with a positive result (numerator case)</w:t>
      </w:r>
      <w:r>
        <w:rPr>
          <w:rFonts w:cstheme="minorHAnsi"/>
          <w:bCs/>
          <w:color w:val="FF0000"/>
        </w:rPr>
        <w:t xml:space="preserve"> in the EHR data</w:t>
      </w:r>
      <w:r w:rsidRPr="00695BDA">
        <w:rPr>
          <w:rFonts w:cstheme="minorHAnsi"/>
          <w:bCs/>
          <w:color w:val="FF0000"/>
        </w:rPr>
        <w:t xml:space="preserve"> </w:t>
      </w:r>
      <w:r>
        <w:rPr>
          <w:rFonts w:cstheme="minorHAnsi"/>
          <w:bCs/>
          <w:color w:val="FF0000"/>
        </w:rPr>
        <w:t>also was a positive result in the</w:t>
      </w:r>
      <w:r w:rsidRPr="00695BDA">
        <w:rPr>
          <w:rFonts w:cstheme="minorHAnsi"/>
          <w:bCs/>
          <w:color w:val="FF0000"/>
        </w:rPr>
        <w:t xml:space="preserve"> </w:t>
      </w:r>
      <w:r>
        <w:rPr>
          <w:rFonts w:cstheme="minorHAnsi"/>
          <w:bCs/>
          <w:color w:val="FF0000"/>
        </w:rPr>
        <w:t xml:space="preserve">abstracted medical record data, </w:t>
      </w:r>
      <w:r w:rsidRPr="00695BDA">
        <w:rPr>
          <w:rFonts w:cstheme="minorHAnsi"/>
          <w:bCs/>
          <w:color w:val="FF0000"/>
        </w:rPr>
        <w:t>as confirmed by a clinical adjudicator</w:t>
      </w:r>
      <w:r w:rsidRPr="00892674">
        <w:rPr>
          <w:rFonts w:cstheme="minorHAnsi"/>
          <w:bCs/>
          <w:color w:val="FF0000"/>
        </w:rPr>
        <w:t xml:space="preserve">. </w:t>
      </w:r>
      <w:r w:rsidR="00A23166" w:rsidRPr="00892674">
        <w:rPr>
          <w:rFonts w:cstheme="minorHAnsi"/>
          <w:bCs/>
          <w:color w:val="FF0000"/>
        </w:rPr>
        <w:t xml:space="preserve"> Similarly, for denominator cases, the PPV describes the probability that a patient </w:t>
      </w:r>
      <w:r w:rsidR="00D11A81">
        <w:rPr>
          <w:rFonts w:cstheme="minorHAnsi"/>
          <w:bCs/>
          <w:color w:val="FF0000"/>
        </w:rPr>
        <w:t xml:space="preserve">that </w:t>
      </w:r>
      <w:r w:rsidR="00A23166" w:rsidRPr="00892674">
        <w:rPr>
          <w:rFonts w:cstheme="minorHAnsi"/>
          <w:bCs/>
          <w:color w:val="FF0000"/>
        </w:rPr>
        <w:t xml:space="preserve">was identified as </w:t>
      </w:r>
      <w:r w:rsidR="00E4180D">
        <w:rPr>
          <w:rFonts w:cstheme="minorHAnsi"/>
          <w:bCs/>
          <w:color w:val="FF0000"/>
        </w:rPr>
        <w:t>a</w:t>
      </w:r>
      <w:r w:rsidR="00A23166" w:rsidRPr="00892674">
        <w:rPr>
          <w:rFonts w:cstheme="minorHAnsi"/>
          <w:bCs/>
          <w:color w:val="FF0000"/>
        </w:rPr>
        <w:t xml:space="preserve"> denominator </w:t>
      </w:r>
      <w:r w:rsidR="00E4180D">
        <w:rPr>
          <w:rFonts w:cstheme="minorHAnsi"/>
          <w:bCs/>
          <w:color w:val="FF0000"/>
        </w:rPr>
        <w:t xml:space="preserve">case </w:t>
      </w:r>
      <w:r w:rsidR="00936E75">
        <w:rPr>
          <w:rFonts w:cstheme="minorHAnsi"/>
          <w:bCs/>
          <w:color w:val="FF0000"/>
        </w:rPr>
        <w:t>in</w:t>
      </w:r>
      <w:r w:rsidR="00A23166" w:rsidRPr="00892674">
        <w:rPr>
          <w:rFonts w:cstheme="minorHAnsi"/>
          <w:bCs/>
          <w:color w:val="FF0000"/>
        </w:rPr>
        <w:t xml:space="preserve"> the EHR </w:t>
      </w:r>
      <w:r w:rsidR="00EF1FF4">
        <w:rPr>
          <w:rFonts w:cstheme="minorHAnsi"/>
          <w:bCs/>
          <w:color w:val="FF0000"/>
        </w:rPr>
        <w:t>was also a denominator case</w:t>
      </w:r>
      <w:r w:rsidR="00EF1FF4" w:rsidRPr="00892674">
        <w:rPr>
          <w:rFonts w:cstheme="minorHAnsi"/>
          <w:bCs/>
          <w:color w:val="FF0000"/>
        </w:rPr>
        <w:t xml:space="preserve"> </w:t>
      </w:r>
      <w:r w:rsidR="003F5C60">
        <w:rPr>
          <w:rFonts w:cstheme="minorHAnsi"/>
          <w:bCs/>
          <w:color w:val="FF0000"/>
        </w:rPr>
        <w:t xml:space="preserve">in the </w:t>
      </w:r>
      <w:r w:rsidR="00A23166" w:rsidRPr="00892674">
        <w:rPr>
          <w:rFonts w:cstheme="minorHAnsi"/>
          <w:bCs/>
          <w:color w:val="FF0000"/>
        </w:rPr>
        <w:t>chart abstracted medical record data.</w:t>
      </w:r>
      <w:r w:rsidR="00231BB9">
        <w:rPr>
          <w:rFonts w:cstheme="minorHAnsi"/>
          <w:bCs/>
          <w:color w:val="FF0000"/>
        </w:rPr>
        <w:t xml:space="preserve"> </w:t>
      </w:r>
    </w:p>
    <w:p w14:paraId="5A00203E" w14:textId="491DD5CE" w:rsidR="000D27F2" w:rsidRPr="00D11A81" w:rsidRDefault="00787BC1" w:rsidP="000D27F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bookmarkStart w:id="38" w:name="_Hlk536106769"/>
      <w:r w:rsidRPr="00D11A81">
        <w:rPr>
          <w:rFonts w:cstheme="minorHAnsi"/>
          <w:bCs/>
          <w:color w:val="00B0F0"/>
        </w:rPr>
        <w:t xml:space="preserve">We also calculated the sensitivity, specificity, </w:t>
      </w:r>
      <w:r w:rsidR="00D11A81" w:rsidRPr="00D11A81">
        <w:rPr>
          <w:rFonts w:cstheme="minorHAnsi"/>
          <w:bCs/>
          <w:color w:val="00B0F0"/>
        </w:rPr>
        <w:t xml:space="preserve">kappa, </w:t>
      </w:r>
      <w:r w:rsidRPr="00D11A81">
        <w:rPr>
          <w:rFonts w:cstheme="minorHAnsi"/>
          <w:bCs/>
          <w:color w:val="00B0F0"/>
        </w:rPr>
        <w:t xml:space="preserve">and negative predictive value (NPV) as shown in </w:t>
      </w:r>
      <w:r w:rsidR="00551D3C">
        <w:rPr>
          <w:rFonts w:cstheme="minorHAnsi"/>
          <w:b/>
          <w:bCs/>
          <w:color w:val="00B0F0"/>
        </w:rPr>
        <w:t>T</w:t>
      </w:r>
      <w:r w:rsidRPr="00551D3C">
        <w:rPr>
          <w:rFonts w:cstheme="minorHAnsi"/>
          <w:b/>
          <w:bCs/>
          <w:color w:val="00B0F0"/>
        </w:rPr>
        <w:t xml:space="preserve">able </w:t>
      </w:r>
      <w:r w:rsidR="00551D3C" w:rsidRPr="00551D3C">
        <w:rPr>
          <w:rFonts w:cstheme="minorHAnsi"/>
          <w:b/>
          <w:bCs/>
          <w:color w:val="00B0F0"/>
        </w:rPr>
        <w:t>4</w:t>
      </w:r>
      <w:r w:rsidRPr="00D11A81">
        <w:rPr>
          <w:rFonts w:cstheme="minorHAnsi"/>
          <w:bCs/>
          <w:color w:val="00B0F0"/>
        </w:rPr>
        <w:t xml:space="preserve"> for Beta Dataset 1 and 2. </w:t>
      </w:r>
      <w:r w:rsidR="00452C31" w:rsidRPr="00D11A81">
        <w:rPr>
          <w:rFonts w:cstheme="minorHAnsi"/>
          <w:bCs/>
          <w:color w:val="00B0F0"/>
        </w:rPr>
        <w:t xml:space="preserve">Sensitivity describes the probability that a patient with a positive result </w:t>
      </w:r>
      <w:r w:rsidR="00420BFD" w:rsidRPr="00D11A81">
        <w:rPr>
          <w:rFonts w:cstheme="minorHAnsi"/>
          <w:bCs/>
          <w:color w:val="00B0F0"/>
        </w:rPr>
        <w:t xml:space="preserve">in the </w:t>
      </w:r>
      <w:r w:rsidR="004A1EEA" w:rsidRPr="00D11A81">
        <w:rPr>
          <w:rFonts w:cstheme="minorHAnsi"/>
          <w:bCs/>
          <w:color w:val="00B0F0"/>
        </w:rPr>
        <w:t xml:space="preserve">abstracted medical record data </w:t>
      </w:r>
      <w:r w:rsidR="00145849" w:rsidRPr="00D11A81">
        <w:rPr>
          <w:rFonts w:cstheme="minorHAnsi"/>
          <w:bCs/>
          <w:color w:val="00B0F0"/>
        </w:rPr>
        <w:t xml:space="preserve">was also a positive result in the EHR data. </w:t>
      </w:r>
      <w:r w:rsidR="004C5783" w:rsidRPr="00D11A81">
        <w:rPr>
          <w:rFonts w:cstheme="minorHAnsi"/>
          <w:bCs/>
          <w:color w:val="00B0F0"/>
        </w:rPr>
        <w:t>Specificity</w:t>
      </w:r>
      <w:r w:rsidR="00FD266A" w:rsidRPr="00D11A81">
        <w:rPr>
          <w:rFonts w:cstheme="minorHAnsi"/>
          <w:bCs/>
          <w:color w:val="00B0F0"/>
        </w:rPr>
        <w:t xml:space="preserve"> describes the probability that a patient with a </w:t>
      </w:r>
      <w:r w:rsidR="00CC6EFE" w:rsidRPr="00D11A81">
        <w:rPr>
          <w:rFonts w:cstheme="minorHAnsi"/>
          <w:bCs/>
          <w:color w:val="00B0F0"/>
        </w:rPr>
        <w:t>negative</w:t>
      </w:r>
      <w:r w:rsidR="00FD266A" w:rsidRPr="00D11A81">
        <w:rPr>
          <w:rFonts w:cstheme="minorHAnsi"/>
          <w:bCs/>
          <w:color w:val="00B0F0"/>
        </w:rPr>
        <w:t xml:space="preserve"> result</w:t>
      </w:r>
      <w:r w:rsidR="002F2F99" w:rsidRPr="00D11A81">
        <w:rPr>
          <w:rFonts w:cstheme="minorHAnsi"/>
          <w:bCs/>
          <w:color w:val="00B0F0"/>
        </w:rPr>
        <w:t xml:space="preserve"> (not a numerator case)</w:t>
      </w:r>
      <w:r w:rsidR="00FD266A" w:rsidRPr="00D11A81">
        <w:rPr>
          <w:rFonts w:cstheme="minorHAnsi"/>
          <w:bCs/>
          <w:color w:val="00B0F0"/>
        </w:rPr>
        <w:t xml:space="preserve"> in the abstracted medical record data was also a </w:t>
      </w:r>
      <w:r w:rsidR="002E6F2B" w:rsidRPr="00D11A81">
        <w:rPr>
          <w:rFonts w:cstheme="minorHAnsi"/>
          <w:bCs/>
          <w:color w:val="00B0F0"/>
        </w:rPr>
        <w:t>negative</w:t>
      </w:r>
      <w:r w:rsidR="00FD266A" w:rsidRPr="00D11A81">
        <w:rPr>
          <w:rFonts w:cstheme="minorHAnsi"/>
          <w:bCs/>
          <w:color w:val="00B0F0"/>
        </w:rPr>
        <w:t xml:space="preserve"> result in the EHR data</w:t>
      </w:r>
      <w:r w:rsidR="005D4BC6" w:rsidRPr="00D11A81">
        <w:rPr>
          <w:rFonts w:cstheme="minorHAnsi"/>
          <w:bCs/>
          <w:color w:val="00B0F0"/>
        </w:rPr>
        <w:t>.</w:t>
      </w:r>
      <w:r w:rsidR="00FD266A" w:rsidRPr="00D11A81">
        <w:rPr>
          <w:rFonts w:cstheme="minorHAnsi"/>
          <w:bCs/>
          <w:color w:val="00B0F0"/>
        </w:rPr>
        <w:t xml:space="preserve"> </w:t>
      </w:r>
      <w:r w:rsidR="00D11A81" w:rsidRPr="00D11A81">
        <w:rPr>
          <w:rFonts w:cstheme="minorHAnsi"/>
          <w:bCs/>
          <w:color w:val="00B0F0"/>
        </w:rPr>
        <w:t xml:space="preserve">Kappa describes the amount of remaining agreement between the harm incidences based on EHR and the harm incidences based on the abstracted medical record after the agreement by chance is taken into account.  </w:t>
      </w:r>
      <w:r w:rsidR="00231BB9" w:rsidRPr="00D11A81">
        <w:rPr>
          <w:rFonts w:cstheme="minorHAnsi"/>
          <w:bCs/>
          <w:color w:val="00B0F0"/>
        </w:rPr>
        <w:t xml:space="preserve">NPV describes the probability that a patient with a negative result (not in the numerator) in the EHR </w:t>
      </w:r>
      <w:r w:rsidR="00D11A81" w:rsidRPr="00D11A81">
        <w:rPr>
          <w:rFonts w:cstheme="minorHAnsi"/>
          <w:bCs/>
          <w:color w:val="00B0F0"/>
        </w:rPr>
        <w:t>data also was a negative result</w:t>
      </w:r>
      <w:r w:rsidR="00231BB9" w:rsidRPr="00D11A81">
        <w:rPr>
          <w:rFonts w:cstheme="minorHAnsi"/>
          <w:bCs/>
          <w:color w:val="00B0F0"/>
        </w:rPr>
        <w:t xml:space="preserve"> in the abstracted medical record, confirmed by the clinical adjudicator.</w:t>
      </w:r>
    </w:p>
    <w:bookmarkEnd w:id="38"/>
    <w:p w14:paraId="51E1DFA3" w14:textId="77777777" w:rsidR="000D27F2" w:rsidRDefault="000D27F2" w:rsidP="000D27F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73053504" w14:textId="1D829188" w:rsidR="00CB6541" w:rsidRDefault="00796079" w:rsidP="000D27F2">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bookmarkStart w:id="39" w:name="_Hlk531362680"/>
      <w:r w:rsidRPr="00C37507">
        <w:rPr>
          <w:rFonts w:cstheme="minorHAnsi"/>
          <w:bCs/>
          <w:color w:val="FF0000"/>
        </w:rPr>
        <w:t xml:space="preserve">For </w:t>
      </w:r>
      <w:r w:rsidR="00CB6541" w:rsidRPr="00C37507">
        <w:rPr>
          <w:rFonts w:cstheme="minorHAnsi"/>
          <w:b/>
          <w:bCs/>
          <w:color w:val="FF0000"/>
        </w:rPr>
        <w:t>Alpha Dataset</w:t>
      </w:r>
      <w:r>
        <w:rPr>
          <w:rFonts w:cstheme="minorHAnsi"/>
          <w:bCs/>
          <w:color w:val="FF0000"/>
        </w:rPr>
        <w:t>, d</w:t>
      </w:r>
      <w:r w:rsidRPr="00796079" w:rsidDel="00FA7888">
        <w:rPr>
          <w:rFonts w:cstheme="minorHAnsi"/>
          <w:bCs/>
          <w:color w:val="FF0000"/>
        </w:rPr>
        <w:t>ata</w:t>
      </w:r>
      <w:r w:rsidRPr="00316892" w:rsidDel="00FA7888">
        <w:rPr>
          <w:rFonts w:cstheme="minorHAnsi"/>
          <w:bCs/>
          <w:color w:val="FF0000"/>
        </w:rPr>
        <w:t xml:space="preserve"> were abstracted from the EHR by trained abstractors </w:t>
      </w:r>
      <w:r>
        <w:rPr>
          <w:rFonts w:cstheme="minorHAnsi"/>
          <w:bCs/>
          <w:color w:val="FF0000"/>
        </w:rPr>
        <w:t xml:space="preserve">who </w:t>
      </w:r>
      <w:r w:rsidRPr="00316892" w:rsidDel="00FA7888">
        <w:rPr>
          <w:rFonts w:cstheme="minorHAnsi"/>
          <w:bCs/>
          <w:color w:val="FF0000"/>
        </w:rPr>
        <w:t xml:space="preserve">had experience abstracting data for chart-based quality measure reporting. Abstractors were provided with an instruction manual and </w:t>
      </w:r>
      <w:r>
        <w:rPr>
          <w:rFonts w:cstheme="minorHAnsi"/>
          <w:bCs/>
          <w:color w:val="FF0000"/>
        </w:rPr>
        <w:t>an Excel</w:t>
      </w:r>
      <w:r w:rsidRPr="00316892" w:rsidDel="00FA7888">
        <w:rPr>
          <w:rFonts w:cstheme="minorHAnsi"/>
          <w:bCs/>
          <w:color w:val="FF0000"/>
        </w:rPr>
        <w:t>, to document the information abstracted from the EHR. Abstraction training was also provided</w:t>
      </w:r>
      <w:r>
        <w:rPr>
          <w:rFonts w:cstheme="minorHAnsi"/>
          <w:bCs/>
          <w:color w:val="FF0000"/>
        </w:rPr>
        <w:t xml:space="preserve">. </w:t>
      </w:r>
      <w:r w:rsidR="0092023C">
        <w:rPr>
          <w:rFonts w:cstheme="minorHAnsi"/>
          <w:bCs/>
          <w:color w:val="FF0000"/>
        </w:rPr>
        <w:t xml:space="preserve">Validity was established in the </w:t>
      </w:r>
      <w:r w:rsidR="0092023C" w:rsidRPr="00753D51">
        <w:rPr>
          <w:rFonts w:cstheme="minorHAnsi"/>
          <w:b/>
          <w:bCs/>
          <w:color w:val="FF0000"/>
        </w:rPr>
        <w:t>Beta Datasets 1</w:t>
      </w:r>
      <w:r w:rsidR="0092023C">
        <w:rPr>
          <w:rFonts w:cstheme="minorHAnsi"/>
          <w:bCs/>
          <w:color w:val="FF0000"/>
        </w:rPr>
        <w:t xml:space="preserve"> </w:t>
      </w:r>
      <w:r w:rsidR="0092023C" w:rsidRPr="00892674">
        <w:rPr>
          <w:rFonts w:cstheme="minorHAnsi"/>
          <w:b/>
          <w:bCs/>
          <w:color w:val="FF0000"/>
        </w:rPr>
        <w:t xml:space="preserve">and </w:t>
      </w:r>
      <w:r w:rsidR="0092023C" w:rsidRPr="00753D51">
        <w:rPr>
          <w:rFonts w:cstheme="minorHAnsi"/>
          <w:b/>
          <w:bCs/>
          <w:color w:val="FF0000"/>
        </w:rPr>
        <w:t>2</w:t>
      </w:r>
      <w:r w:rsidR="0092023C">
        <w:rPr>
          <w:rFonts w:cstheme="minorHAnsi"/>
          <w:bCs/>
          <w:color w:val="FF0000"/>
        </w:rPr>
        <w:t xml:space="preserve"> as described above.</w:t>
      </w:r>
    </w:p>
    <w:p w14:paraId="3CB90A87" w14:textId="77777777" w:rsidR="00196A7F" w:rsidRDefault="00D31A0D" w:rsidP="00196A7F">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B34C6F">
        <w:rPr>
          <w:rFonts w:cstheme="minorHAnsi"/>
          <w:bCs/>
          <w:color w:val="FF0000"/>
          <w:u w:val="single"/>
        </w:rPr>
        <w:t>Face Validity:</w:t>
      </w:r>
      <w:r w:rsidRPr="00B34C6F">
        <w:rPr>
          <w:rFonts w:cstheme="minorHAnsi"/>
          <w:bCs/>
          <w:color w:val="FF0000"/>
        </w:rPr>
        <w:t xml:space="preserve"> </w:t>
      </w:r>
    </w:p>
    <w:p w14:paraId="13603C39" w14:textId="546E9224" w:rsidR="00D31A0D" w:rsidRPr="00196A7F" w:rsidRDefault="00196A7F" w:rsidP="00196A7F">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sectPr w:rsidR="00D31A0D" w:rsidRPr="00196A7F" w:rsidSect="006F2F20">
          <w:headerReference w:type="default" r:id="rId16"/>
          <w:footerReference w:type="default" r:id="rId17"/>
          <w:pgSz w:w="12240" w:h="15840"/>
          <w:pgMar w:top="1440" w:right="1440" w:bottom="1440" w:left="1440" w:header="720" w:footer="720" w:gutter="0"/>
          <w:cols w:space="720"/>
          <w:docGrid w:linePitch="360"/>
        </w:sectPr>
      </w:pPr>
      <w:r w:rsidRPr="00196A7F">
        <w:rPr>
          <w:rFonts w:cstheme="minorHAnsi"/>
          <w:bCs/>
          <w:color w:val="FF0000"/>
        </w:rPr>
        <w:t>To systematically assess face validity, we surveyed our Technical Expert Panel (TEP), which is comprised of national experts and stakeholder organizations. We asked each member to rate the following statement using a six-point scale (1=Strongly Disagree, 2=Moderately Disagree, 3=Somewhat Disagree, 4=Somewhat Agree, 5= Moderately Agree, and 6=Strongly Agree): “the proportion of severe hypoglycemic events obtained from the Hospital Harm – Severe Hypoglycemia Measure as specified can be used to distinguish between better and worse quality care at hospitals.”</w:t>
      </w:r>
      <w:bookmarkEnd w:id="32"/>
      <w:bookmarkEnd w:id="39"/>
    </w:p>
    <w:p w14:paraId="1CF857D0" w14:textId="7028AF79" w:rsidR="00B3204B" w:rsidRDefault="009C7513" w:rsidP="00881312">
      <w:pPr>
        <w:autoSpaceDE w:val="0"/>
        <w:autoSpaceDN w:val="0"/>
        <w:adjustRightInd w:val="0"/>
        <w:spacing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56D5149D" w14:textId="781CBBFC" w:rsidR="002E4DFF" w:rsidRDefault="002E4DFF" w:rsidP="002E4DFF">
      <w:pPr>
        <w:autoSpaceDE w:val="0"/>
        <w:autoSpaceDN w:val="0"/>
        <w:adjustRightInd w:val="0"/>
        <w:spacing w:after="0" w:line="240" w:lineRule="auto"/>
        <w:rPr>
          <w:rFonts w:cstheme="minorHAnsi"/>
          <w:bCs/>
          <w:color w:val="FF0000"/>
          <w:u w:val="single"/>
        </w:rPr>
      </w:pPr>
      <w:r w:rsidRPr="00316892">
        <w:rPr>
          <w:rFonts w:cstheme="minorHAnsi"/>
          <w:bCs/>
          <w:color w:val="FF0000"/>
          <w:u w:val="single"/>
        </w:rPr>
        <w:t>Data Element Validity</w:t>
      </w:r>
    </w:p>
    <w:p w14:paraId="0164A45E" w14:textId="77777777" w:rsidR="006D524B" w:rsidRPr="00316892" w:rsidRDefault="006D524B" w:rsidP="002E4DFF">
      <w:pPr>
        <w:autoSpaceDE w:val="0"/>
        <w:autoSpaceDN w:val="0"/>
        <w:adjustRightInd w:val="0"/>
        <w:spacing w:after="0" w:line="240" w:lineRule="auto"/>
        <w:rPr>
          <w:rFonts w:cstheme="minorHAnsi"/>
          <w:bCs/>
          <w:color w:val="FF0000"/>
          <w:u w:val="single"/>
        </w:rPr>
      </w:pPr>
    </w:p>
    <w:p w14:paraId="772147AC" w14:textId="7C9D760B" w:rsidR="008E5FEB" w:rsidRPr="00316892" w:rsidRDefault="009F42F4" w:rsidP="00052239">
      <w:pPr>
        <w:pStyle w:val="Caption"/>
        <w:rPr>
          <w:rFonts w:cstheme="minorHAnsi"/>
          <w:bCs/>
        </w:rPr>
      </w:pPr>
      <w:r w:rsidRPr="00316892">
        <w:t xml:space="preserve">Table </w:t>
      </w:r>
      <w:r w:rsidR="00F760D1">
        <w:t>3</w:t>
      </w:r>
      <w:r w:rsidRPr="00316892">
        <w:t xml:space="preserve">. </w:t>
      </w:r>
      <w:r w:rsidR="00892674">
        <w:t xml:space="preserve">Data Element Validity </w:t>
      </w:r>
      <w:r w:rsidR="00B03D6A" w:rsidRPr="00D11A81">
        <w:rPr>
          <w:color w:val="00B0F0"/>
        </w:rPr>
        <w:t>(S</w:t>
      </w:r>
      <w:r w:rsidR="00F9194F" w:rsidRPr="00D11A81">
        <w:rPr>
          <w:color w:val="00B0F0"/>
        </w:rPr>
        <w:t>ensitivity</w:t>
      </w:r>
      <w:r w:rsidR="00B03D6A" w:rsidRPr="00D11A81">
        <w:rPr>
          <w:color w:val="00B0F0"/>
        </w:rPr>
        <w:t xml:space="preserve">) </w:t>
      </w:r>
      <w:r w:rsidR="00892674">
        <w:t>R</w:t>
      </w:r>
      <w:r w:rsidR="00B3204B" w:rsidRPr="00316892">
        <w:t xml:space="preserve">esults </w:t>
      </w:r>
      <w:r w:rsidR="00892674">
        <w:t>R</w:t>
      </w:r>
      <w:r w:rsidR="0036748D" w:rsidRPr="00316892">
        <w:t xml:space="preserve">equired for </w:t>
      </w:r>
      <w:r w:rsidR="00892674">
        <w:t>M</w:t>
      </w:r>
      <w:r w:rsidR="00843E93">
        <w:t>easure</w:t>
      </w:r>
      <w:r w:rsidR="00843E93" w:rsidRPr="00316892">
        <w:t xml:space="preserve"> </w:t>
      </w:r>
      <w:r w:rsidR="00B3204B" w:rsidRPr="00316892">
        <w:t>(</w:t>
      </w:r>
      <w:r w:rsidR="009A7A53">
        <w:t xml:space="preserve">Beta </w:t>
      </w:r>
      <w:r w:rsidR="00D15C06" w:rsidRPr="00316892">
        <w:t xml:space="preserve">Datasets </w:t>
      </w:r>
      <w:r w:rsidR="009A7A53">
        <w:t>1</w:t>
      </w:r>
      <w:r w:rsidR="009A7A53" w:rsidRPr="00316892">
        <w:t xml:space="preserve"> </w:t>
      </w:r>
      <w:r w:rsidR="00D15C06" w:rsidRPr="00316892">
        <w:t xml:space="preserve">and </w:t>
      </w:r>
      <w:r w:rsidR="009A7A53">
        <w:t>2</w:t>
      </w:r>
      <w:r w:rsidR="00B3204B" w:rsidRPr="00316892">
        <w:t>)</w:t>
      </w:r>
    </w:p>
    <w:tbl>
      <w:tblPr>
        <w:tblStyle w:val="TableGrid"/>
        <w:tblW w:w="13495" w:type="dxa"/>
        <w:tblLook w:val="04A0" w:firstRow="1" w:lastRow="0" w:firstColumn="1" w:lastColumn="0" w:noHBand="0" w:noVBand="1"/>
      </w:tblPr>
      <w:tblGrid>
        <w:gridCol w:w="3312"/>
        <w:gridCol w:w="1728"/>
        <w:gridCol w:w="1728"/>
        <w:gridCol w:w="1728"/>
        <w:gridCol w:w="1728"/>
        <w:gridCol w:w="1728"/>
        <w:gridCol w:w="1728"/>
      </w:tblGrid>
      <w:tr w:rsidR="00024182" w:rsidRPr="00316892" w14:paraId="07FDACA8" w14:textId="77777777" w:rsidTr="00052239">
        <w:trPr>
          <w:trHeight w:val="285"/>
        </w:trPr>
        <w:tc>
          <w:tcPr>
            <w:tcW w:w="3312" w:type="dxa"/>
            <w:vMerge w:val="restart"/>
            <w:tcBorders>
              <w:top w:val="single" w:sz="4" w:space="0" w:color="auto"/>
              <w:left w:val="single" w:sz="4" w:space="0" w:color="auto"/>
              <w:bottom w:val="single" w:sz="4" w:space="0" w:color="auto"/>
              <w:right w:val="single" w:sz="4" w:space="0" w:color="auto"/>
            </w:tcBorders>
            <w:vAlign w:val="center"/>
            <w:hideMark/>
          </w:tcPr>
          <w:p w14:paraId="4B69855E" w14:textId="77777777" w:rsidR="00024182" w:rsidRPr="00316892" w:rsidRDefault="00024182" w:rsidP="00432697">
            <w:pPr>
              <w:autoSpaceDE w:val="0"/>
              <w:autoSpaceDN w:val="0"/>
              <w:adjustRightInd w:val="0"/>
              <w:jc w:val="center"/>
              <w:rPr>
                <w:rFonts w:cstheme="minorHAnsi"/>
                <w:b/>
                <w:bCs/>
                <w:color w:val="FF0000"/>
                <w:sz w:val="20"/>
                <w:szCs w:val="20"/>
              </w:rPr>
            </w:pPr>
            <w:r w:rsidRPr="00316892">
              <w:rPr>
                <w:rFonts w:cstheme="minorHAnsi"/>
                <w:b/>
                <w:bCs/>
                <w:color w:val="FF0000"/>
                <w:sz w:val="20"/>
                <w:szCs w:val="20"/>
              </w:rPr>
              <w:t>Data Element</w:t>
            </w:r>
          </w:p>
        </w:tc>
        <w:tc>
          <w:tcPr>
            <w:tcW w:w="1728" w:type="dxa"/>
            <w:gridSpan w:val="3"/>
            <w:tcBorders>
              <w:top w:val="single" w:sz="4" w:space="0" w:color="auto"/>
              <w:left w:val="single" w:sz="4" w:space="0" w:color="auto"/>
              <w:bottom w:val="single" w:sz="4" w:space="0" w:color="auto"/>
              <w:right w:val="single" w:sz="18" w:space="0" w:color="auto"/>
            </w:tcBorders>
            <w:hideMark/>
          </w:tcPr>
          <w:p w14:paraId="2A2E543F" w14:textId="75FCF8A2" w:rsidR="00024182" w:rsidRPr="00316892" w:rsidRDefault="009A7A53">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Beta </w:t>
            </w:r>
            <w:r w:rsidR="00024182" w:rsidRPr="00316892">
              <w:rPr>
                <w:rFonts w:cstheme="minorHAnsi"/>
                <w:b/>
                <w:bCs/>
                <w:color w:val="FF0000"/>
                <w:sz w:val="20"/>
                <w:szCs w:val="20"/>
              </w:rPr>
              <w:t xml:space="preserve">Dataset </w:t>
            </w:r>
            <w:r>
              <w:rPr>
                <w:rFonts w:cstheme="minorHAnsi"/>
                <w:b/>
                <w:bCs/>
                <w:color w:val="FF0000"/>
                <w:sz w:val="20"/>
                <w:szCs w:val="20"/>
              </w:rPr>
              <w:t>1</w:t>
            </w:r>
          </w:p>
        </w:tc>
        <w:tc>
          <w:tcPr>
            <w:tcW w:w="1728" w:type="dxa"/>
            <w:gridSpan w:val="3"/>
            <w:tcBorders>
              <w:top w:val="single" w:sz="4" w:space="0" w:color="auto"/>
              <w:left w:val="single" w:sz="18" w:space="0" w:color="auto"/>
              <w:bottom w:val="single" w:sz="4" w:space="0" w:color="auto"/>
              <w:right w:val="single" w:sz="4" w:space="0" w:color="auto"/>
            </w:tcBorders>
            <w:hideMark/>
          </w:tcPr>
          <w:p w14:paraId="4E62BA58" w14:textId="04DB48CE" w:rsidR="00024182" w:rsidRPr="00316892" w:rsidRDefault="009A7A53">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Beta </w:t>
            </w:r>
            <w:r w:rsidR="00024182" w:rsidRPr="00316892">
              <w:rPr>
                <w:rFonts w:cstheme="minorHAnsi"/>
                <w:b/>
                <w:bCs/>
                <w:color w:val="FF0000"/>
                <w:sz w:val="20"/>
                <w:szCs w:val="20"/>
              </w:rPr>
              <w:t xml:space="preserve">Dataset </w:t>
            </w:r>
            <w:r>
              <w:rPr>
                <w:rFonts w:cstheme="minorHAnsi"/>
                <w:b/>
                <w:bCs/>
                <w:color w:val="FF0000"/>
                <w:sz w:val="20"/>
                <w:szCs w:val="20"/>
              </w:rPr>
              <w:t>2</w:t>
            </w:r>
          </w:p>
        </w:tc>
      </w:tr>
      <w:tr w:rsidR="00024182" w:rsidRPr="00316892" w14:paraId="4BE06F5A" w14:textId="77777777" w:rsidTr="00052239">
        <w:trPr>
          <w:trHeight w:val="456"/>
        </w:trPr>
        <w:tc>
          <w:tcPr>
            <w:tcW w:w="3312" w:type="dxa"/>
            <w:vMerge/>
            <w:tcBorders>
              <w:top w:val="single" w:sz="4" w:space="0" w:color="auto"/>
              <w:left w:val="single" w:sz="4" w:space="0" w:color="auto"/>
              <w:bottom w:val="single" w:sz="4" w:space="0" w:color="auto"/>
              <w:right w:val="single" w:sz="4" w:space="0" w:color="auto"/>
            </w:tcBorders>
            <w:vAlign w:val="center"/>
            <w:hideMark/>
          </w:tcPr>
          <w:p w14:paraId="29D55E15" w14:textId="77777777" w:rsidR="00024182" w:rsidRPr="00316892" w:rsidRDefault="00024182">
            <w:pPr>
              <w:rPr>
                <w:rFonts w:cstheme="minorHAnsi"/>
                <w:b/>
                <w:bCs/>
                <w:color w:val="FF0000"/>
                <w:sz w:val="20"/>
                <w:szCs w:val="20"/>
              </w:rPr>
            </w:pPr>
          </w:p>
        </w:tc>
        <w:tc>
          <w:tcPr>
            <w:tcW w:w="1728" w:type="dxa"/>
            <w:tcBorders>
              <w:top w:val="single" w:sz="4" w:space="0" w:color="auto"/>
              <w:left w:val="single" w:sz="4" w:space="0" w:color="auto"/>
              <w:bottom w:val="single" w:sz="4" w:space="0" w:color="auto"/>
              <w:right w:val="single" w:sz="4" w:space="0" w:color="auto"/>
            </w:tcBorders>
            <w:hideMark/>
          </w:tcPr>
          <w:p w14:paraId="7987162E" w14:textId="31B2B095" w:rsidR="00024182" w:rsidRPr="00316892" w:rsidRDefault="006E4FFD">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Matched in </w:t>
            </w:r>
            <w:r w:rsidR="00024182" w:rsidRPr="00316892">
              <w:rPr>
                <w:rFonts w:cstheme="minorHAnsi"/>
                <w:b/>
                <w:bCs/>
                <w:color w:val="FF0000"/>
                <w:sz w:val="20"/>
                <w:szCs w:val="20"/>
              </w:rPr>
              <w:t>EHR (n)</w:t>
            </w:r>
          </w:p>
        </w:tc>
        <w:tc>
          <w:tcPr>
            <w:tcW w:w="1728" w:type="dxa"/>
            <w:tcBorders>
              <w:top w:val="single" w:sz="4" w:space="0" w:color="auto"/>
              <w:left w:val="single" w:sz="4" w:space="0" w:color="auto"/>
              <w:bottom w:val="single" w:sz="4" w:space="0" w:color="auto"/>
              <w:right w:val="single" w:sz="4" w:space="0" w:color="auto"/>
            </w:tcBorders>
            <w:hideMark/>
          </w:tcPr>
          <w:p w14:paraId="4E6AD8A6" w14:textId="7A21EB06" w:rsidR="00024182" w:rsidRPr="00316892" w:rsidRDefault="006E4FFD">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in </w:t>
            </w:r>
            <w:r w:rsidR="00024182" w:rsidRPr="00316892">
              <w:rPr>
                <w:rFonts w:cstheme="minorHAnsi"/>
                <w:b/>
                <w:bCs/>
                <w:color w:val="FF0000"/>
                <w:sz w:val="20"/>
                <w:szCs w:val="20"/>
              </w:rPr>
              <w:t>Abstraction (n)</w:t>
            </w:r>
          </w:p>
        </w:tc>
        <w:tc>
          <w:tcPr>
            <w:tcW w:w="1728" w:type="dxa"/>
            <w:tcBorders>
              <w:top w:val="single" w:sz="4" w:space="0" w:color="auto"/>
              <w:left w:val="single" w:sz="4" w:space="0" w:color="auto"/>
              <w:bottom w:val="single" w:sz="4" w:space="0" w:color="auto"/>
              <w:right w:val="single" w:sz="18" w:space="0" w:color="auto"/>
            </w:tcBorders>
            <w:hideMark/>
          </w:tcPr>
          <w:p w14:paraId="74062E8B" w14:textId="35BC2259" w:rsidR="00024182" w:rsidRPr="00316892" w:rsidRDefault="00C53187">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Sensitivity </w:t>
            </w:r>
            <w:r w:rsidR="006D524B">
              <w:rPr>
                <w:rFonts w:cstheme="minorHAnsi"/>
                <w:b/>
                <w:bCs/>
                <w:color w:val="FF0000"/>
                <w:sz w:val="20"/>
                <w:szCs w:val="20"/>
              </w:rPr>
              <w:t>Percent M</w:t>
            </w:r>
            <w:r w:rsidR="00024182" w:rsidRPr="00316892">
              <w:rPr>
                <w:rFonts w:cstheme="minorHAnsi"/>
                <w:b/>
                <w:bCs/>
                <w:color w:val="FF0000"/>
                <w:sz w:val="20"/>
                <w:szCs w:val="20"/>
              </w:rPr>
              <w:t>atch (%)</w:t>
            </w:r>
          </w:p>
        </w:tc>
        <w:tc>
          <w:tcPr>
            <w:tcW w:w="1728" w:type="dxa"/>
            <w:tcBorders>
              <w:top w:val="single" w:sz="4" w:space="0" w:color="auto"/>
              <w:left w:val="single" w:sz="18" w:space="0" w:color="auto"/>
              <w:bottom w:val="single" w:sz="4" w:space="0" w:color="auto"/>
              <w:right w:val="single" w:sz="4" w:space="0" w:color="auto"/>
            </w:tcBorders>
            <w:hideMark/>
          </w:tcPr>
          <w:p w14:paraId="2C348D53" w14:textId="3F2D9EAE" w:rsidR="00024182" w:rsidRPr="00316892" w:rsidRDefault="006E4FFD">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Matched in </w:t>
            </w:r>
            <w:r w:rsidR="00024182" w:rsidRPr="00316892">
              <w:rPr>
                <w:rFonts w:cstheme="minorHAnsi"/>
                <w:b/>
                <w:bCs/>
                <w:color w:val="FF0000"/>
                <w:sz w:val="20"/>
                <w:szCs w:val="20"/>
              </w:rPr>
              <w:t>EHR (n)</w:t>
            </w:r>
          </w:p>
        </w:tc>
        <w:tc>
          <w:tcPr>
            <w:tcW w:w="1728" w:type="dxa"/>
            <w:tcBorders>
              <w:top w:val="single" w:sz="4" w:space="0" w:color="auto"/>
              <w:left w:val="single" w:sz="4" w:space="0" w:color="auto"/>
              <w:bottom w:val="single" w:sz="4" w:space="0" w:color="auto"/>
              <w:right w:val="single" w:sz="4" w:space="0" w:color="auto"/>
            </w:tcBorders>
            <w:hideMark/>
          </w:tcPr>
          <w:p w14:paraId="771E6252" w14:textId="3E171962" w:rsidR="00024182" w:rsidRPr="00316892" w:rsidRDefault="006E4FFD">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in </w:t>
            </w:r>
            <w:r w:rsidR="00024182" w:rsidRPr="00316892">
              <w:rPr>
                <w:rFonts w:cstheme="minorHAnsi"/>
                <w:b/>
                <w:bCs/>
                <w:color w:val="FF0000"/>
                <w:sz w:val="20"/>
                <w:szCs w:val="20"/>
              </w:rPr>
              <w:t>Abstraction (n)</w:t>
            </w:r>
          </w:p>
        </w:tc>
        <w:tc>
          <w:tcPr>
            <w:tcW w:w="1728" w:type="dxa"/>
            <w:tcBorders>
              <w:top w:val="single" w:sz="4" w:space="0" w:color="auto"/>
              <w:left w:val="single" w:sz="4" w:space="0" w:color="auto"/>
              <w:bottom w:val="single" w:sz="4" w:space="0" w:color="auto"/>
              <w:right w:val="single" w:sz="4" w:space="0" w:color="auto"/>
            </w:tcBorders>
            <w:hideMark/>
          </w:tcPr>
          <w:p w14:paraId="63AED454" w14:textId="7C7B1634" w:rsidR="00024182" w:rsidRPr="00316892" w:rsidRDefault="00C53187">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Sensitivity </w:t>
            </w:r>
            <w:r w:rsidR="006D524B">
              <w:rPr>
                <w:rFonts w:cstheme="minorHAnsi"/>
                <w:b/>
                <w:bCs/>
                <w:color w:val="FF0000"/>
                <w:sz w:val="20"/>
                <w:szCs w:val="20"/>
              </w:rPr>
              <w:t>Percent M</w:t>
            </w:r>
            <w:r w:rsidR="00024182" w:rsidRPr="00316892">
              <w:rPr>
                <w:rFonts w:cstheme="minorHAnsi"/>
                <w:b/>
                <w:bCs/>
                <w:color w:val="FF0000"/>
                <w:sz w:val="20"/>
                <w:szCs w:val="20"/>
              </w:rPr>
              <w:t>atch (%)</w:t>
            </w:r>
          </w:p>
        </w:tc>
      </w:tr>
      <w:tr w:rsidR="00024182" w:rsidRPr="00316892" w14:paraId="6E1AD84E" w14:textId="77777777" w:rsidTr="00052239">
        <w:trPr>
          <w:trHeight w:val="285"/>
        </w:trPr>
        <w:tc>
          <w:tcPr>
            <w:tcW w:w="3312" w:type="dxa"/>
            <w:tcBorders>
              <w:top w:val="single" w:sz="4" w:space="0" w:color="auto"/>
              <w:left w:val="single" w:sz="4" w:space="0" w:color="auto"/>
              <w:bottom w:val="single" w:sz="4" w:space="0" w:color="auto"/>
              <w:right w:val="single" w:sz="4" w:space="0" w:color="auto"/>
            </w:tcBorders>
            <w:noWrap/>
            <w:hideMark/>
          </w:tcPr>
          <w:p w14:paraId="11B8E8D3" w14:textId="703CCACF" w:rsidR="00024182" w:rsidRPr="000D5188" w:rsidRDefault="006E4FFD" w:rsidP="000D5188">
            <w:pPr>
              <w:autoSpaceDE w:val="0"/>
              <w:autoSpaceDN w:val="0"/>
              <w:adjustRightInd w:val="0"/>
              <w:rPr>
                <w:rFonts w:eastAsia="Times New Roman" w:cstheme="minorHAnsi"/>
                <w:color w:val="FF0000"/>
                <w:sz w:val="20"/>
                <w:szCs w:val="20"/>
              </w:rPr>
            </w:pPr>
            <w:r>
              <w:rPr>
                <w:rFonts w:eastAsia="Times New Roman" w:cstheme="minorHAnsi"/>
                <w:color w:val="FF0000"/>
                <w:sz w:val="20"/>
                <w:szCs w:val="20"/>
              </w:rPr>
              <w:t>A</w:t>
            </w:r>
            <w:r w:rsidR="00024182" w:rsidRPr="000D5188">
              <w:rPr>
                <w:rFonts w:eastAsia="Times New Roman" w:cstheme="minorHAnsi"/>
                <w:color w:val="FF0000"/>
                <w:sz w:val="20"/>
                <w:szCs w:val="20"/>
              </w:rPr>
              <w:t>dmission date and time (mm/dd/yyyy, hh:mm)</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7DC891E2" w14:textId="563C3D30"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175</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129183E4" w14:textId="2021EDC1"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175</w:t>
            </w:r>
          </w:p>
        </w:tc>
        <w:tc>
          <w:tcPr>
            <w:tcW w:w="1728" w:type="dxa"/>
            <w:tcBorders>
              <w:top w:val="single" w:sz="4" w:space="0" w:color="auto"/>
              <w:left w:val="single" w:sz="4" w:space="0" w:color="auto"/>
              <w:bottom w:val="single" w:sz="4" w:space="0" w:color="auto"/>
              <w:right w:val="single" w:sz="18" w:space="0" w:color="auto"/>
            </w:tcBorders>
            <w:noWrap/>
            <w:vAlign w:val="center"/>
            <w:hideMark/>
          </w:tcPr>
          <w:p w14:paraId="737D6DCF" w14:textId="44609D86"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100.0%</w:t>
            </w:r>
          </w:p>
        </w:tc>
        <w:tc>
          <w:tcPr>
            <w:tcW w:w="1728" w:type="dxa"/>
            <w:tcBorders>
              <w:top w:val="single" w:sz="4" w:space="0" w:color="auto"/>
              <w:left w:val="single" w:sz="18" w:space="0" w:color="auto"/>
              <w:bottom w:val="single" w:sz="4" w:space="0" w:color="auto"/>
              <w:right w:val="single" w:sz="4" w:space="0" w:color="auto"/>
            </w:tcBorders>
            <w:noWrap/>
            <w:vAlign w:val="center"/>
            <w:hideMark/>
          </w:tcPr>
          <w:p w14:paraId="2DEA8FF1" w14:textId="7DEAD51C"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 175</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1AA0E034" w14:textId="239CB051"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175</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28C5E197" w14:textId="18FD65ED"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100.0%</w:t>
            </w:r>
          </w:p>
        </w:tc>
      </w:tr>
      <w:tr w:rsidR="00024182" w:rsidRPr="00316892" w14:paraId="5D16CB50" w14:textId="77777777" w:rsidTr="00052239">
        <w:trPr>
          <w:trHeight w:val="285"/>
        </w:trPr>
        <w:tc>
          <w:tcPr>
            <w:tcW w:w="3312" w:type="dxa"/>
            <w:tcBorders>
              <w:top w:val="single" w:sz="4" w:space="0" w:color="auto"/>
              <w:left w:val="single" w:sz="4" w:space="0" w:color="auto"/>
              <w:bottom w:val="single" w:sz="4" w:space="0" w:color="auto"/>
              <w:right w:val="single" w:sz="4" w:space="0" w:color="auto"/>
            </w:tcBorders>
            <w:noWrap/>
            <w:vAlign w:val="center"/>
            <w:hideMark/>
          </w:tcPr>
          <w:p w14:paraId="2E2AEC68" w14:textId="2F1242B3" w:rsidR="00024182" w:rsidRPr="000D5188" w:rsidRDefault="00C40DAC" w:rsidP="000D5188">
            <w:pPr>
              <w:autoSpaceDE w:val="0"/>
              <w:autoSpaceDN w:val="0"/>
              <w:adjustRightInd w:val="0"/>
              <w:rPr>
                <w:rFonts w:eastAsia="Times New Roman" w:cstheme="minorHAnsi"/>
                <w:color w:val="FF0000"/>
                <w:sz w:val="20"/>
                <w:szCs w:val="20"/>
              </w:rPr>
            </w:pPr>
            <w:r w:rsidRPr="000D5188">
              <w:rPr>
                <w:rFonts w:eastAsia="Times New Roman" w:cstheme="minorHAnsi"/>
                <w:color w:val="FF0000"/>
                <w:sz w:val="20"/>
                <w:szCs w:val="20"/>
              </w:rPr>
              <w:t>Antihyperglycemic medication</w:t>
            </w:r>
            <w:r w:rsidR="00843E93">
              <w:rPr>
                <w:rFonts w:eastAsia="Times New Roman" w:cstheme="minorHAnsi"/>
                <w:color w:val="FF0000"/>
                <w:sz w:val="20"/>
                <w:szCs w:val="20"/>
              </w:rPr>
              <w:t xml:space="preserve"> </w:t>
            </w:r>
            <w:r>
              <w:rPr>
                <w:rFonts w:eastAsia="Times New Roman" w:cstheme="minorHAnsi"/>
                <w:color w:val="FF0000"/>
                <w:sz w:val="20"/>
                <w:szCs w:val="20"/>
              </w:rPr>
              <w:t>a</w:t>
            </w:r>
            <w:r w:rsidR="00024182" w:rsidRPr="000D5188">
              <w:rPr>
                <w:rFonts w:eastAsia="Times New Roman" w:cstheme="minorHAnsi"/>
                <w:color w:val="FF0000"/>
                <w:sz w:val="20"/>
                <w:szCs w:val="20"/>
              </w:rPr>
              <w:t xml:space="preserve">dministered: </w:t>
            </w:r>
            <w:r w:rsidR="00024182">
              <w:rPr>
                <w:rFonts w:eastAsia="Times New Roman" w:cstheme="minorHAnsi"/>
                <w:color w:val="FF0000"/>
                <w:sz w:val="20"/>
                <w:szCs w:val="20"/>
              </w:rPr>
              <w:t>order ID</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3FBC1A3D" w14:textId="798F1BF6"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68</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2E476270" w14:textId="1DA46E08"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84</w:t>
            </w:r>
          </w:p>
        </w:tc>
        <w:tc>
          <w:tcPr>
            <w:tcW w:w="1728" w:type="dxa"/>
            <w:tcBorders>
              <w:top w:val="single" w:sz="4" w:space="0" w:color="auto"/>
              <w:left w:val="single" w:sz="4" w:space="0" w:color="auto"/>
              <w:bottom w:val="single" w:sz="4" w:space="0" w:color="auto"/>
              <w:right w:val="single" w:sz="18" w:space="0" w:color="auto"/>
            </w:tcBorders>
            <w:noWrap/>
            <w:vAlign w:val="center"/>
            <w:hideMark/>
          </w:tcPr>
          <w:p w14:paraId="03983915" w14:textId="3DFE145F"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81.0%</w:t>
            </w:r>
          </w:p>
        </w:tc>
        <w:tc>
          <w:tcPr>
            <w:tcW w:w="1728" w:type="dxa"/>
            <w:tcBorders>
              <w:top w:val="single" w:sz="4" w:space="0" w:color="auto"/>
              <w:left w:val="single" w:sz="18" w:space="0" w:color="auto"/>
              <w:bottom w:val="single" w:sz="4" w:space="0" w:color="auto"/>
              <w:right w:val="single" w:sz="4" w:space="0" w:color="auto"/>
            </w:tcBorders>
            <w:noWrap/>
            <w:vAlign w:val="center"/>
            <w:hideMark/>
          </w:tcPr>
          <w:p w14:paraId="01D29EAB" w14:textId="23D09EE4"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 40</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081DB6E7" w14:textId="77795F81"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41</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76FE78E9" w14:textId="2F48B674"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97.6%</w:t>
            </w:r>
          </w:p>
        </w:tc>
      </w:tr>
      <w:tr w:rsidR="00024182" w:rsidRPr="00316892" w14:paraId="6F865F6F" w14:textId="77777777" w:rsidTr="00052239">
        <w:trPr>
          <w:trHeight w:val="285"/>
        </w:trPr>
        <w:tc>
          <w:tcPr>
            <w:tcW w:w="3312" w:type="dxa"/>
            <w:tcBorders>
              <w:top w:val="single" w:sz="4" w:space="0" w:color="auto"/>
              <w:left w:val="single" w:sz="4" w:space="0" w:color="auto"/>
              <w:bottom w:val="single" w:sz="4" w:space="0" w:color="auto"/>
              <w:right w:val="single" w:sz="4" w:space="0" w:color="auto"/>
            </w:tcBorders>
            <w:noWrap/>
            <w:vAlign w:val="center"/>
            <w:hideMark/>
          </w:tcPr>
          <w:p w14:paraId="4E82A051" w14:textId="74629A95" w:rsidR="00024182" w:rsidRPr="000D5188" w:rsidRDefault="00024182" w:rsidP="00CA076F">
            <w:pPr>
              <w:autoSpaceDE w:val="0"/>
              <w:autoSpaceDN w:val="0"/>
              <w:adjustRightInd w:val="0"/>
              <w:rPr>
                <w:rFonts w:eastAsia="Times New Roman" w:cstheme="minorHAnsi"/>
                <w:color w:val="FF0000"/>
                <w:sz w:val="20"/>
                <w:szCs w:val="20"/>
              </w:rPr>
            </w:pPr>
            <w:r w:rsidRPr="000D5188">
              <w:rPr>
                <w:rFonts w:eastAsia="Times New Roman" w:cstheme="minorHAnsi"/>
                <w:color w:val="FF0000"/>
                <w:sz w:val="20"/>
                <w:szCs w:val="20"/>
              </w:rPr>
              <w:t xml:space="preserve">Laboratory test, blood glucose </w:t>
            </w:r>
            <w:r w:rsidR="008F345D">
              <w:rPr>
                <w:rFonts w:eastAsia="Times New Roman" w:cstheme="minorHAnsi"/>
                <w:color w:val="FF0000"/>
                <w:sz w:val="20"/>
                <w:szCs w:val="20"/>
              </w:rPr>
              <w:t xml:space="preserve">test with </w:t>
            </w:r>
            <w:r w:rsidRPr="000D5188">
              <w:rPr>
                <w:rFonts w:eastAsia="Times New Roman" w:cstheme="minorHAnsi"/>
                <w:color w:val="FF0000"/>
                <w:sz w:val="20"/>
                <w:szCs w:val="20"/>
              </w:rPr>
              <w:t>date, time, result (mm/dd/yyy hh:mm XXX)</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044D1E9E" w14:textId="151A72DB" w:rsidR="00024182" w:rsidRPr="00C70405" w:rsidRDefault="00024182" w:rsidP="00C70405">
            <w:pPr>
              <w:jc w:val="center"/>
              <w:rPr>
                <w:rFonts w:cstheme="minorHAnsi"/>
                <w:bCs/>
                <w:color w:val="FF0000"/>
                <w:sz w:val="20"/>
                <w:szCs w:val="20"/>
              </w:rPr>
            </w:pPr>
            <w:r w:rsidRPr="00C70405">
              <w:rPr>
                <w:rFonts w:cstheme="minorHAnsi"/>
                <w:color w:val="FF0000"/>
                <w:sz w:val="20"/>
              </w:rPr>
              <w:t>2118</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1D9C490D" w14:textId="6627E4A6" w:rsidR="00024182" w:rsidRPr="00C70405" w:rsidRDefault="00024182" w:rsidP="00C70405">
            <w:pPr>
              <w:jc w:val="center"/>
              <w:rPr>
                <w:rFonts w:cstheme="minorHAnsi"/>
                <w:bCs/>
                <w:color w:val="FF0000"/>
                <w:sz w:val="20"/>
                <w:szCs w:val="20"/>
              </w:rPr>
            </w:pPr>
            <w:r w:rsidRPr="00C70405">
              <w:rPr>
                <w:rFonts w:cstheme="minorHAnsi"/>
                <w:color w:val="FF0000"/>
                <w:sz w:val="20"/>
              </w:rPr>
              <w:t>221</w:t>
            </w:r>
            <w:r w:rsidR="006550C1">
              <w:rPr>
                <w:rFonts w:cstheme="minorHAnsi"/>
                <w:color w:val="FF0000"/>
                <w:sz w:val="20"/>
              </w:rPr>
              <w:t>5</w:t>
            </w:r>
          </w:p>
        </w:tc>
        <w:tc>
          <w:tcPr>
            <w:tcW w:w="1728" w:type="dxa"/>
            <w:tcBorders>
              <w:top w:val="single" w:sz="4" w:space="0" w:color="auto"/>
              <w:left w:val="single" w:sz="4" w:space="0" w:color="auto"/>
              <w:bottom w:val="single" w:sz="4" w:space="0" w:color="auto"/>
              <w:right w:val="single" w:sz="18" w:space="0" w:color="auto"/>
            </w:tcBorders>
            <w:noWrap/>
            <w:vAlign w:val="center"/>
            <w:hideMark/>
          </w:tcPr>
          <w:p w14:paraId="0FAB2D4D" w14:textId="190B265A" w:rsidR="00024182" w:rsidRPr="00C70405" w:rsidRDefault="00024182" w:rsidP="00C70405">
            <w:pPr>
              <w:jc w:val="center"/>
              <w:rPr>
                <w:color w:val="FF0000"/>
                <w:sz w:val="20"/>
                <w:szCs w:val="20"/>
              </w:rPr>
            </w:pPr>
            <w:r w:rsidRPr="00C70405">
              <w:rPr>
                <w:rFonts w:cstheme="minorHAnsi"/>
                <w:color w:val="FF0000"/>
                <w:sz w:val="20"/>
              </w:rPr>
              <w:t>95.6%</w:t>
            </w:r>
          </w:p>
        </w:tc>
        <w:tc>
          <w:tcPr>
            <w:tcW w:w="1728" w:type="dxa"/>
            <w:tcBorders>
              <w:top w:val="single" w:sz="4" w:space="0" w:color="auto"/>
              <w:left w:val="single" w:sz="18" w:space="0" w:color="auto"/>
              <w:bottom w:val="single" w:sz="4" w:space="0" w:color="auto"/>
              <w:right w:val="single" w:sz="4" w:space="0" w:color="auto"/>
            </w:tcBorders>
            <w:noWrap/>
            <w:vAlign w:val="center"/>
            <w:hideMark/>
          </w:tcPr>
          <w:p w14:paraId="34F59194" w14:textId="75DE1B88" w:rsidR="00024182" w:rsidRPr="00C70405" w:rsidRDefault="00C70405" w:rsidP="00C70405">
            <w:pPr>
              <w:jc w:val="center"/>
              <w:rPr>
                <w:rFonts w:cstheme="minorHAnsi"/>
                <w:color w:val="FF0000"/>
                <w:sz w:val="20"/>
              </w:rPr>
            </w:pPr>
            <w:r w:rsidRPr="00C70405">
              <w:rPr>
                <w:rFonts w:cstheme="minorHAnsi"/>
                <w:color w:val="FF0000"/>
                <w:sz w:val="20"/>
              </w:rPr>
              <w:t>2341</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4BDEB3DB" w14:textId="1C9A93E1" w:rsidR="00024182" w:rsidRPr="00C70405" w:rsidRDefault="00024182" w:rsidP="00C70405">
            <w:pPr>
              <w:jc w:val="center"/>
              <w:rPr>
                <w:rFonts w:cstheme="minorHAnsi"/>
                <w:color w:val="FF0000"/>
                <w:sz w:val="20"/>
              </w:rPr>
            </w:pPr>
            <w:r w:rsidRPr="00C70405">
              <w:rPr>
                <w:rFonts w:cstheme="minorHAnsi"/>
                <w:color w:val="FF0000"/>
                <w:sz w:val="20"/>
              </w:rPr>
              <w:t>24</w:t>
            </w:r>
            <w:r w:rsidR="00C70405" w:rsidRPr="00C70405">
              <w:rPr>
                <w:rFonts w:cstheme="minorHAnsi"/>
                <w:color w:val="FF0000"/>
                <w:sz w:val="20"/>
              </w:rPr>
              <w:t>54</w:t>
            </w:r>
            <w:r w:rsidR="00C40DAC">
              <w:rPr>
                <w:rFonts w:cstheme="minorHAnsi"/>
                <w:color w:val="FF0000"/>
                <w:sz w:val="20"/>
              </w:rPr>
              <w:t>*</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39A6B146" w14:textId="5A719377" w:rsidR="00024182" w:rsidRPr="00C70405" w:rsidRDefault="00024182" w:rsidP="00C70405">
            <w:pPr>
              <w:jc w:val="center"/>
              <w:rPr>
                <w:rFonts w:cstheme="minorHAnsi"/>
                <w:color w:val="FF0000"/>
                <w:sz w:val="20"/>
              </w:rPr>
            </w:pPr>
            <w:r w:rsidRPr="00C70405">
              <w:rPr>
                <w:rFonts w:cstheme="minorHAnsi"/>
                <w:color w:val="FF0000"/>
                <w:sz w:val="20"/>
              </w:rPr>
              <w:t>95.4</w:t>
            </w:r>
            <w:r w:rsidR="00C70405" w:rsidRPr="00C70405">
              <w:rPr>
                <w:rFonts w:cstheme="minorHAnsi"/>
                <w:color w:val="FF0000"/>
                <w:sz w:val="20"/>
              </w:rPr>
              <w:t>%</w:t>
            </w:r>
          </w:p>
        </w:tc>
      </w:tr>
      <w:tr w:rsidR="00024182" w:rsidRPr="00316892" w14:paraId="45F17C42" w14:textId="77777777" w:rsidTr="00052239">
        <w:trPr>
          <w:trHeight w:val="285"/>
        </w:trPr>
        <w:tc>
          <w:tcPr>
            <w:tcW w:w="3312" w:type="dxa"/>
            <w:tcBorders>
              <w:top w:val="single" w:sz="4" w:space="0" w:color="auto"/>
              <w:left w:val="single" w:sz="4" w:space="0" w:color="auto"/>
              <w:bottom w:val="single" w:sz="4" w:space="0" w:color="auto"/>
              <w:right w:val="single" w:sz="4" w:space="0" w:color="auto"/>
            </w:tcBorders>
            <w:noWrap/>
            <w:vAlign w:val="center"/>
            <w:hideMark/>
          </w:tcPr>
          <w:p w14:paraId="0D6F1FA0" w14:textId="728C7BBD" w:rsidR="00024182" w:rsidRPr="000D5188" w:rsidRDefault="00024182" w:rsidP="000D5188">
            <w:pPr>
              <w:autoSpaceDE w:val="0"/>
              <w:autoSpaceDN w:val="0"/>
              <w:adjustRightInd w:val="0"/>
              <w:rPr>
                <w:rFonts w:eastAsia="Times New Roman" w:cstheme="minorHAnsi"/>
                <w:color w:val="FF0000"/>
                <w:sz w:val="20"/>
                <w:szCs w:val="20"/>
              </w:rPr>
            </w:pPr>
            <w:r w:rsidRPr="000D5188">
              <w:rPr>
                <w:rFonts w:eastAsia="Times New Roman" w:cstheme="minorHAnsi"/>
                <w:color w:val="FF0000"/>
                <w:sz w:val="20"/>
                <w:szCs w:val="20"/>
              </w:rPr>
              <w:t>Patient characteristic: birth date (mm/dd/yyyy)</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7B1CFCBC" w14:textId="7A660CA3" w:rsidR="00024182" w:rsidRPr="00316892" w:rsidRDefault="00C70405" w:rsidP="000D5188">
            <w:pPr>
              <w:jc w:val="center"/>
              <w:rPr>
                <w:rFonts w:cstheme="minorHAnsi"/>
                <w:bCs/>
                <w:color w:val="FF0000"/>
                <w:sz w:val="20"/>
                <w:szCs w:val="20"/>
              </w:rPr>
            </w:pPr>
            <w:r>
              <w:rPr>
                <w:rFonts w:cstheme="minorHAnsi"/>
                <w:bCs/>
                <w:color w:val="FF0000"/>
                <w:sz w:val="20"/>
                <w:szCs w:val="20"/>
              </w:rPr>
              <w:t>1</w:t>
            </w:r>
            <w:r w:rsidR="006550C1">
              <w:rPr>
                <w:rFonts w:cstheme="minorHAnsi"/>
                <w:bCs/>
                <w:color w:val="FF0000"/>
                <w:sz w:val="20"/>
                <w:szCs w:val="20"/>
              </w:rPr>
              <w:t>75</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2218C0AB" w14:textId="5C80BCF0" w:rsidR="00024182" w:rsidRPr="00316892" w:rsidRDefault="006550C1" w:rsidP="000D5188">
            <w:pPr>
              <w:jc w:val="center"/>
              <w:rPr>
                <w:rFonts w:cstheme="minorHAnsi"/>
                <w:bCs/>
                <w:color w:val="FF0000"/>
                <w:sz w:val="20"/>
                <w:szCs w:val="20"/>
              </w:rPr>
            </w:pPr>
            <w:r>
              <w:rPr>
                <w:rFonts w:cstheme="minorHAnsi"/>
                <w:bCs/>
                <w:color w:val="FF0000"/>
                <w:sz w:val="20"/>
                <w:szCs w:val="20"/>
              </w:rPr>
              <w:t>168</w:t>
            </w:r>
          </w:p>
        </w:tc>
        <w:tc>
          <w:tcPr>
            <w:tcW w:w="1728" w:type="dxa"/>
            <w:tcBorders>
              <w:top w:val="single" w:sz="4" w:space="0" w:color="auto"/>
              <w:left w:val="single" w:sz="4" w:space="0" w:color="auto"/>
              <w:bottom w:val="single" w:sz="4" w:space="0" w:color="auto"/>
              <w:right w:val="single" w:sz="18" w:space="0" w:color="auto"/>
            </w:tcBorders>
            <w:noWrap/>
            <w:vAlign w:val="center"/>
            <w:hideMark/>
          </w:tcPr>
          <w:p w14:paraId="2AA42A14" w14:textId="3AFCA68E"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96.0%</w:t>
            </w:r>
            <w:r w:rsidR="00B03D6A">
              <w:rPr>
                <w:rFonts w:cstheme="minorHAnsi"/>
                <w:bCs/>
                <w:color w:val="FF0000"/>
                <w:sz w:val="20"/>
                <w:szCs w:val="20"/>
              </w:rPr>
              <w:t>**</w:t>
            </w:r>
          </w:p>
        </w:tc>
        <w:tc>
          <w:tcPr>
            <w:tcW w:w="1728" w:type="dxa"/>
            <w:tcBorders>
              <w:top w:val="single" w:sz="4" w:space="0" w:color="auto"/>
              <w:left w:val="single" w:sz="18" w:space="0" w:color="auto"/>
              <w:bottom w:val="single" w:sz="4" w:space="0" w:color="auto"/>
              <w:right w:val="single" w:sz="4" w:space="0" w:color="auto"/>
            </w:tcBorders>
            <w:noWrap/>
            <w:vAlign w:val="center"/>
            <w:hideMark/>
          </w:tcPr>
          <w:p w14:paraId="76EEFF74" w14:textId="4CC78380"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175</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49CAFC34" w14:textId="08BC991C" w:rsidR="00024182" w:rsidRPr="00316892" w:rsidRDefault="00024182" w:rsidP="000D5188">
            <w:pPr>
              <w:jc w:val="center"/>
              <w:rPr>
                <w:rFonts w:cstheme="minorHAnsi"/>
                <w:bCs/>
                <w:color w:val="FF0000"/>
                <w:sz w:val="20"/>
                <w:szCs w:val="20"/>
              </w:rPr>
            </w:pPr>
            <w:r w:rsidRPr="000D5188">
              <w:rPr>
                <w:rFonts w:cstheme="minorHAnsi"/>
                <w:bCs/>
                <w:color w:val="FF0000"/>
                <w:sz w:val="20"/>
                <w:szCs w:val="20"/>
              </w:rPr>
              <w:t>175</w:t>
            </w:r>
          </w:p>
        </w:tc>
        <w:tc>
          <w:tcPr>
            <w:tcW w:w="1728" w:type="dxa"/>
            <w:tcBorders>
              <w:top w:val="single" w:sz="4" w:space="0" w:color="auto"/>
              <w:left w:val="single" w:sz="4" w:space="0" w:color="auto"/>
              <w:bottom w:val="single" w:sz="4" w:space="0" w:color="auto"/>
              <w:right w:val="single" w:sz="4" w:space="0" w:color="auto"/>
            </w:tcBorders>
            <w:noWrap/>
            <w:vAlign w:val="center"/>
            <w:hideMark/>
          </w:tcPr>
          <w:p w14:paraId="0B3A227F" w14:textId="4D6F80F4" w:rsidR="00024182" w:rsidRPr="000D5188" w:rsidRDefault="00024182" w:rsidP="000D5188">
            <w:pPr>
              <w:jc w:val="center"/>
              <w:rPr>
                <w:rFonts w:cstheme="minorHAnsi"/>
                <w:bCs/>
                <w:color w:val="FF0000"/>
                <w:sz w:val="20"/>
                <w:szCs w:val="20"/>
              </w:rPr>
            </w:pPr>
            <w:r w:rsidRPr="000D5188">
              <w:rPr>
                <w:rFonts w:cstheme="minorHAnsi"/>
                <w:bCs/>
                <w:color w:val="FF0000"/>
                <w:sz w:val="20"/>
                <w:szCs w:val="20"/>
              </w:rPr>
              <w:t>100.0%</w:t>
            </w:r>
            <w:r w:rsidR="00B03D6A">
              <w:rPr>
                <w:rFonts w:cstheme="minorHAnsi"/>
                <w:bCs/>
                <w:color w:val="FF0000"/>
                <w:sz w:val="20"/>
                <w:szCs w:val="20"/>
              </w:rPr>
              <w:t>**</w:t>
            </w:r>
          </w:p>
        </w:tc>
      </w:tr>
    </w:tbl>
    <w:p w14:paraId="4B638042" w14:textId="4EF4E39B" w:rsidR="00C40DAC" w:rsidRDefault="00C40DAC" w:rsidP="00092566">
      <w:pPr>
        <w:autoSpaceDE w:val="0"/>
        <w:autoSpaceDN w:val="0"/>
        <w:adjustRightInd w:val="0"/>
        <w:spacing w:after="0" w:line="240" w:lineRule="auto"/>
        <w:rPr>
          <w:rFonts w:cstheme="minorHAnsi"/>
          <w:bCs/>
          <w:color w:val="FF0000"/>
        </w:rPr>
      </w:pPr>
      <w:r>
        <w:rPr>
          <w:rFonts w:cstheme="minorHAnsi"/>
          <w:bCs/>
          <w:color w:val="FF0000"/>
        </w:rPr>
        <w:t xml:space="preserve">*Data element validity for glucose result in </w:t>
      </w:r>
      <w:r w:rsidR="009A7A53" w:rsidRPr="00EB3E4B">
        <w:rPr>
          <w:rFonts w:cstheme="minorHAnsi"/>
          <w:b/>
          <w:bCs/>
          <w:color w:val="FF0000"/>
        </w:rPr>
        <w:t xml:space="preserve">Beta </w:t>
      </w:r>
      <w:r w:rsidRPr="00EB3E4B">
        <w:rPr>
          <w:rFonts w:cstheme="minorHAnsi"/>
          <w:b/>
          <w:bCs/>
          <w:color w:val="FF0000"/>
        </w:rPr>
        <w:t xml:space="preserve">Dataset </w:t>
      </w:r>
      <w:r w:rsidR="009A7A53" w:rsidRPr="00EB3E4B">
        <w:rPr>
          <w:rFonts w:cstheme="minorHAnsi"/>
          <w:b/>
          <w:bCs/>
          <w:color w:val="FF0000"/>
        </w:rPr>
        <w:t>2</w:t>
      </w:r>
      <w:r w:rsidR="009A7A53">
        <w:rPr>
          <w:rFonts w:cstheme="minorHAnsi"/>
          <w:bCs/>
          <w:color w:val="FF0000"/>
        </w:rPr>
        <w:t xml:space="preserve"> </w:t>
      </w:r>
      <w:r>
        <w:rPr>
          <w:rFonts w:cstheme="minorHAnsi"/>
          <w:bCs/>
          <w:color w:val="FF0000"/>
        </w:rPr>
        <w:t>were matched using point-of-care tests only, due to human</w:t>
      </w:r>
      <w:r w:rsidR="00E86628">
        <w:rPr>
          <w:rFonts w:cstheme="minorHAnsi"/>
          <w:bCs/>
          <w:color w:val="FF0000"/>
        </w:rPr>
        <w:t xml:space="preserve"> error by abstractor.</w:t>
      </w:r>
    </w:p>
    <w:p w14:paraId="23CC9185" w14:textId="3E7B374A" w:rsidR="00C53187" w:rsidRDefault="00C53187" w:rsidP="00092566">
      <w:pPr>
        <w:autoSpaceDE w:val="0"/>
        <w:autoSpaceDN w:val="0"/>
        <w:adjustRightInd w:val="0"/>
        <w:spacing w:after="0" w:line="240" w:lineRule="auto"/>
        <w:rPr>
          <w:rFonts w:cstheme="minorHAnsi"/>
          <w:bCs/>
          <w:color w:val="FF0000"/>
        </w:rPr>
      </w:pPr>
      <w:r>
        <w:rPr>
          <w:rFonts w:cstheme="minorHAnsi"/>
          <w:bCs/>
          <w:color w:val="FF0000"/>
        </w:rPr>
        <w:t>**</w:t>
      </w:r>
      <w:r w:rsidR="00565905">
        <w:rPr>
          <w:rFonts w:cstheme="minorHAnsi"/>
          <w:bCs/>
          <w:color w:val="FF0000"/>
        </w:rPr>
        <w:t>Patient date of birth was assessed using PPV percent match, as # cases matched in abstraction / # cases in EHR.</w:t>
      </w:r>
    </w:p>
    <w:p w14:paraId="43BC8C2D" w14:textId="5B82FE52" w:rsidR="00E260BB" w:rsidRPr="00316892" w:rsidRDefault="00C40DAC" w:rsidP="00092566">
      <w:pPr>
        <w:autoSpaceDE w:val="0"/>
        <w:autoSpaceDN w:val="0"/>
        <w:adjustRightInd w:val="0"/>
        <w:spacing w:after="0" w:line="240" w:lineRule="auto"/>
        <w:rPr>
          <w:rFonts w:cstheme="minorHAnsi"/>
          <w:bCs/>
          <w:color w:val="FF0000"/>
        </w:rPr>
      </w:pPr>
      <w:r>
        <w:rPr>
          <w:rFonts w:cstheme="minorHAnsi"/>
          <w:bCs/>
          <w:color w:val="FF0000"/>
        </w:rPr>
        <w:t xml:space="preserve"> </w:t>
      </w:r>
    </w:p>
    <w:p w14:paraId="475A1E5F" w14:textId="39465D10" w:rsidR="00A16B1F" w:rsidRPr="00316892" w:rsidRDefault="00A16B1F" w:rsidP="00D64832">
      <w:pPr>
        <w:autoSpaceDE w:val="0"/>
        <w:autoSpaceDN w:val="0"/>
        <w:adjustRightInd w:val="0"/>
        <w:spacing w:after="0" w:line="240" w:lineRule="auto"/>
        <w:rPr>
          <w:rFonts w:cstheme="minorHAnsi"/>
          <w:bCs/>
          <w:color w:val="FF0000"/>
          <w:u w:val="single"/>
        </w:rPr>
      </w:pPr>
      <w:r w:rsidRPr="00316892">
        <w:rPr>
          <w:rFonts w:cstheme="minorHAnsi"/>
          <w:bCs/>
          <w:color w:val="FF0000"/>
          <w:u w:val="single"/>
        </w:rPr>
        <w:t xml:space="preserve">Empirical </w:t>
      </w:r>
      <w:r w:rsidR="00FB0ED2">
        <w:rPr>
          <w:rFonts w:cstheme="minorHAnsi"/>
          <w:bCs/>
          <w:color w:val="FF0000"/>
          <w:u w:val="single"/>
        </w:rPr>
        <w:t xml:space="preserve">Measure Score </w:t>
      </w:r>
      <w:r w:rsidRPr="00316892">
        <w:rPr>
          <w:rFonts w:cstheme="minorHAnsi"/>
          <w:bCs/>
          <w:color w:val="FF0000"/>
          <w:u w:val="single"/>
        </w:rPr>
        <w:t>Validity</w:t>
      </w:r>
    </w:p>
    <w:p w14:paraId="56A3CB80" w14:textId="5F424864" w:rsidR="00C675E5" w:rsidRDefault="00551D3C" w:rsidP="00092566">
      <w:pPr>
        <w:autoSpaceDE w:val="0"/>
        <w:autoSpaceDN w:val="0"/>
        <w:adjustRightInd w:val="0"/>
        <w:spacing w:after="0" w:line="240" w:lineRule="auto"/>
        <w:rPr>
          <w:rFonts w:cstheme="minorHAnsi"/>
          <w:bCs/>
          <w:color w:val="FF0000"/>
        </w:rPr>
        <w:sectPr w:rsidR="00C675E5" w:rsidSect="00C675E5">
          <w:pgSz w:w="15840" w:h="12240" w:orient="landscape"/>
          <w:pgMar w:top="1440" w:right="1440" w:bottom="1440" w:left="1440" w:header="720" w:footer="720" w:gutter="0"/>
          <w:cols w:space="720"/>
          <w:docGrid w:linePitch="360"/>
        </w:sectPr>
      </w:pPr>
      <w:bookmarkStart w:id="40" w:name="_Hlk531347272"/>
      <w:bookmarkStart w:id="41" w:name="_Hlk536106933"/>
      <w:r w:rsidRPr="00551D3C">
        <w:rPr>
          <w:rFonts w:cstheme="minorHAnsi"/>
          <w:b/>
          <w:bCs/>
          <w:color w:val="00B0F0"/>
        </w:rPr>
        <w:t>Table 4</w:t>
      </w:r>
      <w:r w:rsidRPr="00551D3C">
        <w:rPr>
          <w:rFonts w:cstheme="minorHAnsi"/>
          <w:bCs/>
          <w:color w:val="00B0F0"/>
        </w:rPr>
        <w:t xml:space="preserve"> displays the specificity, sensitivity, </w:t>
      </w:r>
      <w:r>
        <w:rPr>
          <w:rFonts w:cstheme="minorHAnsi"/>
          <w:bCs/>
          <w:color w:val="00B0F0"/>
        </w:rPr>
        <w:t xml:space="preserve">kappa, </w:t>
      </w:r>
      <w:r w:rsidRPr="00551D3C">
        <w:rPr>
          <w:rFonts w:cstheme="minorHAnsi"/>
          <w:bCs/>
          <w:color w:val="00B0F0"/>
        </w:rPr>
        <w:t xml:space="preserve">and NPV in each Beta Dataset. </w:t>
      </w:r>
      <w:bookmarkEnd w:id="41"/>
      <w:r>
        <w:rPr>
          <w:rFonts w:cstheme="minorHAnsi"/>
          <w:b/>
          <w:bCs/>
          <w:color w:val="FF0000"/>
        </w:rPr>
        <w:t>Table 5</w:t>
      </w:r>
      <w:r w:rsidR="003A2C00">
        <w:rPr>
          <w:rFonts w:cstheme="minorHAnsi"/>
          <w:bCs/>
          <w:color w:val="FF0000"/>
        </w:rPr>
        <w:t xml:space="preserve"> displays the positive predictive value (PPV) in each dataset. This PPV represents the </w:t>
      </w:r>
      <w:r w:rsidR="000B5F8B">
        <w:rPr>
          <w:rFonts w:cstheme="minorHAnsi"/>
          <w:bCs/>
          <w:color w:val="FF0000"/>
        </w:rPr>
        <w:t xml:space="preserve">percent of </w:t>
      </w:r>
      <w:bookmarkStart w:id="42" w:name="_Hlk532397707"/>
      <w:r w:rsidR="000B5F8B" w:rsidRPr="00BA7FBD">
        <w:rPr>
          <w:rFonts w:cstheme="minorHAnsi"/>
          <w:bCs/>
          <w:color w:val="FF0000"/>
        </w:rPr>
        <w:t xml:space="preserve">admissions </w:t>
      </w:r>
      <w:r w:rsidR="00BA7FBD" w:rsidRPr="00BA7FBD">
        <w:rPr>
          <w:rFonts w:cstheme="minorHAnsi"/>
          <w:bCs/>
          <w:color w:val="FF0000"/>
        </w:rPr>
        <w:t xml:space="preserve">that met </w:t>
      </w:r>
      <w:r w:rsidR="000B5F8B" w:rsidRPr="00BA7FBD">
        <w:rPr>
          <w:rFonts w:cstheme="minorHAnsi"/>
          <w:bCs/>
          <w:color w:val="FF0000"/>
        </w:rPr>
        <w:t xml:space="preserve">the </w:t>
      </w:r>
      <w:r w:rsidR="00BA7FBD" w:rsidRPr="00BA7FBD">
        <w:rPr>
          <w:rFonts w:cstheme="minorHAnsi"/>
          <w:bCs/>
          <w:color w:val="FF0000"/>
        </w:rPr>
        <w:t>criteria for a harm</w:t>
      </w:r>
      <w:r w:rsidR="003A2C00" w:rsidRPr="00BA7FBD">
        <w:rPr>
          <w:rFonts w:cstheme="minorHAnsi"/>
          <w:bCs/>
          <w:color w:val="FF0000"/>
        </w:rPr>
        <w:t xml:space="preserve"> </w:t>
      </w:r>
      <w:bookmarkEnd w:id="42"/>
      <w:r w:rsidR="00BA7FBD">
        <w:rPr>
          <w:rFonts w:cstheme="minorHAnsi"/>
          <w:bCs/>
          <w:color w:val="FF0000"/>
        </w:rPr>
        <w:t xml:space="preserve">(numerator) </w:t>
      </w:r>
      <w:r w:rsidR="003A2C00" w:rsidRPr="00BA7FBD">
        <w:rPr>
          <w:rFonts w:cstheme="minorHAnsi"/>
          <w:bCs/>
          <w:color w:val="FF0000"/>
        </w:rPr>
        <w:t>in the EHR confirmed by the chart abstraction, validated by a trained clinical adju</w:t>
      </w:r>
      <w:r w:rsidR="003A2C00">
        <w:rPr>
          <w:rFonts w:cstheme="minorHAnsi"/>
          <w:bCs/>
          <w:color w:val="FF0000"/>
        </w:rPr>
        <w:t xml:space="preserve">dicator. </w:t>
      </w:r>
      <w:r w:rsidR="003A2C00">
        <w:rPr>
          <w:rFonts w:cstheme="minorHAnsi"/>
          <w:b/>
          <w:bCs/>
          <w:color w:val="FF0000"/>
        </w:rPr>
        <w:t xml:space="preserve">Alpha </w:t>
      </w:r>
      <w:r w:rsidR="003A2C00" w:rsidRPr="00316892">
        <w:rPr>
          <w:rFonts w:cstheme="minorHAnsi"/>
          <w:b/>
          <w:bCs/>
          <w:color w:val="FF0000"/>
        </w:rPr>
        <w:t>Dataset</w:t>
      </w:r>
      <w:r w:rsidR="003A2C00">
        <w:rPr>
          <w:rFonts w:cstheme="minorHAnsi"/>
          <w:bCs/>
          <w:color w:val="FF0000"/>
        </w:rPr>
        <w:t xml:space="preserve"> validated the numerator cases and not denominator cases, due to data limitations. </w:t>
      </w:r>
      <w:r w:rsidR="003A2C00">
        <w:rPr>
          <w:rFonts w:cstheme="minorHAnsi"/>
          <w:b/>
          <w:bCs/>
          <w:color w:val="FF0000"/>
        </w:rPr>
        <w:t xml:space="preserve">Beta </w:t>
      </w:r>
      <w:r w:rsidR="003A2C00" w:rsidRPr="00316892">
        <w:rPr>
          <w:rFonts w:cstheme="minorHAnsi"/>
          <w:b/>
          <w:bCs/>
          <w:color w:val="FF0000"/>
        </w:rPr>
        <w:t xml:space="preserve">Datasets </w:t>
      </w:r>
      <w:r w:rsidR="003A2C00">
        <w:rPr>
          <w:rFonts w:cstheme="minorHAnsi"/>
          <w:b/>
          <w:bCs/>
          <w:color w:val="FF0000"/>
        </w:rPr>
        <w:t>1</w:t>
      </w:r>
      <w:r w:rsidR="003A2C00" w:rsidRPr="00316892">
        <w:rPr>
          <w:rFonts w:cstheme="minorHAnsi"/>
          <w:b/>
          <w:bCs/>
          <w:color w:val="FF0000"/>
        </w:rPr>
        <w:t xml:space="preserve"> and </w:t>
      </w:r>
      <w:r w:rsidR="003A2C00">
        <w:rPr>
          <w:rFonts w:cstheme="minorHAnsi"/>
          <w:b/>
          <w:bCs/>
          <w:color w:val="FF0000"/>
        </w:rPr>
        <w:t xml:space="preserve">2 </w:t>
      </w:r>
      <w:r w:rsidR="003A2C00" w:rsidRPr="003A2C00">
        <w:rPr>
          <w:rFonts w:cstheme="minorHAnsi"/>
          <w:bCs/>
          <w:color w:val="FF0000"/>
        </w:rPr>
        <w:t>were able to validate both numerator and denominator</w:t>
      </w:r>
      <w:bookmarkEnd w:id="40"/>
      <w:r w:rsidR="00B035F3">
        <w:rPr>
          <w:rFonts w:cstheme="minorHAnsi"/>
          <w:bCs/>
          <w:color w:val="FF0000"/>
        </w:rPr>
        <w:t>.</w:t>
      </w:r>
      <w:r w:rsidR="001D5A5A">
        <w:rPr>
          <w:rFonts w:cstheme="minorHAnsi"/>
          <w:bCs/>
          <w:color w:val="FF0000"/>
        </w:rPr>
        <w:t xml:space="preserve"> </w:t>
      </w:r>
    </w:p>
    <w:p w14:paraId="7A4CB753" w14:textId="6C3BC347" w:rsidR="00551D3C" w:rsidRPr="00551D3C" w:rsidRDefault="00551D3C" w:rsidP="00551D3C">
      <w:pPr>
        <w:autoSpaceDE w:val="0"/>
        <w:autoSpaceDN w:val="0"/>
        <w:adjustRightInd w:val="0"/>
        <w:spacing w:after="0" w:line="240" w:lineRule="auto"/>
        <w:rPr>
          <w:rFonts w:cstheme="minorHAnsi"/>
          <w:b/>
          <w:bCs/>
          <w:color w:val="00B0F0"/>
        </w:rPr>
      </w:pPr>
      <w:r w:rsidRPr="00551D3C">
        <w:rPr>
          <w:rFonts w:cstheme="minorHAnsi"/>
          <w:b/>
          <w:bCs/>
          <w:color w:val="00B0F0"/>
        </w:rPr>
        <w:lastRenderedPageBreak/>
        <w:t>Table 4. Measure Score Validity Statistics for Sample Between Electronic EHR Extraction and Manual Chart Abstraction (Sensitivity, Specificity, NPV, Kappa) (Bata Datasets 1 and 2)</w:t>
      </w:r>
    </w:p>
    <w:p w14:paraId="6C21DE9D" w14:textId="77777777" w:rsidR="00551D3C" w:rsidRPr="00551D3C" w:rsidRDefault="00551D3C" w:rsidP="00551D3C">
      <w:pPr>
        <w:autoSpaceDE w:val="0"/>
        <w:autoSpaceDN w:val="0"/>
        <w:adjustRightInd w:val="0"/>
        <w:spacing w:after="0" w:line="240" w:lineRule="auto"/>
        <w:rPr>
          <w:rFonts w:cstheme="minorHAnsi"/>
          <w:bCs/>
          <w:color w:val="00B0F0"/>
        </w:rPr>
      </w:pPr>
    </w:p>
    <w:tbl>
      <w:tblPr>
        <w:tblStyle w:val="TableGrid"/>
        <w:tblW w:w="10255" w:type="dxa"/>
        <w:tblLayout w:type="fixed"/>
        <w:tblLook w:val="04A0" w:firstRow="1" w:lastRow="0" w:firstColumn="1" w:lastColumn="0" w:noHBand="0" w:noVBand="1"/>
      </w:tblPr>
      <w:tblGrid>
        <w:gridCol w:w="1525"/>
        <w:gridCol w:w="1260"/>
        <w:gridCol w:w="1170"/>
        <w:gridCol w:w="1343"/>
        <w:gridCol w:w="708"/>
        <w:gridCol w:w="1160"/>
        <w:gridCol w:w="1146"/>
        <w:gridCol w:w="1133"/>
        <w:gridCol w:w="810"/>
      </w:tblGrid>
      <w:tr w:rsidR="00244184" w:rsidRPr="00860D4B" w14:paraId="28B7659C" w14:textId="77777777" w:rsidTr="004726B2">
        <w:trPr>
          <w:trHeight w:val="321"/>
        </w:trPr>
        <w:tc>
          <w:tcPr>
            <w:tcW w:w="1525" w:type="dxa"/>
            <w:vMerge w:val="restart"/>
            <w:vAlign w:val="center"/>
          </w:tcPr>
          <w:p w14:paraId="6C11BE3A" w14:textId="77777777" w:rsidR="00244184" w:rsidRPr="00860D4B" w:rsidRDefault="00244184" w:rsidP="000B655F">
            <w:pPr>
              <w:autoSpaceDE w:val="0"/>
              <w:autoSpaceDN w:val="0"/>
              <w:adjustRightInd w:val="0"/>
              <w:jc w:val="center"/>
              <w:rPr>
                <w:rFonts w:cstheme="minorHAnsi"/>
                <w:b/>
                <w:bCs/>
                <w:color w:val="00B0F0"/>
              </w:rPr>
            </w:pPr>
            <w:r w:rsidRPr="00860D4B">
              <w:rPr>
                <w:rFonts w:cstheme="minorHAnsi"/>
                <w:b/>
                <w:bCs/>
                <w:color w:val="00B0F0"/>
              </w:rPr>
              <w:t>Measure</w:t>
            </w:r>
          </w:p>
        </w:tc>
        <w:tc>
          <w:tcPr>
            <w:tcW w:w="4481" w:type="dxa"/>
            <w:gridSpan w:val="4"/>
          </w:tcPr>
          <w:p w14:paraId="7FBBAA75" w14:textId="77777777" w:rsidR="00244184" w:rsidRPr="00860D4B" w:rsidRDefault="00244184" w:rsidP="000B655F">
            <w:pPr>
              <w:autoSpaceDE w:val="0"/>
              <w:autoSpaceDN w:val="0"/>
              <w:adjustRightInd w:val="0"/>
              <w:jc w:val="center"/>
              <w:rPr>
                <w:rFonts w:cstheme="minorHAnsi"/>
                <w:b/>
                <w:bCs/>
                <w:color w:val="00B0F0"/>
              </w:rPr>
            </w:pPr>
            <w:r w:rsidRPr="00860D4B">
              <w:rPr>
                <w:rFonts w:cstheme="minorHAnsi"/>
                <w:b/>
                <w:bCs/>
                <w:color w:val="00B0F0"/>
              </w:rPr>
              <w:t>Beta Dataset 1</w:t>
            </w:r>
          </w:p>
        </w:tc>
        <w:tc>
          <w:tcPr>
            <w:tcW w:w="4249" w:type="dxa"/>
            <w:gridSpan w:val="4"/>
          </w:tcPr>
          <w:p w14:paraId="5D874037" w14:textId="77777777" w:rsidR="00244184" w:rsidRPr="00860D4B" w:rsidRDefault="00244184" w:rsidP="000B655F">
            <w:pPr>
              <w:autoSpaceDE w:val="0"/>
              <w:autoSpaceDN w:val="0"/>
              <w:adjustRightInd w:val="0"/>
              <w:jc w:val="center"/>
              <w:rPr>
                <w:rFonts w:cstheme="minorHAnsi"/>
                <w:b/>
                <w:bCs/>
                <w:color w:val="00B0F0"/>
              </w:rPr>
            </w:pPr>
            <w:r w:rsidRPr="00860D4B">
              <w:rPr>
                <w:rFonts w:cstheme="minorHAnsi"/>
                <w:b/>
                <w:bCs/>
                <w:color w:val="00B0F0"/>
              </w:rPr>
              <w:t>Beta Dataset 2</w:t>
            </w:r>
          </w:p>
        </w:tc>
      </w:tr>
      <w:tr w:rsidR="00244184" w:rsidRPr="00860D4B" w14:paraId="56D1B960" w14:textId="77777777" w:rsidTr="004726B2">
        <w:trPr>
          <w:trHeight w:val="320"/>
        </w:trPr>
        <w:tc>
          <w:tcPr>
            <w:tcW w:w="1525" w:type="dxa"/>
            <w:vMerge/>
            <w:vAlign w:val="center"/>
          </w:tcPr>
          <w:p w14:paraId="1EC1CD2B" w14:textId="77777777" w:rsidR="00244184" w:rsidRPr="00860D4B" w:rsidRDefault="00244184" w:rsidP="000B655F">
            <w:pPr>
              <w:autoSpaceDE w:val="0"/>
              <w:autoSpaceDN w:val="0"/>
              <w:adjustRightInd w:val="0"/>
              <w:jc w:val="center"/>
              <w:rPr>
                <w:rFonts w:cstheme="minorHAnsi"/>
                <w:b/>
                <w:bCs/>
                <w:color w:val="00B0F0"/>
              </w:rPr>
            </w:pPr>
          </w:p>
        </w:tc>
        <w:tc>
          <w:tcPr>
            <w:tcW w:w="1260" w:type="dxa"/>
          </w:tcPr>
          <w:p w14:paraId="0BE8A6A4"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Sensitivity</w:t>
            </w:r>
          </w:p>
        </w:tc>
        <w:tc>
          <w:tcPr>
            <w:tcW w:w="1170" w:type="dxa"/>
          </w:tcPr>
          <w:p w14:paraId="774DA802"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Specificity</w:t>
            </w:r>
          </w:p>
        </w:tc>
        <w:tc>
          <w:tcPr>
            <w:tcW w:w="1343" w:type="dxa"/>
          </w:tcPr>
          <w:p w14:paraId="79334B09"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Kapa (95% CI)</w:t>
            </w:r>
          </w:p>
        </w:tc>
        <w:tc>
          <w:tcPr>
            <w:tcW w:w="708" w:type="dxa"/>
          </w:tcPr>
          <w:p w14:paraId="3FD29147"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NPV</w:t>
            </w:r>
          </w:p>
        </w:tc>
        <w:tc>
          <w:tcPr>
            <w:tcW w:w="1160" w:type="dxa"/>
          </w:tcPr>
          <w:p w14:paraId="0C1C381F"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Sensitivity</w:t>
            </w:r>
          </w:p>
        </w:tc>
        <w:tc>
          <w:tcPr>
            <w:tcW w:w="1146" w:type="dxa"/>
          </w:tcPr>
          <w:p w14:paraId="31A1C33F"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Specificity</w:t>
            </w:r>
          </w:p>
        </w:tc>
        <w:tc>
          <w:tcPr>
            <w:tcW w:w="1133" w:type="dxa"/>
          </w:tcPr>
          <w:p w14:paraId="25CC1464"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Kappa (95% CI)</w:t>
            </w:r>
          </w:p>
        </w:tc>
        <w:tc>
          <w:tcPr>
            <w:tcW w:w="810" w:type="dxa"/>
          </w:tcPr>
          <w:p w14:paraId="21370544" w14:textId="77777777" w:rsidR="00244184" w:rsidRPr="00860D4B" w:rsidRDefault="00244184" w:rsidP="000B655F">
            <w:pPr>
              <w:autoSpaceDE w:val="0"/>
              <w:autoSpaceDN w:val="0"/>
              <w:adjustRightInd w:val="0"/>
              <w:rPr>
                <w:rFonts w:cstheme="minorHAnsi"/>
                <w:b/>
                <w:bCs/>
                <w:color w:val="00B0F0"/>
              </w:rPr>
            </w:pPr>
            <w:r w:rsidRPr="00860D4B">
              <w:rPr>
                <w:rFonts w:cstheme="minorHAnsi"/>
                <w:b/>
                <w:bCs/>
                <w:color w:val="00B0F0"/>
              </w:rPr>
              <w:t>NPV</w:t>
            </w:r>
          </w:p>
        </w:tc>
      </w:tr>
      <w:tr w:rsidR="00244184" w:rsidRPr="00860D4B" w14:paraId="102CBD0D" w14:textId="77777777" w:rsidTr="004726B2">
        <w:trPr>
          <w:trHeight w:val="262"/>
        </w:trPr>
        <w:tc>
          <w:tcPr>
            <w:tcW w:w="1525" w:type="dxa"/>
            <w:noWrap/>
          </w:tcPr>
          <w:p w14:paraId="46C17024" w14:textId="7686D8F4" w:rsidR="00244184" w:rsidRPr="00860D4B" w:rsidRDefault="00244184" w:rsidP="000B655F">
            <w:pPr>
              <w:autoSpaceDE w:val="0"/>
              <w:autoSpaceDN w:val="0"/>
              <w:adjustRightInd w:val="0"/>
              <w:rPr>
                <w:rFonts w:cstheme="minorHAnsi"/>
                <w:bCs/>
                <w:color w:val="00B0F0"/>
              </w:rPr>
            </w:pPr>
            <w:r>
              <w:rPr>
                <w:rFonts w:cstheme="minorHAnsi"/>
                <w:bCs/>
                <w:color w:val="00B0F0"/>
              </w:rPr>
              <w:t>Severe Hypoglycemia</w:t>
            </w:r>
          </w:p>
        </w:tc>
        <w:tc>
          <w:tcPr>
            <w:tcW w:w="1260" w:type="dxa"/>
            <w:vAlign w:val="center"/>
          </w:tcPr>
          <w:p w14:paraId="05F7EDDF" w14:textId="2C11E655" w:rsidR="00244184" w:rsidRPr="00860D4B" w:rsidRDefault="00244184" w:rsidP="000B655F">
            <w:pPr>
              <w:autoSpaceDE w:val="0"/>
              <w:autoSpaceDN w:val="0"/>
              <w:adjustRightInd w:val="0"/>
              <w:jc w:val="center"/>
              <w:rPr>
                <w:rFonts w:cstheme="minorHAnsi"/>
                <w:bCs/>
                <w:color w:val="00B0F0"/>
              </w:rPr>
            </w:pPr>
            <w:r w:rsidRPr="00860D4B">
              <w:rPr>
                <w:rFonts w:cstheme="minorHAnsi"/>
                <w:bCs/>
                <w:color w:val="00B0F0"/>
              </w:rPr>
              <w:t>1</w:t>
            </w:r>
            <w:r w:rsidR="009111D5">
              <w:rPr>
                <w:rFonts w:cstheme="minorHAnsi"/>
                <w:bCs/>
                <w:color w:val="00B0F0"/>
              </w:rPr>
              <w:t>00%</w:t>
            </w:r>
          </w:p>
        </w:tc>
        <w:tc>
          <w:tcPr>
            <w:tcW w:w="1170" w:type="dxa"/>
            <w:vAlign w:val="center"/>
          </w:tcPr>
          <w:p w14:paraId="136D40DB" w14:textId="7F42A9A1" w:rsidR="00244184" w:rsidRPr="00860D4B" w:rsidRDefault="00244184" w:rsidP="000B655F">
            <w:pPr>
              <w:autoSpaceDE w:val="0"/>
              <w:autoSpaceDN w:val="0"/>
              <w:adjustRightInd w:val="0"/>
              <w:jc w:val="center"/>
              <w:rPr>
                <w:rFonts w:cstheme="minorHAnsi"/>
                <w:bCs/>
                <w:color w:val="00B0F0"/>
              </w:rPr>
            </w:pPr>
            <w:r>
              <w:rPr>
                <w:rFonts w:cstheme="minorHAnsi"/>
                <w:bCs/>
                <w:color w:val="00B0F0"/>
              </w:rPr>
              <w:t>95</w:t>
            </w:r>
            <w:r w:rsidR="009111D5">
              <w:rPr>
                <w:rFonts w:cstheme="minorHAnsi"/>
                <w:bCs/>
                <w:color w:val="00B0F0"/>
              </w:rPr>
              <w:t>%</w:t>
            </w:r>
          </w:p>
        </w:tc>
        <w:tc>
          <w:tcPr>
            <w:tcW w:w="1343" w:type="dxa"/>
          </w:tcPr>
          <w:p w14:paraId="615DD7EA" w14:textId="097608C0" w:rsidR="00244184" w:rsidRPr="00860D4B" w:rsidRDefault="00244184" w:rsidP="000B655F">
            <w:pPr>
              <w:autoSpaceDE w:val="0"/>
              <w:autoSpaceDN w:val="0"/>
              <w:adjustRightInd w:val="0"/>
              <w:jc w:val="center"/>
              <w:rPr>
                <w:rFonts w:cstheme="minorHAnsi"/>
                <w:bCs/>
                <w:color w:val="00B0F0"/>
              </w:rPr>
            </w:pPr>
            <w:r>
              <w:rPr>
                <w:rFonts w:cstheme="minorHAnsi"/>
                <w:bCs/>
                <w:color w:val="00B0F0"/>
              </w:rPr>
              <w:t>0.95 (0.91, 1.0)</w:t>
            </w:r>
          </w:p>
        </w:tc>
        <w:tc>
          <w:tcPr>
            <w:tcW w:w="708" w:type="dxa"/>
            <w:vAlign w:val="center"/>
          </w:tcPr>
          <w:p w14:paraId="68311B59" w14:textId="5F7BEE17" w:rsidR="00244184" w:rsidRPr="00860D4B" w:rsidRDefault="00244184" w:rsidP="000B655F">
            <w:pPr>
              <w:autoSpaceDE w:val="0"/>
              <w:autoSpaceDN w:val="0"/>
              <w:adjustRightInd w:val="0"/>
              <w:jc w:val="center"/>
              <w:rPr>
                <w:rFonts w:cstheme="minorHAnsi"/>
                <w:bCs/>
                <w:color w:val="00B0F0"/>
              </w:rPr>
            </w:pPr>
            <w:r w:rsidRPr="00860D4B">
              <w:rPr>
                <w:rFonts w:cstheme="minorHAnsi"/>
                <w:bCs/>
                <w:color w:val="00B0F0"/>
              </w:rPr>
              <w:t>1</w:t>
            </w:r>
            <w:r w:rsidR="009111D5">
              <w:rPr>
                <w:rFonts w:cstheme="minorHAnsi"/>
                <w:bCs/>
                <w:color w:val="00B0F0"/>
              </w:rPr>
              <w:t>00%</w:t>
            </w:r>
          </w:p>
        </w:tc>
        <w:tc>
          <w:tcPr>
            <w:tcW w:w="1160" w:type="dxa"/>
            <w:vAlign w:val="center"/>
          </w:tcPr>
          <w:p w14:paraId="3EF32263" w14:textId="757D6B91" w:rsidR="00244184" w:rsidRPr="00860D4B" w:rsidRDefault="00244184" w:rsidP="000B655F">
            <w:pPr>
              <w:autoSpaceDE w:val="0"/>
              <w:autoSpaceDN w:val="0"/>
              <w:adjustRightInd w:val="0"/>
              <w:jc w:val="center"/>
              <w:rPr>
                <w:rFonts w:cstheme="minorHAnsi"/>
                <w:bCs/>
                <w:color w:val="00B0F0"/>
              </w:rPr>
            </w:pPr>
            <w:r w:rsidRPr="00860D4B">
              <w:rPr>
                <w:rFonts w:cstheme="minorHAnsi"/>
                <w:bCs/>
                <w:color w:val="00B0F0"/>
              </w:rPr>
              <w:t>1</w:t>
            </w:r>
            <w:r w:rsidR="009111D5">
              <w:rPr>
                <w:rFonts w:cstheme="minorHAnsi"/>
                <w:bCs/>
                <w:color w:val="00B0F0"/>
              </w:rPr>
              <w:t>00%</w:t>
            </w:r>
          </w:p>
        </w:tc>
        <w:tc>
          <w:tcPr>
            <w:tcW w:w="1146" w:type="dxa"/>
            <w:vAlign w:val="center"/>
          </w:tcPr>
          <w:p w14:paraId="107B0FE0" w14:textId="6A8EDC6D" w:rsidR="00244184" w:rsidRPr="00860D4B" w:rsidRDefault="00244184" w:rsidP="000B655F">
            <w:pPr>
              <w:autoSpaceDE w:val="0"/>
              <w:autoSpaceDN w:val="0"/>
              <w:adjustRightInd w:val="0"/>
              <w:jc w:val="center"/>
              <w:rPr>
                <w:rFonts w:cstheme="minorHAnsi"/>
                <w:bCs/>
                <w:color w:val="00B0F0"/>
              </w:rPr>
            </w:pPr>
            <w:r>
              <w:rPr>
                <w:rFonts w:cstheme="minorHAnsi"/>
                <w:bCs/>
                <w:color w:val="00B0F0"/>
              </w:rPr>
              <w:t>94</w:t>
            </w:r>
            <w:r w:rsidR="009111D5">
              <w:rPr>
                <w:rFonts w:cstheme="minorHAnsi"/>
                <w:bCs/>
                <w:color w:val="00B0F0"/>
              </w:rPr>
              <w:t>%</w:t>
            </w:r>
          </w:p>
        </w:tc>
        <w:tc>
          <w:tcPr>
            <w:tcW w:w="1133" w:type="dxa"/>
          </w:tcPr>
          <w:p w14:paraId="5C1CCB08" w14:textId="3634A862" w:rsidR="00244184" w:rsidRPr="00860D4B" w:rsidRDefault="00244184" w:rsidP="000B655F">
            <w:pPr>
              <w:autoSpaceDE w:val="0"/>
              <w:autoSpaceDN w:val="0"/>
              <w:adjustRightInd w:val="0"/>
              <w:jc w:val="center"/>
              <w:rPr>
                <w:rFonts w:cstheme="minorHAnsi"/>
                <w:bCs/>
                <w:color w:val="00B0F0"/>
              </w:rPr>
            </w:pPr>
            <w:r>
              <w:rPr>
                <w:rFonts w:cstheme="minorHAnsi"/>
                <w:bCs/>
                <w:color w:val="00B0F0"/>
              </w:rPr>
              <w:t>0.94 (0.89</w:t>
            </w:r>
            <w:r w:rsidRPr="00860D4B">
              <w:rPr>
                <w:rFonts w:cstheme="minorHAnsi"/>
                <w:bCs/>
                <w:color w:val="00B0F0"/>
              </w:rPr>
              <w:t>, 1</w:t>
            </w:r>
            <w:r>
              <w:rPr>
                <w:rFonts w:cstheme="minorHAnsi"/>
                <w:bCs/>
                <w:color w:val="00B0F0"/>
              </w:rPr>
              <w:t>.0</w:t>
            </w:r>
            <w:r w:rsidRPr="00860D4B">
              <w:rPr>
                <w:rFonts w:cstheme="minorHAnsi"/>
                <w:bCs/>
                <w:color w:val="00B0F0"/>
              </w:rPr>
              <w:t>)</w:t>
            </w:r>
          </w:p>
        </w:tc>
        <w:tc>
          <w:tcPr>
            <w:tcW w:w="810" w:type="dxa"/>
            <w:vAlign w:val="center"/>
          </w:tcPr>
          <w:p w14:paraId="57A5D6C2" w14:textId="08503B06" w:rsidR="00244184" w:rsidRPr="00860D4B" w:rsidRDefault="00244184" w:rsidP="000B655F">
            <w:pPr>
              <w:autoSpaceDE w:val="0"/>
              <w:autoSpaceDN w:val="0"/>
              <w:adjustRightInd w:val="0"/>
              <w:jc w:val="center"/>
              <w:rPr>
                <w:rFonts w:cstheme="minorHAnsi"/>
                <w:bCs/>
                <w:color w:val="00B0F0"/>
              </w:rPr>
            </w:pPr>
            <w:r w:rsidRPr="00860D4B">
              <w:rPr>
                <w:rFonts w:cstheme="minorHAnsi"/>
                <w:bCs/>
                <w:color w:val="00B0F0"/>
              </w:rPr>
              <w:t>1</w:t>
            </w:r>
            <w:r w:rsidR="009111D5">
              <w:rPr>
                <w:rFonts w:cstheme="minorHAnsi"/>
                <w:bCs/>
                <w:color w:val="00B0F0"/>
              </w:rPr>
              <w:t>00%</w:t>
            </w:r>
          </w:p>
        </w:tc>
      </w:tr>
    </w:tbl>
    <w:p w14:paraId="3CF66016" w14:textId="77777777" w:rsidR="00551D3C" w:rsidRDefault="00551D3C" w:rsidP="00052239">
      <w:pPr>
        <w:pStyle w:val="Caption"/>
        <w:rPr>
          <w:rFonts w:cstheme="minorHAnsi"/>
          <w:bCs/>
        </w:rPr>
      </w:pPr>
    </w:p>
    <w:p w14:paraId="4F70C081" w14:textId="7AF98C58" w:rsidR="00E358CA" w:rsidRPr="003A2C00" w:rsidRDefault="000C79C7" w:rsidP="00052239">
      <w:pPr>
        <w:pStyle w:val="Caption"/>
        <w:rPr>
          <w:rFonts w:cstheme="minorHAnsi"/>
          <w:bCs/>
        </w:rPr>
      </w:pPr>
      <w:r w:rsidRPr="003A2C00">
        <w:rPr>
          <w:rFonts w:cstheme="minorHAnsi"/>
          <w:bCs/>
        </w:rPr>
        <w:t>T</w:t>
      </w:r>
      <w:r w:rsidR="00551D3C">
        <w:rPr>
          <w:rFonts w:cstheme="minorHAnsi"/>
          <w:bCs/>
        </w:rPr>
        <w:t>able 5</w:t>
      </w:r>
      <w:r w:rsidR="00E358CA" w:rsidRPr="003A2C00">
        <w:rPr>
          <w:rFonts w:cstheme="minorHAnsi"/>
          <w:bCs/>
        </w:rPr>
        <w:t xml:space="preserve">. </w:t>
      </w:r>
      <w:r w:rsidR="00892674">
        <w:rPr>
          <w:rFonts w:cstheme="minorHAnsi"/>
          <w:bCs/>
        </w:rPr>
        <w:t>Measure Score V</w:t>
      </w:r>
      <w:r w:rsidR="00AC4CFF" w:rsidRPr="003A2C00">
        <w:t xml:space="preserve">alidity </w:t>
      </w:r>
      <w:r w:rsidR="00892674">
        <w:t>Statistics for Sample Between Electronic EHR Extraction and Manual Chart A</w:t>
      </w:r>
      <w:r w:rsidR="00807296" w:rsidRPr="003A2C00">
        <w:t>bstraction</w:t>
      </w:r>
      <w:r w:rsidR="00C222E0">
        <w:t xml:space="preserve"> (PPV)</w:t>
      </w:r>
      <w:r w:rsidR="00807296" w:rsidRPr="003A2C00">
        <w:t xml:space="preserve"> (</w:t>
      </w:r>
      <w:r w:rsidR="003A2C00">
        <w:t xml:space="preserve">Alpha Dataset, </w:t>
      </w:r>
      <w:r w:rsidR="00D7764B" w:rsidRPr="003A2C00">
        <w:t xml:space="preserve">Beta </w:t>
      </w:r>
      <w:r w:rsidR="00807296" w:rsidRPr="003A2C00">
        <w:t>Dataset</w:t>
      </w:r>
      <w:r w:rsidR="0036748D" w:rsidRPr="003A2C00">
        <w:t>s</w:t>
      </w:r>
      <w:r w:rsidR="004635B9" w:rsidRPr="003A2C00">
        <w:t xml:space="preserve"> </w:t>
      </w:r>
      <w:r w:rsidR="00D7764B" w:rsidRPr="003A2C00">
        <w:t xml:space="preserve">1 </w:t>
      </w:r>
      <w:r w:rsidR="004635B9" w:rsidRPr="003A2C00">
        <w:t xml:space="preserve">and </w:t>
      </w:r>
      <w:r w:rsidR="00D7764B" w:rsidRPr="003A2C00">
        <w:t>2</w:t>
      </w:r>
      <w:r w:rsidR="00807296" w:rsidRPr="003A2C00">
        <w:t>)</w:t>
      </w:r>
    </w:p>
    <w:tbl>
      <w:tblPr>
        <w:tblStyle w:val="TableGrid"/>
        <w:tblW w:w="9535" w:type="dxa"/>
        <w:tblLook w:val="04A0" w:firstRow="1" w:lastRow="0" w:firstColumn="1" w:lastColumn="0" w:noHBand="0" w:noVBand="1"/>
      </w:tblPr>
      <w:tblGrid>
        <w:gridCol w:w="2944"/>
        <w:gridCol w:w="2181"/>
        <w:gridCol w:w="2250"/>
        <w:gridCol w:w="2160"/>
      </w:tblGrid>
      <w:tr w:rsidR="003A2C00" w:rsidRPr="003A2C00" w14:paraId="6E97FACF" w14:textId="7D5DDD31" w:rsidTr="003A2C00">
        <w:trPr>
          <w:trHeight w:val="269"/>
        </w:trPr>
        <w:tc>
          <w:tcPr>
            <w:tcW w:w="2944" w:type="dxa"/>
            <w:vMerge w:val="restart"/>
            <w:vAlign w:val="center"/>
          </w:tcPr>
          <w:p w14:paraId="154FB300" w14:textId="3F88C6A0" w:rsidR="003A2C00" w:rsidRPr="003A2C00" w:rsidRDefault="00E61713" w:rsidP="00A67929">
            <w:pPr>
              <w:autoSpaceDE w:val="0"/>
              <w:autoSpaceDN w:val="0"/>
              <w:adjustRightInd w:val="0"/>
              <w:jc w:val="center"/>
              <w:rPr>
                <w:rFonts w:cstheme="minorHAnsi"/>
                <w:b/>
                <w:bCs/>
                <w:color w:val="FF0000"/>
              </w:rPr>
            </w:pPr>
            <w:r>
              <w:rPr>
                <w:rFonts w:cstheme="minorHAnsi"/>
                <w:b/>
                <w:bCs/>
                <w:color w:val="FF0000"/>
              </w:rPr>
              <w:t>Measure Component</w:t>
            </w:r>
          </w:p>
        </w:tc>
        <w:tc>
          <w:tcPr>
            <w:tcW w:w="2181" w:type="dxa"/>
            <w:vMerge w:val="restart"/>
          </w:tcPr>
          <w:p w14:paraId="1C9A8E1B" w14:textId="4B8F45AB" w:rsidR="003A2C00" w:rsidRPr="003A2C00" w:rsidRDefault="003A2C00" w:rsidP="00562A46">
            <w:pPr>
              <w:autoSpaceDE w:val="0"/>
              <w:autoSpaceDN w:val="0"/>
              <w:adjustRightInd w:val="0"/>
              <w:jc w:val="center"/>
              <w:rPr>
                <w:rFonts w:cstheme="minorHAnsi"/>
                <w:b/>
                <w:bCs/>
                <w:color w:val="FF0000"/>
              </w:rPr>
            </w:pPr>
            <w:r w:rsidRPr="003A2C00">
              <w:rPr>
                <w:rFonts w:cstheme="minorHAnsi"/>
                <w:b/>
                <w:bCs/>
                <w:color w:val="FF0000"/>
              </w:rPr>
              <w:t>Alpha Dataset PPV</w:t>
            </w:r>
          </w:p>
        </w:tc>
        <w:tc>
          <w:tcPr>
            <w:tcW w:w="2250" w:type="dxa"/>
            <w:vMerge w:val="restart"/>
          </w:tcPr>
          <w:p w14:paraId="007319DA" w14:textId="4E9D09CF" w:rsidR="003A2C00" w:rsidRPr="003A2C00" w:rsidRDefault="003A2C00" w:rsidP="00562A46">
            <w:pPr>
              <w:autoSpaceDE w:val="0"/>
              <w:autoSpaceDN w:val="0"/>
              <w:adjustRightInd w:val="0"/>
              <w:jc w:val="center"/>
              <w:rPr>
                <w:rFonts w:cstheme="minorHAnsi"/>
                <w:b/>
                <w:bCs/>
                <w:color w:val="FF0000"/>
              </w:rPr>
            </w:pPr>
            <w:r w:rsidRPr="003A2C00">
              <w:rPr>
                <w:rFonts w:cstheme="minorHAnsi"/>
                <w:b/>
                <w:bCs/>
                <w:color w:val="FF0000"/>
              </w:rPr>
              <w:t>Beta Dataset 1</w:t>
            </w:r>
            <w:r>
              <w:rPr>
                <w:rFonts w:cstheme="minorHAnsi"/>
                <w:b/>
                <w:bCs/>
                <w:color w:val="FF0000"/>
              </w:rPr>
              <w:t xml:space="preserve"> PPV</w:t>
            </w:r>
          </w:p>
        </w:tc>
        <w:tc>
          <w:tcPr>
            <w:tcW w:w="2160" w:type="dxa"/>
            <w:vMerge w:val="restart"/>
          </w:tcPr>
          <w:p w14:paraId="24B5C0E9" w14:textId="563CE2C9" w:rsidR="003A2C00" w:rsidRPr="003A2C00" w:rsidRDefault="003A2C00" w:rsidP="00562A46">
            <w:pPr>
              <w:autoSpaceDE w:val="0"/>
              <w:autoSpaceDN w:val="0"/>
              <w:adjustRightInd w:val="0"/>
              <w:jc w:val="center"/>
              <w:rPr>
                <w:rFonts w:cstheme="minorHAnsi"/>
                <w:b/>
                <w:bCs/>
                <w:color w:val="FF0000"/>
              </w:rPr>
            </w:pPr>
            <w:r w:rsidRPr="003A2C00">
              <w:rPr>
                <w:rFonts w:cstheme="minorHAnsi"/>
                <w:b/>
                <w:bCs/>
                <w:color w:val="FF0000"/>
              </w:rPr>
              <w:t>Beta Dataset 2</w:t>
            </w:r>
            <w:r>
              <w:rPr>
                <w:rFonts w:cstheme="minorHAnsi"/>
                <w:b/>
                <w:bCs/>
                <w:color w:val="FF0000"/>
              </w:rPr>
              <w:t xml:space="preserve"> PPV</w:t>
            </w:r>
          </w:p>
        </w:tc>
      </w:tr>
      <w:tr w:rsidR="003A2C00" w:rsidRPr="003A2C00" w14:paraId="20C9AAA4" w14:textId="131D3C4C" w:rsidTr="003A2C00">
        <w:trPr>
          <w:trHeight w:val="450"/>
        </w:trPr>
        <w:tc>
          <w:tcPr>
            <w:tcW w:w="2944" w:type="dxa"/>
            <w:vMerge/>
            <w:hideMark/>
          </w:tcPr>
          <w:p w14:paraId="6AFA34A3" w14:textId="5DA3BF92" w:rsidR="003A2C00" w:rsidRPr="003A2C00" w:rsidRDefault="003A2C00" w:rsidP="00E517D1">
            <w:pPr>
              <w:autoSpaceDE w:val="0"/>
              <w:autoSpaceDN w:val="0"/>
              <w:adjustRightInd w:val="0"/>
              <w:jc w:val="center"/>
              <w:rPr>
                <w:rFonts w:cstheme="minorHAnsi"/>
                <w:b/>
                <w:bCs/>
                <w:color w:val="FF0000"/>
              </w:rPr>
            </w:pPr>
          </w:p>
        </w:tc>
        <w:tc>
          <w:tcPr>
            <w:tcW w:w="2181" w:type="dxa"/>
            <w:vMerge/>
          </w:tcPr>
          <w:p w14:paraId="6FD05684" w14:textId="77777777" w:rsidR="003A2C00" w:rsidRPr="003A2C00" w:rsidRDefault="003A2C00" w:rsidP="00E517D1">
            <w:pPr>
              <w:autoSpaceDE w:val="0"/>
              <w:autoSpaceDN w:val="0"/>
              <w:adjustRightInd w:val="0"/>
              <w:jc w:val="center"/>
              <w:rPr>
                <w:rFonts w:cstheme="minorHAnsi"/>
                <w:b/>
                <w:bCs/>
                <w:color w:val="FF0000"/>
              </w:rPr>
            </w:pPr>
          </w:p>
        </w:tc>
        <w:tc>
          <w:tcPr>
            <w:tcW w:w="2250" w:type="dxa"/>
            <w:vMerge/>
          </w:tcPr>
          <w:p w14:paraId="32B1106A" w14:textId="77777777" w:rsidR="003A2C00" w:rsidRPr="003A2C00" w:rsidRDefault="003A2C00" w:rsidP="00E517D1">
            <w:pPr>
              <w:autoSpaceDE w:val="0"/>
              <w:autoSpaceDN w:val="0"/>
              <w:adjustRightInd w:val="0"/>
              <w:jc w:val="center"/>
              <w:rPr>
                <w:rFonts w:cstheme="minorHAnsi"/>
                <w:b/>
                <w:bCs/>
                <w:color w:val="FF0000"/>
              </w:rPr>
            </w:pPr>
          </w:p>
        </w:tc>
        <w:tc>
          <w:tcPr>
            <w:tcW w:w="2160" w:type="dxa"/>
            <w:vMerge/>
          </w:tcPr>
          <w:p w14:paraId="52E5E7A7" w14:textId="77777777" w:rsidR="003A2C00" w:rsidRPr="003A2C00" w:rsidRDefault="003A2C00" w:rsidP="00E517D1">
            <w:pPr>
              <w:autoSpaceDE w:val="0"/>
              <w:autoSpaceDN w:val="0"/>
              <w:adjustRightInd w:val="0"/>
              <w:jc w:val="center"/>
              <w:rPr>
                <w:rFonts w:cstheme="minorHAnsi"/>
                <w:b/>
                <w:bCs/>
                <w:color w:val="FF0000"/>
              </w:rPr>
            </w:pPr>
          </w:p>
        </w:tc>
      </w:tr>
      <w:tr w:rsidR="003A2C00" w:rsidRPr="003A2C00" w14:paraId="23392622" w14:textId="600D8516" w:rsidTr="003A2C00">
        <w:trPr>
          <w:trHeight w:val="300"/>
        </w:trPr>
        <w:tc>
          <w:tcPr>
            <w:tcW w:w="2944" w:type="dxa"/>
            <w:hideMark/>
          </w:tcPr>
          <w:p w14:paraId="73A42A18" w14:textId="496974A5"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Initial patient population/ Denominator</w:t>
            </w:r>
          </w:p>
        </w:tc>
        <w:tc>
          <w:tcPr>
            <w:tcW w:w="2181" w:type="dxa"/>
          </w:tcPr>
          <w:p w14:paraId="14A3A1FA" w14:textId="674E9ACD"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N/A</w:t>
            </w:r>
          </w:p>
        </w:tc>
        <w:tc>
          <w:tcPr>
            <w:tcW w:w="2250" w:type="dxa"/>
            <w:vAlign w:val="center"/>
          </w:tcPr>
          <w:p w14:paraId="2E84614A" w14:textId="0E28E4A7"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100.0%</w:t>
            </w:r>
          </w:p>
        </w:tc>
        <w:tc>
          <w:tcPr>
            <w:tcW w:w="2160" w:type="dxa"/>
            <w:vAlign w:val="center"/>
          </w:tcPr>
          <w:p w14:paraId="40A91D7D" w14:textId="682E17EB"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98.9%</w:t>
            </w:r>
          </w:p>
        </w:tc>
      </w:tr>
      <w:tr w:rsidR="003A2C00" w:rsidRPr="003A2C00" w14:paraId="34CC4454" w14:textId="4A713E55" w:rsidTr="003A2C00">
        <w:trPr>
          <w:trHeight w:val="300"/>
        </w:trPr>
        <w:tc>
          <w:tcPr>
            <w:tcW w:w="2944" w:type="dxa"/>
            <w:noWrap/>
          </w:tcPr>
          <w:p w14:paraId="0D026499" w14:textId="44502D9D"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Numerator</w:t>
            </w:r>
          </w:p>
        </w:tc>
        <w:tc>
          <w:tcPr>
            <w:tcW w:w="2181" w:type="dxa"/>
          </w:tcPr>
          <w:p w14:paraId="0ED88C50" w14:textId="6464D79C"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99.2%</w:t>
            </w:r>
          </w:p>
        </w:tc>
        <w:tc>
          <w:tcPr>
            <w:tcW w:w="2250" w:type="dxa"/>
            <w:vAlign w:val="center"/>
          </w:tcPr>
          <w:p w14:paraId="1F7E1599" w14:textId="51D893D6"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95.9%</w:t>
            </w:r>
          </w:p>
        </w:tc>
        <w:tc>
          <w:tcPr>
            <w:tcW w:w="2160" w:type="dxa"/>
            <w:vAlign w:val="center"/>
          </w:tcPr>
          <w:p w14:paraId="658E2990" w14:textId="4B587A72" w:rsidR="003A2C00" w:rsidRPr="003A2C00" w:rsidRDefault="003A2C00" w:rsidP="003A2C00">
            <w:pPr>
              <w:autoSpaceDE w:val="0"/>
              <w:autoSpaceDN w:val="0"/>
              <w:adjustRightInd w:val="0"/>
              <w:rPr>
                <w:rFonts w:cstheme="minorHAnsi"/>
                <w:bCs/>
                <w:color w:val="FF0000"/>
              </w:rPr>
            </w:pPr>
            <w:r w:rsidRPr="003A2C00">
              <w:rPr>
                <w:rFonts w:cstheme="minorHAnsi"/>
                <w:bCs/>
                <w:color w:val="FF0000"/>
              </w:rPr>
              <w:t>95.0%</w:t>
            </w:r>
          </w:p>
        </w:tc>
      </w:tr>
    </w:tbl>
    <w:p w14:paraId="4D9266C4" w14:textId="537D83DE" w:rsidR="0090181A" w:rsidRDefault="0090181A" w:rsidP="00092566">
      <w:pPr>
        <w:autoSpaceDE w:val="0"/>
        <w:autoSpaceDN w:val="0"/>
        <w:adjustRightInd w:val="0"/>
        <w:spacing w:after="0" w:line="240" w:lineRule="auto"/>
        <w:rPr>
          <w:rFonts w:cstheme="minorHAnsi"/>
          <w:bCs/>
          <w:color w:val="FF0000"/>
        </w:rPr>
      </w:pPr>
    </w:p>
    <w:p w14:paraId="42FDB831" w14:textId="65D5CE8B" w:rsidR="00BE69C2" w:rsidRDefault="00D31A0D" w:rsidP="00BE69C2">
      <w:pPr>
        <w:autoSpaceDE w:val="0"/>
        <w:autoSpaceDN w:val="0"/>
        <w:adjustRightInd w:val="0"/>
        <w:spacing w:after="0" w:line="240" w:lineRule="auto"/>
        <w:rPr>
          <w:rFonts w:cstheme="minorHAnsi"/>
          <w:bCs/>
          <w:color w:val="FF0000"/>
          <w:u w:val="single"/>
        </w:rPr>
      </w:pPr>
      <w:r w:rsidRPr="00753D51">
        <w:rPr>
          <w:rFonts w:cstheme="minorHAnsi"/>
          <w:bCs/>
          <w:color w:val="FF0000"/>
          <w:u w:val="single"/>
        </w:rPr>
        <w:t>Face Validity</w:t>
      </w:r>
    </w:p>
    <w:p w14:paraId="56619F4F" w14:textId="6C9645EA" w:rsidR="00D31A0D" w:rsidRDefault="00D31A0D" w:rsidP="00BE69C2">
      <w:pPr>
        <w:autoSpaceDE w:val="0"/>
        <w:autoSpaceDN w:val="0"/>
        <w:adjustRightInd w:val="0"/>
        <w:spacing w:after="0" w:line="240" w:lineRule="auto"/>
        <w:rPr>
          <w:rFonts w:cstheme="minorHAnsi"/>
          <w:bCs/>
          <w:i/>
          <w:color w:val="FF0000"/>
        </w:rPr>
      </w:pPr>
      <w:r>
        <w:rPr>
          <w:rFonts w:cstheme="minorHAnsi"/>
          <w:bCs/>
          <w:i/>
          <w:color w:val="FF0000"/>
        </w:rPr>
        <w:t xml:space="preserve">10 out of 11 </w:t>
      </w:r>
      <w:r w:rsidRPr="002D75EE">
        <w:rPr>
          <w:rFonts w:cstheme="minorHAnsi"/>
          <w:bCs/>
          <w:i/>
          <w:color w:val="FF0000"/>
        </w:rPr>
        <w:t xml:space="preserve">TEP members responded to the survey question as </w:t>
      </w:r>
      <w:r>
        <w:rPr>
          <w:rFonts w:cstheme="minorHAnsi"/>
          <w:bCs/>
          <w:i/>
          <w:color w:val="FF0000"/>
        </w:rPr>
        <w:t>follows: Moderately Disagreed (1), Somewhat Disagreed (1</w:t>
      </w:r>
      <w:r w:rsidR="004F7551">
        <w:rPr>
          <w:rFonts w:cstheme="minorHAnsi"/>
          <w:bCs/>
          <w:i/>
          <w:color w:val="FF0000"/>
        </w:rPr>
        <w:t>), Somewhat Agreed (0</w:t>
      </w:r>
      <w:r w:rsidRPr="002D75EE">
        <w:rPr>
          <w:rFonts w:cstheme="minorHAnsi"/>
          <w:bCs/>
          <w:i/>
          <w:color w:val="FF0000"/>
        </w:rPr>
        <w:t>), Moderately Agreed (</w:t>
      </w:r>
      <w:r w:rsidR="004F7551">
        <w:rPr>
          <w:rFonts w:cstheme="minorHAnsi"/>
          <w:bCs/>
          <w:i/>
          <w:color w:val="FF0000"/>
        </w:rPr>
        <w:t>5</w:t>
      </w:r>
      <w:r w:rsidRPr="002D75EE">
        <w:rPr>
          <w:rFonts w:cstheme="minorHAnsi"/>
          <w:bCs/>
          <w:i/>
          <w:color w:val="FF0000"/>
        </w:rPr>
        <w:t>), a</w:t>
      </w:r>
      <w:r>
        <w:rPr>
          <w:rFonts w:cstheme="minorHAnsi"/>
          <w:bCs/>
          <w:i/>
          <w:color w:val="FF0000"/>
        </w:rPr>
        <w:t>nd Strongly Agreed (</w:t>
      </w:r>
      <w:r w:rsidR="004F7551">
        <w:rPr>
          <w:rFonts w:cstheme="minorHAnsi"/>
          <w:bCs/>
          <w:i/>
          <w:color w:val="FF0000"/>
        </w:rPr>
        <w:t>3</w:t>
      </w:r>
      <w:r w:rsidR="00214E5D">
        <w:rPr>
          <w:rFonts w:cstheme="minorHAnsi"/>
          <w:bCs/>
          <w:i/>
          <w:color w:val="FF0000"/>
        </w:rPr>
        <w:t>).</w:t>
      </w:r>
      <w:r w:rsidR="00E77B0F">
        <w:rPr>
          <w:rFonts w:cstheme="minorHAnsi"/>
          <w:bCs/>
          <w:i/>
          <w:color w:val="FF0000"/>
        </w:rPr>
        <w:t xml:space="preserve"> </w:t>
      </w:r>
      <w:r w:rsidR="00BC1D81" w:rsidRPr="00551D3C">
        <w:rPr>
          <w:rFonts w:cstheme="minorHAnsi"/>
          <w:bCs/>
          <w:color w:val="00B0F0"/>
        </w:rPr>
        <w:t xml:space="preserve">The </w:t>
      </w:r>
      <w:r w:rsidR="00551D3C">
        <w:rPr>
          <w:rFonts w:cstheme="minorHAnsi"/>
          <w:bCs/>
          <w:color w:val="00B0F0"/>
        </w:rPr>
        <w:t xml:space="preserve">two </w:t>
      </w:r>
      <w:r w:rsidR="00BC1D81" w:rsidRPr="00551D3C">
        <w:rPr>
          <w:rFonts w:cstheme="minorHAnsi"/>
          <w:bCs/>
          <w:color w:val="00B0F0"/>
        </w:rPr>
        <w:t>TEP members who disagreed somewhat and moderately did not provide rationale.</w:t>
      </w:r>
    </w:p>
    <w:p w14:paraId="0B5F4536" w14:textId="77777777" w:rsidR="004F7551" w:rsidRPr="00753D51" w:rsidRDefault="004F7551" w:rsidP="00BE69C2">
      <w:pPr>
        <w:autoSpaceDE w:val="0"/>
        <w:autoSpaceDN w:val="0"/>
        <w:adjustRightInd w:val="0"/>
        <w:spacing w:after="0" w:line="240" w:lineRule="auto"/>
        <w:rPr>
          <w:rFonts w:cstheme="minorHAnsi"/>
          <w:bCs/>
          <w:color w:val="FF0000"/>
          <w:u w:val="single"/>
        </w:rPr>
      </w:pPr>
    </w:p>
    <w:p w14:paraId="6FB0851C" w14:textId="198AAC23" w:rsidR="0035253F"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072278F" w14:textId="77777777" w:rsidR="0035253F" w:rsidRPr="00316892" w:rsidRDefault="0035253F"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316892">
        <w:rPr>
          <w:rFonts w:cstheme="minorHAnsi"/>
          <w:bCs/>
          <w:color w:val="FF0000"/>
          <w:u w:val="single"/>
        </w:rPr>
        <w:t>Data Element Validity</w:t>
      </w:r>
    </w:p>
    <w:p w14:paraId="1F74705B" w14:textId="29641D18" w:rsidR="00FB0ED2" w:rsidRDefault="00D05D4A"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D05D4A">
        <w:rPr>
          <w:rFonts w:cstheme="minorHAnsi"/>
          <w:bCs/>
          <w:color w:val="FF0000"/>
        </w:rPr>
        <w:t xml:space="preserve">All </w:t>
      </w:r>
      <w:r w:rsidR="00C37507">
        <w:rPr>
          <w:rFonts w:cstheme="minorHAnsi"/>
          <w:bCs/>
          <w:color w:val="FF0000"/>
        </w:rPr>
        <w:t xml:space="preserve">but one </w:t>
      </w:r>
      <w:r w:rsidRPr="00D05D4A">
        <w:rPr>
          <w:rFonts w:cstheme="minorHAnsi"/>
          <w:bCs/>
          <w:color w:val="FF0000"/>
        </w:rPr>
        <w:t xml:space="preserve">data element </w:t>
      </w:r>
      <w:r w:rsidR="0092023C">
        <w:rPr>
          <w:rFonts w:cstheme="minorHAnsi"/>
          <w:bCs/>
          <w:color w:val="FF0000"/>
        </w:rPr>
        <w:t xml:space="preserve">(at one site) </w:t>
      </w:r>
      <w:r w:rsidRPr="00D05D4A">
        <w:rPr>
          <w:rFonts w:cstheme="minorHAnsi"/>
          <w:bCs/>
          <w:color w:val="FF0000"/>
        </w:rPr>
        <w:t xml:space="preserve">had a match rate </w:t>
      </w:r>
      <w:r w:rsidR="00C37507">
        <w:rPr>
          <w:rFonts w:cstheme="minorHAnsi"/>
          <w:bCs/>
          <w:color w:val="FF0000"/>
        </w:rPr>
        <w:t xml:space="preserve">over 95%, </w:t>
      </w:r>
      <w:r w:rsidRPr="00D05D4A">
        <w:rPr>
          <w:rFonts w:cstheme="minorHAnsi"/>
          <w:bCs/>
          <w:color w:val="FF0000"/>
        </w:rPr>
        <w:t>indicating valid</w:t>
      </w:r>
      <w:r w:rsidR="007D355D">
        <w:rPr>
          <w:rFonts w:cstheme="minorHAnsi"/>
          <w:bCs/>
          <w:color w:val="FF0000"/>
        </w:rPr>
        <w:t xml:space="preserve"> and</w:t>
      </w:r>
      <w:r w:rsidRPr="00D05D4A">
        <w:rPr>
          <w:rFonts w:cstheme="minorHAnsi"/>
          <w:bCs/>
          <w:color w:val="FF0000"/>
        </w:rPr>
        <w:t xml:space="preserve"> accurate data elements </w:t>
      </w:r>
      <w:r w:rsidR="007D355D">
        <w:rPr>
          <w:rFonts w:cstheme="minorHAnsi"/>
          <w:bCs/>
          <w:color w:val="FF0000"/>
        </w:rPr>
        <w:t xml:space="preserve">were </w:t>
      </w:r>
      <w:r w:rsidRPr="00D05D4A">
        <w:rPr>
          <w:rFonts w:cstheme="minorHAnsi"/>
          <w:bCs/>
          <w:color w:val="FF0000"/>
        </w:rPr>
        <w:t xml:space="preserve">extracted from the EHR. </w:t>
      </w:r>
      <w:r w:rsidR="00634D1C">
        <w:rPr>
          <w:rFonts w:cstheme="minorHAnsi"/>
          <w:bCs/>
          <w:color w:val="FF0000"/>
        </w:rPr>
        <w:t xml:space="preserve">The </w:t>
      </w:r>
      <w:r w:rsidR="00C37507">
        <w:rPr>
          <w:rFonts w:cstheme="minorHAnsi"/>
          <w:bCs/>
          <w:color w:val="FF0000"/>
        </w:rPr>
        <w:t xml:space="preserve">exception </w:t>
      </w:r>
      <w:r w:rsidR="00634D1C">
        <w:rPr>
          <w:rFonts w:cstheme="minorHAnsi"/>
          <w:bCs/>
          <w:color w:val="FF0000"/>
        </w:rPr>
        <w:t xml:space="preserve">was for antihyperglycemic medication </w:t>
      </w:r>
      <w:r w:rsidR="00FB0ED2">
        <w:rPr>
          <w:rFonts w:cstheme="minorHAnsi"/>
          <w:bCs/>
          <w:color w:val="FF0000"/>
        </w:rPr>
        <w:t xml:space="preserve">(81%) </w:t>
      </w:r>
      <w:r w:rsidR="00C40DAC">
        <w:rPr>
          <w:rFonts w:cstheme="minorHAnsi"/>
          <w:bCs/>
          <w:color w:val="FF0000"/>
        </w:rPr>
        <w:t>administered in</w:t>
      </w:r>
      <w:r w:rsidR="00214E5D">
        <w:rPr>
          <w:rFonts w:cstheme="minorHAnsi"/>
          <w:bCs/>
          <w:color w:val="FF0000"/>
        </w:rPr>
        <w:t xml:space="preserve"> </w:t>
      </w:r>
      <w:r w:rsidR="00214E5D" w:rsidRPr="00214E5D">
        <w:rPr>
          <w:rFonts w:cstheme="minorHAnsi"/>
          <w:b/>
          <w:bCs/>
          <w:color w:val="FF0000"/>
        </w:rPr>
        <w:t>Beta</w:t>
      </w:r>
      <w:r w:rsidR="00214E5D">
        <w:rPr>
          <w:rFonts w:cstheme="minorHAnsi"/>
          <w:b/>
          <w:bCs/>
          <w:color w:val="FF0000"/>
        </w:rPr>
        <w:t xml:space="preserve"> Dataset 1</w:t>
      </w:r>
      <w:r w:rsidR="00634D1C">
        <w:rPr>
          <w:rFonts w:cstheme="minorHAnsi"/>
          <w:bCs/>
          <w:color w:val="FF0000"/>
        </w:rPr>
        <w:t xml:space="preserve">. We believe </w:t>
      </w:r>
      <w:r w:rsidR="00C40DAC">
        <w:rPr>
          <w:rFonts w:cstheme="minorHAnsi"/>
          <w:bCs/>
          <w:color w:val="FF0000"/>
        </w:rPr>
        <w:t xml:space="preserve">this specific </w:t>
      </w:r>
      <w:r w:rsidR="00634D1C">
        <w:rPr>
          <w:rFonts w:cstheme="minorHAnsi"/>
          <w:bCs/>
          <w:color w:val="FF0000"/>
        </w:rPr>
        <w:t xml:space="preserve">match rate </w:t>
      </w:r>
      <w:r w:rsidR="00634D1C" w:rsidRPr="00634D1C">
        <w:rPr>
          <w:rFonts w:cstheme="minorHAnsi"/>
          <w:bCs/>
          <w:color w:val="FF0000"/>
        </w:rPr>
        <w:t xml:space="preserve">was due to different naming conventions between the </w:t>
      </w:r>
      <w:r w:rsidR="00D60382">
        <w:rPr>
          <w:rFonts w:cstheme="minorHAnsi"/>
          <w:bCs/>
          <w:color w:val="FF0000"/>
        </w:rPr>
        <w:t xml:space="preserve">way medications names are stored in the </w:t>
      </w:r>
      <w:r w:rsidR="00634D1C" w:rsidRPr="00634D1C">
        <w:rPr>
          <w:rFonts w:cstheme="minorHAnsi"/>
          <w:bCs/>
          <w:color w:val="FF0000"/>
        </w:rPr>
        <w:t xml:space="preserve">EHR and </w:t>
      </w:r>
      <w:r w:rsidR="00D60382">
        <w:rPr>
          <w:rFonts w:cstheme="minorHAnsi"/>
          <w:bCs/>
          <w:color w:val="FF0000"/>
        </w:rPr>
        <w:t xml:space="preserve">a basic drop-down list used by the </w:t>
      </w:r>
      <w:r w:rsidR="00634D1C" w:rsidRPr="00634D1C">
        <w:rPr>
          <w:rFonts w:cstheme="minorHAnsi"/>
          <w:bCs/>
          <w:color w:val="FF0000"/>
        </w:rPr>
        <w:t xml:space="preserve">chart abstracted data. </w:t>
      </w:r>
    </w:p>
    <w:p w14:paraId="26D3BE36" w14:textId="79DEE0AF" w:rsidR="0035253F" w:rsidRDefault="00634D1C"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Pr>
          <w:rFonts w:cstheme="minorHAnsi"/>
          <w:bCs/>
          <w:color w:val="FF0000"/>
        </w:rPr>
        <w:t>F</w:t>
      </w:r>
      <w:r w:rsidR="00D05D4A" w:rsidRPr="00D05D4A">
        <w:rPr>
          <w:rFonts w:cstheme="minorHAnsi"/>
          <w:bCs/>
          <w:color w:val="FF0000"/>
        </w:rPr>
        <w:t xml:space="preserve">or the blood glucose date, time, and result data element, </w:t>
      </w:r>
      <w:r>
        <w:rPr>
          <w:rFonts w:cstheme="minorHAnsi"/>
          <w:bCs/>
          <w:color w:val="FF0000"/>
        </w:rPr>
        <w:t>w</w:t>
      </w:r>
      <w:r w:rsidR="00D05D4A" w:rsidRPr="00D05D4A">
        <w:rPr>
          <w:rFonts w:cstheme="minorHAnsi"/>
          <w:bCs/>
          <w:color w:val="FF0000"/>
        </w:rPr>
        <w:t xml:space="preserve">e assessed the validity of all glucoses recorded during the hospitalization, </w:t>
      </w:r>
      <w:r w:rsidR="00D60382">
        <w:rPr>
          <w:rFonts w:cstheme="minorHAnsi"/>
          <w:bCs/>
          <w:color w:val="FF0000"/>
        </w:rPr>
        <w:t xml:space="preserve">for a more robust sample </w:t>
      </w:r>
      <w:r w:rsidR="00D05D4A" w:rsidRPr="00D05D4A">
        <w:rPr>
          <w:rFonts w:cstheme="minorHAnsi"/>
          <w:bCs/>
          <w:color w:val="FF0000"/>
        </w:rPr>
        <w:t xml:space="preserve">to evaluate a clearer picture of data element accuracy. </w:t>
      </w:r>
      <w:r w:rsidR="00D60382">
        <w:rPr>
          <w:rFonts w:cstheme="minorHAnsi"/>
          <w:bCs/>
          <w:color w:val="FF0000"/>
        </w:rPr>
        <w:t>The match rate is below 100</w:t>
      </w:r>
      <w:r w:rsidR="00DA1934">
        <w:rPr>
          <w:rFonts w:cstheme="minorHAnsi"/>
          <w:bCs/>
          <w:color w:val="FF0000"/>
        </w:rPr>
        <w:t>%</w:t>
      </w:r>
      <w:r w:rsidR="00D60382">
        <w:rPr>
          <w:rFonts w:cstheme="minorHAnsi"/>
          <w:bCs/>
          <w:color w:val="FF0000"/>
        </w:rPr>
        <w:t xml:space="preserve"> due to </w:t>
      </w:r>
      <w:r w:rsidR="00FB0ED2">
        <w:rPr>
          <w:rFonts w:cstheme="minorHAnsi"/>
          <w:bCs/>
          <w:color w:val="FF0000"/>
        </w:rPr>
        <w:t xml:space="preserve">the </w:t>
      </w:r>
      <w:r w:rsidR="00D60382">
        <w:rPr>
          <w:rFonts w:cstheme="minorHAnsi"/>
          <w:bCs/>
          <w:color w:val="FF0000"/>
        </w:rPr>
        <w:t xml:space="preserve">analysis </w:t>
      </w:r>
      <w:r w:rsidR="00D05D4A" w:rsidRPr="00D05D4A">
        <w:rPr>
          <w:rFonts w:cstheme="minorHAnsi"/>
          <w:bCs/>
          <w:color w:val="FF0000"/>
        </w:rPr>
        <w:t>matching on all three fields</w:t>
      </w:r>
      <w:r>
        <w:rPr>
          <w:rFonts w:cstheme="minorHAnsi"/>
          <w:bCs/>
          <w:color w:val="FF0000"/>
        </w:rPr>
        <w:t xml:space="preserve"> (date, time and result)</w:t>
      </w:r>
      <w:r w:rsidR="00D05D4A" w:rsidRPr="00D05D4A">
        <w:rPr>
          <w:rFonts w:cstheme="minorHAnsi"/>
          <w:bCs/>
          <w:color w:val="FF0000"/>
        </w:rPr>
        <w:t xml:space="preserve">, </w:t>
      </w:r>
      <w:r w:rsidR="00D60382">
        <w:rPr>
          <w:rFonts w:cstheme="minorHAnsi"/>
          <w:bCs/>
          <w:color w:val="FF0000"/>
        </w:rPr>
        <w:t>which</w:t>
      </w:r>
      <w:r w:rsidR="00D60382" w:rsidRPr="00D05D4A">
        <w:rPr>
          <w:rFonts w:cstheme="minorHAnsi"/>
          <w:bCs/>
          <w:color w:val="FF0000"/>
        </w:rPr>
        <w:t xml:space="preserve"> </w:t>
      </w:r>
      <w:r w:rsidR="00D05D4A" w:rsidRPr="00D05D4A">
        <w:rPr>
          <w:rFonts w:cstheme="minorHAnsi"/>
          <w:bCs/>
          <w:color w:val="FF0000"/>
        </w:rPr>
        <w:t xml:space="preserve">is a higher standard than matching </w:t>
      </w:r>
      <w:r w:rsidR="00FB0ED2">
        <w:rPr>
          <w:rFonts w:cstheme="minorHAnsi"/>
          <w:bCs/>
          <w:color w:val="FF0000"/>
        </w:rPr>
        <w:t xml:space="preserve">of </w:t>
      </w:r>
      <w:r w:rsidR="00D05D4A" w:rsidRPr="00D05D4A">
        <w:rPr>
          <w:rFonts w:cstheme="minorHAnsi"/>
          <w:bCs/>
          <w:color w:val="FF0000"/>
        </w:rPr>
        <w:t>individual elements</w:t>
      </w:r>
      <w:r w:rsidR="00D60382">
        <w:rPr>
          <w:rFonts w:cstheme="minorHAnsi"/>
          <w:bCs/>
          <w:color w:val="FF0000"/>
        </w:rPr>
        <w:t>, and the timing of each variables does not match exactly within one minute</w:t>
      </w:r>
      <w:r w:rsidR="00D05D4A" w:rsidRPr="00D05D4A">
        <w:rPr>
          <w:rFonts w:cstheme="minorHAnsi"/>
          <w:bCs/>
          <w:color w:val="FF0000"/>
        </w:rPr>
        <w:t xml:space="preserve">. </w:t>
      </w:r>
      <w:r>
        <w:rPr>
          <w:rFonts w:cstheme="minorHAnsi"/>
          <w:bCs/>
          <w:color w:val="FF0000"/>
        </w:rPr>
        <w:t xml:space="preserve">However, match rates were still high at 95.6% and 95.4% respectively. </w:t>
      </w:r>
      <w:r w:rsidR="00FB0ED2">
        <w:rPr>
          <w:rFonts w:cstheme="minorHAnsi"/>
          <w:bCs/>
          <w:color w:val="FF0000"/>
        </w:rPr>
        <w:t>Overall</w:t>
      </w:r>
      <w:r w:rsidR="00FB0ED2" w:rsidRPr="00634D1C">
        <w:rPr>
          <w:rFonts w:cstheme="minorHAnsi"/>
          <w:bCs/>
          <w:color w:val="FF0000"/>
        </w:rPr>
        <w:t>, we believe the data elements required for the measure show validity</w:t>
      </w:r>
      <w:r w:rsidR="00FB0ED2">
        <w:rPr>
          <w:rFonts w:cstheme="minorHAnsi"/>
          <w:bCs/>
          <w:color w:val="FF0000"/>
        </w:rPr>
        <w:t>.</w:t>
      </w:r>
    </w:p>
    <w:p w14:paraId="0A9699B5" w14:textId="77777777" w:rsidR="00F67C30" w:rsidRPr="00316892" w:rsidRDefault="00F67C30"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2434E912" w14:textId="55FF4F8F" w:rsidR="0035253F" w:rsidRPr="00316892" w:rsidRDefault="0035253F"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316892">
        <w:rPr>
          <w:rFonts w:cstheme="minorHAnsi"/>
          <w:bCs/>
          <w:color w:val="FF0000"/>
          <w:u w:val="single"/>
        </w:rPr>
        <w:t xml:space="preserve">Empirical </w:t>
      </w:r>
      <w:r w:rsidR="00FB0ED2">
        <w:rPr>
          <w:rFonts w:cstheme="minorHAnsi"/>
          <w:bCs/>
          <w:color w:val="FF0000"/>
          <w:u w:val="single"/>
        </w:rPr>
        <w:t xml:space="preserve">Measure Score </w:t>
      </w:r>
      <w:r w:rsidRPr="00316892">
        <w:rPr>
          <w:rFonts w:cstheme="minorHAnsi"/>
          <w:bCs/>
          <w:color w:val="FF0000"/>
          <w:u w:val="single"/>
        </w:rPr>
        <w:t>Validity</w:t>
      </w:r>
    </w:p>
    <w:p w14:paraId="094E2175" w14:textId="7843CC40" w:rsidR="002F1623" w:rsidRPr="002F1623" w:rsidRDefault="00686E70" w:rsidP="002F16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43" w:name="_Hlk524535554"/>
      <w:r>
        <w:rPr>
          <w:rFonts w:cstheme="minorHAnsi"/>
          <w:bCs/>
          <w:color w:val="FF0000"/>
        </w:rPr>
        <w:t xml:space="preserve">All </w:t>
      </w:r>
      <w:r w:rsidR="00F92FC8">
        <w:rPr>
          <w:rFonts w:cstheme="minorHAnsi"/>
          <w:bCs/>
          <w:color w:val="FF0000"/>
        </w:rPr>
        <w:t>three datasets had a PPV over 95%</w:t>
      </w:r>
      <w:r w:rsidR="00737561">
        <w:rPr>
          <w:rFonts w:cstheme="minorHAnsi"/>
          <w:bCs/>
          <w:color w:val="FF0000"/>
        </w:rPr>
        <w:t>,</w:t>
      </w:r>
      <w:r w:rsidR="00A45E94">
        <w:rPr>
          <w:rFonts w:cstheme="minorHAnsi"/>
          <w:bCs/>
          <w:color w:val="FF0000"/>
        </w:rPr>
        <w:t xml:space="preserve"> meaning </w:t>
      </w:r>
      <w:r w:rsidR="00F800D8">
        <w:rPr>
          <w:rFonts w:cstheme="minorHAnsi"/>
          <w:bCs/>
          <w:color w:val="FF0000"/>
        </w:rPr>
        <w:t>that almost all</w:t>
      </w:r>
      <w:r w:rsidR="00A45E94" w:rsidRPr="002F1623">
        <w:rPr>
          <w:rFonts w:cstheme="minorHAnsi"/>
          <w:bCs/>
          <w:color w:val="FF0000"/>
        </w:rPr>
        <w:t xml:space="preserve"> cases</w:t>
      </w:r>
      <w:r w:rsidR="00F800D8">
        <w:rPr>
          <w:rFonts w:cstheme="minorHAnsi"/>
          <w:bCs/>
          <w:color w:val="FF0000"/>
        </w:rPr>
        <w:t>,</w:t>
      </w:r>
      <w:r w:rsidR="00A45E94" w:rsidRPr="002F1623">
        <w:rPr>
          <w:rFonts w:cstheme="minorHAnsi"/>
          <w:bCs/>
          <w:color w:val="FF0000"/>
        </w:rPr>
        <w:t xml:space="preserve"> the </w:t>
      </w:r>
      <w:bookmarkStart w:id="44" w:name="_Hlk532397764"/>
      <w:r w:rsidR="00A45E94" w:rsidRPr="00BA7FBD">
        <w:rPr>
          <w:rFonts w:cstheme="minorHAnsi"/>
          <w:bCs/>
          <w:color w:val="FF0000"/>
        </w:rPr>
        <w:t>admission met the criteria for a harm</w:t>
      </w:r>
      <w:r w:rsidR="00A45E94" w:rsidRPr="002F1623">
        <w:rPr>
          <w:rFonts w:cstheme="minorHAnsi"/>
          <w:bCs/>
          <w:color w:val="FF0000"/>
        </w:rPr>
        <w:t xml:space="preserve"> </w:t>
      </w:r>
      <w:bookmarkEnd w:id="44"/>
      <w:r w:rsidR="00A45E94" w:rsidRPr="002F1623">
        <w:rPr>
          <w:rFonts w:cstheme="minorHAnsi"/>
          <w:bCs/>
          <w:color w:val="FF0000"/>
        </w:rPr>
        <w:t xml:space="preserve">in </w:t>
      </w:r>
      <w:r w:rsidR="004B5014">
        <w:rPr>
          <w:rFonts w:cstheme="minorHAnsi"/>
          <w:bCs/>
          <w:color w:val="FF0000"/>
        </w:rPr>
        <w:t xml:space="preserve">both </w:t>
      </w:r>
      <w:r w:rsidR="00A45E94" w:rsidRPr="002F1623">
        <w:rPr>
          <w:rFonts w:cstheme="minorHAnsi"/>
          <w:bCs/>
          <w:color w:val="FF0000"/>
        </w:rPr>
        <w:t>the chart abstracted and EHR</w:t>
      </w:r>
      <w:r w:rsidR="00F800D8">
        <w:rPr>
          <w:rFonts w:cstheme="minorHAnsi"/>
          <w:bCs/>
          <w:color w:val="FF0000"/>
        </w:rPr>
        <w:t>-extracted</w:t>
      </w:r>
      <w:r w:rsidR="00A45E94" w:rsidRPr="002F1623">
        <w:rPr>
          <w:rFonts w:cstheme="minorHAnsi"/>
          <w:bCs/>
          <w:color w:val="FF0000"/>
        </w:rPr>
        <w:t xml:space="preserve"> data.</w:t>
      </w:r>
      <w:r w:rsidR="00A45E94">
        <w:rPr>
          <w:rFonts w:cstheme="minorHAnsi"/>
          <w:bCs/>
          <w:color w:val="FF0000"/>
        </w:rPr>
        <w:t xml:space="preserve"> </w:t>
      </w:r>
      <w:bookmarkEnd w:id="43"/>
      <w:r w:rsidR="006704DB">
        <w:rPr>
          <w:rFonts w:cstheme="minorHAnsi"/>
          <w:bCs/>
          <w:color w:val="FF0000"/>
        </w:rPr>
        <w:t xml:space="preserve">Although </w:t>
      </w:r>
      <w:bookmarkStart w:id="45" w:name="_Hlk531367535"/>
      <w:r w:rsidR="00C37507">
        <w:rPr>
          <w:rFonts w:cstheme="minorHAnsi"/>
          <w:bCs/>
          <w:color w:val="FF0000"/>
        </w:rPr>
        <w:t xml:space="preserve">we do not </w:t>
      </w:r>
      <w:r w:rsidR="00764F57">
        <w:rPr>
          <w:rFonts w:cstheme="minorHAnsi"/>
          <w:bCs/>
          <w:color w:val="FF0000"/>
        </w:rPr>
        <w:t xml:space="preserve">always </w:t>
      </w:r>
      <w:r w:rsidR="00C37507">
        <w:rPr>
          <w:rFonts w:cstheme="minorHAnsi"/>
          <w:bCs/>
          <w:color w:val="FF0000"/>
        </w:rPr>
        <w:t>expect perfect agreement</w:t>
      </w:r>
      <w:r w:rsidR="006704DB">
        <w:rPr>
          <w:rFonts w:cstheme="minorHAnsi"/>
          <w:bCs/>
          <w:color w:val="FF0000"/>
        </w:rPr>
        <w:t>,</w:t>
      </w:r>
      <w:r w:rsidR="00764F57">
        <w:rPr>
          <w:rFonts w:cstheme="minorHAnsi"/>
          <w:bCs/>
          <w:color w:val="FF0000"/>
        </w:rPr>
        <w:t xml:space="preserve"> </w:t>
      </w:r>
      <w:r w:rsidR="0092023C">
        <w:rPr>
          <w:rFonts w:cstheme="minorHAnsi"/>
          <w:bCs/>
          <w:color w:val="FF0000"/>
        </w:rPr>
        <w:t>as</w:t>
      </w:r>
      <w:r w:rsidR="006704DB">
        <w:rPr>
          <w:rFonts w:cstheme="minorHAnsi"/>
          <w:bCs/>
          <w:color w:val="FF0000"/>
        </w:rPr>
        <w:t xml:space="preserve"> we expect some degree of human </w:t>
      </w:r>
      <w:bookmarkStart w:id="46" w:name="_Hlk532401223"/>
      <w:r w:rsidR="006704DB">
        <w:rPr>
          <w:rFonts w:cstheme="minorHAnsi"/>
          <w:bCs/>
          <w:color w:val="FF0000"/>
        </w:rPr>
        <w:t>error</w:t>
      </w:r>
      <w:r w:rsidR="0092023C">
        <w:rPr>
          <w:rFonts w:cstheme="minorHAnsi"/>
          <w:bCs/>
          <w:color w:val="FF0000"/>
        </w:rPr>
        <w:t xml:space="preserve"> in entering and matching values</w:t>
      </w:r>
      <w:bookmarkEnd w:id="46"/>
      <w:r w:rsidR="006704DB">
        <w:rPr>
          <w:rFonts w:cstheme="minorHAnsi"/>
          <w:bCs/>
          <w:color w:val="FF0000"/>
        </w:rPr>
        <w:t>,</w:t>
      </w:r>
      <w:bookmarkEnd w:id="45"/>
      <w:r w:rsidR="006704DB">
        <w:rPr>
          <w:rFonts w:cstheme="minorHAnsi"/>
          <w:bCs/>
          <w:color w:val="FF0000"/>
        </w:rPr>
        <w:t xml:space="preserve"> we consider the </w:t>
      </w:r>
      <w:r w:rsidR="004B5014">
        <w:rPr>
          <w:rFonts w:cstheme="minorHAnsi"/>
          <w:bCs/>
          <w:color w:val="FF0000"/>
        </w:rPr>
        <w:t xml:space="preserve">PPV to show excellent </w:t>
      </w:r>
      <w:r w:rsidR="006704DB">
        <w:rPr>
          <w:rFonts w:cstheme="minorHAnsi"/>
          <w:bCs/>
          <w:color w:val="FF0000"/>
        </w:rPr>
        <w:t xml:space="preserve">measure score validity. </w:t>
      </w:r>
      <w:bookmarkStart w:id="47" w:name="_Hlk532401264"/>
      <w:r w:rsidR="0092023C">
        <w:rPr>
          <w:rFonts w:cstheme="minorHAnsi"/>
          <w:bCs/>
          <w:color w:val="FF0000"/>
        </w:rPr>
        <w:t xml:space="preserve">The absence of a perfect PPV does not threaten validity as we do not expect any systematic error </w:t>
      </w:r>
      <w:r w:rsidR="004B5014">
        <w:rPr>
          <w:rFonts w:cstheme="minorHAnsi"/>
          <w:bCs/>
          <w:color w:val="FF0000"/>
        </w:rPr>
        <w:t xml:space="preserve">in this small amount of disagreement </w:t>
      </w:r>
      <w:r w:rsidR="0092023C">
        <w:rPr>
          <w:rFonts w:cstheme="minorHAnsi"/>
          <w:bCs/>
          <w:color w:val="FF0000"/>
        </w:rPr>
        <w:t>across hospit</w:t>
      </w:r>
      <w:r w:rsidR="004B5014">
        <w:rPr>
          <w:rFonts w:cstheme="minorHAnsi"/>
          <w:bCs/>
          <w:color w:val="FF0000"/>
        </w:rPr>
        <w:t xml:space="preserve">als that might bias the measure results. </w:t>
      </w:r>
      <w:bookmarkStart w:id="48" w:name="_Hlk536107708"/>
      <w:r w:rsidR="00231BB9" w:rsidRPr="00F77601">
        <w:rPr>
          <w:rFonts w:cstheme="minorHAnsi"/>
          <w:bCs/>
          <w:color w:val="00B0F0"/>
        </w:rPr>
        <w:t>Similarly, specificity</w:t>
      </w:r>
      <w:r w:rsidR="00F77601" w:rsidRPr="00F77601">
        <w:rPr>
          <w:rFonts w:cstheme="minorHAnsi"/>
          <w:bCs/>
          <w:color w:val="00B0F0"/>
        </w:rPr>
        <w:t xml:space="preserve"> and </w:t>
      </w:r>
      <w:r w:rsidR="00231BB9" w:rsidRPr="00F77601">
        <w:rPr>
          <w:rFonts w:cstheme="minorHAnsi"/>
          <w:bCs/>
          <w:color w:val="00B0F0"/>
        </w:rPr>
        <w:t>sensitivity are high</w:t>
      </w:r>
      <w:r w:rsidR="00F77601" w:rsidRPr="00F77601">
        <w:rPr>
          <w:rFonts w:cstheme="minorHAnsi"/>
          <w:bCs/>
          <w:color w:val="00B0F0"/>
        </w:rPr>
        <w:t xml:space="preserve">. </w:t>
      </w:r>
      <w:r w:rsidR="00231BB9" w:rsidRPr="00F77601">
        <w:rPr>
          <w:rFonts w:cstheme="minorHAnsi"/>
          <w:bCs/>
          <w:color w:val="00B0F0"/>
        </w:rPr>
        <w:t>Sensitivity is 1</w:t>
      </w:r>
      <w:r w:rsidR="00CB728F">
        <w:rPr>
          <w:rFonts w:cstheme="minorHAnsi"/>
          <w:bCs/>
          <w:color w:val="00B0F0"/>
        </w:rPr>
        <w:t>00%</w:t>
      </w:r>
      <w:r w:rsidR="00231BB9" w:rsidRPr="00F77601">
        <w:rPr>
          <w:rFonts w:cstheme="minorHAnsi"/>
          <w:bCs/>
          <w:color w:val="00B0F0"/>
        </w:rPr>
        <w:t xml:space="preserve"> </w:t>
      </w:r>
      <w:r w:rsidR="00F77601" w:rsidRPr="00F77601">
        <w:rPr>
          <w:rFonts w:cstheme="minorHAnsi"/>
          <w:bCs/>
          <w:color w:val="00B0F0"/>
        </w:rPr>
        <w:t>in both Be</w:t>
      </w:r>
      <w:r w:rsidR="00231BB9" w:rsidRPr="00F77601">
        <w:rPr>
          <w:rFonts w:cstheme="minorHAnsi"/>
          <w:bCs/>
          <w:color w:val="00B0F0"/>
        </w:rPr>
        <w:t xml:space="preserve">ta Dataset 1 and 2 </w:t>
      </w:r>
      <w:r w:rsidR="00CB728F">
        <w:rPr>
          <w:rFonts w:cstheme="minorHAnsi"/>
          <w:bCs/>
          <w:color w:val="00B0F0"/>
        </w:rPr>
        <w:t xml:space="preserve">and specificity is </w:t>
      </w:r>
      <w:r w:rsidR="00231BB9" w:rsidRPr="00F77601">
        <w:rPr>
          <w:rFonts w:cstheme="minorHAnsi"/>
          <w:bCs/>
          <w:color w:val="00B0F0"/>
        </w:rPr>
        <w:t>95</w:t>
      </w:r>
      <w:r w:rsidR="00CB728F">
        <w:rPr>
          <w:rFonts w:cstheme="minorHAnsi"/>
          <w:bCs/>
          <w:color w:val="00B0F0"/>
        </w:rPr>
        <w:t xml:space="preserve">% and </w:t>
      </w:r>
      <w:r w:rsidR="00F77601" w:rsidRPr="00F77601">
        <w:rPr>
          <w:rFonts w:cstheme="minorHAnsi"/>
          <w:bCs/>
          <w:color w:val="00B0F0"/>
        </w:rPr>
        <w:t>94</w:t>
      </w:r>
      <w:r w:rsidR="00CB728F">
        <w:rPr>
          <w:rFonts w:cstheme="minorHAnsi"/>
          <w:bCs/>
          <w:color w:val="00B0F0"/>
        </w:rPr>
        <w:t xml:space="preserve">% </w:t>
      </w:r>
      <w:r w:rsidR="00231BB9" w:rsidRPr="00F77601">
        <w:rPr>
          <w:rFonts w:cstheme="minorHAnsi"/>
          <w:bCs/>
          <w:color w:val="00B0F0"/>
        </w:rPr>
        <w:t>in Beta Dataset 1</w:t>
      </w:r>
      <w:r w:rsidR="00F77601" w:rsidRPr="00F77601">
        <w:rPr>
          <w:rFonts w:cstheme="minorHAnsi"/>
          <w:bCs/>
          <w:color w:val="00B0F0"/>
        </w:rPr>
        <w:t xml:space="preserve"> and 2 respectively</w:t>
      </w:r>
      <w:r w:rsidR="00231BB9" w:rsidRPr="00F77601">
        <w:rPr>
          <w:rFonts w:cstheme="minorHAnsi"/>
          <w:bCs/>
          <w:color w:val="00B0F0"/>
        </w:rPr>
        <w:t xml:space="preserve">. This means that the </w:t>
      </w:r>
      <w:r w:rsidR="00231BB9" w:rsidRPr="00F77601">
        <w:rPr>
          <w:rFonts w:cstheme="minorHAnsi"/>
          <w:bCs/>
          <w:color w:val="00B0F0"/>
        </w:rPr>
        <w:lastRenderedPageBreak/>
        <w:t xml:space="preserve">probability of the EHR data detecting a true hypoglycemic event in patients that had a true hypoglycemic event based on the abstracted data ('gold standard') is 100% (sensitivity). The probability of the EHR data detecting no hypoglycemia out of the no hypoglycemic event based on abstracted data is </w:t>
      </w:r>
      <w:r w:rsidR="00F77601" w:rsidRPr="00F77601">
        <w:rPr>
          <w:rFonts w:cstheme="minorHAnsi"/>
          <w:bCs/>
          <w:color w:val="00B0F0"/>
        </w:rPr>
        <w:t>94-</w:t>
      </w:r>
      <w:r w:rsidR="00231BB9" w:rsidRPr="00F77601">
        <w:rPr>
          <w:rFonts w:cstheme="minorHAnsi"/>
          <w:bCs/>
          <w:color w:val="00B0F0"/>
        </w:rPr>
        <w:t xml:space="preserve">95% (specificity). </w:t>
      </w:r>
      <w:r w:rsidR="001D5A5A" w:rsidRPr="00F77601">
        <w:rPr>
          <w:rFonts w:cstheme="minorHAnsi"/>
          <w:bCs/>
          <w:color w:val="00B0F0"/>
        </w:rPr>
        <w:t xml:space="preserve">NPV was </w:t>
      </w:r>
      <w:r w:rsidR="00F77601" w:rsidRPr="00F77601">
        <w:rPr>
          <w:rFonts w:cstheme="minorHAnsi"/>
          <w:bCs/>
          <w:color w:val="00B0F0"/>
        </w:rPr>
        <w:t>100</w:t>
      </w:r>
      <w:r w:rsidR="001D5A5A" w:rsidRPr="00F77601">
        <w:rPr>
          <w:rFonts w:cstheme="minorHAnsi"/>
          <w:bCs/>
          <w:color w:val="00B0F0"/>
        </w:rPr>
        <w:t xml:space="preserve">% in </w:t>
      </w:r>
      <w:r w:rsidR="00F77601" w:rsidRPr="00F77601">
        <w:rPr>
          <w:rFonts w:cstheme="minorHAnsi"/>
          <w:bCs/>
          <w:color w:val="00B0F0"/>
        </w:rPr>
        <w:t>both Beta Dataset 1 and 2</w:t>
      </w:r>
      <w:r w:rsidR="001D5A5A" w:rsidRPr="00F77601">
        <w:rPr>
          <w:rFonts w:cstheme="minorHAnsi"/>
          <w:bCs/>
          <w:color w:val="00B0F0"/>
        </w:rPr>
        <w:t xml:space="preserve">, indicating the EHR data indicated a harm did not occur, </w:t>
      </w:r>
      <w:r w:rsidR="00F77601" w:rsidRPr="00F77601">
        <w:rPr>
          <w:rFonts w:cstheme="minorHAnsi"/>
          <w:bCs/>
          <w:color w:val="00B0F0"/>
        </w:rPr>
        <w:t>and 100</w:t>
      </w:r>
      <w:bookmarkStart w:id="49" w:name="_GoBack"/>
      <w:bookmarkEnd w:id="49"/>
      <w:r w:rsidR="00F77601" w:rsidRPr="00F77601">
        <w:rPr>
          <w:rFonts w:cstheme="minorHAnsi"/>
          <w:bCs/>
          <w:color w:val="00B0F0"/>
        </w:rPr>
        <w:t>% of the time</w:t>
      </w:r>
      <w:r w:rsidR="000B1250" w:rsidRPr="00F77601">
        <w:rPr>
          <w:rFonts w:cstheme="minorHAnsi"/>
          <w:bCs/>
          <w:color w:val="00B0F0"/>
        </w:rPr>
        <w:t xml:space="preserve"> </w:t>
      </w:r>
      <w:r w:rsidR="001D5A5A" w:rsidRPr="00F77601">
        <w:rPr>
          <w:rFonts w:cstheme="minorHAnsi"/>
          <w:bCs/>
          <w:color w:val="00B0F0"/>
        </w:rPr>
        <w:t xml:space="preserve">the chart abstraction confirmed a harm did not occur. </w:t>
      </w:r>
      <w:r w:rsidR="00231BB9" w:rsidRPr="00F77601">
        <w:rPr>
          <w:rFonts w:cstheme="minorHAnsi"/>
          <w:bCs/>
          <w:color w:val="00B0F0"/>
        </w:rPr>
        <w:t xml:space="preserve"> </w:t>
      </w:r>
      <w:bookmarkEnd w:id="48"/>
      <w:r w:rsidR="00F77601">
        <w:rPr>
          <w:rFonts w:cstheme="minorHAnsi"/>
          <w:bCs/>
          <w:color w:val="00B0F0"/>
        </w:rPr>
        <w:t xml:space="preserve">Kappa of 0.94 and 0.95 indicate excellent agreement. </w:t>
      </w:r>
      <w:r w:rsidR="004B5014">
        <w:rPr>
          <w:rFonts w:cstheme="minorHAnsi"/>
          <w:bCs/>
          <w:color w:val="FF0000"/>
        </w:rPr>
        <w:t>We will continue to reevaluate validity through reevaluation as hospitals participate in this measure and as required by NQF for maintenance of endorsement</w:t>
      </w:r>
      <w:bookmarkEnd w:id="47"/>
      <w:r w:rsidR="004B5014">
        <w:rPr>
          <w:rFonts w:cstheme="minorHAnsi"/>
          <w:bCs/>
          <w:color w:val="FF0000"/>
        </w:rPr>
        <w:t>.</w:t>
      </w:r>
    </w:p>
    <w:p w14:paraId="3537E6B1" w14:textId="7C9C579F" w:rsidR="00232E60" w:rsidRDefault="00232E60"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14DA64B4" w14:textId="7659F688" w:rsidR="00F77601" w:rsidRPr="00F77601" w:rsidRDefault="00F77601"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bookmarkStart w:id="50" w:name="_Hlk536110144"/>
      <w:r w:rsidRPr="00F77601">
        <w:rPr>
          <w:rFonts w:cstheme="minorHAnsi"/>
          <w:bCs/>
          <w:color w:val="00B0F0"/>
        </w:rPr>
        <w:t xml:space="preserve">Our Kappa interpretation is based </w:t>
      </w:r>
      <w:r w:rsidR="00B22D68">
        <w:rPr>
          <w:rFonts w:cstheme="minorHAnsi"/>
          <w:bCs/>
          <w:color w:val="00B0F0"/>
        </w:rPr>
        <w:t>on</w:t>
      </w:r>
      <w:r w:rsidRPr="00F77601">
        <w:rPr>
          <w:rFonts w:cstheme="minorHAnsi"/>
          <w:bCs/>
          <w:color w:val="00B0F0"/>
        </w:rPr>
        <w:t xml:space="preserve"> the following standards set by Viera et al.:</w:t>
      </w:r>
    </w:p>
    <w:p w14:paraId="21A72638" w14:textId="77777777" w:rsidR="00F77601" w:rsidRPr="00F77601" w:rsidRDefault="00F77601"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77601">
        <w:rPr>
          <w:rFonts w:cstheme="minorHAnsi"/>
          <w:bCs/>
          <w:color w:val="00B0F0"/>
        </w:rPr>
        <w:t>0.4 – 0.6 indicate “moderate agreement”,</w:t>
      </w:r>
    </w:p>
    <w:p w14:paraId="2AE1B56D" w14:textId="77777777" w:rsidR="00F77601" w:rsidRPr="00F77601" w:rsidRDefault="00F77601"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77601">
        <w:rPr>
          <w:rFonts w:cstheme="minorHAnsi"/>
          <w:bCs/>
          <w:color w:val="00B0F0"/>
        </w:rPr>
        <w:t>0.6 – 0.8 “substantial agreement”, and</w:t>
      </w:r>
    </w:p>
    <w:p w14:paraId="029FF813" w14:textId="35FCBEF2" w:rsidR="00F77601" w:rsidRPr="00F77601" w:rsidRDefault="00F77601"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77601">
        <w:rPr>
          <w:rFonts w:cstheme="minorHAnsi"/>
          <w:bCs/>
          <w:color w:val="00B0F0"/>
        </w:rPr>
        <w:t>0.8</w:t>
      </w:r>
      <w:r w:rsidRPr="00F77601">
        <w:rPr>
          <w:rFonts w:cstheme="minorHAnsi"/>
          <w:bCs/>
          <w:color w:val="00B0F0"/>
        </w:rPr>
        <w:t xml:space="preserve"> – 1 “almost perfect agreement”</w:t>
      </w:r>
    </w:p>
    <w:p w14:paraId="6E49A549" w14:textId="77777777" w:rsidR="00F77601" w:rsidRPr="00F77601" w:rsidRDefault="00F77601"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p>
    <w:p w14:paraId="1A56C1F4" w14:textId="77777777" w:rsidR="00F77601" w:rsidRPr="00F77601" w:rsidRDefault="00F77601"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sidRPr="00F77601">
        <w:rPr>
          <w:rFonts w:cstheme="minorHAnsi"/>
          <w:bCs/>
          <w:color w:val="00B0F0"/>
        </w:rPr>
        <w:t>References:</w:t>
      </w:r>
    </w:p>
    <w:p w14:paraId="0D5B7ECB" w14:textId="02109583" w:rsidR="00F77601" w:rsidRPr="00F77601" w:rsidRDefault="00B22D68"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Pr>
          <w:rFonts w:cstheme="minorHAnsi"/>
          <w:bCs/>
          <w:color w:val="00B0F0"/>
        </w:rPr>
        <w:t xml:space="preserve">1. </w:t>
      </w:r>
      <w:r w:rsidR="00F77601" w:rsidRPr="00F77601">
        <w:rPr>
          <w:rFonts w:cstheme="minorHAnsi"/>
          <w:bCs/>
          <w:color w:val="00B0F0"/>
        </w:rPr>
        <w:t>Cohen J. A coefficient of agreement for nominal scales. Educ Psychol Meas. 1960;20:37–46.</w:t>
      </w:r>
    </w:p>
    <w:p w14:paraId="2968D73B" w14:textId="08462272" w:rsidR="00F77601" w:rsidRPr="00F77601" w:rsidRDefault="00B22D68"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r>
        <w:rPr>
          <w:rFonts w:cstheme="minorHAnsi"/>
          <w:bCs/>
          <w:color w:val="00B0F0"/>
        </w:rPr>
        <w:t xml:space="preserve">2. </w:t>
      </w:r>
      <w:r w:rsidR="00F77601" w:rsidRPr="00F77601">
        <w:rPr>
          <w:rFonts w:cstheme="minorHAnsi"/>
          <w:bCs/>
          <w:color w:val="00B0F0"/>
        </w:rPr>
        <w:t>Viera AJ, Garrett JM. Understanding Interobserver Agreement: The Kappa Statistic. Fam Med 2005;37(5):360-3.</w:t>
      </w:r>
    </w:p>
    <w:bookmarkEnd w:id="50"/>
    <w:p w14:paraId="1CF47E44" w14:textId="77777777" w:rsidR="00F77601" w:rsidRDefault="00F77601" w:rsidP="00F776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220738C8" w14:textId="2DC197EF" w:rsidR="004F7551" w:rsidRPr="00214E5D" w:rsidRDefault="004F7551"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214E5D">
        <w:rPr>
          <w:rFonts w:cstheme="minorHAnsi"/>
          <w:bCs/>
          <w:color w:val="FF0000"/>
          <w:u w:val="single"/>
        </w:rPr>
        <w:t>Face Validity:</w:t>
      </w:r>
    </w:p>
    <w:p w14:paraId="76EE6D9C" w14:textId="085EE719" w:rsidR="004F7551" w:rsidRPr="00316892" w:rsidRDefault="004F7551" w:rsidP="003674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4F7551">
        <w:rPr>
          <w:rFonts w:cstheme="minorHAnsi"/>
          <w:bCs/>
          <w:color w:val="FF0000"/>
        </w:rPr>
        <w:t>80% of TEP members agreed (moderately or strongly) that the measure will provide an</w:t>
      </w:r>
      <w:r>
        <w:rPr>
          <w:rFonts w:cstheme="minorHAnsi"/>
          <w:bCs/>
          <w:color w:val="FF0000"/>
        </w:rPr>
        <w:t xml:space="preserve"> accurate reflection of quality, which reflects good face validity.</w:t>
      </w:r>
    </w:p>
    <w:p w14:paraId="0CABCFE0" w14:textId="4BE05309" w:rsidR="008A403A" w:rsidRPr="002D75EE" w:rsidRDefault="00483E94" w:rsidP="00DB3627">
      <w:pPr>
        <w:autoSpaceDE w:val="0"/>
        <w:autoSpaceDN w:val="0"/>
        <w:adjustRightInd w:val="0"/>
        <w:spacing w:after="0" w:line="240" w:lineRule="auto"/>
        <w:rPr>
          <w:rFonts w:cstheme="minorHAnsi"/>
          <w:bCs/>
        </w:rPr>
      </w:pPr>
      <w:r w:rsidRPr="002D75EE">
        <w:rPr>
          <w:rFonts w:cstheme="minorHAnsi"/>
          <w:bCs/>
        </w:rPr>
        <w:t>_________________________</w:t>
      </w:r>
    </w:p>
    <w:p w14:paraId="0CABCFE1" w14:textId="5D7F87B5" w:rsidR="00097012" w:rsidRPr="002D75EE" w:rsidRDefault="00021170" w:rsidP="00DB3627">
      <w:pPr>
        <w:autoSpaceDE w:val="0"/>
        <w:autoSpaceDN w:val="0"/>
        <w:adjustRightInd w:val="0"/>
        <w:spacing w:after="0" w:line="240" w:lineRule="auto"/>
        <w:rPr>
          <w:rFonts w:cstheme="minorHAnsi"/>
          <w:b/>
          <w:bCs/>
        </w:rPr>
      </w:pPr>
      <w:r w:rsidRPr="002D75EE">
        <w:rPr>
          <w:rFonts w:cstheme="minorHAnsi"/>
          <w:b/>
          <w:bCs/>
        </w:rPr>
        <w:t>2</w:t>
      </w:r>
      <w:r w:rsidR="00EA5F47" w:rsidRPr="002D75EE">
        <w:rPr>
          <w:rFonts w:cstheme="minorHAnsi"/>
          <w:b/>
          <w:bCs/>
        </w:rPr>
        <w:t>b</w:t>
      </w:r>
      <w:r w:rsidR="009C7513" w:rsidRPr="002D75EE">
        <w:rPr>
          <w:rFonts w:cstheme="minorHAnsi"/>
          <w:b/>
          <w:bCs/>
        </w:rPr>
        <w:t>2.</w:t>
      </w:r>
      <w:r w:rsidRPr="002D75EE">
        <w:rPr>
          <w:rFonts w:cstheme="minorHAnsi"/>
          <w:b/>
          <w:bCs/>
        </w:rPr>
        <w:t xml:space="preserve"> EXCLUSIONS</w:t>
      </w:r>
      <w:r w:rsidR="005333CC" w:rsidRPr="002D75EE">
        <w:rPr>
          <w:rFonts w:cstheme="minorHAnsi"/>
          <w:b/>
          <w:bCs/>
        </w:rPr>
        <w:t xml:space="preserve"> </w:t>
      </w:r>
      <w:r w:rsidR="00356BAD" w:rsidRPr="002D75EE">
        <w:rPr>
          <w:rFonts w:cstheme="minorHAnsi"/>
          <w:b/>
          <w:bCs/>
        </w:rPr>
        <w:t>ANALYSIS</w:t>
      </w:r>
    </w:p>
    <w:p w14:paraId="0CABCFE2" w14:textId="67819C47" w:rsidR="00B037BA" w:rsidRPr="002D75EE" w:rsidRDefault="001E4DD4" w:rsidP="00DB3627">
      <w:pPr>
        <w:autoSpaceDE w:val="0"/>
        <w:autoSpaceDN w:val="0"/>
        <w:adjustRightInd w:val="0"/>
        <w:spacing w:after="0" w:line="240" w:lineRule="auto"/>
        <w:rPr>
          <w:rFonts w:cstheme="minorHAnsi"/>
          <w:b/>
          <w:bCs/>
        </w:rPr>
      </w:pPr>
      <w:r w:rsidRPr="002D75EE">
        <w:rPr>
          <w:rFonts w:eastAsia="MS Gothic" w:cstheme="minorHAnsi"/>
          <w:b/>
          <w:bCs/>
        </w:rPr>
        <w:t>NA</w:t>
      </w:r>
      <w:r w:rsidRPr="002D75EE">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Content>
          <w:r w:rsidR="004E0937" w:rsidRPr="002D75EE">
            <w:rPr>
              <w:rFonts w:ascii="MS Gothic" w:eastAsia="MS Gothic" w:hAnsi="MS Gothic" w:cstheme="minorHAnsi" w:hint="eastAsia"/>
              <w:bCs/>
              <w:color w:val="0000FF"/>
            </w:rPr>
            <w:t>☒</w:t>
          </w:r>
        </w:sdtContent>
      </w:sdt>
      <w:r w:rsidRPr="002D75EE">
        <w:rPr>
          <w:rFonts w:eastAsia="MS Gothic" w:cstheme="minorHAnsi"/>
          <w:b/>
          <w:bCs/>
          <w:color w:val="0000FF"/>
        </w:rPr>
        <w:t xml:space="preserve"> </w:t>
      </w:r>
      <w:r w:rsidR="00484120" w:rsidRPr="002D75EE">
        <w:rPr>
          <w:rFonts w:cstheme="minorHAnsi"/>
          <w:b/>
          <w:bCs/>
        </w:rPr>
        <w:t>no exclusions</w:t>
      </w:r>
      <w:r w:rsidRPr="002D75EE">
        <w:rPr>
          <w:rFonts w:cstheme="minorHAnsi"/>
          <w:b/>
          <w:bCs/>
        </w:rPr>
        <w:t xml:space="preserve"> </w:t>
      </w:r>
      <w:r w:rsidRPr="002D75EE">
        <w:rPr>
          <w:rFonts w:eastAsia="MS Gothic" w:cstheme="minorHAnsi"/>
          <w:b/>
          <w:bCs/>
          <w:color w:val="0000FF"/>
        </w:rPr>
        <w:t>—</w:t>
      </w:r>
      <w:r w:rsidRPr="002D75EE">
        <w:rPr>
          <w:rFonts w:cstheme="minorHAnsi"/>
          <w:b/>
          <w:bCs/>
          <w:i/>
        </w:rPr>
        <w:t xml:space="preserve"> </w:t>
      </w:r>
      <w:r w:rsidR="00B037BA" w:rsidRPr="002D75EE">
        <w:rPr>
          <w:rFonts w:cstheme="minorHAnsi"/>
          <w:b/>
          <w:bCs/>
          <w:i/>
        </w:rPr>
        <w:t xml:space="preserve">skip </w:t>
      </w:r>
      <w:r w:rsidR="008A4C13" w:rsidRPr="002D75EE">
        <w:rPr>
          <w:rFonts w:cstheme="minorHAnsi"/>
          <w:b/>
          <w:bCs/>
          <w:i/>
        </w:rPr>
        <w:t xml:space="preserve">to </w:t>
      </w:r>
      <w:r w:rsidR="00BE592D" w:rsidRPr="002D75EE">
        <w:rPr>
          <w:rFonts w:cstheme="minorHAnsi"/>
          <w:b/>
          <w:bCs/>
          <w:i/>
        </w:rPr>
        <w:t xml:space="preserve">section </w:t>
      </w:r>
      <w:hyperlink w:anchor="section2b4" w:history="1">
        <w:r w:rsidR="00483E94" w:rsidRPr="002D75EE">
          <w:rPr>
            <w:rStyle w:val="Hyperlink"/>
            <w:rFonts w:cstheme="minorHAnsi"/>
            <w:b/>
            <w:bCs/>
            <w:i/>
          </w:rPr>
          <w:t>2b</w:t>
        </w:r>
        <w:r w:rsidR="00565946" w:rsidRPr="002D75EE">
          <w:rPr>
            <w:rStyle w:val="Hyperlink"/>
            <w:rFonts w:cstheme="minorHAnsi"/>
            <w:b/>
            <w:bCs/>
            <w:i/>
          </w:rPr>
          <w:t>3</w:t>
        </w:r>
      </w:hyperlink>
    </w:p>
    <w:p w14:paraId="0CABCFE3" w14:textId="77777777" w:rsidR="00001D73" w:rsidRPr="001E6A8B" w:rsidRDefault="00001D73" w:rsidP="00DB3627">
      <w:pPr>
        <w:autoSpaceDE w:val="0"/>
        <w:autoSpaceDN w:val="0"/>
        <w:adjustRightInd w:val="0"/>
        <w:spacing w:after="0" w:line="240" w:lineRule="auto"/>
        <w:rPr>
          <w:rFonts w:cstheme="minorHAnsi"/>
          <w:b/>
          <w:bCs/>
          <w:highlight w:val="lightGray"/>
        </w:rPr>
      </w:pPr>
    </w:p>
    <w:p w14:paraId="0CABCFE4" w14:textId="6EFBE429" w:rsidR="00833325" w:rsidRPr="001E6A8B" w:rsidRDefault="00092566" w:rsidP="00DB3627">
      <w:pPr>
        <w:autoSpaceDE w:val="0"/>
        <w:autoSpaceDN w:val="0"/>
        <w:adjustRightInd w:val="0"/>
        <w:spacing w:after="0" w:line="240" w:lineRule="auto"/>
        <w:rPr>
          <w:rFonts w:cstheme="minorHAnsi"/>
          <w:bCs/>
          <w:sz w:val="12"/>
          <w:highlight w:val="lightGray"/>
        </w:rPr>
      </w:pPr>
      <w:r w:rsidRPr="001E6A8B">
        <w:rPr>
          <w:rFonts w:cstheme="minorHAnsi"/>
          <w:b/>
          <w:bCs/>
          <w:highlight w:val="lightGray"/>
        </w:rPr>
        <w:t>2b</w:t>
      </w:r>
      <w:r w:rsidR="009C7513" w:rsidRPr="001E6A8B">
        <w:rPr>
          <w:rFonts w:cstheme="minorHAnsi"/>
          <w:b/>
          <w:bCs/>
          <w:highlight w:val="lightGray"/>
        </w:rPr>
        <w:t>2</w:t>
      </w:r>
      <w:r w:rsidRPr="001E6A8B">
        <w:rPr>
          <w:rFonts w:cstheme="minorHAnsi"/>
          <w:b/>
          <w:bCs/>
          <w:highlight w:val="lightGray"/>
        </w:rPr>
        <w:t>.</w:t>
      </w:r>
      <w:r w:rsidR="00A25024" w:rsidRPr="001E6A8B">
        <w:rPr>
          <w:rFonts w:cstheme="minorHAnsi"/>
          <w:b/>
          <w:bCs/>
          <w:highlight w:val="lightGray"/>
        </w:rPr>
        <w:t>1. Describe the method of</w:t>
      </w:r>
      <w:r w:rsidR="00E672D6" w:rsidRPr="001E6A8B">
        <w:rPr>
          <w:rFonts w:cstheme="minorHAnsi"/>
          <w:b/>
          <w:bCs/>
          <w:highlight w:val="lightGray"/>
        </w:rPr>
        <w:t xml:space="preserve"> </w:t>
      </w:r>
      <w:r w:rsidR="005333CC" w:rsidRPr="001E6A8B">
        <w:rPr>
          <w:rFonts w:cstheme="minorHAnsi"/>
          <w:b/>
          <w:bCs/>
          <w:highlight w:val="lightGray"/>
        </w:rPr>
        <w:t>testing</w:t>
      </w:r>
      <w:r w:rsidR="00833325" w:rsidRPr="001E6A8B">
        <w:rPr>
          <w:rFonts w:cstheme="minorHAnsi"/>
          <w:b/>
          <w:bCs/>
          <w:highlight w:val="lightGray"/>
        </w:rPr>
        <w:t xml:space="preserve"> </w:t>
      </w:r>
      <w:r w:rsidR="004B6CEE" w:rsidRPr="001E6A8B">
        <w:rPr>
          <w:rFonts w:cstheme="minorHAnsi"/>
          <w:b/>
          <w:bCs/>
          <w:highlight w:val="lightGray"/>
        </w:rPr>
        <w:t xml:space="preserve">exclusions </w:t>
      </w:r>
      <w:r w:rsidR="00A25024" w:rsidRPr="001E6A8B">
        <w:rPr>
          <w:rFonts w:cstheme="minorHAnsi"/>
          <w:b/>
          <w:bCs/>
          <w:highlight w:val="lightGray"/>
        </w:rPr>
        <w:t>and what it tests</w:t>
      </w:r>
      <w:r w:rsidR="00833325" w:rsidRPr="001E6A8B">
        <w:rPr>
          <w:rFonts w:cstheme="minorHAnsi"/>
          <w:bCs/>
          <w:highlight w:val="lightGray"/>
        </w:rPr>
        <w:t xml:space="preserve"> (</w:t>
      </w:r>
      <w:r w:rsidR="00A25024" w:rsidRPr="001E6A8B">
        <w:rPr>
          <w:rFonts w:cstheme="minorHAnsi"/>
          <w:bCs/>
          <w:i/>
          <w:highlight w:val="lightGray"/>
        </w:rPr>
        <w:t>describe the steps―do not just name a method; what was tested, e.g., whether exclusions affect overall performance scores</w:t>
      </w:r>
      <w:r w:rsidR="0022691B" w:rsidRPr="001E6A8B">
        <w:rPr>
          <w:rFonts w:cstheme="minorHAnsi"/>
          <w:bCs/>
          <w:i/>
          <w:highlight w:val="lightGray"/>
        </w:rPr>
        <w:t>; what statistical analysis was used</w:t>
      </w:r>
      <w:r w:rsidR="00833325" w:rsidRPr="001E6A8B">
        <w:rPr>
          <w:rFonts w:cstheme="minorHAnsi"/>
          <w:bCs/>
          <w:highlight w:val="lightGray"/>
        </w:rPr>
        <w:t>)</w:t>
      </w:r>
      <w:r w:rsidR="00833325" w:rsidRPr="001E6A8B">
        <w:rPr>
          <w:rFonts w:cstheme="minorHAnsi"/>
          <w:bCs/>
          <w:highlight w:val="lightGray"/>
        </w:rPr>
        <w:br/>
        <w:t xml:space="preserve"> </w:t>
      </w:r>
    </w:p>
    <w:p w14:paraId="0CABCFE5" w14:textId="77777777" w:rsidR="00833325" w:rsidRPr="001E6A8B" w:rsidRDefault="00833325" w:rsidP="00DB3627">
      <w:pPr>
        <w:autoSpaceDE w:val="0"/>
        <w:autoSpaceDN w:val="0"/>
        <w:adjustRightInd w:val="0"/>
        <w:spacing w:after="0" w:line="240" w:lineRule="auto"/>
        <w:rPr>
          <w:rFonts w:cstheme="minorHAnsi"/>
          <w:bCs/>
          <w:highlight w:val="lightGray"/>
        </w:rPr>
      </w:pPr>
    </w:p>
    <w:p w14:paraId="0CABCFE6" w14:textId="38532CDE" w:rsidR="007422FD" w:rsidRPr="001E6A8B" w:rsidRDefault="00092566" w:rsidP="00092566">
      <w:pPr>
        <w:autoSpaceDE w:val="0"/>
        <w:autoSpaceDN w:val="0"/>
        <w:adjustRightInd w:val="0"/>
        <w:spacing w:after="0" w:line="240" w:lineRule="auto"/>
        <w:rPr>
          <w:rFonts w:cstheme="minorHAnsi"/>
          <w:bCs/>
          <w:highlight w:val="lightGray"/>
        </w:rPr>
      </w:pPr>
      <w:r w:rsidRPr="001E6A8B">
        <w:rPr>
          <w:rFonts w:cstheme="minorHAnsi"/>
          <w:b/>
          <w:bCs/>
          <w:highlight w:val="lightGray"/>
        </w:rPr>
        <w:t>2b</w:t>
      </w:r>
      <w:r w:rsidR="009C7513" w:rsidRPr="001E6A8B">
        <w:rPr>
          <w:rFonts w:cstheme="minorHAnsi"/>
          <w:b/>
          <w:bCs/>
          <w:highlight w:val="lightGray"/>
        </w:rPr>
        <w:t>2</w:t>
      </w:r>
      <w:r w:rsidRPr="001E6A8B">
        <w:rPr>
          <w:rFonts w:cstheme="minorHAnsi"/>
          <w:b/>
          <w:bCs/>
          <w:highlight w:val="lightGray"/>
        </w:rPr>
        <w:t>.</w:t>
      </w:r>
      <w:r w:rsidR="00A25024" w:rsidRPr="001E6A8B">
        <w:rPr>
          <w:rFonts w:cstheme="minorHAnsi"/>
          <w:b/>
          <w:bCs/>
          <w:highlight w:val="lightGray"/>
        </w:rPr>
        <w:t xml:space="preserve">2. </w:t>
      </w:r>
      <w:r w:rsidR="00833325" w:rsidRPr="001E6A8B">
        <w:rPr>
          <w:rFonts w:cstheme="minorHAnsi"/>
          <w:b/>
          <w:bCs/>
          <w:highlight w:val="lightGray"/>
        </w:rPr>
        <w:t xml:space="preserve">What were the statistical results </w:t>
      </w:r>
      <w:r w:rsidR="007422FD" w:rsidRPr="001E6A8B">
        <w:rPr>
          <w:rFonts w:cstheme="minorHAnsi"/>
          <w:b/>
          <w:bCs/>
          <w:highlight w:val="lightGray"/>
        </w:rPr>
        <w:t>from testing exclusions</w:t>
      </w:r>
      <w:r w:rsidR="00833325" w:rsidRPr="001E6A8B">
        <w:rPr>
          <w:rFonts w:cstheme="minorHAnsi"/>
          <w:bCs/>
          <w:highlight w:val="lightGray"/>
        </w:rPr>
        <w:t>?</w:t>
      </w:r>
      <w:r w:rsidR="000B2DF7" w:rsidRPr="001E6A8B">
        <w:rPr>
          <w:rFonts w:cstheme="minorHAnsi"/>
          <w:bCs/>
          <w:highlight w:val="lightGray"/>
        </w:rPr>
        <w:t xml:space="preserve"> (</w:t>
      </w:r>
      <w:r w:rsidR="000B2DF7" w:rsidRPr="001E6A8B">
        <w:rPr>
          <w:rFonts w:cstheme="minorHAnsi"/>
          <w:bCs/>
          <w:i/>
          <w:highlight w:val="lightGray"/>
        </w:rPr>
        <w:t xml:space="preserve">include </w:t>
      </w:r>
      <w:r w:rsidR="00356BAD" w:rsidRPr="001E6A8B">
        <w:rPr>
          <w:rFonts w:cstheme="minorHAnsi"/>
          <w:bCs/>
          <w:i/>
          <w:highlight w:val="lightGray"/>
        </w:rPr>
        <w:t xml:space="preserve">overall </w:t>
      </w:r>
      <w:r w:rsidR="000B2DF7" w:rsidRPr="001E6A8B">
        <w:rPr>
          <w:rFonts w:cstheme="minorHAnsi"/>
          <w:bCs/>
          <w:i/>
          <w:highlight w:val="lightGray"/>
        </w:rPr>
        <w:t>number and percentage of individuals excluded</w:t>
      </w:r>
      <w:r w:rsidR="0025762F" w:rsidRPr="001E6A8B">
        <w:rPr>
          <w:rFonts w:cstheme="minorHAnsi"/>
          <w:bCs/>
          <w:i/>
          <w:highlight w:val="lightGray"/>
        </w:rPr>
        <w:t>, frequency distribution of exclusions across measured entities,</w:t>
      </w:r>
      <w:r w:rsidR="000B2DF7" w:rsidRPr="001E6A8B">
        <w:rPr>
          <w:rFonts w:cstheme="minorHAnsi"/>
          <w:bCs/>
          <w:i/>
          <w:highlight w:val="lightGray"/>
        </w:rPr>
        <w:t xml:space="preserve"> and impact on performance measure scores</w:t>
      </w:r>
      <w:r w:rsidR="000B2DF7" w:rsidRPr="001E6A8B">
        <w:rPr>
          <w:rFonts w:cstheme="minorHAnsi"/>
          <w:bCs/>
          <w:highlight w:val="lightGray"/>
        </w:rPr>
        <w:t>)</w:t>
      </w:r>
      <w:r w:rsidR="00833325" w:rsidRPr="001E6A8B">
        <w:rPr>
          <w:rFonts w:cstheme="minorHAnsi"/>
          <w:bCs/>
          <w:highlight w:val="lightGray"/>
        </w:rPr>
        <w:br/>
      </w:r>
    </w:p>
    <w:p w14:paraId="0CABCFE7" w14:textId="77777777" w:rsidR="00092566" w:rsidRPr="001E6A8B" w:rsidRDefault="00092566" w:rsidP="00092566">
      <w:pPr>
        <w:autoSpaceDE w:val="0"/>
        <w:autoSpaceDN w:val="0"/>
        <w:adjustRightInd w:val="0"/>
        <w:spacing w:after="0" w:line="240" w:lineRule="auto"/>
        <w:rPr>
          <w:rFonts w:cstheme="minorHAnsi"/>
          <w:bCs/>
          <w:sz w:val="12"/>
          <w:highlight w:val="lightGray"/>
        </w:rPr>
      </w:pPr>
    </w:p>
    <w:p w14:paraId="0CABCFE8" w14:textId="06255C2C" w:rsidR="007422FD" w:rsidRPr="00A25024" w:rsidRDefault="00092566" w:rsidP="00DB3627">
      <w:pPr>
        <w:autoSpaceDE w:val="0"/>
        <w:autoSpaceDN w:val="0"/>
        <w:adjustRightInd w:val="0"/>
        <w:spacing w:after="0" w:line="240" w:lineRule="auto"/>
        <w:rPr>
          <w:rFonts w:cstheme="minorHAnsi"/>
          <w:bCs/>
        </w:rPr>
      </w:pPr>
      <w:r w:rsidRPr="001E6A8B">
        <w:rPr>
          <w:rFonts w:cstheme="minorHAnsi"/>
          <w:b/>
          <w:bCs/>
          <w:highlight w:val="lightGray"/>
        </w:rPr>
        <w:t>2b</w:t>
      </w:r>
      <w:r w:rsidR="009C7513" w:rsidRPr="001E6A8B">
        <w:rPr>
          <w:rFonts w:cstheme="minorHAnsi"/>
          <w:b/>
          <w:bCs/>
          <w:highlight w:val="lightGray"/>
        </w:rPr>
        <w:t>2</w:t>
      </w:r>
      <w:r w:rsidRPr="001E6A8B">
        <w:rPr>
          <w:rFonts w:cstheme="minorHAnsi"/>
          <w:b/>
          <w:bCs/>
          <w:highlight w:val="lightGray"/>
        </w:rPr>
        <w:t>.</w:t>
      </w:r>
      <w:r w:rsidR="00A25024" w:rsidRPr="001E6A8B">
        <w:rPr>
          <w:rFonts w:cstheme="minorHAnsi"/>
          <w:b/>
          <w:bCs/>
          <w:highlight w:val="lightGray"/>
        </w:rPr>
        <w:t xml:space="preserve">3. </w:t>
      </w:r>
      <w:r w:rsidR="000B2DF7" w:rsidRPr="001E6A8B">
        <w:rPr>
          <w:rFonts w:cstheme="minorHAnsi"/>
          <w:b/>
          <w:bCs/>
          <w:highlight w:val="lightGray"/>
        </w:rPr>
        <w:t xml:space="preserve">What is your interpretation of the results </w:t>
      </w:r>
      <w:r w:rsidR="007422FD" w:rsidRPr="001E6A8B">
        <w:rPr>
          <w:rFonts w:cstheme="minorHAnsi"/>
          <w:b/>
          <w:bCs/>
          <w:highlight w:val="lightGray"/>
        </w:rPr>
        <w:t xml:space="preserve">in terms of </w:t>
      </w:r>
      <w:r w:rsidR="00713394" w:rsidRPr="001E6A8B">
        <w:rPr>
          <w:rFonts w:cstheme="minorHAnsi"/>
          <w:b/>
          <w:bCs/>
          <w:highlight w:val="lightGray"/>
        </w:rPr>
        <w:t>demonstrating</w:t>
      </w:r>
      <w:r w:rsidR="007422FD" w:rsidRPr="001E6A8B">
        <w:rPr>
          <w:rFonts w:cstheme="minorHAnsi"/>
          <w:b/>
          <w:bCs/>
          <w:highlight w:val="lightGray"/>
        </w:rPr>
        <w:t xml:space="preserve"> </w:t>
      </w:r>
      <w:r w:rsidR="00713394" w:rsidRPr="001E6A8B">
        <w:rPr>
          <w:rFonts w:cstheme="minorHAnsi"/>
          <w:b/>
          <w:bCs/>
          <w:highlight w:val="lightGray"/>
        </w:rPr>
        <w:t>that exclusions are needed to prevent unfair distortion of performance results</w:t>
      </w:r>
      <w:r w:rsidR="007422FD" w:rsidRPr="001E6A8B">
        <w:rPr>
          <w:rFonts w:cstheme="minorHAnsi"/>
          <w:b/>
          <w:bCs/>
          <w:highlight w:val="lightGray"/>
        </w:rPr>
        <w:t>?</w:t>
      </w:r>
      <w:r w:rsidR="007422FD" w:rsidRPr="001E6A8B">
        <w:rPr>
          <w:rFonts w:cstheme="minorHAnsi"/>
          <w:bCs/>
          <w:highlight w:val="lightGray"/>
        </w:rPr>
        <w:t xml:space="preserve"> </w:t>
      </w:r>
      <w:r w:rsidR="000B2DF7" w:rsidRPr="001E6A8B">
        <w:rPr>
          <w:rFonts w:cstheme="minorHAnsi"/>
          <w:bCs/>
          <w:highlight w:val="lightGray"/>
        </w:rPr>
        <w:t>(</w:t>
      </w:r>
      <w:r w:rsidR="00713394" w:rsidRPr="001E6A8B">
        <w:rPr>
          <w:rFonts w:cstheme="minorHAnsi"/>
          <w:bCs/>
          <w:i/>
          <w:highlight w:val="lightGray"/>
        </w:rPr>
        <w:t>i.e.,</w:t>
      </w:r>
      <w:r w:rsidR="000B2DF7" w:rsidRPr="001E6A8B">
        <w:rPr>
          <w:rFonts w:cstheme="minorHAnsi"/>
          <w:bCs/>
          <w:i/>
          <w:highlight w:val="lightGray"/>
        </w:rPr>
        <w:t xml:space="preserve"> the value </w:t>
      </w:r>
      <w:r w:rsidR="00713394" w:rsidRPr="001E6A8B">
        <w:rPr>
          <w:rFonts w:cstheme="minorHAnsi"/>
          <w:bCs/>
          <w:i/>
          <w:highlight w:val="lightGray"/>
        </w:rPr>
        <w:t>outweighs the</w:t>
      </w:r>
      <w:r w:rsidR="000B2DF7" w:rsidRPr="001E6A8B">
        <w:rPr>
          <w:rFonts w:cstheme="minorHAnsi"/>
          <w:bCs/>
          <w:i/>
          <w:highlight w:val="lightGray"/>
        </w:rPr>
        <w:t xml:space="preserve"> burden of increased data collection and analysi</w:t>
      </w:r>
      <w:r w:rsidR="00CC086A" w:rsidRPr="001E6A8B">
        <w:rPr>
          <w:rFonts w:cstheme="minorHAnsi"/>
          <w:bCs/>
          <w:i/>
          <w:highlight w:val="lightGray"/>
        </w:rPr>
        <w:t xml:space="preserve">s. </w:t>
      </w:r>
      <w:r w:rsidR="00713394" w:rsidRPr="001E6A8B">
        <w:rPr>
          <w:rFonts w:cstheme="minorHAnsi"/>
          <w:bCs/>
          <w:highlight w:val="lightGray"/>
        </w:rPr>
        <w:t xml:space="preserve"> </w:t>
      </w:r>
      <w:r w:rsidR="00713394" w:rsidRPr="001E6A8B">
        <w:rPr>
          <w:rFonts w:cstheme="minorHAnsi"/>
          <w:bCs/>
          <w:i/>
          <w:highlight w:val="lightGray"/>
          <w:u w:val="single"/>
        </w:rPr>
        <w:t>Note</w:t>
      </w:r>
      <w:r w:rsidR="00713394" w:rsidRPr="001E6A8B">
        <w:rPr>
          <w:rFonts w:cstheme="minorHAnsi"/>
          <w:bCs/>
          <w:i/>
          <w:highlight w:val="lightGray"/>
        </w:rPr>
        <w:t xml:space="preserve">: </w:t>
      </w:r>
      <w:r w:rsidR="00713394" w:rsidRPr="001E6A8B">
        <w:rPr>
          <w:rFonts w:cstheme="minorHAnsi"/>
          <w:b/>
          <w:bCs/>
          <w:i/>
          <w:highlight w:val="lightGray"/>
        </w:rPr>
        <w:t>If patient preference is an exclusion</w:t>
      </w:r>
      <w:r w:rsidR="00713394" w:rsidRPr="001E6A8B">
        <w:rPr>
          <w:rFonts w:cstheme="minorHAnsi"/>
          <w:bCs/>
          <w:i/>
          <w:highlight w:val="lightGray"/>
        </w:rPr>
        <w:t>, the measure must be specified so that the effect on the performance score is transparent, e.g., scores with and without exclusion</w:t>
      </w:r>
      <w:r w:rsidR="00713394" w:rsidRPr="001E6A8B">
        <w:rPr>
          <w:rFonts w:cstheme="minorHAnsi"/>
          <w:bCs/>
          <w:highlight w:val="lightGray"/>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51" w:name="section2b4"/>
      <w:bookmarkEnd w:id="5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2D75EE">
        <w:rPr>
          <w:rFonts w:cstheme="minorHAnsi"/>
          <w:b/>
          <w:bCs/>
          <w:i/>
        </w:rPr>
        <w:t>If not an intermediate or health outcome</w:t>
      </w:r>
      <w:r w:rsidR="00127C06" w:rsidRPr="002D75EE">
        <w:rPr>
          <w:rFonts w:cstheme="minorHAnsi"/>
          <w:b/>
          <w:bCs/>
          <w:i/>
        </w:rPr>
        <w:t>,</w:t>
      </w:r>
      <w:r w:rsidR="00AC1D8E" w:rsidRPr="002D75EE">
        <w:rPr>
          <w:rFonts w:cstheme="minorHAnsi"/>
          <w:b/>
          <w:bCs/>
          <w:i/>
        </w:rPr>
        <w:t xml:space="preserve"> </w:t>
      </w:r>
      <w:r w:rsidR="00127C06" w:rsidRPr="002D75EE">
        <w:rPr>
          <w:rFonts w:cstheme="minorHAnsi"/>
          <w:b/>
          <w:bCs/>
          <w:i/>
        </w:rPr>
        <w:t xml:space="preserve">or PRO-PM, </w:t>
      </w:r>
      <w:r w:rsidR="00AC1D8E" w:rsidRPr="002D75EE">
        <w:rPr>
          <w:rFonts w:cstheme="minorHAnsi"/>
          <w:b/>
          <w:bCs/>
          <w:i/>
        </w:rPr>
        <w:t xml:space="preserve">or resource use measure, </w:t>
      </w:r>
      <w:r w:rsidR="00BE592D" w:rsidRPr="002D75EE">
        <w:rPr>
          <w:rFonts w:cstheme="minorHAnsi"/>
          <w:b/>
          <w:bCs/>
          <w:i/>
        </w:rPr>
        <w:t xml:space="preserve">skip to section </w:t>
      </w:r>
      <w:hyperlink w:anchor="section2b5" w:history="1">
        <w:r w:rsidR="00BE592D" w:rsidRPr="002D75EE">
          <w:rPr>
            <w:rStyle w:val="Hyperlink"/>
            <w:rFonts w:cstheme="minorHAnsi"/>
            <w:b/>
            <w:bCs/>
            <w:i/>
          </w:rPr>
          <w:t>2b</w:t>
        </w:r>
        <w:r w:rsidR="00565946" w:rsidRPr="002D75EE">
          <w:rPr>
            <w:rStyle w:val="Hyperlink"/>
            <w:rFonts w:cstheme="minorHAnsi"/>
            <w:b/>
            <w:bCs/>
            <w:i/>
          </w:rPr>
          <w:t>4</w:t>
        </w:r>
      </w:hyperlink>
      <w:r w:rsidR="00BE592D" w:rsidRPr="002D75EE">
        <w:rPr>
          <w:rFonts w:cstheme="minorHAnsi"/>
          <w:b/>
          <w:bCs/>
          <w:i/>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1180ECC1" w:rsidR="00033038" w:rsidRPr="005232D6" w:rsidRDefault="00F9194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sidR="002010B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CE265A">
        <w:rPr>
          <w:rFonts w:cstheme="minorHAnsi"/>
          <w:b/>
          <w:bCs/>
        </w:rPr>
        <w:t>No risk adjustment or stratification</w:t>
      </w:r>
    </w:p>
    <w:p w14:paraId="0CABCFEE" w14:textId="77777777" w:rsidR="00743E46" w:rsidRPr="005232D6" w:rsidRDefault="00F9194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F9194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50BB8B8C" w:rsidR="00743E46" w:rsidRPr="005232D6" w:rsidRDefault="00F9194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AF430A">
        <w:rPr>
          <w:rFonts w:cstheme="minorHAnsi"/>
          <w:b/>
          <w:bCs/>
          <w:highlight w:val="lightGray"/>
        </w:rPr>
        <w:t>2b</w:t>
      </w:r>
      <w:r w:rsidR="009C7513" w:rsidRPr="00AF430A">
        <w:rPr>
          <w:rFonts w:cstheme="minorHAnsi"/>
          <w:b/>
          <w:bCs/>
          <w:highlight w:val="lightGray"/>
        </w:rPr>
        <w:t>3</w:t>
      </w:r>
      <w:r w:rsidRPr="00AF430A">
        <w:rPr>
          <w:rFonts w:cstheme="minorHAnsi"/>
          <w:b/>
          <w:bCs/>
          <w:highlight w:val="lightGray"/>
        </w:rPr>
        <w:t xml:space="preserve">.1.1 </w:t>
      </w:r>
      <w:r w:rsidR="00F34FAB" w:rsidRPr="00AF430A">
        <w:rPr>
          <w:rFonts w:ascii="Calibri" w:eastAsia="MS Mincho" w:hAnsi="Calibri" w:cs="Calibri"/>
          <w:b/>
          <w:bCs/>
          <w:highlight w:val="lightGray"/>
        </w:rPr>
        <w:t>If using a statistical risk model, provide detailed risk model specifications, including the risk model method, risk factors, coefficients, equations, codes with descriptors, and definitions.</w:t>
      </w:r>
      <w:r w:rsidR="00F34FAB" w:rsidRPr="00450C58">
        <w:rPr>
          <w:rFonts w:ascii="Calibri" w:eastAsia="MS Mincho" w:hAnsi="Calibri" w:cs="Calibri"/>
          <w:b/>
          <w:bCs/>
        </w:rPr>
        <w:t xml:space="preserve"> </w:t>
      </w:r>
    </w:p>
    <w:p w14:paraId="38337283" w14:textId="77777777" w:rsidR="002D75EE" w:rsidRDefault="002D75EE" w:rsidP="002D75EE">
      <w:pPr>
        <w:spacing w:after="0"/>
        <w:rPr>
          <w:rFonts w:cs="Calibri"/>
          <w:b/>
          <w:bCs/>
        </w:rPr>
      </w:pPr>
    </w:p>
    <w:p w14:paraId="1913E4A1" w14:textId="4CB789EF" w:rsidR="00874998" w:rsidRDefault="009C7513" w:rsidP="009D3882">
      <w:pPr>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6226C70E" w14:textId="77777777" w:rsidR="00AB1952" w:rsidRPr="00AB1952" w:rsidRDefault="00AB1952" w:rsidP="00985D78">
      <w:pPr>
        <w:pBdr>
          <w:top w:val="single" w:sz="4" w:space="1" w:color="auto"/>
          <w:left w:val="single" w:sz="4" w:space="1" w:color="auto"/>
          <w:bottom w:val="single" w:sz="4" w:space="1" w:color="auto"/>
          <w:right w:val="single" w:sz="4" w:space="4" w:color="auto"/>
        </w:pBdr>
        <w:rPr>
          <w:rFonts w:cs="Calibri"/>
          <w:bCs/>
          <w:color w:val="FF0000"/>
        </w:rPr>
      </w:pPr>
      <w:r w:rsidRPr="00AB1952">
        <w:rPr>
          <w:rFonts w:cs="Calibri"/>
          <w:bCs/>
          <w:color w:val="FF0000"/>
        </w:rPr>
        <w:t xml:space="preserve">Clinical characteristics, including a patient’s age, reason for hospitalization, clinical status when they arrive at the hospital, or comorbid conditions all may influence the risk of harm occurring during a hospitalization. Therefore, if hospitals care for patients with different degree of risk, it may be important to adjust for patient risk factors in order to compare hospital performance. </w:t>
      </w:r>
    </w:p>
    <w:p w14:paraId="57B5FDFF" w14:textId="5A846637" w:rsidR="003A695E" w:rsidRDefault="00AB1952" w:rsidP="00985D78">
      <w:pPr>
        <w:pBdr>
          <w:top w:val="single" w:sz="4" w:space="1" w:color="auto"/>
          <w:left w:val="single" w:sz="4" w:space="1" w:color="auto"/>
          <w:bottom w:val="single" w:sz="4" w:space="1" w:color="auto"/>
          <w:right w:val="single" w:sz="4" w:space="4" w:color="auto"/>
        </w:pBdr>
        <w:rPr>
          <w:rFonts w:cs="Calibri"/>
          <w:bCs/>
          <w:color w:val="FF0000"/>
        </w:rPr>
      </w:pPr>
      <w:r w:rsidRPr="00AB1952">
        <w:rPr>
          <w:rFonts w:cs="Calibri"/>
          <w:bCs/>
          <w:color w:val="FF0000"/>
        </w:rPr>
        <w:t>However, many harms such as severe hypoglycemia should be avoidable, regardless of patient risk. We consider the following criteria in determining whether risk adjustment is warranted for t</w:t>
      </w:r>
      <w:r w:rsidR="00951F6C">
        <w:rPr>
          <w:rFonts w:cs="Calibri"/>
          <w:bCs/>
          <w:color w:val="FF0000"/>
        </w:rPr>
        <w:t>he severe hypoglycemia measure:</w:t>
      </w:r>
    </w:p>
    <w:p w14:paraId="008D96A7" w14:textId="77777777" w:rsidR="00951F6C" w:rsidRPr="00951F6C" w:rsidRDefault="00951F6C" w:rsidP="00985D78">
      <w:pPr>
        <w:pStyle w:val="ListParagraph"/>
        <w:numPr>
          <w:ilvl w:val="0"/>
          <w:numId w:val="34"/>
        </w:numPr>
        <w:pBdr>
          <w:top w:val="single" w:sz="4" w:space="1" w:color="auto"/>
          <w:left w:val="single" w:sz="4" w:space="1" w:color="auto"/>
          <w:bottom w:val="single" w:sz="4" w:space="1" w:color="auto"/>
          <w:right w:val="single" w:sz="4" w:space="4" w:color="auto"/>
        </w:pBdr>
        <w:ind w:left="270" w:hanging="270"/>
        <w:rPr>
          <w:rFonts w:cs="Calibri"/>
          <w:bCs/>
          <w:color w:val="FF0000"/>
        </w:rPr>
      </w:pPr>
      <w:r w:rsidRPr="00951F6C">
        <w:rPr>
          <w:rFonts w:cs="Calibri"/>
          <w:bCs/>
          <w:color w:val="FF0000"/>
        </w:rPr>
        <w:t>If many patients are at risk of the harm regardless of their age, clinical status, comorbidities, or reason for admission, as described further in paragraph below;</w:t>
      </w:r>
    </w:p>
    <w:p w14:paraId="4F2EC57F" w14:textId="02E5A7B1" w:rsidR="00951F6C" w:rsidRDefault="00951F6C" w:rsidP="00985D78">
      <w:pPr>
        <w:pStyle w:val="ListParagraph"/>
        <w:numPr>
          <w:ilvl w:val="0"/>
          <w:numId w:val="34"/>
        </w:numPr>
        <w:pBdr>
          <w:top w:val="single" w:sz="4" w:space="1" w:color="auto"/>
          <w:left w:val="single" w:sz="4" w:space="1" w:color="auto"/>
          <w:bottom w:val="single" w:sz="4" w:space="1" w:color="auto"/>
          <w:right w:val="single" w:sz="4" w:space="4" w:color="auto"/>
        </w:pBdr>
        <w:ind w:left="270" w:hanging="270"/>
        <w:rPr>
          <w:rFonts w:cs="Calibri"/>
          <w:bCs/>
          <w:color w:val="FF0000"/>
        </w:rPr>
      </w:pPr>
      <w:r w:rsidRPr="00AB1952">
        <w:rPr>
          <w:rFonts w:cs="Calibri"/>
          <w:bCs/>
          <w:color w:val="FF0000"/>
        </w:rPr>
        <w:t xml:space="preserve">If the majority of incidents of the harm are linkable to care provision under the control of providers, for example harms caused by excessive or inappropriate medication dosing </w:t>
      </w:r>
      <w:r>
        <w:rPr>
          <w:rFonts w:cs="Calibri"/>
          <w:bCs/>
          <w:color w:val="FF0000"/>
        </w:rPr>
        <w:t>or inadequate monitoring</w:t>
      </w:r>
      <w:r w:rsidRPr="00AB1952">
        <w:rPr>
          <w:rFonts w:cs="Calibri"/>
          <w:bCs/>
          <w:color w:val="FF0000"/>
        </w:rPr>
        <w:t>; and</w:t>
      </w:r>
    </w:p>
    <w:p w14:paraId="6F3FF15C" w14:textId="77777777" w:rsidR="00951F6C" w:rsidRDefault="00951F6C" w:rsidP="00985D78">
      <w:pPr>
        <w:pStyle w:val="ListParagraph"/>
        <w:numPr>
          <w:ilvl w:val="0"/>
          <w:numId w:val="34"/>
        </w:numPr>
        <w:pBdr>
          <w:top w:val="single" w:sz="4" w:space="1" w:color="auto"/>
          <w:left w:val="single" w:sz="4" w:space="1" w:color="auto"/>
          <w:bottom w:val="single" w:sz="4" w:space="1" w:color="auto"/>
          <w:right w:val="single" w:sz="4" w:space="4" w:color="auto"/>
        </w:pBdr>
        <w:ind w:left="270" w:hanging="270"/>
        <w:rPr>
          <w:rFonts w:cs="Calibri"/>
          <w:bCs/>
          <w:color w:val="FF0000"/>
        </w:rPr>
      </w:pPr>
      <w:r w:rsidRPr="00AB1952">
        <w:rPr>
          <w:rFonts w:cs="Calibri"/>
          <w:bCs/>
          <w:color w:val="FF0000"/>
        </w:rPr>
        <w:t>If there is evidence that the risk of a harm can be largely ameliorated by best care practices regardless of a patients’ inherent risk profile. For example, there may be evidence that even complex patients with multiple risk factors can avoid harm events when providers closely adhere to care guidelines</w:t>
      </w:r>
    </w:p>
    <w:p w14:paraId="47577D29" w14:textId="2C5D0F64" w:rsidR="008D0518" w:rsidRDefault="00AB1952" w:rsidP="00985D78">
      <w:pPr>
        <w:pBdr>
          <w:top w:val="single" w:sz="4" w:space="1" w:color="auto"/>
          <w:left w:val="single" w:sz="4" w:space="1" w:color="auto"/>
          <w:bottom w:val="single" w:sz="4" w:space="1" w:color="auto"/>
          <w:right w:val="single" w:sz="4" w:space="4" w:color="auto"/>
        </w:pBdr>
        <w:rPr>
          <w:rFonts w:cs="Calibri"/>
          <w:bCs/>
        </w:rPr>
      </w:pPr>
      <w:r w:rsidRPr="00951F6C">
        <w:rPr>
          <w:rFonts w:cs="Calibri"/>
          <w:bCs/>
          <w:color w:val="FF0000"/>
        </w:rPr>
        <w:t xml:space="preserve">In the case of the severe hypoglycemia eCQM, there is evidence indicating that most hypoglycemic events of this severity (&lt;40 mg/DL) are avoidable. Although certain patients may be particularly vulnerable to hypoglycemia in certain settings (e.g. due to organ failure and not related to administration of diabetic agents), the most common causes are lack of caloric intake, overuse of anti-diabetic agents, or both. As these causes are controllable in hospital environments, and risk can easily be reduced by following best practices, we do not think risk adjustment is warranted for this measure. We will continue to evaluate the appropriateness of risk adjustment in measure reevaluation </w:t>
      </w:r>
      <w:r w:rsidR="004B5014" w:rsidRPr="00951F6C">
        <w:rPr>
          <w:rFonts w:cs="Calibri"/>
          <w:bCs/>
          <w:color w:val="FF0000"/>
        </w:rPr>
        <w:t>as is required for NQF endorsement maintenance</w:t>
      </w:r>
      <w:r w:rsidR="00351FE8" w:rsidRPr="00951F6C">
        <w:rPr>
          <w:rFonts w:cs="Calibri"/>
          <w:bCs/>
          <w:color w:val="FF0000"/>
        </w:rPr>
        <w:t>.</w:t>
      </w:r>
      <w:r w:rsidR="00351FE8" w:rsidRPr="00951F6C">
        <w:rPr>
          <w:rFonts w:cs="Calibri"/>
          <w:bCs/>
        </w:rPr>
        <w:t xml:space="preserve"> </w:t>
      </w:r>
    </w:p>
    <w:p w14:paraId="092438D6" w14:textId="7970AA94" w:rsidR="0058515A" w:rsidRPr="000136D7" w:rsidRDefault="0058515A" w:rsidP="00985D78">
      <w:pPr>
        <w:pBdr>
          <w:top w:val="single" w:sz="4" w:space="1" w:color="auto"/>
          <w:left w:val="single" w:sz="4" w:space="1" w:color="auto"/>
          <w:bottom w:val="single" w:sz="4" w:space="1" w:color="auto"/>
          <w:right w:val="single" w:sz="4" w:space="4" w:color="auto"/>
        </w:pBdr>
        <w:rPr>
          <w:rFonts w:cs="Calibri"/>
          <w:bCs/>
          <w:color w:val="00B0F0"/>
        </w:rPr>
      </w:pPr>
      <w:bookmarkStart w:id="52" w:name="_Hlk536108355"/>
      <w:r w:rsidRPr="000136D7">
        <w:rPr>
          <w:rFonts w:cs="Calibri"/>
          <w:bCs/>
          <w:color w:val="00B0F0"/>
        </w:rPr>
        <w:t xml:space="preserve">In addition to the clinical rationale provided for not risk adjusting this measure, we examined the performance (harm) rate of the measure across patient characteristics of age, sex, race, ethnicity, and payer. </w:t>
      </w:r>
      <w:r w:rsidR="003E08AC" w:rsidRPr="000136D7">
        <w:rPr>
          <w:rFonts w:cs="Calibri"/>
          <w:bCs/>
          <w:color w:val="00B0F0"/>
        </w:rPr>
        <w:t xml:space="preserve">Age (by date of birth) was validated; no other patient demographic was validated using chart data. </w:t>
      </w:r>
      <w:r w:rsidR="00332CA8" w:rsidRPr="000136D7">
        <w:rPr>
          <w:rFonts w:cs="Calibri"/>
          <w:bCs/>
          <w:color w:val="00B0F0"/>
        </w:rPr>
        <w:t>It is important to note t</w:t>
      </w:r>
      <w:r w:rsidR="003E08AC" w:rsidRPr="000136D7">
        <w:rPr>
          <w:rFonts w:cs="Calibri"/>
          <w:bCs/>
          <w:color w:val="00B0F0"/>
        </w:rPr>
        <w:t>hese results are</w:t>
      </w:r>
      <w:r w:rsidR="00332CA8" w:rsidRPr="000136D7">
        <w:rPr>
          <w:rFonts w:cs="Calibri"/>
          <w:bCs/>
          <w:color w:val="00B0F0"/>
        </w:rPr>
        <w:t xml:space="preserve"> derived</w:t>
      </w:r>
      <w:r w:rsidR="00C01159" w:rsidRPr="000136D7">
        <w:rPr>
          <w:rFonts w:cs="Calibri"/>
          <w:bCs/>
          <w:color w:val="00B0F0"/>
        </w:rPr>
        <w:t xml:space="preserve"> </w:t>
      </w:r>
      <w:r w:rsidR="00332CA8" w:rsidRPr="000136D7">
        <w:rPr>
          <w:rFonts w:cs="Calibri"/>
          <w:bCs/>
          <w:color w:val="00B0F0"/>
        </w:rPr>
        <w:t>from</w:t>
      </w:r>
      <w:r w:rsidR="00C01159" w:rsidRPr="000136D7">
        <w:rPr>
          <w:rFonts w:cs="Calibri"/>
          <w:bCs/>
          <w:color w:val="00B0F0"/>
        </w:rPr>
        <w:t xml:space="preserve"> a small dataset that is not generalizable to the entire population and the datasets include many characteristics </w:t>
      </w:r>
      <w:r w:rsidR="00332CA8" w:rsidRPr="000136D7">
        <w:rPr>
          <w:rFonts w:cs="Calibri"/>
          <w:bCs/>
          <w:color w:val="00B0F0"/>
        </w:rPr>
        <w:t>that are</w:t>
      </w:r>
      <w:r w:rsidR="00C01159" w:rsidRPr="000136D7">
        <w:rPr>
          <w:rFonts w:cs="Calibri"/>
          <w:bCs/>
          <w:color w:val="00B0F0"/>
        </w:rPr>
        <w:t xml:space="preserve"> ‘unknown’ </w:t>
      </w:r>
      <w:r w:rsidR="00332CA8" w:rsidRPr="000136D7">
        <w:rPr>
          <w:rFonts w:cs="Calibri"/>
          <w:bCs/>
          <w:color w:val="00B0F0"/>
        </w:rPr>
        <w:t xml:space="preserve">in the EHR </w:t>
      </w:r>
      <w:r w:rsidR="00C01159" w:rsidRPr="000136D7">
        <w:rPr>
          <w:rFonts w:cs="Calibri"/>
          <w:bCs/>
          <w:color w:val="00B0F0"/>
        </w:rPr>
        <w:t xml:space="preserve">which limits the usability of the results; additionally, we do not believe it is clinically appropriate to adjust by these characteristics given the clinical rationale provided above. </w:t>
      </w:r>
    </w:p>
    <w:bookmarkEnd w:id="52"/>
    <w:p w14:paraId="6C11A1F7" w14:textId="77777777" w:rsidR="00C01159" w:rsidRDefault="00C01159" w:rsidP="00985D78">
      <w:pPr>
        <w:pBdr>
          <w:top w:val="single" w:sz="4" w:space="1" w:color="auto"/>
          <w:left w:val="single" w:sz="4" w:space="1" w:color="auto"/>
          <w:bottom w:val="single" w:sz="4" w:space="1" w:color="auto"/>
          <w:right w:val="single" w:sz="4" w:space="4" w:color="auto"/>
        </w:pBdr>
        <w:rPr>
          <w:rFonts w:cs="Calibri"/>
          <w:bCs/>
        </w:rPr>
        <w:sectPr w:rsidR="00C01159" w:rsidSect="006F2F20">
          <w:pgSz w:w="12240" w:h="15840"/>
          <w:pgMar w:top="1440" w:right="1440" w:bottom="1440" w:left="1440" w:header="720" w:footer="720" w:gutter="0"/>
          <w:cols w:space="720"/>
          <w:docGrid w:linePitch="360"/>
        </w:sectPr>
      </w:pPr>
    </w:p>
    <w:p w14:paraId="2FE8CF92" w14:textId="0A67B83C" w:rsidR="00C01159" w:rsidRPr="000136D7" w:rsidRDefault="00C01159" w:rsidP="00985D78">
      <w:pPr>
        <w:pBdr>
          <w:top w:val="single" w:sz="4" w:space="1" w:color="auto"/>
          <w:left w:val="single" w:sz="4" w:space="1" w:color="auto"/>
          <w:bottom w:val="single" w:sz="4" w:space="1" w:color="auto"/>
          <w:right w:val="single" w:sz="4" w:space="4" w:color="auto"/>
        </w:pBdr>
        <w:rPr>
          <w:rFonts w:cs="Calibri"/>
          <w:b/>
          <w:bCs/>
          <w:color w:val="00B0F0"/>
        </w:rPr>
      </w:pPr>
      <w:r w:rsidRPr="000136D7">
        <w:rPr>
          <w:rFonts w:cs="Calibri"/>
          <w:b/>
          <w:bCs/>
          <w:color w:val="00B0F0"/>
        </w:rPr>
        <w:lastRenderedPageBreak/>
        <w:t>Table 6.</w:t>
      </w:r>
      <w:r w:rsidR="00390B48" w:rsidRPr="000136D7">
        <w:rPr>
          <w:rFonts w:cs="Calibri"/>
          <w:b/>
          <w:bCs/>
          <w:color w:val="00B0F0"/>
        </w:rPr>
        <w:t xml:space="preserve"> </w:t>
      </w:r>
      <w:r w:rsidR="00390B48" w:rsidRPr="000136D7">
        <w:rPr>
          <w:rFonts w:cs="Calibri"/>
          <w:b/>
          <w:bCs/>
          <w:color w:val="00B0F0"/>
        </w:rPr>
        <w:t>Performance Rate by Encounter Characteristic</w:t>
      </w:r>
      <w:r w:rsidR="000136D7" w:rsidRPr="000136D7">
        <w:rPr>
          <w:rFonts w:cs="Calibri"/>
          <w:b/>
          <w:bCs/>
          <w:color w:val="00B0F0"/>
        </w:rPr>
        <w:t xml:space="preserve"> (Beta Dataset 1 and 2)</w:t>
      </w:r>
    </w:p>
    <w:tbl>
      <w:tblPr>
        <w:tblStyle w:val="TableGrid"/>
        <w:tblW w:w="13806" w:type="dxa"/>
        <w:tblLayout w:type="fixed"/>
        <w:tblLook w:val="04A0" w:firstRow="1" w:lastRow="0" w:firstColumn="1" w:lastColumn="0" w:noHBand="0" w:noVBand="1"/>
      </w:tblPr>
      <w:tblGrid>
        <w:gridCol w:w="2425"/>
        <w:gridCol w:w="1530"/>
        <w:gridCol w:w="1309"/>
        <w:gridCol w:w="1190"/>
        <w:gridCol w:w="25"/>
        <w:gridCol w:w="1216"/>
        <w:gridCol w:w="1300"/>
        <w:gridCol w:w="1134"/>
        <w:gridCol w:w="1216"/>
        <w:gridCol w:w="1250"/>
        <w:gridCol w:w="1182"/>
        <w:gridCol w:w="29"/>
      </w:tblGrid>
      <w:tr w:rsidR="000136D7" w:rsidRPr="000136D7" w14:paraId="76656F8A" w14:textId="77777777" w:rsidTr="000136D7">
        <w:trPr>
          <w:cantSplit/>
          <w:trHeight w:val="555"/>
          <w:tblHeader/>
        </w:trPr>
        <w:tc>
          <w:tcPr>
            <w:tcW w:w="2425" w:type="dxa"/>
            <w:tcBorders>
              <w:top w:val="single" w:sz="4" w:space="0" w:color="auto"/>
              <w:left w:val="single" w:sz="4" w:space="0" w:color="auto"/>
              <w:bottom w:val="single" w:sz="4" w:space="0" w:color="auto"/>
              <w:right w:val="single" w:sz="4" w:space="0" w:color="auto"/>
            </w:tcBorders>
            <w:vAlign w:val="center"/>
            <w:hideMark/>
          </w:tcPr>
          <w:p w14:paraId="1D2EB461" w14:textId="29144477" w:rsidR="00C01159" w:rsidRPr="000136D7" w:rsidRDefault="00C01159" w:rsidP="00BC1D81">
            <w:pPr>
              <w:jc w:val="center"/>
              <w:rPr>
                <w:rFonts w:cstheme="minorHAnsi"/>
                <w:b/>
                <w:bCs/>
                <w:color w:val="00B0F0"/>
              </w:rPr>
            </w:pPr>
            <w:r w:rsidRPr="000136D7">
              <w:rPr>
                <w:rFonts w:cstheme="minorHAnsi"/>
                <w:b/>
                <w:bCs/>
                <w:color w:val="00B0F0"/>
              </w:rPr>
              <w:t>Characteristic</w:t>
            </w:r>
          </w:p>
        </w:tc>
        <w:tc>
          <w:tcPr>
            <w:tcW w:w="4029" w:type="dxa"/>
            <w:gridSpan w:val="3"/>
            <w:tcBorders>
              <w:top w:val="single" w:sz="4" w:space="0" w:color="auto"/>
              <w:left w:val="single" w:sz="4" w:space="0" w:color="auto"/>
              <w:bottom w:val="single" w:sz="4" w:space="0" w:color="auto"/>
              <w:right w:val="single" w:sz="4" w:space="0" w:color="auto"/>
            </w:tcBorders>
            <w:vAlign w:val="center"/>
            <w:hideMark/>
          </w:tcPr>
          <w:p w14:paraId="23CAB58C" w14:textId="27094E98" w:rsidR="00C01159" w:rsidRPr="000136D7" w:rsidRDefault="00C01159" w:rsidP="00BC1D81">
            <w:pPr>
              <w:autoSpaceDE w:val="0"/>
              <w:autoSpaceDN w:val="0"/>
              <w:adjustRightInd w:val="0"/>
              <w:jc w:val="center"/>
              <w:rPr>
                <w:rFonts w:cstheme="minorHAnsi"/>
                <w:b/>
                <w:bCs/>
                <w:color w:val="00B0F0"/>
              </w:rPr>
            </w:pPr>
            <w:r w:rsidRPr="000136D7">
              <w:rPr>
                <w:rFonts w:cstheme="minorHAnsi"/>
                <w:b/>
                <w:bCs/>
                <w:color w:val="00B0F0"/>
              </w:rPr>
              <w:t>Beta Dataset 1</w:t>
            </w:r>
            <w:r w:rsidRPr="000136D7">
              <w:rPr>
                <w:rFonts w:cstheme="minorHAnsi"/>
                <w:b/>
                <w:bCs/>
                <w:color w:val="00B0F0"/>
              </w:rPr>
              <w:br/>
            </w:r>
          </w:p>
        </w:tc>
        <w:tc>
          <w:tcPr>
            <w:tcW w:w="3675" w:type="dxa"/>
            <w:gridSpan w:val="4"/>
            <w:tcBorders>
              <w:top w:val="single" w:sz="4" w:space="0" w:color="auto"/>
              <w:left w:val="single" w:sz="4" w:space="0" w:color="auto"/>
              <w:bottom w:val="single" w:sz="4" w:space="0" w:color="auto"/>
              <w:right w:val="single" w:sz="4" w:space="0" w:color="auto"/>
            </w:tcBorders>
            <w:vAlign w:val="center"/>
            <w:hideMark/>
          </w:tcPr>
          <w:p w14:paraId="32A37A33" w14:textId="7BBB6752" w:rsidR="00C01159" w:rsidRPr="000136D7" w:rsidRDefault="00C01159" w:rsidP="00BC1D81">
            <w:pPr>
              <w:autoSpaceDE w:val="0"/>
              <w:autoSpaceDN w:val="0"/>
              <w:adjustRightInd w:val="0"/>
              <w:jc w:val="center"/>
              <w:rPr>
                <w:rFonts w:cstheme="minorHAnsi"/>
                <w:b/>
                <w:bCs/>
                <w:color w:val="00B0F0"/>
              </w:rPr>
            </w:pPr>
            <w:r w:rsidRPr="000136D7">
              <w:rPr>
                <w:rFonts w:cstheme="minorHAnsi"/>
                <w:b/>
                <w:bCs/>
                <w:color w:val="00B0F0"/>
              </w:rPr>
              <w:t>Beta Dataset 2</w:t>
            </w:r>
            <w:r w:rsidRPr="000136D7">
              <w:rPr>
                <w:rFonts w:cstheme="minorHAnsi"/>
                <w:b/>
                <w:bCs/>
                <w:color w:val="00B0F0"/>
              </w:rPr>
              <w:br/>
            </w:r>
          </w:p>
        </w:tc>
        <w:tc>
          <w:tcPr>
            <w:tcW w:w="3677" w:type="dxa"/>
            <w:gridSpan w:val="4"/>
            <w:tcBorders>
              <w:top w:val="single" w:sz="4" w:space="0" w:color="auto"/>
              <w:left w:val="single" w:sz="4" w:space="0" w:color="auto"/>
              <w:bottom w:val="single" w:sz="4" w:space="0" w:color="auto"/>
              <w:right w:val="single" w:sz="4" w:space="0" w:color="auto"/>
            </w:tcBorders>
            <w:vAlign w:val="center"/>
            <w:hideMark/>
          </w:tcPr>
          <w:p w14:paraId="4493D529" w14:textId="6BF78CC8" w:rsidR="00C01159" w:rsidRPr="000136D7" w:rsidRDefault="00C01159" w:rsidP="00BC1D81">
            <w:pPr>
              <w:autoSpaceDE w:val="0"/>
              <w:autoSpaceDN w:val="0"/>
              <w:adjustRightInd w:val="0"/>
              <w:jc w:val="center"/>
              <w:rPr>
                <w:rFonts w:cstheme="minorHAnsi"/>
                <w:b/>
                <w:bCs/>
                <w:color w:val="00B0F0"/>
              </w:rPr>
            </w:pPr>
            <w:r w:rsidRPr="000136D7">
              <w:rPr>
                <w:rFonts w:cstheme="minorHAnsi"/>
                <w:b/>
                <w:bCs/>
                <w:color w:val="00B0F0"/>
              </w:rPr>
              <w:t>Across Beta Sites</w:t>
            </w:r>
            <w:r w:rsidRPr="000136D7">
              <w:rPr>
                <w:rFonts w:cstheme="minorHAnsi"/>
                <w:b/>
                <w:bCs/>
                <w:color w:val="00B0F0"/>
              </w:rPr>
              <w:br/>
            </w:r>
          </w:p>
        </w:tc>
      </w:tr>
      <w:tr w:rsidR="000136D7" w:rsidRPr="000136D7" w14:paraId="6BA024F3" w14:textId="77777777" w:rsidTr="000136D7">
        <w:trPr>
          <w:gridAfter w:val="1"/>
          <w:wAfter w:w="29" w:type="dxa"/>
          <w:cantSplit/>
          <w:trHeight w:val="555"/>
          <w:tblHeader/>
        </w:trPr>
        <w:tc>
          <w:tcPr>
            <w:tcW w:w="2425" w:type="dxa"/>
            <w:tcBorders>
              <w:top w:val="single" w:sz="4" w:space="0" w:color="auto"/>
              <w:left w:val="single" w:sz="4" w:space="0" w:color="auto"/>
              <w:bottom w:val="single" w:sz="4" w:space="0" w:color="auto"/>
              <w:right w:val="single" w:sz="4" w:space="0" w:color="auto"/>
            </w:tcBorders>
            <w:vAlign w:val="center"/>
          </w:tcPr>
          <w:p w14:paraId="7027737C" w14:textId="77777777" w:rsidR="00C01159" w:rsidRPr="000136D7" w:rsidRDefault="00C01159" w:rsidP="00C01159">
            <w:pPr>
              <w:jc w:val="center"/>
              <w:rPr>
                <w:rFonts w:cstheme="minorHAnsi"/>
                <w:b/>
                <w:bCs/>
                <w:color w:val="00B0F0"/>
              </w:rPr>
            </w:pPr>
          </w:p>
        </w:tc>
        <w:tc>
          <w:tcPr>
            <w:tcW w:w="1530" w:type="dxa"/>
            <w:tcBorders>
              <w:top w:val="single" w:sz="4" w:space="0" w:color="auto"/>
              <w:left w:val="single" w:sz="4" w:space="0" w:color="auto"/>
              <w:right w:val="single" w:sz="4" w:space="0" w:color="auto"/>
            </w:tcBorders>
            <w:vAlign w:val="center"/>
          </w:tcPr>
          <w:p w14:paraId="3BB3E142" w14:textId="3DCF58A4"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Denominator</w:t>
            </w:r>
          </w:p>
        </w:tc>
        <w:tc>
          <w:tcPr>
            <w:tcW w:w="1309" w:type="dxa"/>
            <w:tcBorders>
              <w:top w:val="single" w:sz="4" w:space="0" w:color="auto"/>
              <w:left w:val="single" w:sz="4" w:space="0" w:color="auto"/>
              <w:right w:val="single" w:sz="4" w:space="0" w:color="auto"/>
            </w:tcBorders>
            <w:vAlign w:val="center"/>
          </w:tcPr>
          <w:p w14:paraId="7ED5635C" w14:textId="4E0DDF4A"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Numerator</w:t>
            </w:r>
          </w:p>
        </w:tc>
        <w:tc>
          <w:tcPr>
            <w:tcW w:w="1215" w:type="dxa"/>
            <w:gridSpan w:val="2"/>
            <w:tcBorders>
              <w:top w:val="single" w:sz="4" w:space="0" w:color="auto"/>
              <w:left w:val="single" w:sz="4" w:space="0" w:color="auto"/>
              <w:right w:val="single" w:sz="4" w:space="0" w:color="auto"/>
            </w:tcBorders>
            <w:vAlign w:val="center"/>
          </w:tcPr>
          <w:p w14:paraId="34865728" w14:textId="7E088C42"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Performance Rate % (95% CI)</w:t>
            </w:r>
          </w:p>
        </w:tc>
        <w:tc>
          <w:tcPr>
            <w:tcW w:w="1216" w:type="dxa"/>
            <w:tcBorders>
              <w:top w:val="single" w:sz="4" w:space="0" w:color="auto"/>
              <w:left w:val="single" w:sz="4" w:space="0" w:color="auto"/>
              <w:right w:val="single" w:sz="4" w:space="0" w:color="auto"/>
            </w:tcBorders>
            <w:vAlign w:val="center"/>
          </w:tcPr>
          <w:p w14:paraId="22808B23" w14:textId="5EB40E5B"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Denominator</w:t>
            </w:r>
          </w:p>
        </w:tc>
        <w:tc>
          <w:tcPr>
            <w:tcW w:w="1300" w:type="dxa"/>
            <w:tcBorders>
              <w:top w:val="single" w:sz="4" w:space="0" w:color="auto"/>
              <w:left w:val="single" w:sz="4" w:space="0" w:color="auto"/>
              <w:right w:val="single" w:sz="4" w:space="0" w:color="auto"/>
            </w:tcBorders>
            <w:vAlign w:val="center"/>
          </w:tcPr>
          <w:p w14:paraId="38668E7D" w14:textId="3C979D03"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Numerator</w:t>
            </w:r>
          </w:p>
        </w:tc>
        <w:tc>
          <w:tcPr>
            <w:tcW w:w="1134" w:type="dxa"/>
            <w:tcBorders>
              <w:top w:val="single" w:sz="4" w:space="0" w:color="auto"/>
              <w:left w:val="single" w:sz="4" w:space="0" w:color="auto"/>
              <w:right w:val="single" w:sz="4" w:space="0" w:color="auto"/>
            </w:tcBorders>
            <w:vAlign w:val="center"/>
          </w:tcPr>
          <w:p w14:paraId="20CA5DCB" w14:textId="1F6F61C5"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Performance Rate % (95% CI)</w:t>
            </w:r>
          </w:p>
        </w:tc>
        <w:tc>
          <w:tcPr>
            <w:tcW w:w="1216" w:type="dxa"/>
            <w:tcBorders>
              <w:top w:val="single" w:sz="4" w:space="0" w:color="auto"/>
              <w:left w:val="single" w:sz="4" w:space="0" w:color="auto"/>
              <w:right w:val="single" w:sz="4" w:space="0" w:color="auto"/>
            </w:tcBorders>
            <w:vAlign w:val="center"/>
          </w:tcPr>
          <w:p w14:paraId="1F36CD43" w14:textId="6C86843D"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Denominator</w:t>
            </w:r>
          </w:p>
        </w:tc>
        <w:tc>
          <w:tcPr>
            <w:tcW w:w="1250" w:type="dxa"/>
            <w:tcBorders>
              <w:top w:val="single" w:sz="4" w:space="0" w:color="auto"/>
              <w:left w:val="single" w:sz="4" w:space="0" w:color="auto"/>
              <w:right w:val="single" w:sz="4" w:space="0" w:color="auto"/>
            </w:tcBorders>
            <w:vAlign w:val="center"/>
          </w:tcPr>
          <w:p w14:paraId="146D4D99" w14:textId="7F8C0F38"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Numerator</w:t>
            </w:r>
          </w:p>
        </w:tc>
        <w:tc>
          <w:tcPr>
            <w:tcW w:w="1182" w:type="dxa"/>
            <w:tcBorders>
              <w:top w:val="single" w:sz="4" w:space="0" w:color="auto"/>
              <w:left w:val="single" w:sz="4" w:space="0" w:color="auto"/>
              <w:right w:val="single" w:sz="4" w:space="0" w:color="auto"/>
            </w:tcBorders>
            <w:vAlign w:val="center"/>
          </w:tcPr>
          <w:p w14:paraId="0E7CFA6F" w14:textId="3B30C94F" w:rsidR="00C01159" w:rsidRPr="000136D7" w:rsidRDefault="00C01159" w:rsidP="00C01159">
            <w:pPr>
              <w:autoSpaceDE w:val="0"/>
              <w:autoSpaceDN w:val="0"/>
              <w:adjustRightInd w:val="0"/>
              <w:jc w:val="center"/>
              <w:rPr>
                <w:rFonts w:cstheme="minorHAnsi"/>
                <w:b/>
                <w:bCs/>
                <w:color w:val="00B0F0"/>
              </w:rPr>
            </w:pPr>
            <w:r w:rsidRPr="000136D7">
              <w:rPr>
                <w:rFonts w:cstheme="minorHAnsi"/>
                <w:b/>
                <w:bCs/>
                <w:color w:val="00B0F0"/>
              </w:rPr>
              <w:t>Performance Rate % (95% CI)</w:t>
            </w:r>
          </w:p>
        </w:tc>
      </w:tr>
      <w:tr w:rsidR="000136D7" w:rsidRPr="000136D7" w14:paraId="68E11B83"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2C7505AF" w14:textId="7343F6C0" w:rsidR="00390B48" w:rsidRPr="000136D7" w:rsidRDefault="00390B48" w:rsidP="00390B48">
            <w:pPr>
              <w:autoSpaceDE w:val="0"/>
              <w:autoSpaceDN w:val="0"/>
              <w:adjustRightInd w:val="0"/>
              <w:rPr>
                <w:rFonts w:cstheme="minorHAnsi"/>
                <w:b/>
                <w:bCs/>
                <w:color w:val="00B0F0"/>
              </w:rPr>
            </w:pPr>
            <w:r w:rsidRPr="000136D7">
              <w:rPr>
                <w:rFonts w:cstheme="minorHAnsi"/>
                <w:b/>
                <w:bCs/>
                <w:color w:val="00B0F0"/>
              </w:rPr>
              <w:t>Number of unique Encounters</w:t>
            </w:r>
          </w:p>
        </w:tc>
        <w:tc>
          <w:tcPr>
            <w:tcW w:w="1530" w:type="dxa"/>
            <w:tcBorders>
              <w:left w:val="single" w:sz="4" w:space="0" w:color="auto"/>
              <w:right w:val="single" w:sz="4" w:space="0" w:color="auto"/>
            </w:tcBorders>
          </w:tcPr>
          <w:p w14:paraId="25421E10" w14:textId="46CF9A8F" w:rsidR="00390B48" w:rsidRPr="000136D7" w:rsidRDefault="00390B48" w:rsidP="00390B48">
            <w:pPr>
              <w:autoSpaceDE w:val="0"/>
              <w:autoSpaceDN w:val="0"/>
              <w:adjustRightInd w:val="0"/>
              <w:rPr>
                <w:rFonts w:cs="Calibri"/>
                <w:color w:val="00B0F0"/>
              </w:rPr>
            </w:pPr>
            <w:r w:rsidRPr="000136D7">
              <w:rPr>
                <w:color w:val="00B0F0"/>
              </w:rPr>
              <w:t>7,748</w:t>
            </w:r>
          </w:p>
        </w:tc>
        <w:tc>
          <w:tcPr>
            <w:tcW w:w="1309" w:type="dxa"/>
            <w:tcBorders>
              <w:left w:val="single" w:sz="4" w:space="0" w:color="auto"/>
              <w:right w:val="single" w:sz="4" w:space="0" w:color="auto"/>
            </w:tcBorders>
          </w:tcPr>
          <w:p w14:paraId="7488097A" w14:textId="0628E41E" w:rsidR="00390B48" w:rsidRPr="000136D7" w:rsidRDefault="00390B48" w:rsidP="00390B48">
            <w:pPr>
              <w:autoSpaceDE w:val="0"/>
              <w:autoSpaceDN w:val="0"/>
              <w:adjustRightInd w:val="0"/>
              <w:rPr>
                <w:rFonts w:cs="Calibri"/>
                <w:color w:val="00B0F0"/>
              </w:rPr>
            </w:pPr>
            <w:r w:rsidRPr="000136D7">
              <w:rPr>
                <w:color w:val="00B0F0"/>
              </w:rPr>
              <w:t>195</w:t>
            </w:r>
          </w:p>
        </w:tc>
        <w:tc>
          <w:tcPr>
            <w:tcW w:w="1215" w:type="dxa"/>
            <w:gridSpan w:val="2"/>
            <w:tcBorders>
              <w:left w:val="single" w:sz="4" w:space="0" w:color="auto"/>
              <w:right w:val="single" w:sz="4" w:space="0" w:color="auto"/>
            </w:tcBorders>
          </w:tcPr>
          <w:p w14:paraId="2067CA7E" w14:textId="74907215" w:rsidR="00390B48" w:rsidRPr="000136D7" w:rsidRDefault="00390B48" w:rsidP="00390B48">
            <w:pPr>
              <w:autoSpaceDE w:val="0"/>
              <w:autoSpaceDN w:val="0"/>
              <w:adjustRightInd w:val="0"/>
              <w:rPr>
                <w:rFonts w:cs="Calibri"/>
                <w:color w:val="00B0F0"/>
              </w:rPr>
            </w:pPr>
            <w:r w:rsidRPr="000136D7">
              <w:rPr>
                <w:color w:val="00B0F0"/>
              </w:rPr>
              <w:t>2.5 (2.2, 2.9)</w:t>
            </w:r>
          </w:p>
        </w:tc>
        <w:tc>
          <w:tcPr>
            <w:tcW w:w="1216" w:type="dxa"/>
            <w:tcBorders>
              <w:left w:val="single" w:sz="4" w:space="0" w:color="auto"/>
              <w:right w:val="single" w:sz="4" w:space="0" w:color="auto"/>
            </w:tcBorders>
          </w:tcPr>
          <w:p w14:paraId="4AB72FF6" w14:textId="0AF494C3" w:rsidR="00390B48" w:rsidRPr="000136D7" w:rsidRDefault="00390B48" w:rsidP="00390B48">
            <w:pPr>
              <w:autoSpaceDE w:val="0"/>
              <w:autoSpaceDN w:val="0"/>
              <w:adjustRightInd w:val="0"/>
              <w:rPr>
                <w:rFonts w:cs="Calibri"/>
                <w:color w:val="00B0F0"/>
              </w:rPr>
            </w:pPr>
            <w:r w:rsidRPr="000136D7">
              <w:rPr>
                <w:color w:val="00B0F0"/>
              </w:rPr>
              <w:t>5</w:t>
            </w:r>
            <w:r w:rsidR="000136D7">
              <w:rPr>
                <w:color w:val="00B0F0"/>
              </w:rPr>
              <w:t>,</w:t>
            </w:r>
            <w:r w:rsidRPr="000136D7">
              <w:rPr>
                <w:color w:val="00B0F0"/>
              </w:rPr>
              <w:t>888</w:t>
            </w:r>
          </w:p>
        </w:tc>
        <w:tc>
          <w:tcPr>
            <w:tcW w:w="1300" w:type="dxa"/>
            <w:tcBorders>
              <w:left w:val="single" w:sz="4" w:space="0" w:color="auto"/>
              <w:right w:val="single" w:sz="4" w:space="0" w:color="auto"/>
            </w:tcBorders>
          </w:tcPr>
          <w:p w14:paraId="70B7BB5E" w14:textId="19C4604F" w:rsidR="00390B48" w:rsidRPr="000136D7" w:rsidRDefault="00390B48" w:rsidP="00390B48">
            <w:pPr>
              <w:autoSpaceDE w:val="0"/>
              <w:autoSpaceDN w:val="0"/>
              <w:adjustRightInd w:val="0"/>
              <w:rPr>
                <w:rFonts w:cs="Calibri"/>
                <w:color w:val="00B0F0"/>
              </w:rPr>
            </w:pPr>
            <w:r w:rsidRPr="000136D7">
              <w:rPr>
                <w:color w:val="00B0F0"/>
              </w:rPr>
              <w:t>174</w:t>
            </w:r>
          </w:p>
        </w:tc>
        <w:tc>
          <w:tcPr>
            <w:tcW w:w="1134" w:type="dxa"/>
            <w:tcBorders>
              <w:left w:val="single" w:sz="4" w:space="0" w:color="auto"/>
              <w:right w:val="single" w:sz="4" w:space="0" w:color="auto"/>
            </w:tcBorders>
          </w:tcPr>
          <w:p w14:paraId="48CFF4ED" w14:textId="1DAF88D3" w:rsidR="00390B48" w:rsidRPr="000136D7" w:rsidRDefault="00390B48" w:rsidP="00390B48">
            <w:pPr>
              <w:autoSpaceDE w:val="0"/>
              <w:autoSpaceDN w:val="0"/>
              <w:adjustRightInd w:val="0"/>
              <w:rPr>
                <w:rFonts w:cs="Calibri"/>
                <w:color w:val="00B0F0"/>
              </w:rPr>
            </w:pPr>
            <w:r w:rsidRPr="000136D7">
              <w:rPr>
                <w:color w:val="00B0F0"/>
              </w:rPr>
              <w:t>3.0 (2.5, 3.4)</w:t>
            </w:r>
          </w:p>
        </w:tc>
        <w:tc>
          <w:tcPr>
            <w:tcW w:w="1216" w:type="dxa"/>
            <w:tcBorders>
              <w:left w:val="single" w:sz="4" w:space="0" w:color="auto"/>
              <w:right w:val="single" w:sz="4" w:space="0" w:color="auto"/>
            </w:tcBorders>
          </w:tcPr>
          <w:p w14:paraId="1B2BC84D" w14:textId="510FA0B5" w:rsidR="00390B48" w:rsidRPr="000136D7" w:rsidRDefault="00390B48" w:rsidP="00390B48">
            <w:pPr>
              <w:autoSpaceDE w:val="0"/>
              <w:autoSpaceDN w:val="0"/>
              <w:adjustRightInd w:val="0"/>
              <w:rPr>
                <w:rFonts w:cs="Calibri"/>
                <w:color w:val="00B0F0"/>
              </w:rPr>
            </w:pPr>
            <w:r w:rsidRPr="000136D7">
              <w:rPr>
                <w:color w:val="00B0F0"/>
              </w:rPr>
              <w:t>13</w:t>
            </w:r>
            <w:r w:rsidR="000136D7">
              <w:rPr>
                <w:color w:val="00B0F0"/>
              </w:rPr>
              <w:t>,</w:t>
            </w:r>
            <w:r w:rsidRPr="000136D7">
              <w:rPr>
                <w:color w:val="00B0F0"/>
              </w:rPr>
              <w:t>636</w:t>
            </w:r>
          </w:p>
        </w:tc>
        <w:tc>
          <w:tcPr>
            <w:tcW w:w="1250" w:type="dxa"/>
            <w:tcBorders>
              <w:left w:val="single" w:sz="4" w:space="0" w:color="auto"/>
              <w:right w:val="single" w:sz="4" w:space="0" w:color="auto"/>
            </w:tcBorders>
          </w:tcPr>
          <w:p w14:paraId="79AFEAEA" w14:textId="6D04507C" w:rsidR="00390B48" w:rsidRPr="000136D7" w:rsidRDefault="00390B48" w:rsidP="00390B48">
            <w:pPr>
              <w:autoSpaceDE w:val="0"/>
              <w:autoSpaceDN w:val="0"/>
              <w:adjustRightInd w:val="0"/>
              <w:rPr>
                <w:rFonts w:cs="Calibri"/>
                <w:color w:val="00B0F0"/>
              </w:rPr>
            </w:pPr>
            <w:r w:rsidRPr="000136D7">
              <w:rPr>
                <w:color w:val="00B0F0"/>
              </w:rPr>
              <w:t>369</w:t>
            </w:r>
          </w:p>
        </w:tc>
        <w:tc>
          <w:tcPr>
            <w:tcW w:w="1182" w:type="dxa"/>
            <w:tcBorders>
              <w:left w:val="single" w:sz="4" w:space="0" w:color="auto"/>
              <w:right w:val="single" w:sz="4" w:space="0" w:color="auto"/>
            </w:tcBorders>
          </w:tcPr>
          <w:p w14:paraId="6CF407EE" w14:textId="2A0CD0FE" w:rsidR="00390B48" w:rsidRPr="000136D7" w:rsidRDefault="00390B48" w:rsidP="00390B48">
            <w:pPr>
              <w:autoSpaceDE w:val="0"/>
              <w:autoSpaceDN w:val="0"/>
              <w:adjustRightInd w:val="0"/>
              <w:rPr>
                <w:rFonts w:cs="Calibri"/>
                <w:color w:val="00B0F0"/>
              </w:rPr>
            </w:pPr>
            <w:r w:rsidRPr="000136D7">
              <w:rPr>
                <w:color w:val="00B0F0"/>
              </w:rPr>
              <w:t>2.71 (2.4, 3.0)</w:t>
            </w:r>
          </w:p>
        </w:tc>
      </w:tr>
      <w:tr w:rsidR="000136D7" w:rsidRPr="000136D7" w14:paraId="56AAD3A6" w14:textId="77777777" w:rsidTr="000136D7">
        <w:trPr>
          <w:gridAfter w:val="1"/>
          <w:wAfter w:w="29" w:type="dxa"/>
          <w:trHeight w:val="357"/>
        </w:trPr>
        <w:tc>
          <w:tcPr>
            <w:tcW w:w="2425" w:type="dxa"/>
            <w:tcBorders>
              <w:top w:val="single" w:sz="4" w:space="0" w:color="auto"/>
              <w:left w:val="single" w:sz="4" w:space="0" w:color="auto"/>
              <w:bottom w:val="single" w:sz="4" w:space="0" w:color="auto"/>
              <w:right w:val="single" w:sz="4" w:space="0" w:color="auto"/>
            </w:tcBorders>
            <w:hideMark/>
          </w:tcPr>
          <w:p w14:paraId="1EE959B7" w14:textId="10902EC2" w:rsidR="00C01159" w:rsidRPr="000136D7" w:rsidRDefault="00C01159" w:rsidP="00BC1D81">
            <w:pPr>
              <w:autoSpaceDE w:val="0"/>
              <w:autoSpaceDN w:val="0"/>
              <w:adjustRightInd w:val="0"/>
              <w:rPr>
                <w:rFonts w:cstheme="minorHAnsi"/>
                <w:b/>
                <w:bCs/>
                <w:color w:val="00B0F0"/>
              </w:rPr>
            </w:pPr>
            <w:r w:rsidRPr="000136D7">
              <w:rPr>
                <w:rFonts w:cstheme="minorHAnsi"/>
                <w:b/>
                <w:bCs/>
                <w:color w:val="00B0F0"/>
              </w:rPr>
              <w:t xml:space="preserve">Average Age </w:t>
            </w:r>
          </w:p>
        </w:tc>
        <w:tc>
          <w:tcPr>
            <w:tcW w:w="1530" w:type="dxa"/>
            <w:tcBorders>
              <w:left w:val="single" w:sz="4" w:space="0" w:color="auto"/>
              <w:right w:val="single" w:sz="4" w:space="0" w:color="auto"/>
            </w:tcBorders>
            <w:vAlign w:val="center"/>
          </w:tcPr>
          <w:p w14:paraId="3E318A3B" w14:textId="77777777" w:rsidR="00C01159" w:rsidRPr="000136D7" w:rsidRDefault="00C01159" w:rsidP="00BC1D81">
            <w:pPr>
              <w:autoSpaceDE w:val="0"/>
              <w:autoSpaceDN w:val="0"/>
              <w:adjustRightInd w:val="0"/>
              <w:rPr>
                <w:rFonts w:cs="Calibri"/>
                <w:color w:val="00B0F0"/>
              </w:rPr>
            </w:pPr>
          </w:p>
        </w:tc>
        <w:tc>
          <w:tcPr>
            <w:tcW w:w="1309" w:type="dxa"/>
            <w:tcBorders>
              <w:left w:val="single" w:sz="4" w:space="0" w:color="auto"/>
              <w:right w:val="single" w:sz="4" w:space="0" w:color="auto"/>
            </w:tcBorders>
            <w:vAlign w:val="center"/>
          </w:tcPr>
          <w:p w14:paraId="0D90C09E" w14:textId="77777777" w:rsidR="00C01159" w:rsidRPr="000136D7" w:rsidRDefault="00C01159" w:rsidP="00BC1D81">
            <w:pPr>
              <w:autoSpaceDE w:val="0"/>
              <w:autoSpaceDN w:val="0"/>
              <w:adjustRightInd w:val="0"/>
              <w:rPr>
                <w:rFonts w:cs="Calibri"/>
                <w:color w:val="00B0F0"/>
              </w:rPr>
            </w:pPr>
          </w:p>
        </w:tc>
        <w:tc>
          <w:tcPr>
            <w:tcW w:w="1215" w:type="dxa"/>
            <w:gridSpan w:val="2"/>
            <w:tcBorders>
              <w:left w:val="single" w:sz="4" w:space="0" w:color="auto"/>
              <w:right w:val="single" w:sz="4" w:space="0" w:color="auto"/>
            </w:tcBorders>
            <w:vAlign w:val="center"/>
          </w:tcPr>
          <w:p w14:paraId="7923953F" w14:textId="07576104" w:rsidR="00C01159" w:rsidRPr="000136D7" w:rsidRDefault="00C01159" w:rsidP="00BC1D81">
            <w:pPr>
              <w:autoSpaceDE w:val="0"/>
              <w:autoSpaceDN w:val="0"/>
              <w:adjustRightInd w:val="0"/>
              <w:rPr>
                <w:rFonts w:cs="Calibri"/>
                <w:color w:val="00B0F0"/>
              </w:rPr>
            </w:pPr>
          </w:p>
        </w:tc>
        <w:tc>
          <w:tcPr>
            <w:tcW w:w="1216" w:type="dxa"/>
            <w:tcBorders>
              <w:left w:val="single" w:sz="4" w:space="0" w:color="auto"/>
              <w:right w:val="single" w:sz="4" w:space="0" w:color="auto"/>
            </w:tcBorders>
            <w:vAlign w:val="center"/>
          </w:tcPr>
          <w:p w14:paraId="219DD4D4" w14:textId="77777777" w:rsidR="00C01159" w:rsidRPr="000136D7" w:rsidRDefault="00C01159" w:rsidP="00BC1D81">
            <w:pPr>
              <w:autoSpaceDE w:val="0"/>
              <w:autoSpaceDN w:val="0"/>
              <w:adjustRightInd w:val="0"/>
              <w:rPr>
                <w:rFonts w:cs="Calibri"/>
                <w:color w:val="00B0F0"/>
              </w:rPr>
            </w:pPr>
          </w:p>
        </w:tc>
        <w:tc>
          <w:tcPr>
            <w:tcW w:w="1300" w:type="dxa"/>
            <w:tcBorders>
              <w:left w:val="single" w:sz="4" w:space="0" w:color="auto"/>
              <w:right w:val="single" w:sz="4" w:space="0" w:color="auto"/>
            </w:tcBorders>
            <w:vAlign w:val="center"/>
          </w:tcPr>
          <w:p w14:paraId="3EFA9A8A" w14:textId="77777777" w:rsidR="00C01159" w:rsidRPr="000136D7" w:rsidRDefault="00C01159" w:rsidP="00BC1D81">
            <w:pPr>
              <w:autoSpaceDE w:val="0"/>
              <w:autoSpaceDN w:val="0"/>
              <w:adjustRightInd w:val="0"/>
              <w:rPr>
                <w:rFonts w:cs="Calibri"/>
                <w:color w:val="00B0F0"/>
              </w:rPr>
            </w:pPr>
          </w:p>
        </w:tc>
        <w:tc>
          <w:tcPr>
            <w:tcW w:w="1134" w:type="dxa"/>
            <w:tcBorders>
              <w:left w:val="single" w:sz="4" w:space="0" w:color="auto"/>
              <w:right w:val="single" w:sz="4" w:space="0" w:color="auto"/>
            </w:tcBorders>
            <w:vAlign w:val="center"/>
          </w:tcPr>
          <w:p w14:paraId="652194EF" w14:textId="4A75BB43" w:rsidR="00C01159" w:rsidRPr="000136D7" w:rsidRDefault="00C01159" w:rsidP="00BC1D81">
            <w:pPr>
              <w:autoSpaceDE w:val="0"/>
              <w:autoSpaceDN w:val="0"/>
              <w:adjustRightInd w:val="0"/>
              <w:rPr>
                <w:rFonts w:cs="Calibri"/>
                <w:color w:val="00B0F0"/>
              </w:rPr>
            </w:pPr>
          </w:p>
        </w:tc>
        <w:tc>
          <w:tcPr>
            <w:tcW w:w="1216" w:type="dxa"/>
            <w:tcBorders>
              <w:left w:val="single" w:sz="4" w:space="0" w:color="auto"/>
              <w:right w:val="single" w:sz="4" w:space="0" w:color="auto"/>
            </w:tcBorders>
            <w:vAlign w:val="center"/>
          </w:tcPr>
          <w:p w14:paraId="3888795C" w14:textId="77777777" w:rsidR="00C01159" w:rsidRPr="000136D7" w:rsidRDefault="00C01159" w:rsidP="00BC1D81">
            <w:pPr>
              <w:autoSpaceDE w:val="0"/>
              <w:autoSpaceDN w:val="0"/>
              <w:adjustRightInd w:val="0"/>
              <w:rPr>
                <w:rFonts w:cs="Calibri"/>
                <w:color w:val="00B0F0"/>
              </w:rPr>
            </w:pPr>
          </w:p>
        </w:tc>
        <w:tc>
          <w:tcPr>
            <w:tcW w:w="1250" w:type="dxa"/>
            <w:tcBorders>
              <w:left w:val="single" w:sz="4" w:space="0" w:color="auto"/>
              <w:right w:val="single" w:sz="4" w:space="0" w:color="auto"/>
            </w:tcBorders>
            <w:vAlign w:val="center"/>
          </w:tcPr>
          <w:p w14:paraId="66A4A359" w14:textId="77777777" w:rsidR="00C01159" w:rsidRPr="000136D7" w:rsidRDefault="00C01159" w:rsidP="00BC1D81">
            <w:pPr>
              <w:autoSpaceDE w:val="0"/>
              <w:autoSpaceDN w:val="0"/>
              <w:adjustRightInd w:val="0"/>
              <w:rPr>
                <w:rFonts w:cs="Calibri"/>
                <w:color w:val="00B0F0"/>
              </w:rPr>
            </w:pPr>
          </w:p>
        </w:tc>
        <w:tc>
          <w:tcPr>
            <w:tcW w:w="1182" w:type="dxa"/>
            <w:tcBorders>
              <w:left w:val="single" w:sz="4" w:space="0" w:color="auto"/>
              <w:right w:val="single" w:sz="4" w:space="0" w:color="auto"/>
            </w:tcBorders>
            <w:vAlign w:val="center"/>
          </w:tcPr>
          <w:p w14:paraId="545B8930" w14:textId="6CDB6A43" w:rsidR="00C01159" w:rsidRPr="000136D7" w:rsidRDefault="00C01159" w:rsidP="00BC1D81">
            <w:pPr>
              <w:autoSpaceDE w:val="0"/>
              <w:autoSpaceDN w:val="0"/>
              <w:adjustRightInd w:val="0"/>
              <w:rPr>
                <w:rFonts w:cs="Calibri"/>
                <w:color w:val="00B0F0"/>
              </w:rPr>
            </w:pPr>
          </w:p>
        </w:tc>
      </w:tr>
      <w:tr w:rsidR="000136D7" w:rsidRPr="000136D7" w14:paraId="383B814F" w14:textId="77777777" w:rsidTr="000136D7">
        <w:trPr>
          <w:gridAfter w:val="1"/>
          <w:wAfter w:w="29" w:type="dxa"/>
          <w:trHeight w:val="485"/>
        </w:trPr>
        <w:tc>
          <w:tcPr>
            <w:tcW w:w="2425" w:type="dxa"/>
            <w:tcBorders>
              <w:top w:val="single" w:sz="4" w:space="0" w:color="auto"/>
              <w:left w:val="single" w:sz="4" w:space="0" w:color="auto"/>
              <w:bottom w:val="single" w:sz="4" w:space="0" w:color="auto"/>
              <w:right w:val="single" w:sz="4" w:space="0" w:color="auto"/>
            </w:tcBorders>
            <w:hideMark/>
          </w:tcPr>
          <w:p w14:paraId="72865FA4" w14:textId="68CB1A6C"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 xml:space="preserve">        18-64</w:t>
            </w:r>
          </w:p>
        </w:tc>
        <w:tc>
          <w:tcPr>
            <w:tcW w:w="1530" w:type="dxa"/>
            <w:tcBorders>
              <w:left w:val="single" w:sz="4" w:space="0" w:color="auto"/>
              <w:right w:val="single" w:sz="4" w:space="0" w:color="auto"/>
            </w:tcBorders>
          </w:tcPr>
          <w:p w14:paraId="68C964FA" w14:textId="3A2B1D0C" w:rsidR="00390B48" w:rsidRPr="000136D7" w:rsidRDefault="00390B48" w:rsidP="00390B48">
            <w:pPr>
              <w:autoSpaceDE w:val="0"/>
              <w:autoSpaceDN w:val="0"/>
              <w:adjustRightInd w:val="0"/>
              <w:rPr>
                <w:rFonts w:cs="Calibri"/>
                <w:color w:val="00B0F0"/>
              </w:rPr>
            </w:pPr>
            <w:r w:rsidRPr="000136D7">
              <w:rPr>
                <w:color w:val="00B0F0"/>
              </w:rPr>
              <w:t>4,882</w:t>
            </w:r>
          </w:p>
        </w:tc>
        <w:tc>
          <w:tcPr>
            <w:tcW w:w="1309" w:type="dxa"/>
            <w:tcBorders>
              <w:left w:val="single" w:sz="4" w:space="0" w:color="auto"/>
              <w:right w:val="single" w:sz="4" w:space="0" w:color="auto"/>
            </w:tcBorders>
          </w:tcPr>
          <w:p w14:paraId="1133B299" w14:textId="33038611" w:rsidR="00390B48" w:rsidRPr="000136D7" w:rsidRDefault="00390B48" w:rsidP="00390B48">
            <w:pPr>
              <w:autoSpaceDE w:val="0"/>
              <w:autoSpaceDN w:val="0"/>
              <w:adjustRightInd w:val="0"/>
              <w:rPr>
                <w:rFonts w:cs="Calibri"/>
                <w:color w:val="00B0F0"/>
              </w:rPr>
            </w:pPr>
            <w:r w:rsidRPr="000136D7">
              <w:rPr>
                <w:color w:val="00B0F0"/>
              </w:rPr>
              <w:t>119</w:t>
            </w:r>
          </w:p>
        </w:tc>
        <w:tc>
          <w:tcPr>
            <w:tcW w:w="1215" w:type="dxa"/>
            <w:gridSpan w:val="2"/>
            <w:tcBorders>
              <w:left w:val="single" w:sz="4" w:space="0" w:color="auto"/>
              <w:right w:val="single" w:sz="4" w:space="0" w:color="auto"/>
            </w:tcBorders>
          </w:tcPr>
          <w:p w14:paraId="28101CB4" w14:textId="63377874" w:rsidR="00390B48" w:rsidRPr="000136D7" w:rsidRDefault="00390B48" w:rsidP="00390B48">
            <w:pPr>
              <w:autoSpaceDE w:val="0"/>
              <w:autoSpaceDN w:val="0"/>
              <w:adjustRightInd w:val="0"/>
              <w:rPr>
                <w:rFonts w:cs="Calibri"/>
                <w:color w:val="00B0F0"/>
              </w:rPr>
            </w:pPr>
            <w:r w:rsidRPr="000136D7">
              <w:rPr>
                <w:color w:val="00B0F0"/>
              </w:rPr>
              <w:t>2.4 (2.0, 2.9)</w:t>
            </w:r>
          </w:p>
        </w:tc>
        <w:tc>
          <w:tcPr>
            <w:tcW w:w="1216" w:type="dxa"/>
            <w:tcBorders>
              <w:left w:val="single" w:sz="4" w:space="0" w:color="auto"/>
              <w:right w:val="single" w:sz="4" w:space="0" w:color="auto"/>
            </w:tcBorders>
          </w:tcPr>
          <w:p w14:paraId="3ED4FF8B" w14:textId="71058BD7" w:rsidR="00390B48" w:rsidRPr="000136D7" w:rsidRDefault="00390B48" w:rsidP="00390B48">
            <w:pPr>
              <w:autoSpaceDE w:val="0"/>
              <w:autoSpaceDN w:val="0"/>
              <w:adjustRightInd w:val="0"/>
              <w:rPr>
                <w:rFonts w:cs="Calibri"/>
                <w:color w:val="00B0F0"/>
              </w:rPr>
            </w:pPr>
            <w:r w:rsidRPr="000136D7">
              <w:rPr>
                <w:color w:val="00B0F0"/>
              </w:rPr>
              <w:t>2</w:t>
            </w:r>
            <w:r w:rsidR="000136D7">
              <w:rPr>
                <w:color w:val="00B0F0"/>
              </w:rPr>
              <w:t>,</w:t>
            </w:r>
            <w:r w:rsidRPr="000136D7">
              <w:rPr>
                <w:color w:val="00B0F0"/>
              </w:rPr>
              <w:t>647</w:t>
            </w:r>
          </w:p>
        </w:tc>
        <w:tc>
          <w:tcPr>
            <w:tcW w:w="1300" w:type="dxa"/>
            <w:tcBorders>
              <w:left w:val="single" w:sz="4" w:space="0" w:color="auto"/>
              <w:right w:val="single" w:sz="4" w:space="0" w:color="auto"/>
            </w:tcBorders>
          </w:tcPr>
          <w:p w14:paraId="0C5C42A7" w14:textId="699AB22F" w:rsidR="00390B48" w:rsidRPr="000136D7" w:rsidRDefault="00390B48" w:rsidP="00390B48">
            <w:pPr>
              <w:autoSpaceDE w:val="0"/>
              <w:autoSpaceDN w:val="0"/>
              <w:adjustRightInd w:val="0"/>
              <w:rPr>
                <w:rFonts w:cs="Calibri"/>
                <w:color w:val="00B0F0"/>
              </w:rPr>
            </w:pPr>
            <w:r w:rsidRPr="000136D7">
              <w:rPr>
                <w:color w:val="00B0F0"/>
              </w:rPr>
              <w:t>87</w:t>
            </w:r>
          </w:p>
        </w:tc>
        <w:tc>
          <w:tcPr>
            <w:tcW w:w="1134" w:type="dxa"/>
            <w:tcBorders>
              <w:left w:val="single" w:sz="4" w:space="0" w:color="auto"/>
              <w:right w:val="single" w:sz="4" w:space="0" w:color="auto"/>
            </w:tcBorders>
          </w:tcPr>
          <w:p w14:paraId="0D29DE44" w14:textId="138E3391" w:rsidR="00390B48" w:rsidRPr="000136D7" w:rsidRDefault="00390B48" w:rsidP="00390B48">
            <w:pPr>
              <w:autoSpaceDE w:val="0"/>
              <w:autoSpaceDN w:val="0"/>
              <w:adjustRightInd w:val="0"/>
              <w:rPr>
                <w:rFonts w:cs="Calibri"/>
                <w:color w:val="00B0F0"/>
              </w:rPr>
            </w:pPr>
            <w:r w:rsidRPr="000136D7">
              <w:rPr>
                <w:color w:val="00B0F0"/>
              </w:rPr>
              <w:t>3.3 (2.6, 4.0)</w:t>
            </w:r>
          </w:p>
        </w:tc>
        <w:tc>
          <w:tcPr>
            <w:tcW w:w="1216" w:type="dxa"/>
            <w:tcBorders>
              <w:left w:val="single" w:sz="4" w:space="0" w:color="auto"/>
              <w:right w:val="single" w:sz="4" w:space="0" w:color="auto"/>
            </w:tcBorders>
          </w:tcPr>
          <w:p w14:paraId="1E70E9B2" w14:textId="1DEF18F9" w:rsidR="00390B48" w:rsidRPr="000136D7" w:rsidRDefault="00390B48" w:rsidP="00390B48">
            <w:pPr>
              <w:autoSpaceDE w:val="0"/>
              <w:autoSpaceDN w:val="0"/>
              <w:adjustRightInd w:val="0"/>
              <w:rPr>
                <w:rFonts w:cs="Calibri"/>
                <w:color w:val="00B0F0"/>
              </w:rPr>
            </w:pPr>
            <w:r w:rsidRPr="000136D7">
              <w:rPr>
                <w:color w:val="00B0F0"/>
              </w:rPr>
              <w:t>7</w:t>
            </w:r>
            <w:r w:rsidR="000136D7">
              <w:rPr>
                <w:color w:val="00B0F0"/>
              </w:rPr>
              <w:t>,</w:t>
            </w:r>
            <w:r w:rsidRPr="000136D7">
              <w:rPr>
                <w:color w:val="00B0F0"/>
              </w:rPr>
              <w:t>529</w:t>
            </w:r>
          </w:p>
        </w:tc>
        <w:tc>
          <w:tcPr>
            <w:tcW w:w="1250" w:type="dxa"/>
            <w:tcBorders>
              <w:left w:val="single" w:sz="4" w:space="0" w:color="auto"/>
              <w:right w:val="single" w:sz="4" w:space="0" w:color="auto"/>
            </w:tcBorders>
          </w:tcPr>
          <w:p w14:paraId="6CC21639" w14:textId="70739295" w:rsidR="00390B48" w:rsidRPr="000136D7" w:rsidRDefault="00390B48" w:rsidP="00390B48">
            <w:pPr>
              <w:autoSpaceDE w:val="0"/>
              <w:autoSpaceDN w:val="0"/>
              <w:adjustRightInd w:val="0"/>
              <w:rPr>
                <w:rFonts w:cs="Calibri"/>
                <w:color w:val="00B0F0"/>
              </w:rPr>
            </w:pPr>
            <w:r w:rsidRPr="000136D7">
              <w:rPr>
                <w:color w:val="00B0F0"/>
              </w:rPr>
              <w:t>206</w:t>
            </w:r>
          </w:p>
        </w:tc>
        <w:tc>
          <w:tcPr>
            <w:tcW w:w="1182" w:type="dxa"/>
            <w:tcBorders>
              <w:left w:val="single" w:sz="4" w:space="0" w:color="auto"/>
              <w:right w:val="single" w:sz="4" w:space="0" w:color="auto"/>
            </w:tcBorders>
          </w:tcPr>
          <w:p w14:paraId="1A408503" w14:textId="244DFFD5" w:rsidR="00390B48" w:rsidRPr="000136D7" w:rsidRDefault="00390B48" w:rsidP="00390B48">
            <w:pPr>
              <w:autoSpaceDE w:val="0"/>
              <w:autoSpaceDN w:val="0"/>
              <w:adjustRightInd w:val="0"/>
              <w:rPr>
                <w:rFonts w:cs="Calibri"/>
                <w:color w:val="00B0F0"/>
              </w:rPr>
            </w:pPr>
            <w:r w:rsidRPr="000136D7">
              <w:rPr>
                <w:color w:val="00B0F0"/>
              </w:rPr>
              <w:t>2.7 (2.4, 3.1)</w:t>
            </w:r>
          </w:p>
        </w:tc>
      </w:tr>
      <w:tr w:rsidR="000136D7" w:rsidRPr="000136D7" w14:paraId="699C53C9"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0232ED45"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65+</w:t>
            </w:r>
          </w:p>
        </w:tc>
        <w:tc>
          <w:tcPr>
            <w:tcW w:w="1530" w:type="dxa"/>
            <w:tcBorders>
              <w:left w:val="single" w:sz="4" w:space="0" w:color="auto"/>
              <w:right w:val="single" w:sz="4" w:space="0" w:color="auto"/>
            </w:tcBorders>
          </w:tcPr>
          <w:p w14:paraId="71FEACA1" w14:textId="09AB34E3" w:rsidR="00390B48" w:rsidRPr="000136D7" w:rsidRDefault="00390B48" w:rsidP="00390B48">
            <w:pPr>
              <w:autoSpaceDE w:val="0"/>
              <w:autoSpaceDN w:val="0"/>
              <w:adjustRightInd w:val="0"/>
              <w:rPr>
                <w:rFonts w:cstheme="minorHAnsi"/>
                <w:bCs/>
                <w:color w:val="00B0F0"/>
              </w:rPr>
            </w:pPr>
            <w:r w:rsidRPr="000136D7">
              <w:rPr>
                <w:color w:val="00B0F0"/>
              </w:rPr>
              <w:t>2,866</w:t>
            </w:r>
          </w:p>
        </w:tc>
        <w:tc>
          <w:tcPr>
            <w:tcW w:w="1309" w:type="dxa"/>
            <w:tcBorders>
              <w:left w:val="single" w:sz="4" w:space="0" w:color="auto"/>
              <w:right w:val="single" w:sz="4" w:space="0" w:color="auto"/>
            </w:tcBorders>
          </w:tcPr>
          <w:p w14:paraId="52318AC8" w14:textId="01CB8604" w:rsidR="00390B48" w:rsidRPr="000136D7" w:rsidRDefault="00390B48" w:rsidP="00390B48">
            <w:pPr>
              <w:autoSpaceDE w:val="0"/>
              <w:autoSpaceDN w:val="0"/>
              <w:adjustRightInd w:val="0"/>
              <w:rPr>
                <w:rFonts w:cstheme="minorHAnsi"/>
                <w:bCs/>
                <w:color w:val="00B0F0"/>
              </w:rPr>
            </w:pPr>
            <w:r w:rsidRPr="000136D7">
              <w:rPr>
                <w:color w:val="00B0F0"/>
              </w:rPr>
              <w:t>76</w:t>
            </w:r>
          </w:p>
        </w:tc>
        <w:tc>
          <w:tcPr>
            <w:tcW w:w="1215" w:type="dxa"/>
            <w:gridSpan w:val="2"/>
            <w:tcBorders>
              <w:left w:val="single" w:sz="4" w:space="0" w:color="auto"/>
              <w:right w:val="single" w:sz="4" w:space="0" w:color="auto"/>
            </w:tcBorders>
          </w:tcPr>
          <w:p w14:paraId="76C52BC8" w14:textId="5A05289F" w:rsidR="00390B48" w:rsidRPr="000136D7" w:rsidRDefault="00390B48" w:rsidP="00390B48">
            <w:pPr>
              <w:autoSpaceDE w:val="0"/>
              <w:autoSpaceDN w:val="0"/>
              <w:adjustRightInd w:val="0"/>
              <w:rPr>
                <w:rFonts w:cstheme="minorHAnsi"/>
                <w:bCs/>
                <w:color w:val="00B0F0"/>
              </w:rPr>
            </w:pPr>
            <w:r w:rsidRPr="000136D7">
              <w:rPr>
                <w:color w:val="00B0F0"/>
              </w:rPr>
              <w:t>2.7 (2.1, 3.3)</w:t>
            </w:r>
          </w:p>
        </w:tc>
        <w:tc>
          <w:tcPr>
            <w:tcW w:w="1216" w:type="dxa"/>
            <w:tcBorders>
              <w:left w:val="single" w:sz="4" w:space="0" w:color="auto"/>
              <w:right w:val="single" w:sz="4" w:space="0" w:color="auto"/>
            </w:tcBorders>
          </w:tcPr>
          <w:p w14:paraId="73A0C5A1" w14:textId="7B477E31" w:rsidR="00390B48" w:rsidRPr="000136D7" w:rsidRDefault="00390B48" w:rsidP="00390B48">
            <w:pPr>
              <w:autoSpaceDE w:val="0"/>
              <w:autoSpaceDN w:val="0"/>
              <w:adjustRightInd w:val="0"/>
              <w:rPr>
                <w:rFonts w:cstheme="minorHAnsi"/>
                <w:bCs/>
                <w:color w:val="00B0F0"/>
              </w:rPr>
            </w:pPr>
            <w:r w:rsidRPr="000136D7">
              <w:rPr>
                <w:color w:val="00B0F0"/>
              </w:rPr>
              <w:t>3</w:t>
            </w:r>
            <w:r w:rsidR="000136D7">
              <w:rPr>
                <w:color w:val="00B0F0"/>
              </w:rPr>
              <w:t>,</w:t>
            </w:r>
            <w:r w:rsidRPr="000136D7">
              <w:rPr>
                <w:color w:val="00B0F0"/>
              </w:rPr>
              <w:t>241</w:t>
            </w:r>
          </w:p>
        </w:tc>
        <w:tc>
          <w:tcPr>
            <w:tcW w:w="1300" w:type="dxa"/>
            <w:tcBorders>
              <w:left w:val="single" w:sz="4" w:space="0" w:color="auto"/>
              <w:right w:val="single" w:sz="4" w:space="0" w:color="auto"/>
            </w:tcBorders>
          </w:tcPr>
          <w:p w14:paraId="79CAB07D" w14:textId="5EBEE828" w:rsidR="00390B48" w:rsidRPr="000136D7" w:rsidRDefault="00390B48" w:rsidP="00390B48">
            <w:pPr>
              <w:autoSpaceDE w:val="0"/>
              <w:autoSpaceDN w:val="0"/>
              <w:adjustRightInd w:val="0"/>
              <w:rPr>
                <w:rFonts w:cstheme="minorHAnsi"/>
                <w:bCs/>
                <w:color w:val="00B0F0"/>
              </w:rPr>
            </w:pPr>
            <w:r w:rsidRPr="000136D7">
              <w:rPr>
                <w:color w:val="00B0F0"/>
              </w:rPr>
              <w:t>87</w:t>
            </w:r>
          </w:p>
        </w:tc>
        <w:tc>
          <w:tcPr>
            <w:tcW w:w="1134" w:type="dxa"/>
            <w:tcBorders>
              <w:left w:val="single" w:sz="4" w:space="0" w:color="auto"/>
              <w:right w:val="single" w:sz="4" w:space="0" w:color="auto"/>
            </w:tcBorders>
          </w:tcPr>
          <w:p w14:paraId="052D8EF3" w14:textId="72CFA00B" w:rsidR="00390B48" w:rsidRPr="000136D7" w:rsidRDefault="00390B48" w:rsidP="00390B48">
            <w:pPr>
              <w:autoSpaceDE w:val="0"/>
              <w:autoSpaceDN w:val="0"/>
              <w:adjustRightInd w:val="0"/>
              <w:rPr>
                <w:rFonts w:cstheme="minorHAnsi"/>
                <w:bCs/>
                <w:color w:val="00B0F0"/>
              </w:rPr>
            </w:pPr>
            <w:r w:rsidRPr="000136D7">
              <w:rPr>
                <w:color w:val="00B0F0"/>
              </w:rPr>
              <w:t>2.7 (2.2, 3.3)</w:t>
            </w:r>
          </w:p>
        </w:tc>
        <w:tc>
          <w:tcPr>
            <w:tcW w:w="1216" w:type="dxa"/>
            <w:tcBorders>
              <w:left w:val="single" w:sz="4" w:space="0" w:color="auto"/>
              <w:right w:val="single" w:sz="4" w:space="0" w:color="auto"/>
            </w:tcBorders>
          </w:tcPr>
          <w:p w14:paraId="4A487451" w14:textId="51D21CF8" w:rsidR="00390B48" w:rsidRPr="000136D7" w:rsidRDefault="00390B48" w:rsidP="00390B48">
            <w:pPr>
              <w:autoSpaceDE w:val="0"/>
              <w:autoSpaceDN w:val="0"/>
              <w:adjustRightInd w:val="0"/>
              <w:rPr>
                <w:rFonts w:cstheme="minorHAnsi"/>
                <w:bCs/>
                <w:color w:val="00B0F0"/>
              </w:rPr>
            </w:pPr>
            <w:r w:rsidRPr="000136D7">
              <w:rPr>
                <w:color w:val="00B0F0"/>
              </w:rPr>
              <w:t>6</w:t>
            </w:r>
            <w:r w:rsidR="000136D7">
              <w:rPr>
                <w:color w:val="00B0F0"/>
              </w:rPr>
              <w:t>,</w:t>
            </w:r>
            <w:r w:rsidRPr="000136D7">
              <w:rPr>
                <w:color w:val="00B0F0"/>
              </w:rPr>
              <w:t>107</w:t>
            </w:r>
          </w:p>
        </w:tc>
        <w:tc>
          <w:tcPr>
            <w:tcW w:w="1250" w:type="dxa"/>
            <w:tcBorders>
              <w:left w:val="single" w:sz="4" w:space="0" w:color="auto"/>
              <w:right w:val="single" w:sz="4" w:space="0" w:color="auto"/>
            </w:tcBorders>
          </w:tcPr>
          <w:p w14:paraId="58A32EAD" w14:textId="03C3A736" w:rsidR="00390B48" w:rsidRPr="000136D7" w:rsidRDefault="00390B48" w:rsidP="00390B48">
            <w:pPr>
              <w:autoSpaceDE w:val="0"/>
              <w:autoSpaceDN w:val="0"/>
              <w:adjustRightInd w:val="0"/>
              <w:rPr>
                <w:rFonts w:cstheme="minorHAnsi"/>
                <w:bCs/>
                <w:color w:val="00B0F0"/>
              </w:rPr>
            </w:pPr>
            <w:r w:rsidRPr="000136D7">
              <w:rPr>
                <w:color w:val="00B0F0"/>
              </w:rPr>
              <w:t>163</w:t>
            </w:r>
          </w:p>
        </w:tc>
        <w:tc>
          <w:tcPr>
            <w:tcW w:w="1182" w:type="dxa"/>
            <w:tcBorders>
              <w:left w:val="single" w:sz="4" w:space="0" w:color="auto"/>
              <w:right w:val="single" w:sz="4" w:space="0" w:color="auto"/>
            </w:tcBorders>
          </w:tcPr>
          <w:p w14:paraId="3FD1AB10" w14:textId="4AD32C77" w:rsidR="00390B48" w:rsidRPr="000136D7" w:rsidRDefault="00390B48" w:rsidP="00390B48">
            <w:pPr>
              <w:autoSpaceDE w:val="0"/>
              <w:autoSpaceDN w:val="0"/>
              <w:adjustRightInd w:val="0"/>
              <w:rPr>
                <w:rFonts w:cstheme="minorHAnsi"/>
                <w:bCs/>
                <w:color w:val="00B0F0"/>
              </w:rPr>
            </w:pPr>
            <w:r w:rsidRPr="000136D7">
              <w:rPr>
                <w:color w:val="00B0F0"/>
              </w:rPr>
              <w:t>2.7 (2.3, 3.1)</w:t>
            </w:r>
          </w:p>
        </w:tc>
      </w:tr>
      <w:tr w:rsidR="000136D7" w:rsidRPr="000136D7" w14:paraId="3338542D"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2D473118" w14:textId="77777777" w:rsidR="00C01159" w:rsidRPr="000136D7" w:rsidRDefault="00C01159" w:rsidP="00BC1D81">
            <w:pPr>
              <w:autoSpaceDE w:val="0"/>
              <w:autoSpaceDN w:val="0"/>
              <w:adjustRightInd w:val="0"/>
              <w:rPr>
                <w:rFonts w:cstheme="minorHAnsi"/>
                <w:b/>
                <w:bCs/>
                <w:color w:val="00B0F0"/>
              </w:rPr>
            </w:pPr>
            <w:r w:rsidRPr="000136D7">
              <w:rPr>
                <w:rFonts w:cstheme="minorHAnsi"/>
                <w:b/>
                <w:bCs/>
                <w:color w:val="00B0F0"/>
              </w:rPr>
              <w:t>Sex </w:t>
            </w:r>
          </w:p>
        </w:tc>
        <w:tc>
          <w:tcPr>
            <w:tcW w:w="1530" w:type="dxa"/>
            <w:tcBorders>
              <w:left w:val="single" w:sz="4" w:space="0" w:color="auto"/>
              <w:right w:val="single" w:sz="4" w:space="0" w:color="auto"/>
            </w:tcBorders>
            <w:vAlign w:val="center"/>
          </w:tcPr>
          <w:p w14:paraId="1DD9164E" w14:textId="77777777" w:rsidR="00C01159" w:rsidRPr="000136D7" w:rsidRDefault="00C01159" w:rsidP="00BC1D81">
            <w:pPr>
              <w:autoSpaceDE w:val="0"/>
              <w:autoSpaceDN w:val="0"/>
              <w:adjustRightInd w:val="0"/>
              <w:rPr>
                <w:rFonts w:cstheme="minorHAnsi"/>
                <w:bCs/>
                <w:color w:val="00B0F0"/>
              </w:rPr>
            </w:pPr>
          </w:p>
        </w:tc>
        <w:tc>
          <w:tcPr>
            <w:tcW w:w="1309" w:type="dxa"/>
            <w:tcBorders>
              <w:left w:val="single" w:sz="4" w:space="0" w:color="auto"/>
              <w:right w:val="single" w:sz="4" w:space="0" w:color="auto"/>
            </w:tcBorders>
            <w:vAlign w:val="center"/>
          </w:tcPr>
          <w:p w14:paraId="2C396FE6" w14:textId="77777777" w:rsidR="00C01159" w:rsidRPr="000136D7" w:rsidRDefault="00C01159" w:rsidP="00BC1D81">
            <w:pPr>
              <w:autoSpaceDE w:val="0"/>
              <w:autoSpaceDN w:val="0"/>
              <w:adjustRightInd w:val="0"/>
              <w:rPr>
                <w:rFonts w:cstheme="minorHAnsi"/>
                <w:bCs/>
                <w:color w:val="00B0F0"/>
              </w:rPr>
            </w:pPr>
          </w:p>
        </w:tc>
        <w:tc>
          <w:tcPr>
            <w:tcW w:w="1215" w:type="dxa"/>
            <w:gridSpan w:val="2"/>
            <w:tcBorders>
              <w:left w:val="single" w:sz="4" w:space="0" w:color="auto"/>
              <w:right w:val="single" w:sz="4" w:space="0" w:color="auto"/>
            </w:tcBorders>
            <w:vAlign w:val="center"/>
          </w:tcPr>
          <w:p w14:paraId="1F332EDA" w14:textId="2F06402F"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1339C085" w14:textId="77777777" w:rsidR="00C01159" w:rsidRPr="000136D7" w:rsidRDefault="00C01159" w:rsidP="00BC1D81">
            <w:pPr>
              <w:autoSpaceDE w:val="0"/>
              <w:autoSpaceDN w:val="0"/>
              <w:adjustRightInd w:val="0"/>
              <w:rPr>
                <w:rFonts w:cstheme="minorHAnsi"/>
                <w:bCs/>
                <w:color w:val="00B0F0"/>
              </w:rPr>
            </w:pPr>
          </w:p>
        </w:tc>
        <w:tc>
          <w:tcPr>
            <w:tcW w:w="1300" w:type="dxa"/>
            <w:tcBorders>
              <w:left w:val="single" w:sz="4" w:space="0" w:color="auto"/>
              <w:right w:val="single" w:sz="4" w:space="0" w:color="auto"/>
            </w:tcBorders>
            <w:vAlign w:val="center"/>
          </w:tcPr>
          <w:p w14:paraId="299B7AE5" w14:textId="77777777" w:rsidR="00C01159" w:rsidRPr="000136D7" w:rsidRDefault="00C01159" w:rsidP="00BC1D81">
            <w:pPr>
              <w:autoSpaceDE w:val="0"/>
              <w:autoSpaceDN w:val="0"/>
              <w:adjustRightInd w:val="0"/>
              <w:rPr>
                <w:rFonts w:cstheme="minorHAnsi"/>
                <w:bCs/>
                <w:color w:val="00B0F0"/>
              </w:rPr>
            </w:pPr>
          </w:p>
        </w:tc>
        <w:tc>
          <w:tcPr>
            <w:tcW w:w="1134" w:type="dxa"/>
            <w:tcBorders>
              <w:left w:val="single" w:sz="4" w:space="0" w:color="auto"/>
              <w:right w:val="single" w:sz="4" w:space="0" w:color="auto"/>
            </w:tcBorders>
            <w:vAlign w:val="center"/>
          </w:tcPr>
          <w:p w14:paraId="09991F77" w14:textId="17E6FB0C"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6BAD1DA5" w14:textId="77777777" w:rsidR="00C01159" w:rsidRPr="000136D7" w:rsidRDefault="00C01159" w:rsidP="00BC1D81">
            <w:pPr>
              <w:autoSpaceDE w:val="0"/>
              <w:autoSpaceDN w:val="0"/>
              <w:adjustRightInd w:val="0"/>
              <w:rPr>
                <w:rFonts w:cstheme="minorHAnsi"/>
                <w:bCs/>
                <w:color w:val="00B0F0"/>
              </w:rPr>
            </w:pPr>
          </w:p>
        </w:tc>
        <w:tc>
          <w:tcPr>
            <w:tcW w:w="1250" w:type="dxa"/>
            <w:tcBorders>
              <w:left w:val="single" w:sz="4" w:space="0" w:color="auto"/>
              <w:right w:val="single" w:sz="4" w:space="0" w:color="auto"/>
            </w:tcBorders>
            <w:vAlign w:val="center"/>
          </w:tcPr>
          <w:p w14:paraId="6B572FBC" w14:textId="77777777" w:rsidR="00C01159" w:rsidRPr="000136D7" w:rsidRDefault="00C01159" w:rsidP="00BC1D81">
            <w:pPr>
              <w:autoSpaceDE w:val="0"/>
              <w:autoSpaceDN w:val="0"/>
              <w:adjustRightInd w:val="0"/>
              <w:rPr>
                <w:rFonts w:cstheme="minorHAnsi"/>
                <w:bCs/>
                <w:color w:val="00B0F0"/>
              </w:rPr>
            </w:pPr>
          </w:p>
        </w:tc>
        <w:tc>
          <w:tcPr>
            <w:tcW w:w="1182" w:type="dxa"/>
            <w:tcBorders>
              <w:left w:val="single" w:sz="4" w:space="0" w:color="auto"/>
              <w:right w:val="single" w:sz="4" w:space="0" w:color="auto"/>
            </w:tcBorders>
            <w:vAlign w:val="center"/>
          </w:tcPr>
          <w:p w14:paraId="5258C988" w14:textId="1F466C15" w:rsidR="00C01159" w:rsidRPr="000136D7" w:rsidRDefault="00C01159" w:rsidP="00BC1D81">
            <w:pPr>
              <w:autoSpaceDE w:val="0"/>
              <w:autoSpaceDN w:val="0"/>
              <w:adjustRightInd w:val="0"/>
              <w:rPr>
                <w:rFonts w:cstheme="minorHAnsi"/>
                <w:bCs/>
                <w:color w:val="00B0F0"/>
              </w:rPr>
            </w:pPr>
          </w:p>
        </w:tc>
      </w:tr>
      <w:tr w:rsidR="000136D7" w:rsidRPr="000136D7" w14:paraId="7BB13870"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13022029" w14:textId="77777777" w:rsidR="00390B48" w:rsidRPr="000136D7" w:rsidRDefault="00390B48" w:rsidP="00390B48">
            <w:pPr>
              <w:autoSpaceDE w:val="0"/>
              <w:autoSpaceDN w:val="0"/>
              <w:adjustRightInd w:val="0"/>
              <w:rPr>
                <w:rFonts w:cstheme="minorHAnsi"/>
                <w:b/>
                <w:bCs/>
                <w:color w:val="00B0F0"/>
              </w:rPr>
            </w:pPr>
            <w:r w:rsidRPr="000136D7">
              <w:rPr>
                <w:rFonts w:cstheme="minorHAnsi"/>
                <w:bCs/>
                <w:color w:val="00B0F0"/>
              </w:rPr>
              <w:t xml:space="preserve">        Male</w:t>
            </w:r>
          </w:p>
        </w:tc>
        <w:tc>
          <w:tcPr>
            <w:tcW w:w="1530" w:type="dxa"/>
            <w:tcBorders>
              <w:left w:val="single" w:sz="4" w:space="0" w:color="auto"/>
              <w:right w:val="single" w:sz="4" w:space="0" w:color="auto"/>
            </w:tcBorders>
          </w:tcPr>
          <w:p w14:paraId="494279DD" w14:textId="4D836819" w:rsidR="00390B48" w:rsidRPr="000136D7" w:rsidRDefault="00390B48" w:rsidP="00390B48">
            <w:pPr>
              <w:autoSpaceDE w:val="0"/>
              <w:autoSpaceDN w:val="0"/>
              <w:adjustRightInd w:val="0"/>
              <w:rPr>
                <w:rFonts w:cstheme="minorHAnsi"/>
                <w:bCs/>
                <w:color w:val="00B0F0"/>
              </w:rPr>
            </w:pPr>
            <w:r w:rsidRPr="000136D7">
              <w:rPr>
                <w:color w:val="00B0F0"/>
              </w:rPr>
              <w:t>4</w:t>
            </w:r>
            <w:r w:rsidR="000136D7">
              <w:rPr>
                <w:color w:val="00B0F0"/>
              </w:rPr>
              <w:t>,</w:t>
            </w:r>
            <w:r w:rsidRPr="000136D7">
              <w:rPr>
                <w:color w:val="00B0F0"/>
              </w:rPr>
              <w:t>202</w:t>
            </w:r>
          </w:p>
        </w:tc>
        <w:tc>
          <w:tcPr>
            <w:tcW w:w="1309" w:type="dxa"/>
            <w:tcBorders>
              <w:left w:val="single" w:sz="4" w:space="0" w:color="auto"/>
              <w:right w:val="single" w:sz="4" w:space="0" w:color="auto"/>
            </w:tcBorders>
          </w:tcPr>
          <w:p w14:paraId="1649F9F1" w14:textId="59679152" w:rsidR="00390B48" w:rsidRPr="000136D7" w:rsidRDefault="00390B48" w:rsidP="00390B48">
            <w:pPr>
              <w:autoSpaceDE w:val="0"/>
              <w:autoSpaceDN w:val="0"/>
              <w:adjustRightInd w:val="0"/>
              <w:rPr>
                <w:rFonts w:cstheme="minorHAnsi"/>
                <w:bCs/>
                <w:color w:val="00B0F0"/>
              </w:rPr>
            </w:pPr>
            <w:r w:rsidRPr="000136D7">
              <w:rPr>
                <w:color w:val="00B0F0"/>
              </w:rPr>
              <w:t>112</w:t>
            </w:r>
          </w:p>
        </w:tc>
        <w:tc>
          <w:tcPr>
            <w:tcW w:w="1215" w:type="dxa"/>
            <w:gridSpan w:val="2"/>
            <w:tcBorders>
              <w:left w:val="single" w:sz="4" w:space="0" w:color="auto"/>
              <w:right w:val="single" w:sz="4" w:space="0" w:color="auto"/>
            </w:tcBorders>
          </w:tcPr>
          <w:p w14:paraId="53988841" w14:textId="04A4BADC" w:rsidR="00390B48" w:rsidRPr="000136D7" w:rsidRDefault="00390B48" w:rsidP="00390B48">
            <w:pPr>
              <w:autoSpaceDE w:val="0"/>
              <w:autoSpaceDN w:val="0"/>
              <w:adjustRightInd w:val="0"/>
              <w:rPr>
                <w:rFonts w:cstheme="minorHAnsi"/>
                <w:bCs/>
                <w:color w:val="00B0F0"/>
              </w:rPr>
            </w:pPr>
            <w:r w:rsidRPr="000136D7">
              <w:rPr>
                <w:color w:val="00B0F0"/>
              </w:rPr>
              <w:t>2.7 (2.2, 3.2)</w:t>
            </w:r>
          </w:p>
        </w:tc>
        <w:tc>
          <w:tcPr>
            <w:tcW w:w="1216" w:type="dxa"/>
            <w:tcBorders>
              <w:left w:val="single" w:sz="4" w:space="0" w:color="auto"/>
              <w:right w:val="single" w:sz="4" w:space="0" w:color="auto"/>
            </w:tcBorders>
          </w:tcPr>
          <w:p w14:paraId="15B0C5EA" w14:textId="3478C42B" w:rsidR="00390B48" w:rsidRPr="000136D7" w:rsidRDefault="00390B48" w:rsidP="00390B48">
            <w:pPr>
              <w:autoSpaceDE w:val="0"/>
              <w:autoSpaceDN w:val="0"/>
              <w:adjustRightInd w:val="0"/>
              <w:rPr>
                <w:rFonts w:cstheme="minorHAnsi"/>
                <w:bCs/>
                <w:color w:val="00B0F0"/>
              </w:rPr>
            </w:pPr>
            <w:r w:rsidRPr="000136D7">
              <w:rPr>
                <w:color w:val="00B0F0"/>
              </w:rPr>
              <w:t>2</w:t>
            </w:r>
            <w:r w:rsidR="000136D7">
              <w:rPr>
                <w:color w:val="00B0F0"/>
              </w:rPr>
              <w:t>,</w:t>
            </w:r>
            <w:r w:rsidRPr="000136D7">
              <w:rPr>
                <w:color w:val="00B0F0"/>
              </w:rPr>
              <w:t>928</w:t>
            </w:r>
          </w:p>
        </w:tc>
        <w:tc>
          <w:tcPr>
            <w:tcW w:w="1300" w:type="dxa"/>
            <w:tcBorders>
              <w:left w:val="single" w:sz="4" w:space="0" w:color="auto"/>
              <w:right w:val="single" w:sz="4" w:space="0" w:color="auto"/>
            </w:tcBorders>
          </w:tcPr>
          <w:p w14:paraId="39A55CD4" w14:textId="661E5EC7" w:rsidR="00390B48" w:rsidRPr="000136D7" w:rsidRDefault="00390B48" w:rsidP="00390B48">
            <w:pPr>
              <w:autoSpaceDE w:val="0"/>
              <w:autoSpaceDN w:val="0"/>
              <w:adjustRightInd w:val="0"/>
              <w:rPr>
                <w:rFonts w:cstheme="minorHAnsi"/>
                <w:bCs/>
                <w:color w:val="00B0F0"/>
              </w:rPr>
            </w:pPr>
            <w:r w:rsidRPr="000136D7">
              <w:rPr>
                <w:color w:val="00B0F0"/>
              </w:rPr>
              <w:t>85</w:t>
            </w:r>
          </w:p>
        </w:tc>
        <w:tc>
          <w:tcPr>
            <w:tcW w:w="1134" w:type="dxa"/>
            <w:tcBorders>
              <w:left w:val="single" w:sz="4" w:space="0" w:color="auto"/>
              <w:right w:val="single" w:sz="4" w:space="0" w:color="auto"/>
            </w:tcBorders>
          </w:tcPr>
          <w:p w14:paraId="1DB00AC5" w14:textId="23F9B840" w:rsidR="00390B48" w:rsidRPr="000136D7" w:rsidRDefault="00390B48" w:rsidP="00390B48">
            <w:pPr>
              <w:autoSpaceDE w:val="0"/>
              <w:autoSpaceDN w:val="0"/>
              <w:adjustRightInd w:val="0"/>
              <w:rPr>
                <w:rFonts w:cstheme="minorHAnsi"/>
                <w:bCs/>
                <w:color w:val="00B0F0"/>
              </w:rPr>
            </w:pPr>
            <w:r w:rsidRPr="000136D7">
              <w:rPr>
                <w:color w:val="00B0F0"/>
              </w:rPr>
              <w:t>2.9 (2.3, 3.6)</w:t>
            </w:r>
          </w:p>
        </w:tc>
        <w:tc>
          <w:tcPr>
            <w:tcW w:w="1216" w:type="dxa"/>
            <w:tcBorders>
              <w:left w:val="single" w:sz="4" w:space="0" w:color="auto"/>
              <w:right w:val="single" w:sz="4" w:space="0" w:color="auto"/>
            </w:tcBorders>
          </w:tcPr>
          <w:p w14:paraId="687A14D1" w14:textId="301A024F" w:rsidR="00390B48" w:rsidRPr="000136D7" w:rsidRDefault="00390B48" w:rsidP="00390B48">
            <w:pPr>
              <w:autoSpaceDE w:val="0"/>
              <w:autoSpaceDN w:val="0"/>
              <w:adjustRightInd w:val="0"/>
              <w:rPr>
                <w:rFonts w:cstheme="minorHAnsi"/>
                <w:bCs/>
                <w:color w:val="00B0F0"/>
              </w:rPr>
            </w:pPr>
            <w:r w:rsidRPr="000136D7">
              <w:rPr>
                <w:color w:val="00B0F0"/>
              </w:rPr>
              <w:t>7</w:t>
            </w:r>
            <w:r w:rsidR="000136D7">
              <w:rPr>
                <w:color w:val="00B0F0"/>
              </w:rPr>
              <w:t>,</w:t>
            </w:r>
            <w:r w:rsidRPr="000136D7">
              <w:rPr>
                <w:color w:val="00B0F0"/>
              </w:rPr>
              <w:t>130</w:t>
            </w:r>
          </w:p>
        </w:tc>
        <w:tc>
          <w:tcPr>
            <w:tcW w:w="1250" w:type="dxa"/>
            <w:tcBorders>
              <w:left w:val="single" w:sz="4" w:space="0" w:color="auto"/>
              <w:right w:val="single" w:sz="4" w:space="0" w:color="auto"/>
            </w:tcBorders>
          </w:tcPr>
          <w:p w14:paraId="2E7D7D8E" w14:textId="74B18676" w:rsidR="00390B48" w:rsidRPr="000136D7" w:rsidRDefault="00390B48" w:rsidP="00390B48">
            <w:pPr>
              <w:autoSpaceDE w:val="0"/>
              <w:autoSpaceDN w:val="0"/>
              <w:adjustRightInd w:val="0"/>
              <w:rPr>
                <w:rFonts w:cstheme="minorHAnsi"/>
                <w:bCs/>
                <w:color w:val="00B0F0"/>
              </w:rPr>
            </w:pPr>
            <w:r w:rsidRPr="000136D7">
              <w:rPr>
                <w:color w:val="00B0F0"/>
              </w:rPr>
              <w:t>197</w:t>
            </w:r>
          </w:p>
        </w:tc>
        <w:tc>
          <w:tcPr>
            <w:tcW w:w="1182" w:type="dxa"/>
            <w:tcBorders>
              <w:left w:val="single" w:sz="4" w:space="0" w:color="auto"/>
              <w:right w:val="single" w:sz="4" w:space="0" w:color="auto"/>
            </w:tcBorders>
          </w:tcPr>
          <w:p w14:paraId="0599E34A" w14:textId="09E956F6" w:rsidR="00390B48" w:rsidRPr="000136D7" w:rsidRDefault="00390B48" w:rsidP="00390B48">
            <w:pPr>
              <w:autoSpaceDE w:val="0"/>
              <w:autoSpaceDN w:val="0"/>
              <w:adjustRightInd w:val="0"/>
              <w:rPr>
                <w:rFonts w:cstheme="minorHAnsi"/>
                <w:bCs/>
                <w:color w:val="00B0F0"/>
              </w:rPr>
            </w:pPr>
            <w:r w:rsidRPr="000136D7">
              <w:rPr>
                <w:color w:val="00B0F0"/>
              </w:rPr>
              <w:t>2.8 (2.4, 3.2)</w:t>
            </w:r>
          </w:p>
        </w:tc>
      </w:tr>
      <w:tr w:rsidR="000136D7" w:rsidRPr="000136D7" w14:paraId="30C03D84"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58CF277B"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Female</w:t>
            </w:r>
          </w:p>
        </w:tc>
        <w:tc>
          <w:tcPr>
            <w:tcW w:w="1530" w:type="dxa"/>
            <w:tcBorders>
              <w:left w:val="single" w:sz="4" w:space="0" w:color="auto"/>
              <w:right w:val="single" w:sz="4" w:space="0" w:color="auto"/>
            </w:tcBorders>
          </w:tcPr>
          <w:p w14:paraId="67A14524" w14:textId="2B4CFF17" w:rsidR="00390B48" w:rsidRPr="000136D7" w:rsidRDefault="00390B48" w:rsidP="00390B48">
            <w:pPr>
              <w:autoSpaceDE w:val="0"/>
              <w:autoSpaceDN w:val="0"/>
              <w:adjustRightInd w:val="0"/>
              <w:rPr>
                <w:rFonts w:cstheme="minorHAnsi"/>
                <w:bCs/>
                <w:color w:val="00B0F0"/>
              </w:rPr>
            </w:pPr>
            <w:r w:rsidRPr="000136D7">
              <w:rPr>
                <w:color w:val="00B0F0"/>
              </w:rPr>
              <w:t>3</w:t>
            </w:r>
            <w:r w:rsidR="000136D7">
              <w:rPr>
                <w:color w:val="00B0F0"/>
              </w:rPr>
              <w:t>,</w:t>
            </w:r>
            <w:r w:rsidRPr="000136D7">
              <w:rPr>
                <w:color w:val="00B0F0"/>
              </w:rPr>
              <w:t>546</w:t>
            </w:r>
          </w:p>
        </w:tc>
        <w:tc>
          <w:tcPr>
            <w:tcW w:w="1309" w:type="dxa"/>
            <w:tcBorders>
              <w:left w:val="single" w:sz="4" w:space="0" w:color="auto"/>
              <w:right w:val="single" w:sz="4" w:space="0" w:color="auto"/>
            </w:tcBorders>
          </w:tcPr>
          <w:p w14:paraId="30E66426" w14:textId="58B35345" w:rsidR="00390B48" w:rsidRPr="000136D7" w:rsidRDefault="00390B48" w:rsidP="00390B48">
            <w:pPr>
              <w:autoSpaceDE w:val="0"/>
              <w:autoSpaceDN w:val="0"/>
              <w:adjustRightInd w:val="0"/>
              <w:rPr>
                <w:rFonts w:cstheme="minorHAnsi"/>
                <w:bCs/>
                <w:color w:val="00B0F0"/>
              </w:rPr>
            </w:pPr>
            <w:r w:rsidRPr="000136D7">
              <w:rPr>
                <w:color w:val="00B0F0"/>
              </w:rPr>
              <w:t>83</w:t>
            </w:r>
          </w:p>
        </w:tc>
        <w:tc>
          <w:tcPr>
            <w:tcW w:w="1215" w:type="dxa"/>
            <w:gridSpan w:val="2"/>
            <w:tcBorders>
              <w:left w:val="single" w:sz="4" w:space="0" w:color="auto"/>
              <w:right w:val="single" w:sz="4" w:space="0" w:color="auto"/>
            </w:tcBorders>
          </w:tcPr>
          <w:p w14:paraId="1E2A9132" w14:textId="7B1BEC72" w:rsidR="00390B48" w:rsidRPr="000136D7" w:rsidRDefault="00390B48" w:rsidP="00390B48">
            <w:pPr>
              <w:autoSpaceDE w:val="0"/>
              <w:autoSpaceDN w:val="0"/>
              <w:adjustRightInd w:val="0"/>
              <w:rPr>
                <w:rFonts w:cstheme="minorHAnsi"/>
                <w:bCs/>
                <w:color w:val="00B0F0"/>
              </w:rPr>
            </w:pPr>
            <w:r w:rsidRPr="000136D7">
              <w:rPr>
                <w:color w:val="00B0F0"/>
              </w:rPr>
              <w:t>2.3 (1.9, 2.9)</w:t>
            </w:r>
          </w:p>
        </w:tc>
        <w:tc>
          <w:tcPr>
            <w:tcW w:w="1216" w:type="dxa"/>
            <w:tcBorders>
              <w:left w:val="single" w:sz="4" w:space="0" w:color="auto"/>
              <w:right w:val="single" w:sz="4" w:space="0" w:color="auto"/>
            </w:tcBorders>
          </w:tcPr>
          <w:p w14:paraId="4451FA31" w14:textId="45CDFCFD" w:rsidR="00390B48" w:rsidRPr="000136D7" w:rsidRDefault="00390B48" w:rsidP="00390B48">
            <w:pPr>
              <w:autoSpaceDE w:val="0"/>
              <w:autoSpaceDN w:val="0"/>
              <w:adjustRightInd w:val="0"/>
              <w:rPr>
                <w:rFonts w:cstheme="minorHAnsi"/>
                <w:bCs/>
                <w:color w:val="00B0F0"/>
              </w:rPr>
            </w:pPr>
            <w:r w:rsidRPr="000136D7">
              <w:rPr>
                <w:color w:val="00B0F0"/>
              </w:rPr>
              <w:t>2</w:t>
            </w:r>
            <w:r w:rsidR="000136D7">
              <w:rPr>
                <w:color w:val="00B0F0"/>
              </w:rPr>
              <w:t>,</w:t>
            </w:r>
            <w:r w:rsidRPr="000136D7">
              <w:rPr>
                <w:color w:val="00B0F0"/>
              </w:rPr>
              <w:t>941</w:t>
            </w:r>
          </w:p>
        </w:tc>
        <w:tc>
          <w:tcPr>
            <w:tcW w:w="1300" w:type="dxa"/>
            <w:tcBorders>
              <w:left w:val="single" w:sz="4" w:space="0" w:color="auto"/>
              <w:right w:val="single" w:sz="4" w:space="0" w:color="auto"/>
            </w:tcBorders>
          </w:tcPr>
          <w:p w14:paraId="17F80F1B" w14:textId="1FCACC30" w:rsidR="00390B48" w:rsidRPr="000136D7" w:rsidRDefault="00390B48" w:rsidP="00390B48">
            <w:pPr>
              <w:autoSpaceDE w:val="0"/>
              <w:autoSpaceDN w:val="0"/>
              <w:adjustRightInd w:val="0"/>
              <w:rPr>
                <w:rFonts w:cstheme="minorHAnsi"/>
                <w:bCs/>
                <w:color w:val="00B0F0"/>
              </w:rPr>
            </w:pPr>
            <w:r w:rsidRPr="000136D7">
              <w:rPr>
                <w:color w:val="00B0F0"/>
              </w:rPr>
              <w:t>87</w:t>
            </w:r>
          </w:p>
        </w:tc>
        <w:tc>
          <w:tcPr>
            <w:tcW w:w="1134" w:type="dxa"/>
            <w:tcBorders>
              <w:left w:val="single" w:sz="4" w:space="0" w:color="auto"/>
              <w:right w:val="single" w:sz="4" w:space="0" w:color="auto"/>
            </w:tcBorders>
          </w:tcPr>
          <w:p w14:paraId="6210FA23" w14:textId="24C98F06" w:rsidR="00390B48" w:rsidRPr="000136D7" w:rsidRDefault="00390B48" w:rsidP="00390B48">
            <w:pPr>
              <w:autoSpaceDE w:val="0"/>
              <w:autoSpaceDN w:val="0"/>
              <w:adjustRightInd w:val="0"/>
              <w:rPr>
                <w:rFonts w:cstheme="minorHAnsi"/>
                <w:bCs/>
                <w:color w:val="00B0F0"/>
              </w:rPr>
            </w:pPr>
            <w:r w:rsidRPr="000136D7">
              <w:rPr>
                <w:color w:val="00B0F0"/>
              </w:rPr>
              <w:t>3.0 (2.4, 3.6)</w:t>
            </w:r>
          </w:p>
        </w:tc>
        <w:tc>
          <w:tcPr>
            <w:tcW w:w="1216" w:type="dxa"/>
            <w:tcBorders>
              <w:left w:val="single" w:sz="4" w:space="0" w:color="auto"/>
              <w:right w:val="single" w:sz="4" w:space="0" w:color="auto"/>
            </w:tcBorders>
          </w:tcPr>
          <w:p w14:paraId="66D6D607" w14:textId="70E6C4B4" w:rsidR="00390B48" w:rsidRPr="000136D7" w:rsidRDefault="00390B48" w:rsidP="00390B48">
            <w:pPr>
              <w:autoSpaceDE w:val="0"/>
              <w:autoSpaceDN w:val="0"/>
              <w:adjustRightInd w:val="0"/>
              <w:rPr>
                <w:rFonts w:cstheme="minorHAnsi"/>
                <w:bCs/>
                <w:color w:val="00B0F0"/>
              </w:rPr>
            </w:pPr>
            <w:r w:rsidRPr="000136D7">
              <w:rPr>
                <w:color w:val="00B0F0"/>
              </w:rPr>
              <w:t>6</w:t>
            </w:r>
            <w:r w:rsidR="000136D7">
              <w:rPr>
                <w:color w:val="00B0F0"/>
              </w:rPr>
              <w:t>,</w:t>
            </w:r>
            <w:r w:rsidRPr="000136D7">
              <w:rPr>
                <w:color w:val="00B0F0"/>
              </w:rPr>
              <w:t>487</w:t>
            </w:r>
          </w:p>
        </w:tc>
        <w:tc>
          <w:tcPr>
            <w:tcW w:w="1250" w:type="dxa"/>
            <w:tcBorders>
              <w:left w:val="single" w:sz="4" w:space="0" w:color="auto"/>
              <w:right w:val="single" w:sz="4" w:space="0" w:color="auto"/>
            </w:tcBorders>
          </w:tcPr>
          <w:p w14:paraId="5ADDC07B" w14:textId="551BCB37" w:rsidR="00390B48" w:rsidRPr="000136D7" w:rsidRDefault="00390B48" w:rsidP="00390B48">
            <w:pPr>
              <w:autoSpaceDE w:val="0"/>
              <w:autoSpaceDN w:val="0"/>
              <w:adjustRightInd w:val="0"/>
              <w:rPr>
                <w:rFonts w:cstheme="minorHAnsi"/>
                <w:bCs/>
                <w:color w:val="00B0F0"/>
              </w:rPr>
            </w:pPr>
            <w:r w:rsidRPr="000136D7">
              <w:rPr>
                <w:color w:val="00B0F0"/>
              </w:rPr>
              <w:t>170</w:t>
            </w:r>
          </w:p>
        </w:tc>
        <w:tc>
          <w:tcPr>
            <w:tcW w:w="1182" w:type="dxa"/>
            <w:tcBorders>
              <w:left w:val="single" w:sz="4" w:space="0" w:color="auto"/>
              <w:right w:val="single" w:sz="4" w:space="0" w:color="auto"/>
            </w:tcBorders>
          </w:tcPr>
          <w:p w14:paraId="4058FBCA" w14:textId="567DAC98" w:rsidR="00390B48" w:rsidRPr="000136D7" w:rsidRDefault="00390B48" w:rsidP="00390B48">
            <w:pPr>
              <w:autoSpaceDE w:val="0"/>
              <w:autoSpaceDN w:val="0"/>
              <w:adjustRightInd w:val="0"/>
              <w:rPr>
                <w:rFonts w:cstheme="minorHAnsi"/>
                <w:bCs/>
                <w:color w:val="00B0F0"/>
              </w:rPr>
            </w:pPr>
            <w:r w:rsidRPr="000136D7">
              <w:rPr>
                <w:color w:val="00B0F0"/>
              </w:rPr>
              <w:t>2.6 (2.3, 3.0)</w:t>
            </w:r>
          </w:p>
        </w:tc>
      </w:tr>
      <w:tr w:rsidR="000136D7" w:rsidRPr="000136D7" w14:paraId="4B7FFF1A"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5A04AF38"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Unknown</w:t>
            </w:r>
          </w:p>
        </w:tc>
        <w:tc>
          <w:tcPr>
            <w:tcW w:w="1530" w:type="dxa"/>
            <w:tcBorders>
              <w:left w:val="single" w:sz="4" w:space="0" w:color="auto"/>
              <w:right w:val="single" w:sz="4" w:space="0" w:color="auto"/>
            </w:tcBorders>
          </w:tcPr>
          <w:p w14:paraId="7E202F9D" w14:textId="59126885"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0</w:t>
            </w:r>
          </w:p>
        </w:tc>
        <w:tc>
          <w:tcPr>
            <w:tcW w:w="1309" w:type="dxa"/>
            <w:tcBorders>
              <w:left w:val="single" w:sz="4" w:space="0" w:color="auto"/>
              <w:right w:val="single" w:sz="4" w:space="0" w:color="auto"/>
            </w:tcBorders>
          </w:tcPr>
          <w:p w14:paraId="33CFA16F" w14:textId="5E60B2FF"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0</w:t>
            </w:r>
          </w:p>
        </w:tc>
        <w:tc>
          <w:tcPr>
            <w:tcW w:w="1215" w:type="dxa"/>
            <w:gridSpan w:val="2"/>
            <w:tcBorders>
              <w:left w:val="single" w:sz="4" w:space="0" w:color="auto"/>
              <w:right w:val="single" w:sz="4" w:space="0" w:color="auto"/>
            </w:tcBorders>
          </w:tcPr>
          <w:p w14:paraId="00C2CF04" w14:textId="01130040"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N/A</w:t>
            </w:r>
          </w:p>
        </w:tc>
        <w:tc>
          <w:tcPr>
            <w:tcW w:w="1216" w:type="dxa"/>
            <w:tcBorders>
              <w:left w:val="single" w:sz="4" w:space="0" w:color="auto"/>
              <w:right w:val="single" w:sz="4" w:space="0" w:color="auto"/>
            </w:tcBorders>
          </w:tcPr>
          <w:p w14:paraId="3BE1087D" w14:textId="6160F768" w:rsidR="00390B48" w:rsidRPr="000136D7" w:rsidRDefault="00390B48" w:rsidP="00390B48">
            <w:pPr>
              <w:autoSpaceDE w:val="0"/>
              <w:autoSpaceDN w:val="0"/>
              <w:adjustRightInd w:val="0"/>
              <w:rPr>
                <w:rFonts w:cstheme="minorHAnsi"/>
                <w:bCs/>
                <w:color w:val="00B0F0"/>
              </w:rPr>
            </w:pPr>
            <w:r w:rsidRPr="000136D7">
              <w:rPr>
                <w:color w:val="00B0F0"/>
              </w:rPr>
              <w:t>19</w:t>
            </w:r>
          </w:p>
        </w:tc>
        <w:tc>
          <w:tcPr>
            <w:tcW w:w="1300" w:type="dxa"/>
            <w:tcBorders>
              <w:left w:val="single" w:sz="4" w:space="0" w:color="auto"/>
              <w:right w:val="single" w:sz="4" w:space="0" w:color="auto"/>
            </w:tcBorders>
          </w:tcPr>
          <w:p w14:paraId="430F898A" w14:textId="600033C3" w:rsidR="00390B48" w:rsidRPr="000136D7" w:rsidRDefault="00390B48" w:rsidP="00390B48">
            <w:pPr>
              <w:autoSpaceDE w:val="0"/>
              <w:autoSpaceDN w:val="0"/>
              <w:adjustRightInd w:val="0"/>
              <w:rPr>
                <w:rFonts w:cstheme="minorHAnsi"/>
                <w:bCs/>
                <w:color w:val="00B0F0"/>
              </w:rPr>
            </w:pPr>
            <w:r w:rsidRPr="000136D7">
              <w:rPr>
                <w:color w:val="00B0F0"/>
              </w:rPr>
              <w:t>2</w:t>
            </w:r>
          </w:p>
        </w:tc>
        <w:tc>
          <w:tcPr>
            <w:tcW w:w="1134" w:type="dxa"/>
            <w:tcBorders>
              <w:left w:val="single" w:sz="4" w:space="0" w:color="auto"/>
              <w:right w:val="single" w:sz="4" w:space="0" w:color="auto"/>
            </w:tcBorders>
          </w:tcPr>
          <w:p w14:paraId="4C8C6D7F" w14:textId="02CE97A9" w:rsidR="00390B48" w:rsidRPr="000136D7" w:rsidRDefault="00390B48" w:rsidP="00390B48">
            <w:pPr>
              <w:autoSpaceDE w:val="0"/>
              <w:autoSpaceDN w:val="0"/>
              <w:adjustRightInd w:val="0"/>
              <w:rPr>
                <w:rFonts w:cstheme="minorHAnsi"/>
                <w:bCs/>
                <w:color w:val="00B0F0"/>
              </w:rPr>
            </w:pPr>
            <w:r w:rsidRPr="000136D7">
              <w:rPr>
                <w:color w:val="00B0F0"/>
              </w:rPr>
              <w:t>10.6 (1.3, 33.1)</w:t>
            </w:r>
          </w:p>
        </w:tc>
        <w:tc>
          <w:tcPr>
            <w:tcW w:w="1216" w:type="dxa"/>
            <w:tcBorders>
              <w:left w:val="single" w:sz="4" w:space="0" w:color="auto"/>
              <w:right w:val="single" w:sz="4" w:space="0" w:color="auto"/>
            </w:tcBorders>
          </w:tcPr>
          <w:p w14:paraId="066B6F31" w14:textId="4A9CDD60" w:rsidR="00390B48" w:rsidRPr="000136D7" w:rsidRDefault="00390B48" w:rsidP="00390B48">
            <w:pPr>
              <w:autoSpaceDE w:val="0"/>
              <w:autoSpaceDN w:val="0"/>
              <w:adjustRightInd w:val="0"/>
              <w:rPr>
                <w:rFonts w:cstheme="minorHAnsi"/>
                <w:bCs/>
                <w:color w:val="00B0F0"/>
              </w:rPr>
            </w:pPr>
            <w:r w:rsidRPr="000136D7">
              <w:rPr>
                <w:color w:val="00B0F0"/>
              </w:rPr>
              <w:t>19</w:t>
            </w:r>
          </w:p>
        </w:tc>
        <w:tc>
          <w:tcPr>
            <w:tcW w:w="1250" w:type="dxa"/>
            <w:tcBorders>
              <w:left w:val="single" w:sz="4" w:space="0" w:color="auto"/>
              <w:right w:val="single" w:sz="4" w:space="0" w:color="auto"/>
            </w:tcBorders>
          </w:tcPr>
          <w:p w14:paraId="62956638" w14:textId="7EE58171" w:rsidR="00390B48" w:rsidRPr="000136D7" w:rsidRDefault="00390B48" w:rsidP="00390B48">
            <w:pPr>
              <w:autoSpaceDE w:val="0"/>
              <w:autoSpaceDN w:val="0"/>
              <w:adjustRightInd w:val="0"/>
              <w:rPr>
                <w:rFonts w:cstheme="minorHAnsi"/>
                <w:bCs/>
                <w:color w:val="00B0F0"/>
              </w:rPr>
            </w:pPr>
            <w:r w:rsidRPr="000136D7">
              <w:rPr>
                <w:color w:val="00B0F0"/>
              </w:rPr>
              <w:t>2</w:t>
            </w:r>
          </w:p>
        </w:tc>
        <w:tc>
          <w:tcPr>
            <w:tcW w:w="1182" w:type="dxa"/>
            <w:tcBorders>
              <w:left w:val="single" w:sz="4" w:space="0" w:color="auto"/>
              <w:right w:val="single" w:sz="4" w:space="0" w:color="auto"/>
            </w:tcBorders>
          </w:tcPr>
          <w:p w14:paraId="42517EF3" w14:textId="4BC13FE7" w:rsidR="00390B48" w:rsidRPr="000136D7" w:rsidRDefault="00390B48" w:rsidP="00390B48">
            <w:pPr>
              <w:autoSpaceDE w:val="0"/>
              <w:autoSpaceDN w:val="0"/>
              <w:adjustRightInd w:val="0"/>
              <w:rPr>
                <w:rFonts w:cstheme="minorHAnsi"/>
                <w:bCs/>
                <w:color w:val="00B0F0"/>
              </w:rPr>
            </w:pPr>
            <w:r w:rsidRPr="000136D7">
              <w:rPr>
                <w:color w:val="00B0F0"/>
              </w:rPr>
              <w:t>10.5 (1.3, 33.1)</w:t>
            </w:r>
          </w:p>
        </w:tc>
      </w:tr>
      <w:tr w:rsidR="000136D7" w:rsidRPr="000136D7" w14:paraId="3601CF67"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086A6596" w14:textId="77777777" w:rsidR="00C01159" w:rsidRPr="000136D7" w:rsidRDefault="00C01159" w:rsidP="00BC1D81">
            <w:pPr>
              <w:autoSpaceDE w:val="0"/>
              <w:autoSpaceDN w:val="0"/>
              <w:adjustRightInd w:val="0"/>
              <w:rPr>
                <w:rFonts w:cstheme="minorHAnsi"/>
                <w:b/>
                <w:bCs/>
                <w:color w:val="00B0F0"/>
              </w:rPr>
            </w:pPr>
            <w:r w:rsidRPr="000136D7">
              <w:rPr>
                <w:rFonts w:cstheme="minorHAnsi"/>
                <w:b/>
                <w:bCs/>
                <w:color w:val="00B0F0"/>
              </w:rPr>
              <w:t>Race</w:t>
            </w:r>
          </w:p>
        </w:tc>
        <w:tc>
          <w:tcPr>
            <w:tcW w:w="1530" w:type="dxa"/>
            <w:tcBorders>
              <w:left w:val="single" w:sz="4" w:space="0" w:color="auto"/>
              <w:right w:val="single" w:sz="4" w:space="0" w:color="auto"/>
            </w:tcBorders>
            <w:vAlign w:val="center"/>
          </w:tcPr>
          <w:p w14:paraId="1990F25E" w14:textId="77777777" w:rsidR="00C01159" w:rsidRPr="000136D7" w:rsidRDefault="00C01159" w:rsidP="00BC1D81">
            <w:pPr>
              <w:autoSpaceDE w:val="0"/>
              <w:autoSpaceDN w:val="0"/>
              <w:adjustRightInd w:val="0"/>
              <w:rPr>
                <w:rFonts w:cstheme="minorHAnsi"/>
                <w:bCs/>
                <w:color w:val="00B0F0"/>
              </w:rPr>
            </w:pPr>
          </w:p>
        </w:tc>
        <w:tc>
          <w:tcPr>
            <w:tcW w:w="1309" w:type="dxa"/>
            <w:tcBorders>
              <w:left w:val="single" w:sz="4" w:space="0" w:color="auto"/>
              <w:right w:val="single" w:sz="4" w:space="0" w:color="auto"/>
            </w:tcBorders>
            <w:vAlign w:val="center"/>
          </w:tcPr>
          <w:p w14:paraId="68AEC6BB" w14:textId="77777777" w:rsidR="00C01159" w:rsidRPr="000136D7" w:rsidRDefault="00C01159" w:rsidP="00BC1D81">
            <w:pPr>
              <w:autoSpaceDE w:val="0"/>
              <w:autoSpaceDN w:val="0"/>
              <w:adjustRightInd w:val="0"/>
              <w:rPr>
                <w:rFonts w:cstheme="minorHAnsi"/>
                <w:bCs/>
                <w:color w:val="00B0F0"/>
              </w:rPr>
            </w:pPr>
          </w:p>
        </w:tc>
        <w:tc>
          <w:tcPr>
            <w:tcW w:w="1215" w:type="dxa"/>
            <w:gridSpan w:val="2"/>
            <w:tcBorders>
              <w:left w:val="single" w:sz="4" w:space="0" w:color="auto"/>
              <w:right w:val="single" w:sz="4" w:space="0" w:color="auto"/>
            </w:tcBorders>
            <w:vAlign w:val="center"/>
          </w:tcPr>
          <w:p w14:paraId="74C7D680" w14:textId="1CFFBA0B"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5AE91513" w14:textId="77777777" w:rsidR="00C01159" w:rsidRPr="000136D7" w:rsidRDefault="00C01159" w:rsidP="00BC1D81">
            <w:pPr>
              <w:autoSpaceDE w:val="0"/>
              <w:autoSpaceDN w:val="0"/>
              <w:adjustRightInd w:val="0"/>
              <w:rPr>
                <w:rFonts w:cstheme="minorHAnsi"/>
                <w:bCs/>
                <w:color w:val="00B0F0"/>
              </w:rPr>
            </w:pPr>
          </w:p>
        </w:tc>
        <w:tc>
          <w:tcPr>
            <w:tcW w:w="1300" w:type="dxa"/>
            <w:tcBorders>
              <w:left w:val="single" w:sz="4" w:space="0" w:color="auto"/>
              <w:right w:val="single" w:sz="4" w:space="0" w:color="auto"/>
            </w:tcBorders>
            <w:vAlign w:val="center"/>
          </w:tcPr>
          <w:p w14:paraId="3ADA6F8A" w14:textId="77777777" w:rsidR="00C01159" w:rsidRPr="000136D7" w:rsidRDefault="00C01159" w:rsidP="00BC1D81">
            <w:pPr>
              <w:autoSpaceDE w:val="0"/>
              <w:autoSpaceDN w:val="0"/>
              <w:adjustRightInd w:val="0"/>
              <w:rPr>
                <w:rFonts w:cstheme="minorHAnsi"/>
                <w:bCs/>
                <w:color w:val="00B0F0"/>
              </w:rPr>
            </w:pPr>
          </w:p>
        </w:tc>
        <w:tc>
          <w:tcPr>
            <w:tcW w:w="1134" w:type="dxa"/>
            <w:tcBorders>
              <w:left w:val="single" w:sz="4" w:space="0" w:color="auto"/>
              <w:right w:val="single" w:sz="4" w:space="0" w:color="auto"/>
            </w:tcBorders>
            <w:vAlign w:val="center"/>
          </w:tcPr>
          <w:p w14:paraId="317CD061" w14:textId="2F473C82"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61DDEB1F" w14:textId="77777777" w:rsidR="00C01159" w:rsidRPr="000136D7" w:rsidRDefault="00C01159" w:rsidP="00BC1D81">
            <w:pPr>
              <w:autoSpaceDE w:val="0"/>
              <w:autoSpaceDN w:val="0"/>
              <w:adjustRightInd w:val="0"/>
              <w:rPr>
                <w:rFonts w:cstheme="minorHAnsi"/>
                <w:bCs/>
                <w:color w:val="00B0F0"/>
              </w:rPr>
            </w:pPr>
          </w:p>
        </w:tc>
        <w:tc>
          <w:tcPr>
            <w:tcW w:w="1250" w:type="dxa"/>
            <w:tcBorders>
              <w:left w:val="single" w:sz="4" w:space="0" w:color="auto"/>
              <w:right w:val="single" w:sz="4" w:space="0" w:color="auto"/>
            </w:tcBorders>
            <w:vAlign w:val="center"/>
          </w:tcPr>
          <w:p w14:paraId="1991F15C" w14:textId="77777777" w:rsidR="00C01159" w:rsidRPr="000136D7" w:rsidRDefault="00C01159" w:rsidP="00BC1D81">
            <w:pPr>
              <w:autoSpaceDE w:val="0"/>
              <w:autoSpaceDN w:val="0"/>
              <w:adjustRightInd w:val="0"/>
              <w:rPr>
                <w:rFonts w:cstheme="minorHAnsi"/>
                <w:bCs/>
                <w:color w:val="00B0F0"/>
              </w:rPr>
            </w:pPr>
          </w:p>
        </w:tc>
        <w:tc>
          <w:tcPr>
            <w:tcW w:w="1182" w:type="dxa"/>
            <w:tcBorders>
              <w:left w:val="single" w:sz="4" w:space="0" w:color="auto"/>
              <w:right w:val="single" w:sz="4" w:space="0" w:color="auto"/>
            </w:tcBorders>
            <w:vAlign w:val="center"/>
          </w:tcPr>
          <w:p w14:paraId="1C52F806" w14:textId="103F2793" w:rsidR="00C01159" w:rsidRPr="000136D7" w:rsidRDefault="00C01159" w:rsidP="00BC1D81">
            <w:pPr>
              <w:autoSpaceDE w:val="0"/>
              <w:autoSpaceDN w:val="0"/>
              <w:adjustRightInd w:val="0"/>
              <w:rPr>
                <w:rFonts w:cstheme="minorHAnsi"/>
                <w:bCs/>
                <w:color w:val="00B0F0"/>
              </w:rPr>
            </w:pPr>
          </w:p>
        </w:tc>
      </w:tr>
      <w:tr w:rsidR="000136D7" w:rsidRPr="000136D7" w14:paraId="26B7632D"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7E7E785B" w14:textId="77777777" w:rsidR="00390B48" w:rsidRPr="000136D7" w:rsidRDefault="00390B48" w:rsidP="00390B48">
            <w:pPr>
              <w:autoSpaceDE w:val="0"/>
              <w:autoSpaceDN w:val="0"/>
              <w:adjustRightInd w:val="0"/>
              <w:ind w:left="330" w:hanging="330"/>
              <w:rPr>
                <w:rFonts w:cstheme="minorHAnsi"/>
                <w:b/>
                <w:bCs/>
                <w:color w:val="00B0F0"/>
              </w:rPr>
            </w:pPr>
            <w:r w:rsidRPr="000136D7">
              <w:rPr>
                <w:rFonts w:cstheme="minorHAnsi"/>
                <w:bCs/>
                <w:color w:val="00B0F0"/>
              </w:rPr>
              <w:t xml:space="preserve">        Black or African-American</w:t>
            </w:r>
          </w:p>
        </w:tc>
        <w:tc>
          <w:tcPr>
            <w:tcW w:w="1530" w:type="dxa"/>
            <w:tcBorders>
              <w:left w:val="single" w:sz="4" w:space="0" w:color="auto"/>
              <w:right w:val="single" w:sz="4" w:space="0" w:color="auto"/>
            </w:tcBorders>
          </w:tcPr>
          <w:p w14:paraId="04957303" w14:textId="6CB27B58" w:rsidR="00390B48" w:rsidRPr="000136D7" w:rsidRDefault="00390B48" w:rsidP="00390B48">
            <w:pPr>
              <w:autoSpaceDE w:val="0"/>
              <w:autoSpaceDN w:val="0"/>
              <w:adjustRightInd w:val="0"/>
              <w:rPr>
                <w:rFonts w:cstheme="minorHAnsi"/>
                <w:bCs/>
                <w:color w:val="00B0F0"/>
              </w:rPr>
            </w:pPr>
            <w:r w:rsidRPr="000136D7">
              <w:rPr>
                <w:color w:val="00B0F0"/>
              </w:rPr>
              <w:t>2</w:t>
            </w:r>
            <w:r w:rsidR="000136D7">
              <w:rPr>
                <w:color w:val="00B0F0"/>
              </w:rPr>
              <w:t>,</w:t>
            </w:r>
            <w:r w:rsidRPr="000136D7">
              <w:rPr>
                <w:color w:val="00B0F0"/>
              </w:rPr>
              <w:t>158</w:t>
            </w:r>
          </w:p>
        </w:tc>
        <w:tc>
          <w:tcPr>
            <w:tcW w:w="1309" w:type="dxa"/>
            <w:tcBorders>
              <w:left w:val="single" w:sz="4" w:space="0" w:color="auto"/>
              <w:right w:val="single" w:sz="4" w:space="0" w:color="auto"/>
            </w:tcBorders>
          </w:tcPr>
          <w:p w14:paraId="7469E193" w14:textId="77680ACB" w:rsidR="00390B48" w:rsidRPr="000136D7" w:rsidRDefault="00390B48" w:rsidP="00390B48">
            <w:pPr>
              <w:autoSpaceDE w:val="0"/>
              <w:autoSpaceDN w:val="0"/>
              <w:adjustRightInd w:val="0"/>
              <w:rPr>
                <w:rFonts w:cstheme="minorHAnsi"/>
                <w:bCs/>
                <w:color w:val="00B0F0"/>
              </w:rPr>
            </w:pPr>
            <w:r w:rsidRPr="000136D7">
              <w:rPr>
                <w:color w:val="00B0F0"/>
              </w:rPr>
              <w:t>80</w:t>
            </w:r>
          </w:p>
        </w:tc>
        <w:tc>
          <w:tcPr>
            <w:tcW w:w="1215" w:type="dxa"/>
            <w:gridSpan w:val="2"/>
            <w:tcBorders>
              <w:left w:val="single" w:sz="4" w:space="0" w:color="auto"/>
              <w:right w:val="single" w:sz="4" w:space="0" w:color="auto"/>
            </w:tcBorders>
          </w:tcPr>
          <w:p w14:paraId="54DC485F" w14:textId="5251DFC8" w:rsidR="00390B48" w:rsidRPr="000136D7" w:rsidRDefault="00390B48" w:rsidP="00390B48">
            <w:pPr>
              <w:autoSpaceDE w:val="0"/>
              <w:autoSpaceDN w:val="0"/>
              <w:adjustRightInd w:val="0"/>
              <w:rPr>
                <w:rFonts w:cstheme="minorHAnsi"/>
                <w:bCs/>
                <w:color w:val="00B0F0"/>
              </w:rPr>
            </w:pPr>
            <w:r w:rsidRPr="000136D7">
              <w:rPr>
                <w:color w:val="00B0F0"/>
              </w:rPr>
              <w:t>3.7 (3.0, 4.6)</w:t>
            </w:r>
          </w:p>
        </w:tc>
        <w:tc>
          <w:tcPr>
            <w:tcW w:w="1216" w:type="dxa"/>
            <w:tcBorders>
              <w:left w:val="single" w:sz="4" w:space="0" w:color="auto"/>
              <w:right w:val="single" w:sz="4" w:space="0" w:color="auto"/>
            </w:tcBorders>
          </w:tcPr>
          <w:p w14:paraId="4BA09843" w14:textId="7097C448" w:rsidR="00390B48" w:rsidRPr="000136D7" w:rsidRDefault="00390B48" w:rsidP="00390B48">
            <w:pPr>
              <w:autoSpaceDE w:val="0"/>
              <w:autoSpaceDN w:val="0"/>
              <w:adjustRightInd w:val="0"/>
              <w:rPr>
                <w:rFonts w:cstheme="minorHAnsi"/>
                <w:bCs/>
                <w:color w:val="00B0F0"/>
              </w:rPr>
            </w:pPr>
            <w:r w:rsidRPr="000136D7">
              <w:rPr>
                <w:color w:val="00B0F0"/>
              </w:rPr>
              <w:t>809</w:t>
            </w:r>
          </w:p>
        </w:tc>
        <w:tc>
          <w:tcPr>
            <w:tcW w:w="1300" w:type="dxa"/>
            <w:tcBorders>
              <w:left w:val="single" w:sz="4" w:space="0" w:color="auto"/>
              <w:right w:val="single" w:sz="4" w:space="0" w:color="auto"/>
            </w:tcBorders>
          </w:tcPr>
          <w:p w14:paraId="6AFE0D0B" w14:textId="0951F885" w:rsidR="00390B48" w:rsidRPr="000136D7" w:rsidRDefault="00390B48" w:rsidP="00390B48">
            <w:pPr>
              <w:autoSpaceDE w:val="0"/>
              <w:autoSpaceDN w:val="0"/>
              <w:adjustRightInd w:val="0"/>
              <w:rPr>
                <w:rFonts w:cstheme="minorHAnsi"/>
                <w:bCs/>
                <w:color w:val="00B0F0"/>
              </w:rPr>
            </w:pPr>
            <w:r w:rsidRPr="000136D7">
              <w:rPr>
                <w:color w:val="00B0F0"/>
              </w:rPr>
              <w:t>34</w:t>
            </w:r>
          </w:p>
        </w:tc>
        <w:tc>
          <w:tcPr>
            <w:tcW w:w="1134" w:type="dxa"/>
            <w:tcBorders>
              <w:left w:val="single" w:sz="4" w:space="0" w:color="auto"/>
              <w:right w:val="single" w:sz="4" w:space="0" w:color="auto"/>
            </w:tcBorders>
          </w:tcPr>
          <w:p w14:paraId="21D15488" w14:textId="79DA3757" w:rsidR="00390B48" w:rsidRPr="000136D7" w:rsidRDefault="00390B48" w:rsidP="00390B48">
            <w:pPr>
              <w:autoSpaceDE w:val="0"/>
              <w:autoSpaceDN w:val="0"/>
              <w:adjustRightInd w:val="0"/>
              <w:rPr>
                <w:rFonts w:cstheme="minorHAnsi"/>
                <w:bCs/>
                <w:color w:val="00B0F0"/>
              </w:rPr>
            </w:pPr>
            <w:r w:rsidRPr="000136D7">
              <w:rPr>
                <w:color w:val="00B0F0"/>
              </w:rPr>
              <w:t>4.2 (2.9, 5.8)</w:t>
            </w:r>
          </w:p>
        </w:tc>
        <w:tc>
          <w:tcPr>
            <w:tcW w:w="1216" w:type="dxa"/>
            <w:tcBorders>
              <w:left w:val="single" w:sz="4" w:space="0" w:color="auto"/>
              <w:right w:val="single" w:sz="4" w:space="0" w:color="auto"/>
            </w:tcBorders>
          </w:tcPr>
          <w:p w14:paraId="66928B0C" w14:textId="5825173D" w:rsidR="00390B48" w:rsidRPr="000136D7" w:rsidRDefault="00390B48" w:rsidP="00390B48">
            <w:pPr>
              <w:autoSpaceDE w:val="0"/>
              <w:autoSpaceDN w:val="0"/>
              <w:adjustRightInd w:val="0"/>
              <w:rPr>
                <w:rFonts w:cstheme="minorHAnsi"/>
                <w:bCs/>
                <w:color w:val="00B0F0"/>
              </w:rPr>
            </w:pPr>
            <w:r w:rsidRPr="000136D7">
              <w:rPr>
                <w:color w:val="00B0F0"/>
              </w:rPr>
              <w:t>2</w:t>
            </w:r>
            <w:r w:rsidR="000136D7">
              <w:rPr>
                <w:color w:val="00B0F0"/>
              </w:rPr>
              <w:t>,</w:t>
            </w:r>
            <w:r w:rsidRPr="000136D7">
              <w:rPr>
                <w:color w:val="00B0F0"/>
              </w:rPr>
              <w:t>967</w:t>
            </w:r>
          </w:p>
        </w:tc>
        <w:tc>
          <w:tcPr>
            <w:tcW w:w="1250" w:type="dxa"/>
            <w:tcBorders>
              <w:left w:val="single" w:sz="4" w:space="0" w:color="auto"/>
              <w:right w:val="single" w:sz="4" w:space="0" w:color="auto"/>
            </w:tcBorders>
          </w:tcPr>
          <w:p w14:paraId="1EED4A11" w14:textId="76590D78" w:rsidR="00390B48" w:rsidRPr="000136D7" w:rsidRDefault="00390B48" w:rsidP="00390B48">
            <w:pPr>
              <w:autoSpaceDE w:val="0"/>
              <w:autoSpaceDN w:val="0"/>
              <w:adjustRightInd w:val="0"/>
              <w:rPr>
                <w:rFonts w:cstheme="minorHAnsi"/>
                <w:bCs/>
                <w:color w:val="00B0F0"/>
              </w:rPr>
            </w:pPr>
            <w:r w:rsidRPr="000136D7">
              <w:rPr>
                <w:color w:val="00B0F0"/>
              </w:rPr>
              <w:t>114</w:t>
            </w:r>
          </w:p>
        </w:tc>
        <w:tc>
          <w:tcPr>
            <w:tcW w:w="1182" w:type="dxa"/>
            <w:tcBorders>
              <w:left w:val="single" w:sz="4" w:space="0" w:color="auto"/>
              <w:right w:val="single" w:sz="4" w:space="0" w:color="auto"/>
            </w:tcBorders>
          </w:tcPr>
          <w:p w14:paraId="76A4AE15" w14:textId="1E528584" w:rsidR="00390B48" w:rsidRPr="000136D7" w:rsidRDefault="00390B48" w:rsidP="00390B48">
            <w:pPr>
              <w:autoSpaceDE w:val="0"/>
              <w:autoSpaceDN w:val="0"/>
              <w:adjustRightInd w:val="0"/>
              <w:rPr>
                <w:rFonts w:cstheme="minorHAnsi"/>
                <w:bCs/>
                <w:color w:val="00B0F0"/>
              </w:rPr>
            </w:pPr>
            <w:r w:rsidRPr="000136D7">
              <w:rPr>
                <w:color w:val="00B0F0"/>
              </w:rPr>
              <w:t>3.8 (3.2, 4.6)</w:t>
            </w:r>
          </w:p>
        </w:tc>
      </w:tr>
      <w:tr w:rsidR="000136D7" w:rsidRPr="000136D7" w14:paraId="1A1BB945" w14:textId="77777777" w:rsidTr="000136D7">
        <w:trPr>
          <w:gridAfter w:val="1"/>
          <w:wAfter w:w="29" w:type="dxa"/>
          <w:trHeight w:val="426"/>
        </w:trPr>
        <w:tc>
          <w:tcPr>
            <w:tcW w:w="2425" w:type="dxa"/>
            <w:tcBorders>
              <w:top w:val="single" w:sz="4" w:space="0" w:color="auto"/>
              <w:left w:val="single" w:sz="4" w:space="0" w:color="auto"/>
              <w:bottom w:val="single" w:sz="4" w:space="0" w:color="auto"/>
              <w:right w:val="single" w:sz="4" w:space="0" w:color="auto"/>
            </w:tcBorders>
            <w:hideMark/>
          </w:tcPr>
          <w:p w14:paraId="64647F73"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White</w:t>
            </w:r>
          </w:p>
        </w:tc>
        <w:tc>
          <w:tcPr>
            <w:tcW w:w="1530" w:type="dxa"/>
            <w:tcBorders>
              <w:left w:val="single" w:sz="4" w:space="0" w:color="auto"/>
              <w:right w:val="single" w:sz="4" w:space="0" w:color="auto"/>
            </w:tcBorders>
          </w:tcPr>
          <w:p w14:paraId="2B53970B" w14:textId="7E1A771E" w:rsidR="00390B48" w:rsidRPr="000136D7" w:rsidRDefault="00390B48" w:rsidP="00390B48">
            <w:pPr>
              <w:autoSpaceDE w:val="0"/>
              <w:autoSpaceDN w:val="0"/>
              <w:adjustRightInd w:val="0"/>
              <w:rPr>
                <w:rFonts w:cstheme="minorHAnsi"/>
                <w:bCs/>
                <w:color w:val="00B0F0"/>
              </w:rPr>
            </w:pPr>
            <w:r w:rsidRPr="000136D7">
              <w:rPr>
                <w:color w:val="00B0F0"/>
              </w:rPr>
              <w:t>5</w:t>
            </w:r>
            <w:r w:rsidR="000136D7">
              <w:rPr>
                <w:color w:val="00B0F0"/>
              </w:rPr>
              <w:t>,</w:t>
            </w:r>
            <w:r w:rsidRPr="000136D7">
              <w:rPr>
                <w:color w:val="00B0F0"/>
              </w:rPr>
              <w:t>193</w:t>
            </w:r>
          </w:p>
        </w:tc>
        <w:tc>
          <w:tcPr>
            <w:tcW w:w="1309" w:type="dxa"/>
            <w:tcBorders>
              <w:left w:val="single" w:sz="4" w:space="0" w:color="auto"/>
              <w:right w:val="single" w:sz="4" w:space="0" w:color="auto"/>
            </w:tcBorders>
          </w:tcPr>
          <w:p w14:paraId="40D65AC3" w14:textId="716515D4" w:rsidR="00390B48" w:rsidRPr="000136D7" w:rsidRDefault="00390B48" w:rsidP="00390B48">
            <w:pPr>
              <w:autoSpaceDE w:val="0"/>
              <w:autoSpaceDN w:val="0"/>
              <w:adjustRightInd w:val="0"/>
              <w:rPr>
                <w:rFonts w:cstheme="minorHAnsi"/>
                <w:bCs/>
                <w:color w:val="00B0F0"/>
              </w:rPr>
            </w:pPr>
            <w:r w:rsidRPr="000136D7">
              <w:rPr>
                <w:color w:val="00B0F0"/>
              </w:rPr>
              <w:t>104</w:t>
            </w:r>
          </w:p>
        </w:tc>
        <w:tc>
          <w:tcPr>
            <w:tcW w:w="1215" w:type="dxa"/>
            <w:gridSpan w:val="2"/>
            <w:tcBorders>
              <w:left w:val="single" w:sz="4" w:space="0" w:color="auto"/>
              <w:right w:val="single" w:sz="4" w:space="0" w:color="auto"/>
            </w:tcBorders>
          </w:tcPr>
          <w:p w14:paraId="7E7A5144" w14:textId="6662D2F4" w:rsidR="00390B48" w:rsidRPr="000136D7" w:rsidRDefault="00390B48" w:rsidP="00390B48">
            <w:pPr>
              <w:autoSpaceDE w:val="0"/>
              <w:autoSpaceDN w:val="0"/>
              <w:adjustRightInd w:val="0"/>
              <w:rPr>
                <w:rFonts w:cstheme="minorHAnsi"/>
                <w:bCs/>
                <w:color w:val="00B0F0"/>
              </w:rPr>
            </w:pPr>
            <w:r w:rsidRPr="000136D7">
              <w:rPr>
                <w:color w:val="00B0F0"/>
              </w:rPr>
              <w:t>2.0 (1.6, 2.4)</w:t>
            </w:r>
          </w:p>
        </w:tc>
        <w:tc>
          <w:tcPr>
            <w:tcW w:w="1216" w:type="dxa"/>
            <w:tcBorders>
              <w:left w:val="single" w:sz="4" w:space="0" w:color="auto"/>
              <w:right w:val="single" w:sz="4" w:space="0" w:color="auto"/>
            </w:tcBorders>
          </w:tcPr>
          <w:p w14:paraId="4035CAF3" w14:textId="1AA6C722" w:rsidR="00390B48" w:rsidRPr="000136D7" w:rsidRDefault="00390B48" w:rsidP="00390B48">
            <w:pPr>
              <w:autoSpaceDE w:val="0"/>
              <w:autoSpaceDN w:val="0"/>
              <w:adjustRightInd w:val="0"/>
              <w:rPr>
                <w:rFonts w:cstheme="minorHAnsi"/>
                <w:bCs/>
                <w:color w:val="00B0F0"/>
              </w:rPr>
            </w:pPr>
            <w:r w:rsidRPr="000136D7">
              <w:rPr>
                <w:color w:val="00B0F0"/>
              </w:rPr>
              <w:t>3</w:t>
            </w:r>
            <w:r w:rsidR="000136D7">
              <w:rPr>
                <w:color w:val="00B0F0"/>
              </w:rPr>
              <w:t>,</w:t>
            </w:r>
            <w:r w:rsidRPr="000136D7">
              <w:rPr>
                <w:color w:val="00B0F0"/>
              </w:rPr>
              <w:t>193</w:t>
            </w:r>
          </w:p>
        </w:tc>
        <w:tc>
          <w:tcPr>
            <w:tcW w:w="1300" w:type="dxa"/>
            <w:tcBorders>
              <w:left w:val="single" w:sz="4" w:space="0" w:color="auto"/>
              <w:right w:val="single" w:sz="4" w:space="0" w:color="auto"/>
            </w:tcBorders>
          </w:tcPr>
          <w:p w14:paraId="6AB7AD15" w14:textId="2E5822B4" w:rsidR="00390B48" w:rsidRPr="000136D7" w:rsidRDefault="00390B48" w:rsidP="00390B48">
            <w:pPr>
              <w:autoSpaceDE w:val="0"/>
              <w:autoSpaceDN w:val="0"/>
              <w:adjustRightInd w:val="0"/>
              <w:rPr>
                <w:rFonts w:cstheme="minorHAnsi"/>
                <w:bCs/>
                <w:color w:val="00B0F0"/>
              </w:rPr>
            </w:pPr>
            <w:r w:rsidRPr="000136D7">
              <w:rPr>
                <w:color w:val="00B0F0"/>
              </w:rPr>
              <w:t>84</w:t>
            </w:r>
          </w:p>
        </w:tc>
        <w:tc>
          <w:tcPr>
            <w:tcW w:w="1134" w:type="dxa"/>
            <w:tcBorders>
              <w:left w:val="single" w:sz="4" w:space="0" w:color="auto"/>
              <w:right w:val="single" w:sz="4" w:space="0" w:color="auto"/>
            </w:tcBorders>
          </w:tcPr>
          <w:p w14:paraId="358C8C86" w14:textId="072C2BD5" w:rsidR="00390B48" w:rsidRPr="000136D7" w:rsidRDefault="00390B48" w:rsidP="00390B48">
            <w:pPr>
              <w:autoSpaceDE w:val="0"/>
              <w:autoSpaceDN w:val="0"/>
              <w:adjustRightInd w:val="0"/>
              <w:rPr>
                <w:rFonts w:cstheme="minorHAnsi"/>
                <w:bCs/>
                <w:color w:val="00B0F0"/>
              </w:rPr>
            </w:pPr>
            <w:r w:rsidRPr="000136D7">
              <w:rPr>
                <w:color w:val="00B0F0"/>
              </w:rPr>
              <w:t>2.6 (2.1, 3.3)</w:t>
            </w:r>
          </w:p>
        </w:tc>
        <w:tc>
          <w:tcPr>
            <w:tcW w:w="1216" w:type="dxa"/>
            <w:tcBorders>
              <w:left w:val="single" w:sz="4" w:space="0" w:color="auto"/>
              <w:right w:val="single" w:sz="4" w:space="0" w:color="auto"/>
            </w:tcBorders>
          </w:tcPr>
          <w:p w14:paraId="566D3FAA" w14:textId="0C8D23E8" w:rsidR="00390B48" w:rsidRPr="000136D7" w:rsidRDefault="00390B48" w:rsidP="00390B48">
            <w:pPr>
              <w:autoSpaceDE w:val="0"/>
              <w:autoSpaceDN w:val="0"/>
              <w:adjustRightInd w:val="0"/>
              <w:rPr>
                <w:rFonts w:cstheme="minorHAnsi"/>
                <w:bCs/>
                <w:color w:val="00B0F0"/>
              </w:rPr>
            </w:pPr>
            <w:r w:rsidRPr="000136D7">
              <w:rPr>
                <w:color w:val="00B0F0"/>
              </w:rPr>
              <w:t>8</w:t>
            </w:r>
            <w:r w:rsidR="000136D7">
              <w:rPr>
                <w:color w:val="00B0F0"/>
              </w:rPr>
              <w:t>,</w:t>
            </w:r>
            <w:r w:rsidRPr="000136D7">
              <w:rPr>
                <w:color w:val="00B0F0"/>
              </w:rPr>
              <w:t>386</w:t>
            </w:r>
          </w:p>
        </w:tc>
        <w:tc>
          <w:tcPr>
            <w:tcW w:w="1250" w:type="dxa"/>
            <w:tcBorders>
              <w:left w:val="single" w:sz="4" w:space="0" w:color="auto"/>
              <w:right w:val="single" w:sz="4" w:space="0" w:color="auto"/>
            </w:tcBorders>
          </w:tcPr>
          <w:p w14:paraId="3830389F" w14:textId="448D79F3" w:rsidR="00390B48" w:rsidRPr="000136D7" w:rsidRDefault="00390B48" w:rsidP="00390B48">
            <w:pPr>
              <w:autoSpaceDE w:val="0"/>
              <w:autoSpaceDN w:val="0"/>
              <w:adjustRightInd w:val="0"/>
              <w:rPr>
                <w:rFonts w:cstheme="minorHAnsi"/>
                <w:bCs/>
                <w:color w:val="00B0F0"/>
              </w:rPr>
            </w:pPr>
            <w:r w:rsidRPr="000136D7">
              <w:rPr>
                <w:color w:val="00B0F0"/>
              </w:rPr>
              <w:t>188</w:t>
            </w:r>
          </w:p>
        </w:tc>
        <w:tc>
          <w:tcPr>
            <w:tcW w:w="1182" w:type="dxa"/>
            <w:tcBorders>
              <w:left w:val="single" w:sz="4" w:space="0" w:color="auto"/>
              <w:right w:val="single" w:sz="4" w:space="0" w:color="auto"/>
            </w:tcBorders>
          </w:tcPr>
          <w:p w14:paraId="6BF7BD07" w14:textId="6BE9E48F" w:rsidR="00390B48" w:rsidRPr="000136D7" w:rsidRDefault="00390B48" w:rsidP="00390B48">
            <w:pPr>
              <w:autoSpaceDE w:val="0"/>
              <w:autoSpaceDN w:val="0"/>
              <w:adjustRightInd w:val="0"/>
              <w:rPr>
                <w:rFonts w:cstheme="minorHAnsi"/>
                <w:bCs/>
                <w:color w:val="00B0F0"/>
              </w:rPr>
            </w:pPr>
            <w:r w:rsidRPr="000136D7">
              <w:rPr>
                <w:color w:val="00B0F0"/>
              </w:rPr>
              <w:t>2.2 (2.0, 2.6)</w:t>
            </w:r>
          </w:p>
        </w:tc>
      </w:tr>
      <w:tr w:rsidR="000136D7" w:rsidRPr="000136D7" w14:paraId="4155722B"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349F4C22"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Other</w:t>
            </w:r>
          </w:p>
        </w:tc>
        <w:tc>
          <w:tcPr>
            <w:tcW w:w="1530" w:type="dxa"/>
            <w:tcBorders>
              <w:left w:val="single" w:sz="4" w:space="0" w:color="auto"/>
              <w:right w:val="single" w:sz="4" w:space="0" w:color="auto"/>
            </w:tcBorders>
          </w:tcPr>
          <w:p w14:paraId="5E5CC2DD" w14:textId="596C5A94" w:rsidR="00390B48" w:rsidRPr="000136D7" w:rsidRDefault="00390B48" w:rsidP="00390B48">
            <w:pPr>
              <w:autoSpaceDE w:val="0"/>
              <w:autoSpaceDN w:val="0"/>
              <w:adjustRightInd w:val="0"/>
              <w:rPr>
                <w:rFonts w:cstheme="minorHAnsi"/>
                <w:bCs/>
                <w:color w:val="00B0F0"/>
              </w:rPr>
            </w:pPr>
            <w:r w:rsidRPr="000136D7">
              <w:rPr>
                <w:color w:val="00B0F0"/>
              </w:rPr>
              <w:t>397</w:t>
            </w:r>
          </w:p>
        </w:tc>
        <w:tc>
          <w:tcPr>
            <w:tcW w:w="1309" w:type="dxa"/>
            <w:tcBorders>
              <w:left w:val="single" w:sz="4" w:space="0" w:color="auto"/>
              <w:right w:val="single" w:sz="4" w:space="0" w:color="auto"/>
            </w:tcBorders>
          </w:tcPr>
          <w:p w14:paraId="27AC8B74" w14:textId="2CDBB424" w:rsidR="00390B48" w:rsidRPr="000136D7" w:rsidRDefault="00390B48" w:rsidP="00390B48">
            <w:pPr>
              <w:autoSpaceDE w:val="0"/>
              <w:autoSpaceDN w:val="0"/>
              <w:adjustRightInd w:val="0"/>
              <w:rPr>
                <w:rFonts w:cstheme="minorHAnsi"/>
                <w:bCs/>
                <w:color w:val="00B0F0"/>
              </w:rPr>
            </w:pPr>
            <w:r w:rsidRPr="000136D7">
              <w:rPr>
                <w:color w:val="00B0F0"/>
              </w:rPr>
              <w:t>11</w:t>
            </w:r>
          </w:p>
        </w:tc>
        <w:tc>
          <w:tcPr>
            <w:tcW w:w="1215" w:type="dxa"/>
            <w:gridSpan w:val="2"/>
            <w:tcBorders>
              <w:left w:val="single" w:sz="4" w:space="0" w:color="auto"/>
              <w:right w:val="single" w:sz="4" w:space="0" w:color="auto"/>
            </w:tcBorders>
          </w:tcPr>
          <w:p w14:paraId="5E387371" w14:textId="328113AA" w:rsidR="00390B48" w:rsidRPr="000136D7" w:rsidRDefault="00390B48" w:rsidP="00390B48">
            <w:pPr>
              <w:autoSpaceDE w:val="0"/>
              <w:autoSpaceDN w:val="0"/>
              <w:adjustRightInd w:val="0"/>
              <w:rPr>
                <w:rFonts w:cstheme="minorHAnsi"/>
                <w:bCs/>
                <w:color w:val="00B0F0"/>
              </w:rPr>
            </w:pPr>
            <w:r w:rsidRPr="000136D7">
              <w:rPr>
                <w:color w:val="00B0F0"/>
              </w:rPr>
              <w:t>2.8 (1.4, 4.9)</w:t>
            </w:r>
          </w:p>
        </w:tc>
        <w:tc>
          <w:tcPr>
            <w:tcW w:w="1216" w:type="dxa"/>
            <w:tcBorders>
              <w:left w:val="single" w:sz="4" w:space="0" w:color="auto"/>
              <w:right w:val="single" w:sz="4" w:space="0" w:color="auto"/>
            </w:tcBorders>
          </w:tcPr>
          <w:p w14:paraId="129606C8" w14:textId="4DE000E7" w:rsidR="00390B48" w:rsidRPr="000136D7" w:rsidRDefault="00390B48" w:rsidP="00390B48">
            <w:pPr>
              <w:autoSpaceDE w:val="0"/>
              <w:autoSpaceDN w:val="0"/>
              <w:adjustRightInd w:val="0"/>
              <w:rPr>
                <w:rFonts w:cstheme="minorHAnsi"/>
                <w:bCs/>
                <w:color w:val="00B0F0"/>
              </w:rPr>
            </w:pPr>
            <w:r w:rsidRPr="000136D7">
              <w:rPr>
                <w:color w:val="00B0F0"/>
              </w:rPr>
              <w:t>1</w:t>
            </w:r>
            <w:r w:rsidR="000136D7">
              <w:rPr>
                <w:color w:val="00B0F0"/>
              </w:rPr>
              <w:t>,</w:t>
            </w:r>
            <w:r w:rsidRPr="000136D7">
              <w:rPr>
                <w:color w:val="00B0F0"/>
              </w:rPr>
              <w:t>614</w:t>
            </w:r>
          </w:p>
        </w:tc>
        <w:tc>
          <w:tcPr>
            <w:tcW w:w="1300" w:type="dxa"/>
            <w:tcBorders>
              <w:left w:val="single" w:sz="4" w:space="0" w:color="auto"/>
              <w:right w:val="single" w:sz="4" w:space="0" w:color="auto"/>
            </w:tcBorders>
          </w:tcPr>
          <w:p w14:paraId="208EE586" w14:textId="6BE81142" w:rsidR="00390B48" w:rsidRPr="000136D7" w:rsidRDefault="00390B48" w:rsidP="00390B48">
            <w:pPr>
              <w:autoSpaceDE w:val="0"/>
              <w:autoSpaceDN w:val="0"/>
              <w:adjustRightInd w:val="0"/>
              <w:rPr>
                <w:rFonts w:cstheme="minorHAnsi"/>
                <w:bCs/>
                <w:color w:val="00B0F0"/>
              </w:rPr>
            </w:pPr>
            <w:r w:rsidRPr="000136D7">
              <w:rPr>
                <w:color w:val="00B0F0"/>
              </w:rPr>
              <w:t>44</w:t>
            </w:r>
          </w:p>
        </w:tc>
        <w:tc>
          <w:tcPr>
            <w:tcW w:w="1134" w:type="dxa"/>
            <w:tcBorders>
              <w:left w:val="single" w:sz="4" w:space="0" w:color="auto"/>
              <w:right w:val="single" w:sz="4" w:space="0" w:color="auto"/>
            </w:tcBorders>
          </w:tcPr>
          <w:p w14:paraId="36B18DA5" w14:textId="4C2982B0" w:rsidR="00390B48" w:rsidRPr="000136D7" w:rsidRDefault="00390B48" w:rsidP="00390B48">
            <w:pPr>
              <w:autoSpaceDE w:val="0"/>
              <w:autoSpaceDN w:val="0"/>
              <w:adjustRightInd w:val="0"/>
              <w:rPr>
                <w:rFonts w:cstheme="minorHAnsi"/>
                <w:bCs/>
                <w:color w:val="00B0F0"/>
              </w:rPr>
            </w:pPr>
            <w:r w:rsidRPr="000136D7">
              <w:rPr>
                <w:color w:val="00B0F0"/>
              </w:rPr>
              <w:t>2.7 (2.0, 3.6)</w:t>
            </w:r>
          </w:p>
        </w:tc>
        <w:tc>
          <w:tcPr>
            <w:tcW w:w="1216" w:type="dxa"/>
            <w:tcBorders>
              <w:left w:val="single" w:sz="4" w:space="0" w:color="auto"/>
              <w:right w:val="single" w:sz="4" w:space="0" w:color="auto"/>
            </w:tcBorders>
          </w:tcPr>
          <w:p w14:paraId="020A7A2A" w14:textId="26E2BCA6" w:rsidR="00390B48" w:rsidRPr="000136D7" w:rsidRDefault="00390B48" w:rsidP="00390B48">
            <w:pPr>
              <w:autoSpaceDE w:val="0"/>
              <w:autoSpaceDN w:val="0"/>
              <w:adjustRightInd w:val="0"/>
              <w:rPr>
                <w:rFonts w:cstheme="minorHAnsi"/>
                <w:bCs/>
                <w:color w:val="00B0F0"/>
              </w:rPr>
            </w:pPr>
            <w:r w:rsidRPr="000136D7">
              <w:rPr>
                <w:color w:val="00B0F0"/>
              </w:rPr>
              <w:t>2</w:t>
            </w:r>
            <w:r w:rsidR="000136D7">
              <w:rPr>
                <w:color w:val="00B0F0"/>
              </w:rPr>
              <w:t>,</w:t>
            </w:r>
            <w:r w:rsidRPr="000136D7">
              <w:rPr>
                <w:color w:val="00B0F0"/>
              </w:rPr>
              <w:t>011</w:t>
            </w:r>
          </w:p>
        </w:tc>
        <w:tc>
          <w:tcPr>
            <w:tcW w:w="1250" w:type="dxa"/>
            <w:tcBorders>
              <w:left w:val="single" w:sz="4" w:space="0" w:color="auto"/>
              <w:right w:val="single" w:sz="4" w:space="0" w:color="auto"/>
            </w:tcBorders>
          </w:tcPr>
          <w:p w14:paraId="66FD5CF2" w14:textId="3F576941" w:rsidR="00390B48" w:rsidRPr="000136D7" w:rsidRDefault="00390B48" w:rsidP="00390B48">
            <w:pPr>
              <w:autoSpaceDE w:val="0"/>
              <w:autoSpaceDN w:val="0"/>
              <w:adjustRightInd w:val="0"/>
              <w:rPr>
                <w:rFonts w:cstheme="minorHAnsi"/>
                <w:bCs/>
                <w:color w:val="00B0F0"/>
              </w:rPr>
            </w:pPr>
            <w:r w:rsidRPr="000136D7">
              <w:rPr>
                <w:color w:val="00B0F0"/>
              </w:rPr>
              <w:t>55</w:t>
            </w:r>
          </w:p>
        </w:tc>
        <w:tc>
          <w:tcPr>
            <w:tcW w:w="1182" w:type="dxa"/>
            <w:tcBorders>
              <w:left w:val="single" w:sz="4" w:space="0" w:color="auto"/>
              <w:right w:val="single" w:sz="4" w:space="0" w:color="auto"/>
            </w:tcBorders>
          </w:tcPr>
          <w:p w14:paraId="5493B361" w14:textId="23A82133" w:rsidR="00390B48" w:rsidRPr="000136D7" w:rsidRDefault="00390B48" w:rsidP="00390B48">
            <w:pPr>
              <w:autoSpaceDE w:val="0"/>
              <w:autoSpaceDN w:val="0"/>
              <w:adjustRightInd w:val="0"/>
              <w:rPr>
                <w:rFonts w:cstheme="minorHAnsi"/>
                <w:bCs/>
                <w:color w:val="00B0F0"/>
              </w:rPr>
            </w:pPr>
            <w:r w:rsidRPr="000136D7">
              <w:rPr>
                <w:color w:val="00B0F0"/>
              </w:rPr>
              <w:t>2.7 (2.1, 3.6)</w:t>
            </w:r>
          </w:p>
        </w:tc>
      </w:tr>
      <w:tr w:rsidR="000136D7" w:rsidRPr="000136D7" w14:paraId="4C12136A"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0609C4F9"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Unknown</w:t>
            </w:r>
          </w:p>
        </w:tc>
        <w:tc>
          <w:tcPr>
            <w:tcW w:w="1530" w:type="dxa"/>
            <w:tcBorders>
              <w:left w:val="single" w:sz="4" w:space="0" w:color="auto"/>
              <w:right w:val="single" w:sz="4" w:space="0" w:color="auto"/>
            </w:tcBorders>
          </w:tcPr>
          <w:p w14:paraId="1EFB0CF4" w14:textId="12457C68"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0</w:t>
            </w:r>
          </w:p>
        </w:tc>
        <w:tc>
          <w:tcPr>
            <w:tcW w:w="1309" w:type="dxa"/>
            <w:tcBorders>
              <w:left w:val="single" w:sz="4" w:space="0" w:color="auto"/>
              <w:right w:val="single" w:sz="4" w:space="0" w:color="auto"/>
            </w:tcBorders>
          </w:tcPr>
          <w:p w14:paraId="202C9FD2" w14:textId="283DEE6C"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0</w:t>
            </w:r>
          </w:p>
        </w:tc>
        <w:tc>
          <w:tcPr>
            <w:tcW w:w="1215" w:type="dxa"/>
            <w:gridSpan w:val="2"/>
            <w:tcBorders>
              <w:left w:val="single" w:sz="4" w:space="0" w:color="auto"/>
              <w:right w:val="single" w:sz="4" w:space="0" w:color="auto"/>
            </w:tcBorders>
          </w:tcPr>
          <w:p w14:paraId="3FD646C5" w14:textId="09EE6AB1"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N/A</w:t>
            </w:r>
          </w:p>
        </w:tc>
        <w:tc>
          <w:tcPr>
            <w:tcW w:w="1216" w:type="dxa"/>
            <w:tcBorders>
              <w:left w:val="single" w:sz="4" w:space="0" w:color="auto"/>
              <w:right w:val="single" w:sz="4" w:space="0" w:color="auto"/>
            </w:tcBorders>
          </w:tcPr>
          <w:p w14:paraId="1E29D3BA" w14:textId="69536F42" w:rsidR="00390B48" w:rsidRPr="000136D7" w:rsidRDefault="00390B48" w:rsidP="00390B48">
            <w:pPr>
              <w:autoSpaceDE w:val="0"/>
              <w:autoSpaceDN w:val="0"/>
              <w:adjustRightInd w:val="0"/>
              <w:rPr>
                <w:rFonts w:cstheme="minorHAnsi"/>
                <w:bCs/>
                <w:color w:val="00B0F0"/>
              </w:rPr>
            </w:pPr>
            <w:r w:rsidRPr="000136D7">
              <w:rPr>
                <w:color w:val="00B0F0"/>
              </w:rPr>
              <w:t>272</w:t>
            </w:r>
          </w:p>
        </w:tc>
        <w:tc>
          <w:tcPr>
            <w:tcW w:w="1300" w:type="dxa"/>
            <w:tcBorders>
              <w:left w:val="single" w:sz="4" w:space="0" w:color="auto"/>
              <w:right w:val="single" w:sz="4" w:space="0" w:color="auto"/>
            </w:tcBorders>
          </w:tcPr>
          <w:p w14:paraId="45AC36F9" w14:textId="40E019F5" w:rsidR="00390B48" w:rsidRPr="000136D7" w:rsidRDefault="00390B48" w:rsidP="00390B48">
            <w:pPr>
              <w:autoSpaceDE w:val="0"/>
              <w:autoSpaceDN w:val="0"/>
              <w:adjustRightInd w:val="0"/>
              <w:rPr>
                <w:rFonts w:cstheme="minorHAnsi"/>
                <w:bCs/>
                <w:color w:val="00B0F0"/>
              </w:rPr>
            </w:pPr>
            <w:r w:rsidRPr="000136D7">
              <w:rPr>
                <w:color w:val="00B0F0"/>
              </w:rPr>
              <w:t>12</w:t>
            </w:r>
          </w:p>
        </w:tc>
        <w:tc>
          <w:tcPr>
            <w:tcW w:w="1134" w:type="dxa"/>
            <w:tcBorders>
              <w:left w:val="single" w:sz="4" w:space="0" w:color="auto"/>
              <w:right w:val="single" w:sz="4" w:space="0" w:color="auto"/>
            </w:tcBorders>
          </w:tcPr>
          <w:p w14:paraId="1A65C3E4" w14:textId="0BC446E0" w:rsidR="00390B48" w:rsidRPr="000136D7" w:rsidRDefault="00390B48" w:rsidP="00390B48">
            <w:pPr>
              <w:autoSpaceDE w:val="0"/>
              <w:autoSpaceDN w:val="0"/>
              <w:adjustRightInd w:val="0"/>
              <w:rPr>
                <w:rFonts w:cstheme="minorHAnsi"/>
                <w:bCs/>
                <w:color w:val="00B0F0"/>
              </w:rPr>
            </w:pPr>
            <w:r w:rsidRPr="000136D7">
              <w:rPr>
                <w:color w:val="00B0F0"/>
              </w:rPr>
              <w:t>4.4 (2.3, 7.6)</w:t>
            </w:r>
          </w:p>
        </w:tc>
        <w:tc>
          <w:tcPr>
            <w:tcW w:w="1216" w:type="dxa"/>
            <w:tcBorders>
              <w:left w:val="single" w:sz="4" w:space="0" w:color="auto"/>
              <w:right w:val="single" w:sz="4" w:space="0" w:color="auto"/>
            </w:tcBorders>
          </w:tcPr>
          <w:p w14:paraId="43179001" w14:textId="60A984A1" w:rsidR="00390B48" w:rsidRPr="000136D7" w:rsidRDefault="00390B48" w:rsidP="00390B48">
            <w:pPr>
              <w:autoSpaceDE w:val="0"/>
              <w:autoSpaceDN w:val="0"/>
              <w:adjustRightInd w:val="0"/>
              <w:rPr>
                <w:rFonts w:cstheme="minorHAnsi"/>
                <w:bCs/>
                <w:color w:val="00B0F0"/>
              </w:rPr>
            </w:pPr>
            <w:r w:rsidRPr="000136D7">
              <w:rPr>
                <w:color w:val="00B0F0"/>
              </w:rPr>
              <w:t>272</w:t>
            </w:r>
          </w:p>
        </w:tc>
        <w:tc>
          <w:tcPr>
            <w:tcW w:w="1250" w:type="dxa"/>
            <w:tcBorders>
              <w:left w:val="single" w:sz="4" w:space="0" w:color="auto"/>
              <w:right w:val="single" w:sz="4" w:space="0" w:color="auto"/>
            </w:tcBorders>
          </w:tcPr>
          <w:p w14:paraId="79FC4A81" w14:textId="6252107E" w:rsidR="00390B48" w:rsidRPr="000136D7" w:rsidRDefault="00390B48" w:rsidP="00390B48">
            <w:pPr>
              <w:autoSpaceDE w:val="0"/>
              <w:autoSpaceDN w:val="0"/>
              <w:adjustRightInd w:val="0"/>
              <w:rPr>
                <w:rFonts w:cstheme="minorHAnsi"/>
                <w:bCs/>
                <w:color w:val="00B0F0"/>
              </w:rPr>
            </w:pPr>
            <w:r w:rsidRPr="000136D7">
              <w:rPr>
                <w:color w:val="00B0F0"/>
              </w:rPr>
              <w:t>12</w:t>
            </w:r>
          </w:p>
        </w:tc>
        <w:tc>
          <w:tcPr>
            <w:tcW w:w="1182" w:type="dxa"/>
            <w:tcBorders>
              <w:left w:val="single" w:sz="4" w:space="0" w:color="auto"/>
              <w:right w:val="single" w:sz="4" w:space="0" w:color="auto"/>
            </w:tcBorders>
          </w:tcPr>
          <w:p w14:paraId="4D18D0E1" w14:textId="1BBED5C5" w:rsidR="00390B48" w:rsidRPr="000136D7" w:rsidRDefault="00390B48" w:rsidP="00390B48">
            <w:pPr>
              <w:autoSpaceDE w:val="0"/>
              <w:autoSpaceDN w:val="0"/>
              <w:adjustRightInd w:val="0"/>
              <w:rPr>
                <w:rFonts w:cstheme="minorHAnsi"/>
                <w:bCs/>
                <w:color w:val="00B0F0"/>
              </w:rPr>
            </w:pPr>
            <w:r w:rsidRPr="000136D7">
              <w:rPr>
                <w:color w:val="00B0F0"/>
              </w:rPr>
              <w:t>4.4 (2.3, 7.6)</w:t>
            </w:r>
          </w:p>
        </w:tc>
      </w:tr>
      <w:tr w:rsidR="000136D7" w:rsidRPr="000136D7" w14:paraId="0DE93594"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6C7FB4E1" w14:textId="77777777" w:rsidR="00C01159" w:rsidRPr="000136D7" w:rsidRDefault="00C01159" w:rsidP="00BC1D81">
            <w:pPr>
              <w:autoSpaceDE w:val="0"/>
              <w:autoSpaceDN w:val="0"/>
              <w:adjustRightInd w:val="0"/>
              <w:rPr>
                <w:rFonts w:cstheme="minorHAnsi"/>
                <w:bCs/>
                <w:color w:val="00B0F0"/>
              </w:rPr>
            </w:pPr>
            <w:r w:rsidRPr="000136D7">
              <w:rPr>
                <w:rFonts w:cstheme="minorHAnsi"/>
                <w:b/>
                <w:bCs/>
                <w:color w:val="00B0F0"/>
              </w:rPr>
              <w:t>Ethnicity</w:t>
            </w:r>
          </w:p>
        </w:tc>
        <w:tc>
          <w:tcPr>
            <w:tcW w:w="1530" w:type="dxa"/>
            <w:tcBorders>
              <w:left w:val="single" w:sz="4" w:space="0" w:color="auto"/>
              <w:right w:val="single" w:sz="4" w:space="0" w:color="auto"/>
            </w:tcBorders>
            <w:vAlign w:val="center"/>
          </w:tcPr>
          <w:p w14:paraId="07D96AFF" w14:textId="77777777" w:rsidR="00C01159" w:rsidRPr="000136D7" w:rsidRDefault="00C01159" w:rsidP="00BC1D81">
            <w:pPr>
              <w:autoSpaceDE w:val="0"/>
              <w:autoSpaceDN w:val="0"/>
              <w:adjustRightInd w:val="0"/>
              <w:rPr>
                <w:rFonts w:cstheme="minorHAnsi"/>
                <w:bCs/>
                <w:color w:val="00B0F0"/>
              </w:rPr>
            </w:pPr>
          </w:p>
        </w:tc>
        <w:tc>
          <w:tcPr>
            <w:tcW w:w="1309" w:type="dxa"/>
            <w:tcBorders>
              <w:left w:val="single" w:sz="4" w:space="0" w:color="auto"/>
              <w:right w:val="single" w:sz="4" w:space="0" w:color="auto"/>
            </w:tcBorders>
            <w:vAlign w:val="center"/>
          </w:tcPr>
          <w:p w14:paraId="3AEA7DB9" w14:textId="77777777" w:rsidR="00C01159" w:rsidRPr="000136D7" w:rsidRDefault="00C01159" w:rsidP="00BC1D81">
            <w:pPr>
              <w:autoSpaceDE w:val="0"/>
              <w:autoSpaceDN w:val="0"/>
              <w:adjustRightInd w:val="0"/>
              <w:rPr>
                <w:rFonts w:cstheme="minorHAnsi"/>
                <w:bCs/>
                <w:color w:val="00B0F0"/>
              </w:rPr>
            </w:pPr>
          </w:p>
        </w:tc>
        <w:tc>
          <w:tcPr>
            <w:tcW w:w="1215" w:type="dxa"/>
            <w:gridSpan w:val="2"/>
            <w:tcBorders>
              <w:left w:val="single" w:sz="4" w:space="0" w:color="auto"/>
              <w:right w:val="single" w:sz="4" w:space="0" w:color="auto"/>
            </w:tcBorders>
            <w:vAlign w:val="center"/>
          </w:tcPr>
          <w:p w14:paraId="7A4B00BD" w14:textId="31B85674"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1D596ED4" w14:textId="77777777" w:rsidR="00C01159" w:rsidRPr="000136D7" w:rsidRDefault="00C01159" w:rsidP="00BC1D81">
            <w:pPr>
              <w:autoSpaceDE w:val="0"/>
              <w:autoSpaceDN w:val="0"/>
              <w:adjustRightInd w:val="0"/>
              <w:rPr>
                <w:rFonts w:cstheme="minorHAnsi"/>
                <w:bCs/>
                <w:color w:val="00B0F0"/>
              </w:rPr>
            </w:pPr>
          </w:p>
        </w:tc>
        <w:tc>
          <w:tcPr>
            <w:tcW w:w="1300" w:type="dxa"/>
            <w:tcBorders>
              <w:left w:val="single" w:sz="4" w:space="0" w:color="auto"/>
              <w:right w:val="single" w:sz="4" w:space="0" w:color="auto"/>
            </w:tcBorders>
            <w:vAlign w:val="center"/>
          </w:tcPr>
          <w:p w14:paraId="0AFD8739" w14:textId="77777777" w:rsidR="00C01159" w:rsidRPr="000136D7" w:rsidRDefault="00C01159" w:rsidP="00BC1D81">
            <w:pPr>
              <w:autoSpaceDE w:val="0"/>
              <w:autoSpaceDN w:val="0"/>
              <w:adjustRightInd w:val="0"/>
              <w:rPr>
                <w:rFonts w:cstheme="minorHAnsi"/>
                <w:bCs/>
                <w:color w:val="00B0F0"/>
              </w:rPr>
            </w:pPr>
          </w:p>
        </w:tc>
        <w:tc>
          <w:tcPr>
            <w:tcW w:w="1134" w:type="dxa"/>
            <w:tcBorders>
              <w:left w:val="single" w:sz="4" w:space="0" w:color="auto"/>
              <w:right w:val="single" w:sz="4" w:space="0" w:color="auto"/>
            </w:tcBorders>
            <w:vAlign w:val="center"/>
          </w:tcPr>
          <w:p w14:paraId="2A684D2B" w14:textId="42504AFC"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2A99D588" w14:textId="77777777" w:rsidR="00C01159" w:rsidRPr="000136D7" w:rsidRDefault="00C01159" w:rsidP="00BC1D81">
            <w:pPr>
              <w:autoSpaceDE w:val="0"/>
              <w:autoSpaceDN w:val="0"/>
              <w:adjustRightInd w:val="0"/>
              <w:rPr>
                <w:rFonts w:cstheme="minorHAnsi"/>
                <w:bCs/>
                <w:color w:val="00B0F0"/>
              </w:rPr>
            </w:pPr>
          </w:p>
        </w:tc>
        <w:tc>
          <w:tcPr>
            <w:tcW w:w="1250" w:type="dxa"/>
            <w:tcBorders>
              <w:left w:val="single" w:sz="4" w:space="0" w:color="auto"/>
              <w:right w:val="single" w:sz="4" w:space="0" w:color="auto"/>
            </w:tcBorders>
            <w:vAlign w:val="center"/>
          </w:tcPr>
          <w:p w14:paraId="6AA18E15" w14:textId="77777777" w:rsidR="00C01159" w:rsidRPr="000136D7" w:rsidRDefault="00C01159" w:rsidP="00BC1D81">
            <w:pPr>
              <w:autoSpaceDE w:val="0"/>
              <w:autoSpaceDN w:val="0"/>
              <w:adjustRightInd w:val="0"/>
              <w:rPr>
                <w:rFonts w:cstheme="minorHAnsi"/>
                <w:bCs/>
                <w:color w:val="00B0F0"/>
              </w:rPr>
            </w:pPr>
          </w:p>
        </w:tc>
        <w:tc>
          <w:tcPr>
            <w:tcW w:w="1182" w:type="dxa"/>
            <w:tcBorders>
              <w:left w:val="single" w:sz="4" w:space="0" w:color="auto"/>
              <w:right w:val="single" w:sz="4" w:space="0" w:color="auto"/>
            </w:tcBorders>
            <w:vAlign w:val="center"/>
          </w:tcPr>
          <w:p w14:paraId="7E6543DB" w14:textId="33AA62B7" w:rsidR="00C01159" w:rsidRPr="000136D7" w:rsidRDefault="00C01159" w:rsidP="00BC1D81">
            <w:pPr>
              <w:autoSpaceDE w:val="0"/>
              <w:autoSpaceDN w:val="0"/>
              <w:adjustRightInd w:val="0"/>
              <w:rPr>
                <w:rFonts w:cstheme="minorHAnsi"/>
                <w:bCs/>
                <w:color w:val="00B0F0"/>
              </w:rPr>
            </w:pPr>
          </w:p>
        </w:tc>
      </w:tr>
      <w:tr w:rsidR="000136D7" w:rsidRPr="000136D7" w14:paraId="19404546"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46B91C8C" w14:textId="77777777" w:rsidR="00390B48" w:rsidRPr="000136D7" w:rsidRDefault="00390B48" w:rsidP="00390B48">
            <w:pPr>
              <w:autoSpaceDE w:val="0"/>
              <w:autoSpaceDN w:val="0"/>
              <w:adjustRightInd w:val="0"/>
              <w:rPr>
                <w:rFonts w:cstheme="minorHAnsi"/>
                <w:b/>
                <w:bCs/>
                <w:color w:val="00B0F0"/>
              </w:rPr>
            </w:pPr>
            <w:r w:rsidRPr="000136D7">
              <w:rPr>
                <w:rFonts w:cstheme="minorHAnsi"/>
                <w:bCs/>
                <w:color w:val="00B0F0"/>
              </w:rPr>
              <w:t xml:space="preserve">      Hispanic </w:t>
            </w:r>
            <w:r w:rsidRPr="000136D7">
              <w:rPr>
                <w:rFonts w:cstheme="minorHAnsi"/>
                <w:color w:val="00B0F0"/>
              </w:rPr>
              <w:t>or Latino</w:t>
            </w:r>
          </w:p>
        </w:tc>
        <w:tc>
          <w:tcPr>
            <w:tcW w:w="1530" w:type="dxa"/>
            <w:tcBorders>
              <w:left w:val="single" w:sz="4" w:space="0" w:color="auto"/>
              <w:right w:val="single" w:sz="4" w:space="0" w:color="auto"/>
            </w:tcBorders>
          </w:tcPr>
          <w:p w14:paraId="2806D92C" w14:textId="3E5FE31A" w:rsidR="00390B48" w:rsidRPr="000136D7" w:rsidRDefault="00390B48" w:rsidP="00390B48">
            <w:pPr>
              <w:autoSpaceDE w:val="0"/>
              <w:autoSpaceDN w:val="0"/>
              <w:adjustRightInd w:val="0"/>
              <w:rPr>
                <w:rFonts w:cstheme="minorHAnsi"/>
                <w:bCs/>
                <w:color w:val="00B0F0"/>
              </w:rPr>
            </w:pPr>
            <w:r w:rsidRPr="000136D7">
              <w:rPr>
                <w:color w:val="00B0F0"/>
              </w:rPr>
              <w:t>112</w:t>
            </w:r>
          </w:p>
        </w:tc>
        <w:tc>
          <w:tcPr>
            <w:tcW w:w="1309" w:type="dxa"/>
            <w:tcBorders>
              <w:left w:val="single" w:sz="4" w:space="0" w:color="auto"/>
              <w:right w:val="single" w:sz="4" w:space="0" w:color="auto"/>
            </w:tcBorders>
          </w:tcPr>
          <w:p w14:paraId="29C6264E" w14:textId="7F983109" w:rsidR="00390B48" w:rsidRPr="000136D7" w:rsidRDefault="00390B48" w:rsidP="00390B48">
            <w:pPr>
              <w:autoSpaceDE w:val="0"/>
              <w:autoSpaceDN w:val="0"/>
              <w:adjustRightInd w:val="0"/>
              <w:rPr>
                <w:rFonts w:cstheme="minorHAnsi"/>
                <w:bCs/>
                <w:color w:val="00B0F0"/>
              </w:rPr>
            </w:pPr>
            <w:r w:rsidRPr="000136D7">
              <w:rPr>
                <w:color w:val="00B0F0"/>
              </w:rPr>
              <w:t>2</w:t>
            </w:r>
          </w:p>
        </w:tc>
        <w:tc>
          <w:tcPr>
            <w:tcW w:w="1215" w:type="dxa"/>
            <w:gridSpan w:val="2"/>
            <w:tcBorders>
              <w:left w:val="single" w:sz="4" w:space="0" w:color="auto"/>
              <w:right w:val="single" w:sz="4" w:space="0" w:color="auto"/>
            </w:tcBorders>
          </w:tcPr>
          <w:p w14:paraId="46890006" w14:textId="3D131315" w:rsidR="00390B48" w:rsidRPr="000136D7" w:rsidRDefault="00390B48" w:rsidP="00390B48">
            <w:pPr>
              <w:autoSpaceDE w:val="0"/>
              <w:autoSpaceDN w:val="0"/>
              <w:adjustRightInd w:val="0"/>
              <w:rPr>
                <w:rFonts w:cstheme="minorHAnsi"/>
                <w:bCs/>
                <w:color w:val="00B0F0"/>
              </w:rPr>
            </w:pPr>
            <w:r w:rsidRPr="000136D7">
              <w:rPr>
                <w:color w:val="00B0F0"/>
              </w:rPr>
              <w:t>1.8 (0.2, 6.3)</w:t>
            </w:r>
          </w:p>
        </w:tc>
        <w:tc>
          <w:tcPr>
            <w:tcW w:w="1216" w:type="dxa"/>
            <w:tcBorders>
              <w:left w:val="single" w:sz="4" w:space="0" w:color="auto"/>
              <w:right w:val="single" w:sz="4" w:space="0" w:color="auto"/>
            </w:tcBorders>
          </w:tcPr>
          <w:p w14:paraId="7FC241D0" w14:textId="2AA11CD8" w:rsidR="00390B48" w:rsidRPr="000136D7" w:rsidRDefault="00390B48" w:rsidP="00390B48">
            <w:pPr>
              <w:autoSpaceDE w:val="0"/>
              <w:autoSpaceDN w:val="0"/>
              <w:adjustRightInd w:val="0"/>
              <w:rPr>
                <w:rFonts w:cstheme="minorHAnsi"/>
                <w:bCs/>
                <w:color w:val="00B0F0"/>
              </w:rPr>
            </w:pPr>
            <w:r w:rsidRPr="000136D7">
              <w:rPr>
                <w:color w:val="00B0F0"/>
              </w:rPr>
              <w:t>968</w:t>
            </w:r>
          </w:p>
        </w:tc>
        <w:tc>
          <w:tcPr>
            <w:tcW w:w="1300" w:type="dxa"/>
            <w:tcBorders>
              <w:left w:val="single" w:sz="4" w:space="0" w:color="auto"/>
              <w:right w:val="single" w:sz="4" w:space="0" w:color="auto"/>
            </w:tcBorders>
          </w:tcPr>
          <w:p w14:paraId="5A63D0DB" w14:textId="01DC64D6" w:rsidR="00390B48" w:rsidRPr="000136D7" w:rsidRDefault="00390B48" w:rsidP="00390B48">
            <w:pPr>
              <w:autoSpaceDE w:val="0"/>
              <w:autoSpaceDN w:val="0"/>
              <w:adjustRightInd w:val="0"/>
              <w:rPr>
                <w:rFonts w:cstheme="minorHAnsi"/>
                <w:bCs/>
                <w:color w:val="00B0F0"/>
              </w:rPr>
            </w:pPr>
            <w:r w:rsidRPr="000136D7">
              <w:rPr>
                <w:color w:val="00B0F0"/>
              </w:rPr>
              <w:t>28</w:t>
            </w:r>
          </w:p>
        </w:tc>
        <w:tc>
          <w:tcPr>
            <w:tcW w:w="1134" w:type="dxa"/>
            <w:tcBorders>
              <w:left w:val="single" w:sz="4" w:space="0" w:color="auto"/>
              <w:right w:val="single" w:sz="4" w:space="0" w:color="auto"/>
            </w:tcBorders>
          </w:tcPr>
          <w:p w14:paraId="10D2C5DE" w14:textId="30A31DC2" w:rsidR="00390B48" w:rsidRPr="000136D7" w:rsidRDefault="00390B48" w:rsidP="00390B48">
            <w:pPr>
              <w:autoSpaceDE w:val="0"/>
              <w:autoSpaceDN w:val="0"/>
              <w:adjustRightInd w:val="0"/>
              <w:rPr>
                <w:rFonts w:cstheme="minorHAnsi"/>
                <w:bCs/>
                <w:color w:val="00B0F0"/>
              </w:rPr>
            </w:pPr>
            <w:r w:rsidRPr="000136D7">
              <w:rPr>
                <w:color w:val="00B0F0"/>
              </w:rPr>
              <w:t>2.9 (1.9, 4.2)</w:t>
            </w:r>
          </w:p>
        </w:tc>
        <w:tc>
          <w:tcPr>
            <w:tcW w:w="1216" w:type="dxa"/>
            <w:tcBorders>
              <w:left w:val="single" w:sz="4" w:space="0" w:color="auto"/>
              <w:right w:val="single" w:sz="4" w:space="0" w:color="auto"/>
            </w:tcBorders>
          </w:tcPr>
          <w:p w14:paraId="60515AB3" w14:textId="67B57841" w:rsidR="00390B48" w:rsidRPr="000136D7" w:rsidRDefault="00390B48" w:rsidP="00390B48">
            <w:pPr>
              <w:autoSpaceDE w:val="0"/>
              <w:autoSpaceDN w:val="0"/>
              <w:adjustRightInd w:val="0"/>
              <w:rPr>
                <w:rFonts w:cstheme="minorHAnsi"/>
                <w:bCs/>
                <w:color w:val="00B0F0"/>
              </w:rPr>
            </w:pPr>
            <w:r w:rsidRPr="000136D7">
              <w:rPr>
                <w:color w:val="00B0F0"/>
              </w:rPr>
              <w:t>1</w:t>
            </w:r>
            <w:r w:rsidR="000136D7">
              <w:rPr>
                <w:color w:val="00B0F0"/>
              </w:rPr>
              <w:t>,</w:t>
            </w:r>
            <w:r w:rsidRPr="000136D7">
              <w:rPr>
                <w:color w:val="00B0F0"/>
              </w:rPr>
              <w:t>080</w:t>
            </w:r>
          </w:p>
        </w:tc>
        <w:tc>
          <w:tcPr>
            <w:tcW w:w="1250" w:type="dxa"/>
            <w:tcBorders>
              <w:left w:val="single" w:sz="4" w:space="0" w:color="auto"/>
              <w:right w:val="single" w:sz="4" w:space="0" w:color="auto"/>
            </w:tcBorders>
          </w:tcPr>
          <w:p w14:paraId="2C116DB4" w14:textId="060C31A5" w:rsidR="00390B48" w:rsidRPr="000136D7" w:rsidRDefault="00390B48" w:rsidP="00390B48">
            <w:pPr>
              <w:autoSpaceDE w:val="0"/>
              <w:autoSpaceDN w:val="0"/>
              <w:adjustRightInd w:val="0"/>
              <w:rPr>
                <w:rFonts w:cstheme="minorHAnsi"/>
                <w:bCs/>
                <w:color w:val="00B0F0"/>
              </w:rPr>
            </w:pPr>
            <w:r w:rsidRPr="000136D7">
              <w:rPr>
                <w:color w:val="00B0F0"/>
              </w:rPr>
              <w:t>30</w:t>
            </w:r>
          </w:p>
        </w:tc>
        <w:tc>
          <w:tcPr>
            <w:tcW w:w="1182" w:type="dxa"/>
            <w:tcBorders>
              <w:left w:val="single" w:sz="4" w:space="0" w:color="auto"/>
              <w:right w:val="single" w:sz="4" w:space="0" w:color="auto"/>
            </w:tcBorders>
          </w:tcPr>
          <w:p w14:paraId="00FD8768" w14:textId="40237C1F" w:rsidR="00390B48" w:rsidRPr="000136D7" w:rsidRDefault="00390B48" w:rsidP="00390B48">
            <w:pPr>
              <w:autoSpaceDE w:val="0"/>
              <w:autoSpaceDN w:val="0"/>
              <w:adjustRightInd w:val="0"/>
              <w:rPr>
                <w:rFonts w:cstheme="minorHAnsi"/>
                <w:bCs/>
                <w:color w:val="00B0F0"/>
              </w:rPr>
            </w:pPr>
            <w:r w:rsidRPr="000136D7">
              <w:rPr>
                <w:color w:val="00B0F0"/>
              </w:rPr>
              <w:t>2.8 (1.9, 3.9)</w:t>
            </w:r>
          </w:p>
        </w:tc>
      </w:tr>
      <w:tr w:rsidR="000136D7" w:rsidRPr="000136D7" w14:paraId="642774E3"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51AE5384" w14:textId="77777777" w:rsidR="00390B48" w:rsidRPr="000136D7" w:rsidRDefault="00390B48" w:rsidP="00390B48">
            <w:pPr>
              <w:autoSpaceDE w:val="0"/>
              <w:autoSpaceDN w:val="0"/>
              <w:adjustRightInd w:val="0"/>
              <w:ind w:left="337"/>
              <w:rPr>
                <w:rFonts w:cstheme="minorHAnsi"/>
                <w:color w:val="00B0F0"/>
              </w:rPr>
            </w:pPr>
            <w:r w:rsidRPr="000136D7">
              <w:rPr>
                <w:rFonts w:cstheme="minorHAnsi"/>
                <w:bCs/>
                <w:color w:val="00B0F0"/>
              </w:rPr>
              <w:lastRenderedPageBreak/>
              <w:t>Non-Hispanic</w:t>
            </w:r>
          </w:p>
        </w:tc>
        <w:tc>
          <w:tcPr>
            <w:tcW w:w="1530" w:type="dxa"/>
            <w:tcBorders>
              <w:left w:val="single" w:sz="4" w:space="0" w:color="auto"/>
              <w:right w:val="single" w:sz="4" w:space="0" w:color="auto"/>
            </w:tcBorders>
          </w:tcPr>
          <w:p w14:paraId="21373B79" w14:textId="09EEABAD" w:rsidR="00390B48" w:rsidRPr="000136D7" w:rsidRDefault="00390B48" w:rsidP="00390B48">
            <w:pPr>
              <w:autoSpaceDE w:val="0"/>
              <w:autoSpaceDN w:val="0"/>
              <w:adjustRightInd w:val="0"/>
              <w:rPr>
                <w:rFonts w:cstheme="minorHAnsi"/>
                <w:bCs/>
                <w:color w:val="00B0F0"/>
              </w:rPr>
            </w:pPr>
            <w:r w:rsidRPr="000136D7">
              <w:rPr>
                <w:color w:val="00B0F0"/>
              </w:rPr>
              <w:t>7</w:t>
            </w:r>
            <w:r w:rsidR="000136D7">
              <w:rPr>
                <w:color w:val="00B0F0"/>
              </w:rPr>
              <w:t>,</w:t>
            </w:r>
            <w:r w:rsidRPr="000136D7">
              <w:rPr>
                <w:color w:val="00B0F0"/>
              </w:rPr>
              <w:t>599</w:t>
            </w:r>
          </w:p>
        </w:tc>
        <w:tc>
          <w:tcPr>
            <w:tcW w:w="1309" w:type="dxa"/>
            <w:tcBorders>
              <w:left w:val="single" w:sz="4" w:space="0" w:color="auto"/>
              <w:right w:val="single" w:sz="4" w:space="0" w:color="auto"/>
            </w:tcBorders>
          </w:tcPr>
          <w:p w14:paraId="5EF16699" w14:textId="5245C37E" w:rsidR="00390B48" w:rsidRPr="000136D7" w:rsidRDefault="00390B48" w:rsidP="00390B48">
            <w:pPr>
              <w:autoSpaceDE w:val="0"/>
              <w:autoSpaceDN w:val="0"/>
              <w:adjustRightInd w:val="0"/>
              <w:rPr>
                <w:rFonts w:cstheme="minorHAnsi"/>
                <w:bCs/>
                <w:color w:val="00B0F0"/>
              </w:rPr>
            </w:pPr>
            <w:r w:rsidRPr="000136D7">
              <w:rPr>
                <w:color w:val="00B0F0"/>
              </w:rPr>
              <w:t>193</w:t>
            </w:r>
          </w:p>
        </w:tc>
        <w:tc>
          <w:tcPr>
            <w:tcW w:w="1215" w:type="dxa"/>
            <w:gridSpan w:val="2"/>
            <w:tcBorders>
              <w:left w:val="single" w:sz="4" w:space="0" w:color="auto"/>
              <w:right w:val="single" w:sz="4" w:space="0" w:color="auto"/>
            </w:tcBorders>
          </w:tcPr>
          <w:p w14:paraId="27C6C011" w14:textId="6C2993C4" w:rsidR="00390B48" w:rsidRPr="000136D7" w:rsidRDefault="00390B48" w:rsidP="00390B48">
            <w:pPr>
              <w:autoSpaceDE w:val="0"/>
              <w:autoSpaceDN w:val="0"/>
              <w:adjustRightInd w:val="0"/>
              <w:rPr>
                <w:rFonts w:cstheme="minorHAnsi"/>
                <w:bCs/>
                <w:color w:val="00B0F0"/>
              </w:rPr>
            </w:pPr>
            <w:r w:rsidRPr="000136D7">
              <w:rPr>
                <w:color w:val="00B0F0"/>
              </w:rPr>
              <w:t>2.5 (2.2, 2.9)</w:t>
            </w:r>
          </w:p>
        </w:tc>
        <w:tc>
          <w:tcPr>
            <w:tcW w:w="1216" w:type="dxa"/>
            <w:tcBorders>
              <w:left w:val="single" w:sz="4" w:space="0" w:color="auto"/>
              <w:right w:val="single" w:sz="4" w:space="0" w:color="auto"/>
            </w:tcBorders>
          </w:tcPr>
          <w:p w14:paraId="5C88DA0C" w14:textId="0C8A7E85" w:rsidR="00390B48" w:rsidRPr="000136D7" w:rsidRDefault="00390B48" w:rsidP="00390B48">
            <w:pPr>
              <w:autoSpaceDE w:val="0"/>
              <w:autoSpaceDN w:val="0"/>
              <w:adjustRightInd w:val="0"/>
              <w:rPr>
                <w:rFonts w:cstheme="minorHAnsi"/>
                <w:bCs/>
                <w:color w:val="00B0F0"/>
              </w:rPr>
            </w:pPr>
            <w:r w:rsidRPr="000136D7">
              <w:rPr>
                <w:color w:val="00B0F0"/>
              </w:rPr>
              <w:t>4</w:t>
            </w:r>
            <w:r w:rsidR="000136D7">
              <w:rPr>
                <w:color w:val="00B0F0"/>
              </w:rPr>
              <w:t>,</w:t>
            </w:r>
            <w:r w:rsidRPr="000136D7">
              <w:rPr>
                <w:color w:val="00B0F0"/>
              </w:rPr>
              <w:t>602</w:t>
            </w:r>
          </w:p>
        </w:tc>
        <w:tc>
          <w:tcPr>
            <w:tcW w:w="1300" w:type="dxa"/>
            <w:tcBorders>
              <w:left w:val="single" w:sz="4" w:space="0" w:color="auto"/>
              <w:right w:val="single" w:sz="4" w:space="0" w:color="auto"/>
            </w:tcBorders>
          </w:tcPr>
          <w:p w14:paraId="0921EB75" w14:textId="23E8FE27" w:rsidR="00390B48" w:rsidRPr="000136D7" w:rsidRDefault="00390B48" w:rsidP="00390B48">
            <w:pPr>
              <w:autoSpaceDE w:val="0"/>
              <w:autoSpaceDN w:val="0"/>
              <w:adjustRightInd w:val="0"/>
              <w:rPr>
                <w:rFonts w:cstheme="minorHAnsi"/>
                <w:bCs/>
                <w:color w:val="00B0F0"/>
              </w:rPr>
            </w:pPr>
            <w:r w:rsidRPr="000136D7">
              <w:rPr>
                <w:color w:val="00B0F0"/>
              </w:rPr>
              <w:t>137</w:t>
            </w:r>
          </w:p>
        </w:tc>
        <w:tc>
          <w:tcPr>
            <w:tcW w:w="1134" w:type="dxa"/>
            <w:tcBorders>
              <w:left w:val="single" w:sz="4" w:space="0" w:color="auto"/>
              <w:right w:val="single" w:sz="4" w:space="0" w:color="auto"/>
            </w:tcBorders>
          </w:tcPr>
          <w:p w14:paraId="0EC30486" w14:textId="01C1047A" w:rsidR="00390B48" w:rsidRPr="000136D7" w:rsidRDefault="00390B48" w:rsidP="00390B48">
            <w:pPr>
              <w:autoSpaceDE w:val="0"/>
              <w:autoSpaceDN w:val="0"/>
              <w:adjustRightInd w:val="0"/>
              <w:rPr>
                <w:rFonts w:cstheme="minorHAnsi"/>
                <w:bCs/>
                <w:color w:val="00B0F0"/>
              </w:rPr>
            </w:pPr>
            <w:r w:rsidRPr="000136D7">
              <w:rPr>
                <w:color w:val="00B0F0"/>
              </w:rPr>
              <w:t>3.0 (2.5, 3.5)</w:t>
            </w:r>
          </w:p>
        </w:tc>
        <w:tc>
          <w:tcPr>
            <w:tcW w:w="1216" w:type="dxa"/>
            <w:tcBorders>
              <w:left w:val="single" w:sz="4" w:space="0" w:color="auto"/>
              <w:right w:val="single" w:sz="4" w:space="0" w:color="auto"/>
            </w:tcBorders>
          </w:tcPr>
          <w:p w14:paraId="0922A064" w14:textId="00E95FEA" w:rsidR="00390B48" w:rsidRPr="000136D7" w:rsidRDefault="00390B48" w:rsidP="00390B48">
            <w:pPr>
              <w:autoSpaceDE w:val="0"/>
              <w:autoSpaceDN w:val="0"/>
              <w:adjustRightInd w:val="0"/>
              <w:rPr>
                <w:rFonts w:cstheme="minorHAnsi"/>
                <w:bCs/>
                <w:color w:val="00B0F0"/>
              </w:rPr>
            </w:pPr>
            <w:r w:rsidRPr="000136D7">
              <w:rPr>
                <w:color w:val="00B0F0"/>
              </w:rPr>
              <w:t>12</w:t>
            </w:r>
            <w:r w:rsidR="000136D7">
              <w:rPr>
                <w:color w:val="00B0F0"/>
              </w:rPr>
              <w:t>,</w:t>
            </w:r>
            <w:r w:rsidRPr="000136D7">
              <w:rPr>
                <w:color w:val="00B0F0"/>
              </w:rPr>
              <w:t>201</w:t>
            </w:r>
          </w:p>
        </w:tc>
        <w:tc>
          <w:tcPr>
            <w:tcW w:w="1250" w:type="dxa"/>
            <w:tcBorders>
              <w:left w:val="single" w:sz="4" w:space="0" w:color="auto"/>
              <w:right w:val="single" w:sz="4" w:space="0" w:color="auto"/>
            </w:tcBorders>
          </w:tcPr>
          <w:p w14:paraId="106FDCC5" w14:textId="7C2C2A63" w:rsidR="00390B48" w:rsidRPr="000136D7" w:rsidRDefault="00390B48" w:rsidP="00390B48">
            <w:pPr>
              <w:autoSpaceDE w:val="0"/>
              <w:autoSpaceDN w:val="0"/>
              <w:adjustRightInd w:val="0"/>
              <w:rPr>
                <w:rFonts w:cstheme="minorHAnsi"/>
                <w:bCs/>
                <w:color w:val="00B0F0"/>
              </w:rPr>
            </w:pPr>
            <w:r w:rsidRPr="000136D7">
              <w:rPr>
                <w:color w:val="00B0F0"/>
              </w:rPr>
              <w:t>330</w:t>
            </w:r>
          </w:p>
        </w:tc>
        <w:tc>
          <w:tcPr>
            <w:tcW w:w="1182" w:type="dxa"/>
            <w:tcBorders>
              <w:left w:val="single" w:sz="4" w:space="0" w:color="auto"/>
              <w:right w:val="single" w:sz="4" w:space="0" w:color="auto"/>
            </w:tcBorders>
          </w:tcPr>
          <w:p w14:paraId="6A9152EE" w14:textId="67617F96" w:rsidR="00390B48" w:rsidRPr="000136D7" w:rsidRDefault="00390B48" w:rsidP="00390B48">
            <w:pPr>
              <w:autoSpaceDE w:val="0"/>
              <w:autoSpaceDN w:val="0"/>
              <w:adjustRightInd w:val="0"/>
              <w:rPr>
                <w:rFonts w:cstheme="minorHAnsi"/>
                <w:bCs/>
                <w:color w:val="00B0F0"/>
              </w:rPr>
            </w:pPr>
            <w:r w:rsidRPr="000136D7">
              <w:rPr>
                <w:color w:val="00B0F0"/>
              </w:rPr>
              <w:t>2.7 (2.4, 3.0)</w:t>
            </w:r>
          </w:p>
        </w:tc>
      </w:tr>
      <w:tr w:rsidR="000136D7" w:rsidRPr="000136D7" w14:paraId="5E4E971B"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58BC0F0A"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Unknown</w:t>
            </w:r>
          </w:p>
        </w:tc>
        <w:tc>
          <w:tcPr>
            <w:tcW w:w="1530" w:type="dxa"/>
            <w:tcBorders>
              <w:left w:val="single" w:sz="4" w:space="0" w:color="auto"/>
              <w:right w:val="single" w:sz="4" w:space="0" w:color="auto"/>
            </w:tcBorders>
          </w:tcPr>
          <w:p w14:paraId="6CAB0618" w14:textId="031F1857" w:rsidR="00390B48" w:rsidRPr="000136D7" w:rsidRDefault="00390B48" w:rsidP="00390B48">
            <w:pPr>
              <w:autoSpaceDE w:val="0"/>
              <w:autoSpaceDN w:val="0"/>
              <w:adjustRightInd w:val="0"/>
              <w:rPr>
                <w:rFonts w:cstheme="minorHAnsi"/>
                <w:bCs/>
                <w:color w:val="00B0F0"/>
              </w:rPr>
            </w:pPr>
            <w:r w:rsidRPr="000136D7">
              <w:rPr>
                <w:color w:val="00B0F0"/>
              </w:rPr>
              <w:t>37</w:t>
            </w:r>
          </w:p>
        </w:tc>
        <w:tc>
          <w:tcPr>
            <w:tcW w:w="1309" w:type="dxa"/>
            <w:tcBorders>
              <w:left w:val="single" w:sz="4" w:space="0" w:color="auto"/>
              <w:right w:val="single" w:sz="4" w:space="0" w:color="auto"/>
            </w:tcBorders>
          </w:tcPr>
          <w:p w14:paraId="7815C8A4" w14:textId="5AF57DFF" w:rsidR="00390B48" w:rsidRPr="000136D7" w:rsidRDefault="00390B48" w:rsidP="00390B48">
            <w:pPr>
              <w:autoSpaceDE w:val="0"/>
              <w:autoSpaceDN w:val="0"/>
              <w:adjustRightInd w:val="0"/>
              <w:rPr>
                <w:rFonts w:cstheme="minorHAnsi"/>
                <w:bCs/>
                <w:color w:val="00B0F0"/>
              </w:rPr>
            </w:pPr>
            <w:r w:rsidRPr="000136D7">
              <w:rPr>
                <w:color w:val="00B0F0"/>
              </w:rPr>
              <w:t>0</w:t>
            </w:r>
          </w:p>
        </w:tc>
        <w:tc>
          <w:tcPr>
            <w:tcW w:w="1215" w:type="dxa"/>
            <w:gridSpan w:val="2"/>
            <w:tcBorders>
              <w:left w:val="single" w:sz="4" w:space="0" w:color="auto"/>
              <w:right w:val="single" w:sz="4" w:space="0" w:color="auto"/>
            </w:tcBorders>
          </w:tcPr>
          <w:p w14:paraId="4199E606" w14:textId="1773240D" w:rsidR="00390B48" w:rsidRPr="000136D7" w:rsidRDefault="00390B48" w:rsidP="00390B48">
            <w:pPr>
              <w:autoSpaceDE w:val="0"/>
              <w:autoSpaceDN w:val="0"/>
              <w:adjustRightInd w:val="0"/>
              <w:rPr>
                <w:rFonts w:cstheme="minorHAnsi"/>
                <w:bCs/>
                <w:color w:val="00B0F0"/>
              </w:rPr>
            </w:pPr>
            <w:r w:rsidRPr="000136D7">
              <w:rPr>
                <w:color w:val="00B0F0"/>
              </w:rPr>
              <w:t>0.0 (0.0, 0.0)</w:t>
            </w:r>
          </w:p>
        </w:tc>
        <w:tc>
          <w:tcPr>
            <w:tcW w:w="1216" w:type="dxa"/>
            <w:tcBorders>
              <w:left w:val="single" w:sz="4" w:space="0" w:color="auto"/>
              <w:right w:val="single" w:sz="4" w:space="0" w:color="auto"/>
            </w:tcBorders>
          </w:tcPr>
          <w:p w14:paraId="568E52D6" w14:textId="7E644B5A" w:rsidR="00390B48" w:rsidRPr="000136D7" w:rsidRDefault="00390B48" w:rsidP="00390B48">
            <w:pPr>
              <w:autoSpaceDE w:val="0"/>
              <w:autoSpaceDN w:val="0"/>
              <w:adjustRightInd w:val="0"/>
              <w:rPr>
                <w:rFonts w:cstheme="minorHAnsi"/>
                <w:bCs/>
                <w:color w:val="00B0F0"/>
              </w:rPr>
            </w:pPr>
            <w:r w:rsidRPr="000136D7">
              <w:rPr>
                <w:color w:val="00B0F0"/>
              </w:rPr>
              <w:t>318</w:t>
            </w:r>
          </w:p>
        </w:tc>
        <w:tc>
          <w:tcPr>
            <w:tcW w:w="1300" w:type="dxa"/>
            <w:tcBorders>
              <w:left w:val="single" w:sz="4" w:space="0" w:color="auto"/>
              <w:right w:val="single" w:sz="4" w:space="0" w:color="auto"/>
            </w:tcBorders>
          </w:tcPr>
          <w:p w14:paraId="2D0CB416" w14:textId="68ABAD6F" w:rsidR="00390B48" w:rsidRPr="000136D7" w:rsidRDefault="00390B48" w:rsidP="00390B48">
            <w:pPr>
              <w:autoSpaceDE w:val="0"/>
              <w:autoSpaceDN w:val="0"/>
              <w:adjustRightInd w:val="0"/>
              <w:rPr>
                <w:rFonts w:cstheme="minorHAnsi"/>
                <w:bCs/>
                <w:color w:val="00B0F0"/>
              </w:rPr>
            </w:pPr>
            <w:r w:rsidRPr="000136D7">
              <w:rPr>
                <w:color w:val="00B0F0"/>
              </w:rPr>
              <w:t>9</w:t>
            </w:r>
          </w:p>
        </w:tc>
        <w:tc>
          <w:tcPr>
            <w:tcW w:w="1134" w:type="dxa"/>
            <w:tcBorders>
              <w:left w:val="single" w:sz="4" w:space="0" w:color="auto"/>
              <w:right w:val="single" w:sz="4" w:space="0" w:color="auto"/>
            </w:tcBorders>
          </w:tcPr>
          <w:p w14:paraId="481A4387" w14:textId="4AFCD9BD" w:rsidR="00390B48" w:rsidRPr="000136D7" w:rsidRDefault="00390B48" w:rsidP="00390B48">
            <w:pPr>
              <w:autoSpaceDE w:val="0"/>
              <w:autoSpaceDN w:val="0"/>
              <w:adjustRightInd w:val="0"/>
              <w:rPr>
                <w:rFonts w:cstheme="minorHAnsi"/>
                <w:bCs/>
                <w:color w:val="00B0F0"/>
              </w:rPr>
            </w:pPr>
            <w:r w:rsidRPr="000136D7">
              <w:rPr>
                <w:color w:val="00B0F0"/>
              </w:rPr>
              <w:t>2.8 (1.3, 5.3)</w:t>
            </w:r>
          </w:p>
        </w:tc>
        <w:tc>
          <w:tcPr>
            <w:tcW w:w="1216" w:type="dxa"/>
            <w:tcBorders>
              <w:left w:val="single" w:sz="4" w:space="0" w:color="auto"/>
              <w:right w:val="single" w:sz="4" w:space="0" w:color="auto"/>
            </w:tcBorders>
          </w:tcPr>
          <w:p w14:paraId="1780F838" w14:textId="59EDCD4D" w:rsidR="00390B48" w:rsidRPr="000136D7" w:rsidRDefault="00390B48" w:rsidP="00390B48">
            <w:pPr>
              <w:autoSpaceDE w:val="0"/>
              <w:autoSpaceDN w:val="0"/>
              <w:adjustRightInd w:val="0"/>
              <w:rPr>
                <w:rFonts w:cstheme="minorHAnsi"/>
                <w:bCs/>
                <w:color w:val="00B0F0"/>
              </w:rPr>
            </w:pPr>
            <w:r w:rsidRPr="000136D7">
              <w:rPr>
                <w:color w:val="00B0F0"/>
              </w:rPr>
              <w:t>355</w:t>
            </w:r>
          </w:p>
        </w:tc>
        <w:tc>
          <w:tcPr>
            <w:tcW w:w="1250" w:type="dxa"/>
            <w:tcBorders>
              <w:left w:val="single" w:sz="4" w:space="0" w:color="auto"/>
              <w:right w:val="single" w:sz="4" w:space="0" w:color="auto"/>
            </w:tcBorders>
          </w:tcPr>
          <w:p w14:paraId="49BF3C68" w14:textId="12E9F3BE" w:rsidR="00390B48" w:rsidRPr="000136D7" w:rsidRDefault="00390B48" w:rsidP="00390B48">
            <w:pPr>
              <w:autoSpaceDE w:val="0"/>
              <w:autoSpaceDN w:val="0"/>
              <w:adjustRightInd w:val="0"/>
              <w:rPr>
                <w:rFonts w:cstheme="minorHAnsi"/>
                <w:bCs/>
                <w:color w:val="00B0F0"/>
              </w:rPr>
            </w:pPr>
            <w:r w:rsidRPr="000136D7">
              <w:rPr>
                <w:color w:val="00B0F0"/>
              </w:rPr>
              <w:t>9</w:t>
            </w:r>
          </w:p>
        </w:tc>
        <w:tc>
          <w:tcPr>
            <w:tcW w:w="1182" w:type="dxa"/>
            <w:tcBorders>
              <w:left w:val="single" w:sz="4" w:space="0" w:color="auto"/>
              <w:right w:val="single" w:sz="4" w:space="0" w:color="auto"/>
            </w:tcBorders>
          </w:tcPr>
          <w:p w14:paraId="329D7998" w14:textId="26DAD9D5" w:rsidR="00390B48" w:rsidRPr="000136D7" w:rsidRDefault="00390B48" w:rsidP="00390B48">
            <w:pPr>
              <w:autoSpaceDE w:val="0"/>
              <w:autoSpaceDN w:val="0"/>
              <w:adjustRightInd w:val="0"/>
              <w:rPr>
                <w:rFonts w:cstheme="minorHAnsi"/>
                <w:bCs/>
                <w:color w:val="00B0F0"/>
              </w:rPr>
            </w:pPr>
            <w:r w:rsidRPr="000136D7">
              <w:rPr>
                <w:color w:val="00B0F0"/>
              </w:rPr>
              <w:t>2.5 (1.2, 4.8)</w:t>
            </w:r>
          </w:p>
        </w:tc>
      </w:tr>
      <w:tr w:rsidR="000136D7" w:rsidRPr="000136D7" w14:paraId="25198D95"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0807CD50" w14:textId="77777777" w:rsidR="00C01159" w:rsidRPr="000136D7" w:rsidRDefault="00C01159" w:rsidP="00BC1D81">
            <w:pPr>
              <w:autoSpaceDE w:val="0"/>
              <w:autoSpaceDN w:val="0"/>
              <w:adjustRightInd w:val="0"/>
              <w:rPr>
                <w:rFonts w:cstheme="minorHAnsi"/>
                <w:bCs/>
                <w:color w:val="00B0F0"/>
              </w:rPr>
            </w:pPr>
            <w:r w:rsidRPr="000136D7">
              <w:rPr>
                <w:rFonts w:cstheme="minorHAnsi"/>
                <w:b/>
                <w:bCs/>
                <w:color w:val="00B0F0"/>
              </w:rPr>
              <w:t>(Primary</w:t>
            </w:r>
            <w:r w:rsidRPr="000136D7">
              <w:rPr>
                <w:rFonts w:cstheme="minorHAnsi"/>
                <w:b/>
                <w:color w:val="00B0F0"/>
              </w:rPr>
              <w:t>) Payer</w:t>
            </w:r>
          </w:p>
        </w:tc>
        <w:tc>
          <w:tcPr>
            <w:tcW w:w="1530" w:type="dxa"/>
            <w:tcBorders>
              <w:left w:val="single" w:sz="4" w:space="0" w:color="auto"/>
              <w:right w:val="single" w:sz="4" w:space="0" w:color="auto"/>
            </w:tcBorders>
            <w:vAlign w:val="center"/>
          </w:tcPr>
          <w:p w14:paraId="6FBAFFE7" w14:textId="77777777" w:rsidR="00C01159" w:rsidRPr="000136D7" w:rsidRDefault="00C01159" w:rsidP="00BC1D81">
            <w:pPr>
              <w:autoSpaceDE w:val="0"/>
              <w:autoSpaceDN w:val="0"/>
              <w:adjustRightInd w:val="0"/>
              <w:rPr>
                <w:rFonts w:cstheme="minorHAnsi"/>
                <w:bCs/>
                <w:color w:val="00B0F0"/>
              </w:rPr>
            </w:pPr>
          </w:p>
        </w:tc>
        <w:tc>
          <w:tcPr>
            <w:tcW w:w="1309" w:type="dxa"/>
            <w:tcBorders>
              <w:left w:val="single" w:sz="4" w:space="0" w:color="auto"/>
              <w:right w:val="single" w:sz="4" w:space="0" w:color="auto"/>
            </w:tcBorders>
            <w:vAlign w:val="center"/>
          </w:tcPr>
          <w:p w14:paraId="73F84337" w14:textId="77777777" w:rsidR="00C01159" w:rsidRPr="000136D7" w:rsidRDefault="00C01159" w:rsidP="00BC1D81">
            <w:pPr>
              <w:autoSpaceDE w:val="0"/>
              <w:autoSpaceDN w:val="0"/>
              <w:adjustRightInd w:val="0"/>
              <w:rPr>
                <w:rFonts w:cstheme="minorHAnsi"/>
                <w:bCs/>
                <w:color w:val="00B0F0"/>
              </w:rPr>
            </w:pPr>
          </w:p>
        </w:tc>
        <w:tc>
          <w:tcPr>
            <w:tcW w:w="1215" w:type="dxa"/>
            <w:gridSpan w:val="2"/>
            <w:tcBorders>
              <w:left w:val="single" w:sz="4" w:space="0" w:color="auto"/>
              <w:right w:val="single" w:sz="4" w:space="0" w:color="auto"/>
            </w:tcBorders>
            <w:vAlign w:val="center"/>
          </w:tcPr>
          <w:p w14:paraId="2E5C3C1F" w14:textId="2AEA0B29"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3E0B1F9F" w14:textId="77777777" w:rsidR="00C01159" w:rsidRPr="000136D7" w:rsidRDefault="00C01159" w:rsidP="00BC1D81">
            <w:pPr>
              <w:autoSpaceDE w:val="0"/>
              <w:autoSpaceDN w:val="0"/>
              <w:adjustRightInd w:val="0"/>
              <w:rPr>
                <w:rFonts w:cstheme="minorHAnsi"/>
                <w:bCs/>
                <w:color w:val="00B0F0"/>
              </w:rPr>
            </w:pPr>
          </w:p>
        </w:tc>
        <w:tc>
          <w:tcPr>
            <w:tcW w:w="1300" w:type="dxa"/>
            <w:tcBorders>
              <w:left w:val="single" w:sz="4" w:space="0" w:color="auto"/>
              <w:right w:val="single" w:sz="4" w:space="0" w:color="auto"/>
            </w:tcBorders>
            <w:vAlign w:val="center"/>
          </w:tcPr>
          <w:p w14:paraId="4BC8F2A0" w14:textId="77777777" w:rsidR="00C01159" w:rsidRPr="000136D7" w:rsidRDefault="00C01159" w:rsidP="00BC1D81">
            <w:pPr>
              <w:autoSpaceDE w:val="0"/>
              <w:autoSpaceDN w:val="0"/>
              <w:adjustRightInd w:val="0"/>
              <w:rPr>
                <w:rFonts w:cstheme="minorHAnsi"/>
                <w:bCs/>
                <w:color w:val="00B0F0"/>
              </w:rPr>
            </w:pPr>
          </w:p>
        </w:tc>
        <w:tc>
          <w:tcPr>
            <w:tcW w:w="1134" w:type="dxa"/>
            <w:tcBorders>
              <w:left w:val="single" w:sz="4" w:space="0" w:color="auto"/>
              <w:right w:val="single" w:sz="4" w:space="0" w:color="auto"/>
            </w:tcBorders>
            <w:vAlign w:val="center"/>
          </w:tcPr>
          <w:p w14:paraId="237B44BC" w14:textId="5AA66F5D" w:rsidR="00C01159" w:rsidRPr="000136D7" w:rsidRDefault="00C01159" w:rsidP="00BC1D81">
            <w:pPr>
              <w:autoSpaceDE w:val="0"/>
              <w:autoSpaceDN w:val="0"/>
              <w:adjustRightInd w:val="0"/>
              <w:rPr>
                <w:rFonts w:cstheme="minorHAnsi"/>
                <w:bCs/>
                <w:color w:val="00B0F0"/>
              </w:rPr>
            </w:pPr>
          </w:p>
        </w:tc>
        <w:tc>
          <w:tcPr>
            <w:tcW w:w="1216" w:type="dxa"/>
            <w:tcBorders>
              <w:left w:val="single" w:sz="4" w:space="0" w:color="auto"/>
              <w:right w:val="single" w:sz="4" w:space="0" w:color="auto"/>
            </w:tcBorders>
            <w:vAlign w:val="center"/>
          </w:tcPr>
          <w:p w14:paraId="5F9CB6CA" w14:textId="77777777" w:rsidR="00C01159" w:rsidRPr="000136D7" w:rsidRDefault="00C01159" w:rsidP="00BC1D81">
            <w:pPr>
              <w:autoSpaceDE w:val="0"/>
              <w:autoSpaceDN w:val="0"/>
              <w:adjustRightInd w:val="0"/>
              <w:rPr>
                <w:rFonts w:cstheme="minorHAnsi"/>
                <w:bCs/>
                <w:color w:val="00B0F0"/>
              </w:rPr>
            </w:pPr>
          </w:p>
        </w:tc>
        <w:tc>
          <w:tcPr>
            <w:tcW w:w="1250" w:type="dxa"/>
            <w:tcBorders>
              <w:left w:val="single" w:sz="4" w:space="0" w:color="auto"/>
              <w:right w:val="single" w:sz="4" w:space="0" w:color="auto"/>
            </w:tcBorders>
            <w:vAlign w:val="center"/>
          </w:tcPr>
          <w:p w14:paraId="1A1D5161" w14:textId="77777777" w:rsidR="00C01159" w:rsidRPr="000136D7" w:rsidRDefault="00C01159" w:rsidP="00BC1D81">
            <w:pPr>
              <w:autoSpaceDE w:val="0"/>
              <w:autoSpaceDN w:val="0"/>
              <w:adjustRightInd w:val="0"/>
              <w:rPr>
                <w:rFonts w:cstheme="minorHAnsi"/>
                <w:bCs/>
                <w:color w:val="00B0F0"/>
              </w:rPr>
            </w:pPr>
          </w:p>
        </w:tc>
        <w:tc>
          <w:tcPr>
            <w:tcW w:w="1182" w:type="dxa"/>
            <w:tcBorders>
              <w:left w:val="single" w:sz="4" w:space="0" w:color="auto"/>
              <w:right w:val="single" w:sz="4" w:space="0" w:color="auto"/>
            </w:tcBorders>
            <w:vAlign w:val="center"/>
          </w:tcPr>
          <w:p w14:paraId="4B08A11C" w14:textId="35ECFC6D" w:rsidR="00C01159" w:rsidRPr="000136D7" w:rsidRDefault="00C01159" w:rsidP="00BC1D81">
            <w:pPr>
              <w:autoSpaceDE w:val="0"/>
              <w:autoSpaceDN w:val="0"/>
              <w:adjustRightInd w:val="0"/>
              <w:rPr>
                <w:rFonts w:cstheme="minorHAnsi"/>
                <w:bCs/>
                <w:color w:val="00B0F0"/>
              </w:rPr>
            </w:pPr>
          </w:p>
        </w:tc>
      </w:tr>
      <w:tr w:rsidR="000136D7" w:rsidRPr="000136D7" w14:paraId="1A05F214"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605961DF" w14:textId="77777777" w:rsidR="00390B48" w:rsidRPr="000136D7" w:rsidRDefault="00390B48" w:rsidP="00390B48">
            <w:pPr>
              <w:autoSpaceDE w:val="0"/>
              <w:autoSpaceDN w:val="0"/>
              <w:adjustRightInd w:val="0"/>
              <w:rPr>
                <w:rFonts w:cstheme="minorHAnsi"/>
                <w:b/>
                <w:color w:val="00B0F0"/>
              </w:rPr>
            </w:pPr>
            <w:r w:rsidRPr="000136D7">
              <w:rPr>
                <w:rFonts w:cstheme="minorHAnsi"/>
                <w:bCs/>
                <w:color w:val="00B0F0"/>
              </w:rPr>
              <w:t xml:space="preserve">       Medicare</w:t>
            </w:r>
          </w:p>
        </w:tc>
        <w:tc>
          <w:tcPr>
            <w:tcW w:w="1530" w:type="dxa"/>
            <w:tcBorders>
              <w:left w:val="single" w:sz="4" w:space="0" w:color="auto"/>
              <w:right w:val="single" w:sz="4" w:space="0" w:color="auto"/>
            </w:tcBorders>
          </w:tcPr>
          <w:p w14:paraId="7E61B88C" w14:textId="3414FCF3" w:rsidR="00390B48" w:rsidRPr="000136D7" w:rsidRDefault="00390B48" w:rsidP="00390B48">
            <w:pPr>
              <w:autoSpaceDE w:val="0"/>
              <w:autoSpaceDN w:val="0"/>
              <w:adjustRightInd w:val="0"/>
              <w:rPr>
                <w:rFonts w:cstheme="minorHAnsi"/>
                <w:bCs/>
                <w:color w:val="00B0F0"/>
              </w:rPr>
            </w:pPr>
            <w:r w:rsidRPr="000136D7">
              <w:rPr>
                <w:color w:val="00B0F0"/>
              </w:rPr>
              <w:t>4</w:t>
            </w:r>
            <w:r w:rsidR="000136D7">
              <w:rPr>
                <w:color w:val="00B0F0"/>
              </w:rPr>
              <w:t>,</w:t>
            </w:r>
            <w:r w:rsidRPr="000136D7">
              <w:rPr>
                <w:color w:val="00B0F0"/>
              </w:rPr>
              <w:t>145</w:t>
            </w:r>
          </w:p>
        </w:tc>
        <w:tc>
          <w:tcPr>
            <w:tcW w:w="1309" w:type="dxa"/>
            <w:tcBorders>
              <w:left w:val="single" w:sz="4" w:space="0" w:color="auto"/>
              <w:right w:val="single" w:sz="4" w:space="0" w:color="auto"/>
            </w:tcBorders>
          </w:tcPr>
          <w:p w14:paraId="05F1DE4E" w14:textId="6F240096" w:rsidR="00390B48" w:rsidRPr="000136D7" w:rsidRDefault="00390B48" w:rsidP="00390B48">
            <w:pPr>
              <w:autoSpaceDE w:val="0"/>
              <w:autoSpaceDN w:val="0"/>
              <w:adjustRightInd w:val="0"/>
              <w:rPr>
                <w:rFonts w:cstheme="minorHAnsi"/>
                <w:bCs/>
                <w:color w:val="00B0F0"/>
              </w:rPr>
            </w:pPr>
            <w:r w:rsidRPr="000136D7">
              <w:rPr>
                <w:color w:val="00B0F0"/>
              </w:rPr>
              <w:t>100</w:t>
            </w:r>
          </w:p>
        </w:tc>
        <w:tc>
          <w:tcPr>
            <w:tcW w:w="1215" w:type="dxa"/>
            <w:gridSpan w:val="2"/>
            <w:tcBorders>
              <w:left w:val="single" w:sz="4" w:space="0" w:color="auto"/>
              <w:right w:val="single" w:sz="4" w:space="0" w:color="auto"/>
            </w:tcBorders>
          </w:tcPr>
          <w:p w14:paraId="600C928F" w14:textId="6CDD3D14" w:rsidR="00390B48" w:rsidRPr="000136D7" w:rsidRDefault="00390B48" w:rsidP="00390B48">
            <w:pPr>
              <w:autoSpaceDE w:val="0"/>
              <w:autoSpaceDN w:val="0"/>
              <w:adjustRightInd w:val="0"/>
              <w:rPr>
                <w:rFonts w:cstheme="minorHAnsi"/>
                <w:bCs/>
                <w:color w:val="00B0F0"/>
              </w:rPr>
            </w:pPr>
            <w:r w:rsidRPr="000136D7">
              <w:rPr>
                <w:color w:val="00B0F0"/>
              </w:rPr>
              <w:t>2.4 (2.0, 2.9)</w:t>
            </w:r>
          </w:p>
        </w:tc>
        <w:tc>
          <w:tcPr>
            <w:tcW w:w="1216" w:type="dxa"/>
            <w:tcBorders>
              <w:left w:val="single" w:sz="4" w:space="0" w:color="auto"/>
              <w:right w:val="single" w:sz="4" w:space="0" w:color="auto"/>
            </w:tcBorders>
          </w:tcPr>
          <w:p w14:paraId="03860A26" w14:textId="5E1318A3" w:rsidR="00390B48" w:rsidRPr="000136D7" w:rsidRDefault="00390B48" w:rsidP="00390B48">
            <w:pPr>
              <w:autoSpaceDE w:val="0"/>
              <w:autoSpaceDN w:val="0"/>
              <w:adjustRightInd w:val="0"/>
              <w:rPr>
                <w:rFonts w:cstheme="minorHAnsi"/>
                <w:bCs/>
                <w:color w:val="00B0F0"/>
              </w:rPr>
            </w:pPr>
            <w:r w:rsidRPr="000136D7">
              <w:rPr>
                <w:color w:val="00B0F0"/>
              </w:rPr>
              <w:t>3</w:t>
            </w:r>
            <w:r w:rsidR="000136D7">
              <w:rPr>
                <w:color w:val="00B0F0"/>
              </w:rPr>
              <w:t>,</w:t>
            </w:r>
            <w:r w:rsidRPr="000136D7">
              <w:rPr>
                <w:color w:val="00B0F0"/>
              </w:rPr>
              <w:t>016</w:t>
            </w:r>
          </w:p>
        </w:tc>
        <w:tc>
          <w:tcPr>
            <w:tcW w:w="1300" w:type="dxa"/>
            <w:tcBorders>
              <w:left w:val="single" w:sz="4" w:space="0" w:color="auto"/>
              <w:right w:val="single" w:sz="4" w:space="0" w:color="auto"/>
            </w:tcBorders>
          </w:tcPr>
          <w:p w14:paraId="48400256" w14:textId="01AE5670" w:rsidR="00390B48" w:rsidRPr="000136D7" w:rsidRDefault="00390B48" w:rsidP="00390B48">
            <w:pPr>
              <w:autoSpaceDE w:val="0"/>
              <w:autoSpaceDN w:val="0"/>
              <w:adjustRightInd w:val="0"/>
              <w:rPr>
                <w:rFonts w:cstheme="minorHAnsi"/>
                <w:bCs/>
                <w:color w:val="00B0F0"/>
              </w:rPr>
            </w:pPr>
            <w:r w:rsidRPr="000136D7">
              <w:rPr>
                <w:color w:val="00B0F0"/>
              </w:rPr>
              <w:t>92</w:t>
            </w:r>
          </w:p>
        </w:tc>
        <w:tc>
          <w:tcPr>
            <w:tcW w:w="1134" w:type="dxa"/>
            <w:tcBorders>
              <w:left w:val="single" w:sz="4" w:space="0" w:color="auto"/>
              <w:right w:val="single" w:sz="4" w:space="0" w:color="auto"/>
            </w:tcBorders>
          </w:tcPr>
          <w:p w14:paraId="5D5F5D07" w14:textId="4EB1918F" w:rsidR="00390B48" w:rsidRPr="000136D7" w:rsidRDefault="00390B48" w:rsidP="00390B48">
            <w:pPr>
              <w:autoSpaceDE w:val="0"/>
              <w:autoSpaceDN w:val="0"/>
              <w:adjustRightInd w:val="0"/>
              <w:rPr>
                <w:rFonts w:cstheme="minorHAnsi"/>
                <w:bCs/>
                <w:color w:val="00B0F0"/>
              </w:rPr>
            </w:pPr>
            <w:r w:rsidRPr="000136D7">
              <w:rPr>
                <w:color w:val="00B0F0"/>
              </w:rPr>
              <w:t>3.1 (2.5, 3.7)</w:t>
            </w:r>
          </w:p>
        </w:tc>
        <w:tc>
          <w:tcPr>
            <w:tcW w:w="1216" w:type="dxa"/>
            <w:tcBorders>
              <w:left w:val="single" w:sz="4" w:space="0" w:color="auto"/>
              <w:right w:val="single" w:sz="4" w:space="0" w:color="auto"/>
            </w:tcBorders>
          </w:tcPr>
          <w:p w14:paraId="3DDF1999" w14:textId="69BFF6A6" w:rsidR="00390B48" w:rsidRPr="000136D7" w:rsidRDefault="00390B48" w:rsidP="00390B48">
            <w:pPr>
              <w:autoSpaceDE w:val="0"/>
              <w:autoSpaceDN w:val="0"/>
              <w:adjustRightInd w:val="0"/>
              <w:rPr>
                <w:rFonts w:cstheme="minorHAnsi"/>
                <w:bCs/>
                <w:color w:val="00B0F0"/>
              </w:rPr>
            </w:pPr>
            <w:r w:rsidRPr="000136D7">
              <w:rPr>
                <w:color w:val="00B0F0"/>
              </w:rPr>
              <w:t>7</w:t>
            </w:r>
            <w:r w:rsidR="000136D7">
              <w:rPr>
                <w:color w:val="00B0F0"/>
              </w:rPr>
              <w:t>,</w:t>
            </w:r>
            <w:r w:rsidRPr="000136D7">
              <w:rPr>
                <w:color w:val="00B0F0"/>
              </w:rPr>
              <w:t>161</w:t>
            </w:r>
          </w:p>
        </w:tc>
        <w:tc>
          <w:tcPr>
            <w:tcW w:w="1250" w:type="dxa"/>
            <w:tcBorders>
              <w:left w:val="single" w:sz="4" w:space="0" w:color="auto"/>
              <w:right w:val="single" w:sz="4" w:space="0" w:color="auto"/>
            </w:tcBorders>
          </w:tcPr>
          <w:p w14:paraId="32E5D36E" w14:textId="61ED5582" w:rsidR="00390B48" w:rsidRPr="000136D7" w:rsidRDefault="00390B48" w:rsidP="00390B48">
            <w:pPr>
              <w:autoSpaceDE w:val="0"/>
              <w:autoSpaceDN w:val="0"/>
              <w:adjustRightInd w:val="0"/>
              <w:rPr>
                <w:rFonts w:cstheme="minorHAnsi"/>
                <w:bCs/>
                <w:color w:val="00B0F0"/>
              </w:rPr>
            </w:pPr>
            <w:r w:rsidRPr="000136D7">
              <w:rPr>
                <w:color w:val="00B0F0"/>
              </w:rPr>
              <w:t>192</w:t>
            </w:r>
          </w:p>
        </w:tc>
        <w:tc>
          <w:tcPr>
            <w:tcW w:w="1182" w:type="dxa"/>
            <w:tcBorders>
              <w:left w:val="single" w:sz="4" w:space="0" w:color="auto"/>
              <w:right w:val="single" w:sz="4" w:space="0" w:color="auto"/>
            </w:tcBorders>
          </w:tcPr>
          <w:p w14:paraId="2E80B0A8" w14:textId="3DDFC682" w:rsidR="00390B48" w:rsidRPr="000136D7" w:rsidRDefault="00390B48" w:rsidP="00390B48">
            <w:pPr>
              <w:autoSpaceDE w:val="0"/>
              <w:autoSpaceDN w:val="0"/>
              <w:adjustRightInd w:val="0"/>
              <w:rPr>
                <w:rFonts w:cstheme="minorHAnsi"/>
                <w:bCs/>
                <w:color w:val="00B0F0"/>
              </w:rPr>
            </w:pPr>
            <w:r w:rsidRPr="000136D7">
              <w:rPr>
                <w:color w:val="00B0F0"/>
              </w:rPr>
              <w:t>2.7 (2.3, 3.1)</w:t>
            </w:r>
          </w:p>
        </w:tc>
      </w:tr>
      <w:tr w:rsidR="000136D7" w:rsidRPr="000136D7" w14:paraId="1574F556"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7124A2F5"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Medicaid</w:t>
            </w:r>
          </w:p>
        </w:tc>
        <w:tc>
          <w:tcPr>
            <w:tcW w:w="1530" w:type="dxa"/>
            <w:tcBorders>
              <w:left w:val="single" w:sz="4" w:space="0" w:color="auto"/>
              <w:right w:val="single" w:sz="4" w:space="0" w:color="auto"/>
            </w:tcBorders>
          </w:tcPr>
          <w:p w14:paraId="33CC8582" w14:textId="4AD52135" w:rsidR="00390B48" w:rsidRPr="000136D7" w:rsidRDefault="00390B48" w:rsidP="00390B48">
            <w:pPr>
              <w:autoSpaceDE w:val="0"/>
              <w:autoSpaceDN w:val="0"/>
              <w:adjustRightInd w:val="0"/>
              <w:rPr>
                <w:rFonts w:cstheme="minorHAnsi"/>
                <w:bCs/>
                <w:color w:val="00B0F0"/>
              </w:rPr>
            </w:pPr>
            <w:r w:rsidRPr="000136D7">
              <w:rPr>
                <w:color w:val="00B0F0"/>
              </w:rPr>
              <w:t>792</w:t>
            </w:r>
          </w:p>
        </w:tc>
        <w:tc>
          <w:tcPr>
            <w:tcW w:w="1309" w:type="dxa"/>
            <w:tcBorders>
              <w:left w:val="single" w:sz="4" w:space="0" w:color="auto"/>
              <w:right w:val="single" w:sz="4" w:space="0" w:color="auto"/>
            </w:tcBorders>
          </w:tcPr>
          <w:p w14:paraId="482AAAA3" w14:textId="6D67C2B2" w:rsidR="00390B48" w:rsidRPr="000136D7" w:rsidRDefault="00390B48" w:rsidP="00390B48">
            <w:pPr>
              <w:autoSpaceDE w:val="0"/>
              <w:autoSpaceDN w:val="0"/>
              <w:adjustRightInd w:val="0"/>
              <w:rPr>
                <w:rFonts w:cstheme="minorHAnsi"/>
                <w:bCs/>
                <w:color w:val="00B0F0"/>
              </w:rPr>
            </w:pPr>
            <w:r w:rsidRPr="000136D7">
              <w:rPr>
                <w:color w:val="00B0F0"/>
              </w:rPr>
              <w:t>23</w:t>
            </w:r>
          </w:p>
        </w:tc>
        <w:tc>
          <w:tcPr>
            <w:tcW w:w="1215" w:type="dxa"/>
            <w:gridSpan w:val="2"/>
            <w:tcBorders>
              <w:left w:val="single" w:sz="4" w:space="0" w:color="auto"/>
              <w:right w:val="single" w:sz="4" w:space="0" w:color="auto"/>
            </w:tcBorders>
          </w:tcPr>
          <w:p w14:paraId="258C8BF7" w14:textId="15B3F143" w:rsidR="00390B48" w:rsidRPr="000136D7" w:rsidRDefault="00390B48" w:rsidP="00390B48">
            <w:pPr>
              <w:autoSpaceDE w:val="0"/>
              <w:autoSpaceDN w:val="0"/>
              <w:adjustRightInd w:val="0"/>
              <w:rPr>
                <w:rFonts w:cstheme="minorHAnsi"/>
                <w:bCs/>
                <w:color w:val="00B0F0"/>
              </w:rPr>
            </w:pPr>
            <w:r w:rsidRPr="000136D7">
              <w:rPr>
                <w:color w:val="00B0F0"/>
              </w:rPr>
              <w:t>2.9 (1.9, 4.3)</w:t>
            </w:r>
          </w:p>
        </w:tc>
        <w:tc>
          <w:tcPr>
            <w:tcW w:w="1216" w:type="dxa"/>
            <w:tcBorders>
              <w:left w:val="single" w:sz="4" w:space="0" w:color="auto"/>
              <w:right w:val="single" w:sz="4" w:space="0" w:color="auto"/>
            </w:tcBorders>
          </w:tcPr>
          <w:p w14:paraId="70B29B55" w14:textId="192497BE" w:rsidR="00390B48" w:rsidRPr="000136D7" w:rsidRDefault="00390B48" w:rsidP="00390B48">
            <w:pPr>
              <w:autoSpaceDE w:val="0"/>
              <w:autoSpaceDN w:val="0"/>
              <w:adjustRightInd w:val="0"/>
              <w:rPr>
                <w:rFonts w:cstheme="minorHAnsi"/>
                <w:bCs/>
                <w:color w:val="00B0F0"/>
              </w:rPr>
            </w:pPr>
            <w:r w:rsidRPr="000136D7">
              <w:rPr>
                <w:color w:val="00B0F0"/>
              </w:rPr>
              <w:t>567</w:t>
            </w:r>
          </w:p>
        </w:tc>
        <w:tc>
          <w:tcPr>
            <w:tcW w:w="1300" w:type="dxa"/>
            <w:tcBorders>
              <w:left w:val="single" w:sz="4" w:space="0" w:color="auto"/>
              <w:right w:val="single" w:sz="4" w:space="0" w:color="auto"/>
            </w:tcBorders>
          </w:tcPr>
          <w:p w14:paraId="0EFDFFB9" w14:textId="2BDE1536" w:rsidR="00390B48" w:rsidRPr="000136D7" w:rsidRDefault="00390B48" w:rsidP="00390B48">
            <w:pPr>
              <w:autoSpaceDE w:val="0"/>
              <w:autoSpaceDN w:val="0"/>
              <w:adjustRightInd w:val="0"/>
              <w:rPr>
                <w:rFonts w:cstheme="minorHAnsi"/>
                <w:bCs/>
                <w:color w:val="00B0F0"/>
              </w:rPr>
            </w:pPr>
            <w:r w:rsidRPr="000136D7">
              <w:rPr>
                <w:color w:val="00B0F0"/>
              </w:rPr>
              <w:t>23</w:t>
            </w:r>
          </w:p>
        </w:tc>
        <w:tc>
          <w:tcPr>
            <w:tcW w:w="1134" w:type="dxa"/>
            <w:tcBorders>
              <w:left w:val="single" w:sz="4" w:space="0" w:color="auto"/>
              <w:right w:val="single" w:sz="4" w:space="0" w:color="auto"/>
            </w:tcBorders>
          </w:tcPr>
          <w:p w14:paraId="1BE2390E" w14:textId="086D2355" w:rsidR="00390B48" w:rsidRPr="000136D7" w:rsidRDefault="00390B48" w:rsidP="00390B48">
            <w:pPr>
              <w:autoSpaceDE w:val="0"/>
              <w:autoSpaceDN w:val="0"/>
              <w:adjustRightInd w:val="0"/>
              <w:rPr>
                <w:rFonts w:cstheme="minorHAnsi"/>
                <w:bCs/>
                <w:color w:val="00B0F0"/>
              </w:rPr>
            </w:pPr>
            <w:r w:rsidRPr="000136D7">
              <w:rPr>
                <w:color w:val="00B0F0"/>
              </w:rPr>
              <w:t>4.1 (2.6, 6.0)</w:t>
            </w:r>
          </w:p>
        </w:tc>
        <w:tc>
          <w:tcPr>
            <w:tcW w:w="1216" w:type="dxa"/>
            <w:tcBorders>
              <w:left w:val="single" w:sz="4" w:space="0" w:color="auto"/>
              <w:right w:val="single" w:sz="4" w:space="0" w:color="auto"/>
            </w:tcBorders>
          </w:tcPr>
          <w:p w14:paraId="2C65BD56" w14:textId="29780F89" w:rsidR="00390B48" w:rsidRPr="000136D7" w:rsidRDefault="00390B48" w:rsidP="00390B48">
            <w:pPr>
              <w:autoSpaceDE w:val="0"/>
              <w:autoSpaceDN w:val="0"/>
              <w:adjustRightInd w:val="0"/>
              <w:rPr>
                <w:rFonts w:cstheme="minorHAnsi"/>
                <w:bCs/>
                <w:color w:val="00B0F0"/>
              </w:rPr>
            </w:pPr>
            <w:r w:rsidRPr="000136D7">
              <w:rPr>
                <w:color w:val="00B0F0"/>
              </w:rPr>
              <w:t>1</w:t>
            </w:r>
            <w:r w:rsidR="000136D7">
              <w:rPr>
                <w:color w:val="00B0F0"/>
              </w:rPr>
              <w:t>,</w:t>
            </w:r>
            <w:r w:rsidRPr="000136D7">
              <w:rPr>
                <w:color w:val="00B0F0"/>
              </w:rPr>
              <w:t>359</w:t>
            </w:r>
          </w:p>
        </w:tc>
        <w:tc>
          <w:tcPr>
            <w:tcW w:w="1250" w:type="dxa"/>
            <w:tcBorders>
              <w:left w:val="single" w:sz="4" w:space="0" w:color="auto"/>
              <w:right w:val="single" w:sz="4" w:space="0" w:color="auto"/>
            </w:tcBorders>
          </w:tcPr>
          <w:p w14:paraId="561D669B" w14:textId="316CB636" w:rsidR="00390B48" w:rsidRPr="000136D7" w:rsidRDefault="00390B48" w:rsidP="00390B48">
            <w:pPr>
              <w:autoSpaceDE w:val="0"/>
              <w:autoSpaceDN w:val="0"/>
              <w:adjustRightInd w:val="0"/>
              <w:rPr>
                <w:rFonts w:cstheme="minorHAnsi"/>
                <w:bCs/>
                <w:color w:val="00B0F0"/>
              </w:rPr>
            </w:pPr>
            <w:r w:rsidRPr="000136D7">
              <w:rPr>
                <w:color w:val="00B0F0"/>
              </w:rPr>
              <w:t>46</w:t>
            </w:r>
          </w:p>
        </w:tc>
        <w:tc>
          <w:tcPr>
            <w:tcW w:w="1182" w:type="dxa"/>
            <w:tcBorders>
              <w:left w:val="single" w:sz="4" w:space="0" w:color="auto"/>
              <w:right w:val="single" w:sz="4" w:space="0" w:color="auto"/>
            </w:tcBorders>
          </w:tcPr>
          <w:p w14:paraId="50B39C03" w14:textId="6AB98FB2" w:rsidR="00390B48" w:rsidRPr="000136D7" w:rsidRDefault="00390B48" w:rsidP="00390B48">
            <w:pPr>
              <w:autoSpaceDE w:val="0"/>
              <w:autoSpaceDN w:val="0"/>
              <w:adjustRightInd w:val="0"/>
              <w:rPr>
                <w:rFonts w:cstheme="minorHAnsi"/>
                <w:bCs/>
                <w:color w:val="00B0F0"/>
              </w:rPr>
            </w:pPr>
            <w:r w:rsidRPr="000136D7">
              <w:rPr>
                <w:color w:val="00B0F0"/>
              </w:rPr>
              <w:t>3.4 (2.5, 4.5)</w:t>
            </w:r>
          </w:p>
        </w:tc>
      </w:tr>
      <w:tr w:rsidR="000136D7" w:rsidRPr="000136D7" w14:paraId="2E0CA5D5"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42F49A57"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Private Insurance</w:t>
            </w:r>
          </w:p>
        </w:tc>
        <w:tc>
          <w:tcPr>
            <w:tcW w:w="1530" w:type="dxa"/>
            <w:tcBorders>
              <w:left w:val="single" w:sz="4" w:space="0" w:color="auto"/>
              <w:right w:val="single" w:sz="4" w:space="0" w:color="auto"/>
            </w:tcBorders>
          </w:tcPr>
          <w:p w14:paraId="0DA9CAFE" w14:textId="4BFE822D" w:rsidR="00390B48" w:rsidRPr="000136D7" w:rsidRDefault="00390B48" w:rsidP="00390B48">
            <w:pPr>
              <w:autoSpaceDE w:val="0"/>
              <w:autoSpaceDN w:val="0"/>
              <w:adjustRightInd w:val="0"/>
              <w:rPr>
                <w:rFonts w:cstheme="minorHAnsi"/>
                <w:bCs/>
                <w:color w:val="00B0F0"/>
              </w:rPr>
            </w:pPr>
            <w:r w:rsidRPr="000136D7">
              <w:rPr>
                <w:color w:val="00B0F0"/>
              </w:rPr>
              <w:t>2</w:t>
            </w:r>
            <w:r w:rsidR="000136D7">
              <w:rPr>
                <w:color w:val="00B0F0"/>
              </w:rPr>
              <w:t>,</w:t>
            </w:r>
            <w:r w:rsidRPr="000136D7">
              <w:rPr>
                <w:color w:val="00B0F0"/>
              </w:rPr>
              <w:t>468</w:t>
            </w:r>
          </w:p>
        </w:tc>
        <w:tc>
          <w:tcPr>
            <w:tcW w:w="1309" w:type="dxa"/>
            <w:tcBorders>
              <w:left w:val="single" w:sz="4" w:space="0" w:color="auto"/>
              <w:right w:val="single" w:sz="4" w:space="0" w:color="auto"/>
            </w:tcBorders>
          </w:tcPr>
          <w:p w14:paraId="45DD3855" w14:textId="7A601C71" w:rsidR="00390B48" w:rsidRPr="000136D7" w:rsidRDefault="00390B48" w:rsidP="00390B48">
            <w:pPr>
              <w:autoSpaceDE w:val="0"/>
              <w:autoSpaceDN w:val="0"/>
              <w:adjustRightInd w:val="0"/>
              <w:rPr>
                <w:rFonts w:cstheme="minorHAnsi"/>
                <w:bCs/>
                <w:color w:val="00B0F0"/>
              </w:rPr>
            </w:pPr>
            <w:r w:rsidRPr="000136D7">
              <w:rPr>
                <w:color w:val="00B0F0"/>
              </w:rPr>
              <w:t>68</w:t>
            </w:r>
          </w:p>
        </w:tc>
        <w:tc>
          <w:tcPr>
            <w:tcW w:w="1215" w:type="dxa"/>
            <w:gridSpan w:val="2"/>
            <w:tcBorders>
              <w:left w:val="single" w:sz="4" w:space="0" w:color="auto"/>
              <w:right w:val="single" w:sz="4" w:space="0" w:color="auto"/>
            </w:tcBorders>
          </w:tcPr>
          <w:p w14:paraId="3CD1DAFD" w14:textId="3C800049" w:rsidR="00390B48" w:rsidRPr="000136D7" w:rsidRDefault="00390B48" w:rsidP="00390B48">
            <w:pPr>
              <w:autoSpaceDE w:val="0"/>
              <w:autoSpaceDN w:val="0"/>
              <w:adjustRightInd w:val="0"/>
              <w:rPr>
                <w:rFonts w:cstheme="minorHAnsi"/>
                <w:bCs/>
                <w:color w:val="00B0F0"/>
              </w:rPr>
            </w:pPr>
            <w:r w:rsidRPr="000136D7">
              <w:rPr>
                <w:color w:val="00B0F0"/>
              </w:rPr>
              <w:t>2.8 (2.2, 3.5)</w:t>
            </w:r>
          </w:p>
        </w:tc>
        <w:tc>
          <w:tcPr>
            <w:tcW w:w="1216" w:type="dxa"/>
            <w:tcBorders>
              <w:left w:val="single" w:sz="4" w:space="0" w:color="auto"/>
              <w:right w:val="single" w:sz="4" w:space="0" w:color="auto"/>
            </w:tcBorders>
          </w:tcPr>
          <w:p w14:paraId="093A8DE4" w14:textId="7AAD9F02" w:rsidR="00390B48" w:rsidRPr="000136D7" w:rsidRDefault="00390B48" w:rsidP="00390B48">
            <w:pPr>
              <w:autoSpaceDE w:val="0"/>
              <w:autoSpaceDN w:val="0"/>
              <w:adjustRightInd w:val="0"/>
              <w:rPr>
                <w:rFonts w:cstheme="minorHAnsi"/>
                <w:bCs/>
                <w:color w:val="00B0F0"/>
              </w:rPr>
            </w:pPr>
            <w:r w:rsidRPr="000136D7">
              <w:rPr>
                <w:color w:val="00B0F0"/>
              </w:rPr>
              <w:t>1</w:t>
            </w:r>
            <w:r w:rsidR="000136D7">
              <w:rPr>
                <w:color w:val="00B0F0"/>
              </w:rPr>
              <w:t>,</w:t>
            </w:r>
            <w:r w:rsidRPr="000136D7">
              <w:rPr>
                <w:color w:val="00B0F0"/>
              </w:rPr>
              <w:t>757</w:t>
            </w:r>
          </w:p>
        </w:tc>
        <w:tc>
          <w:tcPr>
            <w:tcW w:w="1300" w:type="dxa"/>
            <w:tcBorders>
              <w:left w:val="single" w:sz="4" w:space="0" w:color="auto"/>
              <w:right w:val="single" w:sz="4" w:space="0" w:color="auto"/>
            </w:tcBorders>
          </w:tcPr>
          <w:p w14:paraId="26621728" w14:textId="55432532" w:rsidR="00390B48" w:rsidRPr="000136D7" w:rsidRDefault="00390B48" w:rsidP="00390B48">
            <w:pPr>
              <w:autoSpaceDE w:val="0"/>
              <w:autoSpaceDN w:val="0"/>
              <w:adjustRightInd w:val="0"/>
              <w:rPr>
                <w:rFonts w:cstheme="minorHAnsi"/>
                <w:bCs/>
                <w:color w:val="00B0F0"/>
              </w:rPr>
            </w:pPr>
            <w:r w:rsidRPr="000136D7">
              <w:rPr>
                <w:color w:val="00B0F0"/>
              </w:rPr>
              <w:t>42</w:t>
            </w:r>
          </w:p>
        </w:tc>
        <w:tc>
          <w:tcPr>
            <w:tcW w:w="1134" w:type="dxa"/>
            <w:tcBorders>
              <w:left w:val="single" w:sz="4" w:space="0" w:color="auto"/>
              <w:right w:val="single" w:sz="4" w:space="0" w:color="auto"/>
            </w:tcBorders>
          </w:tcPr>
          <w:p w14:paraId="59CAFE84" w14:textId="1B371819" w:rsidR="00390B48" w:rsidRPr="000136D7" w:rsidRDefault="00390B48" w:rsidP="00390B48">
            <w:pPr>
              <w:autoSpaceDE w:val="0"/>
              <w:autoSpaceDN w:val="0"/>
              <w:adjustRightInd w:val="0"/>
              <w:rPr>
                <w:rFonts w:cstheme="minorHAnsi"/>
                <w:bCs/>
                <w:color w:val="00B0F0"/>
              </w:rPr>
            </w:pPr>
            <w:r w:rsidRPr="000136D7">
              <w:rPr>
                <w:color w:val="00B0F0"/>
              </w:rPr>
              <w:t>2.4 (1.7, 3.2)</w:t>
            </w:r>
          </w:p>
        </w:tc>
        <w:tc>
          <w:tcPr>
            <w:tcW w:w="1216" w:type="dxa"/>
            <w:tcBorders>
              <w:left w:val="single" w:sz="4" w:space="0" w:color="auto"/>
              <w:right w:val="single" w:sz="4" w:space="0" w:color="auto"/>
            </w:tcBorders>
          </w:tcPr>
          <w:p w14:paraId="3BB2E000" w14:textId="264BDF1B" w:rsidR="00390B48" w:rsidRPr="000136D7" w:rsidRDefault="00390B48" w:rsidP="00390B48">
            <w:pPr>
              <w:autoSpaceDE w:val="0"/>
              <w:autoSpaceDN w:val="0"/>
              <w:adjustRightInd w:val="0"/>
              <w:rPr>
                <w:rFonts w:cstheme="minorHAnsi"/>
                <w:bCs/>
                <w:color w:val="00B0F0"/>
              </w:rPr>
            </w:pPr>
            <w:r w:rsidRPr="000136D7">
              <w:rPr>
                <w:color w:val="00B0F0"/>
              </w:rPr>
              <w:t>4</w:t>
            </w:r>
            <w:r w:rsidR="000136D7">
              <w:rPr>
                <w:color w:val="00B0F0"/>
              </w:rPr>
              <w:t>,</w:t>
            </w:r>
            <w:r w:rsidRPr="000136D7">
              <w:rPr>
                <w:color w:val="00B0F0"/>
              </w:rPr>
              <w:t>225</w:t>
            </w:r>
          </w:p>
        </w:tc>
        <w:tc>
          <w:tcPr>
            <w:tcW w:w="1250" w:type="dxa"/>
            <w:tcBorders>
              <w:left w:val="single" w:sz="4" w:space="0" w:color="auto"/>
              <w:right w:val="single" w:sz="4" w:space="0" w:color="auto"/>
            </w:tcBorders>
          </w:tcPr>
          <w:p w14:paraId="58483498" w14:textId="32C89260" w:rsidR="00390B48" w:rsidRPr="000136D7" w:rsidRDefault="00390B48" w:rsidP="00390B48">
            <w:pPr>
              <w:autoSpaceDE w:val="0"/>
              <w:autoSpaceDN w:val="0"/>
              <w:adjustRightInd w:val="0"/>
              <w:rPr>
                <w:rFonts w:cstheme="minorHAnsi"/>
                <w:bCs/>
                <w:color w:val="00B0F0"/>
              </w:rPr>
            </w:pPr>
            <w:r w:rsidRPr="000136D7">
              <w:rPr>
                <w:color w:val="00B0F0"/>
              </w:rPr>
              <w:t>110</w:t>
            </w:r>
          </w:p>
        </w:tc>
        <w:tc>
          <w:tcPr>
            <w:tcW w:w="1182" w:type="dxa"/>
            <w:tcBorders>
              <w:left w:val="single" w:sz="4" w:space="0" w:color="auto"/>
              <w:right w:val="single" w:sz="4" w:space="0" w:color="auto"/>
            </w:tcBorders>
          </w:tcPr>
          <w:p w14:paraId="5B92E94A" w14:textId="39F1FF32" w:rsidR="00390B48" w:rsidRPr="000136D7" w:rsidRDefault="00390B48" w:rsidP="00390B48">
            <w:pPr>
              <w:autoSpaceDE w:val="0"/>
              <w:autoSpaceDN w:val="0"/>
              <w:adjustRightInd w:val="0"/>
              <w:rPr>
                <w:rFonts w:cstheme="minorHAnsi"/>
                <w:bCs/>
                <w:color w:val="00B0F0"/>
              </w:rPr>
            </w:pPr>
            <w:r w:rsidRPr="000136D7">
              <w:rPr>
                <w:color w:val="00B0F0"/>
              </w:rPr>
              <w:t>2.6 (2.1, 3.1)</w:t>
            </w:r>
          </w:p>
        </w:tc>
      </w:tr>
      <w:tr w:rsidR="000136D7" w:rsidRPr="000136D7" w14:paraId="47969E29"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3642B013"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bCs/>
                <w:color w:val="00B0F0"/>
              </w:rPr>
              <w:t xml:space="preserve">Self-pay </w:t>
            </w:r>
            <w:r w:rsidRPr="000136D7">
              <w:rPr>
                <w:rFonts w:cstheme="minorHAnsi"/>
                <w:color w:val="00B0F0"/>
              </w:rPr>
              <w:t>or Uninsured</w:t>
            </w:r>
          </w:p>
        </w:tc>
        <w:tc>
          <w:tcPr>
            <w:tcW w:w="1530" w:type="dxa"/>
            <w:tcBorders>
              <w:left w:val="single" w:sz="4" w:space="0" w:color="auto"/>
              <w:right w:val="single" w:sz="4" w:space="0" w:color="auto"/>
            </w:tcBorders>
          </w:tcPr>
          <w:p w14:paraId="42399FDD" w14:textId="5EBB5D5A" w:rsidR="00390B48" w:rsidRPr="000136D7" w:rsidRDefault="00390B48" w:rsidP="00390B48">
            <w:pPr>
              <w:autoSpaceDE w:val="0"/>
              <w:autoSpaceDN w:val="0"/>
              <w:adjustRightInd w:val="0"/>
              <w:rPr>
                <w:rFonts w:cstheme="minorHAnsi"/>
                <w:bCs/>
                <w:color w:val="00B0F0"/>
              </w:rPr>
            </w:pPr>
            <w:r w:rsidRPr="000136D7">
              <w:rPr>
                <w:color w:val="00B0F0"/>
              </w:rPr>
              <w:t>5</w:t>
            </w:r>
          </w:p>
        </w:tc>
        <w:tc>
          <w:tcPr>
            <w:tcW w:w="1309" w:type="dxa"/>
            <w:tcBorders>
              <w:left w:val="single" w:sz="4" w:space="0" w:color="auto"/>
              <w:right w:val="single" w:sz="4" w:space="0" w:color="auto"/>
            </w:tcBorders>
          </w:tcPr>
          <w:p w14:paraId="37B6C8D6" w14:textId="54F92A19" w:rsidR="00390B48" w:rsidRPr="000136D7" w:rsidRDefault="00390B48" w:rsidP="00390B48">
            <w:pPr>
              <w:autoSpaceDE w:val="0"/>
              <w:autoSpaceDN w:val="0"/>
              <w:adjustRightInd w:val="0"/>
              <w:rPr>
                <w:rFonts w:cstheme="minorHAnsi"/>
                <w:bCs/>
                <w:color w:val="00B0F0"/>
              </w:rPr>
            </w:pPr>
            <w:r w:rsidRPr="000136D7">
              <w:rPr>
                <w:color w:val="00B0F0"/>
              </w:rPr>
              <w:t>0</w:t>
            </w:r>
          </w:p>
        </w:tc>
        <w:tc>
          <w:tcPr>
            <w:tcW w:w="1215" w:type="dxa"/>
            <w:gridSpan w:val="2"/>
            <w:tcBorders>
              <w:left w:val="single" w:sz="4" w:space="0" w:color="auto"/>
              <w:right w:val="single" w:sz="4" w:space="0" w:color="auto"/>
            </w:tcBorders>
          </w:tcPr>
          <w:p w14:paraId="37699E9F" w14:textId="75D0EA34" w:rsidR="00390B48" w:rsidRPr="000136D7" w:rsidRDefault="00390B48" w:rsidP="00390B48">
            <w:pPr>
              <w:autoSpaceDE w:val="0"/>
              <w:autoSpaceDN w:val="0"/>
              <w:adjustRightInd w:val="0"/>
              <w:rPr>
                <w:rFonts w:cstheme="minorHAnsi"/>
                <w:bCs/>
                <w:color w:val="00B0F0"/>
              </w:rPr>
            </w:pPr>
            <w:r w:rsidRPr="000136D7">
              <w:rPr>
                <w:color w:val="00B0F0"/>
              </w:rPr>
              <w:t>0.0 (0.0, 52.2)</w:t>
            </w:r>
          </w:p>
        </w:tc>
        <w:tc>
          <w:tcPr>
            <w:tcW w:w="1216" w:type="dxa"/>
            <w:tcBorders>
              <w:left w:val="single" w:sz="4" w:space="0" w:color="auto"/>
              <w:right w:val="single" w:sz="4" w:space="0" w:color="auto"/>
            </w:tcBorders>
          </w:tcPr>
          <w:p w14:paraId="6DE3CB15" w14:textId="6AB5C705" w:rsidR="00390B48" w:rsidRPr="000136D7" w:rsidRDefault="00390B48" w:rsidP="00390B48">
            <w:pPr>
              <w:autoSpaceDE w:val="0"/>
              <w:autoSpaceDN w:val="0"/>
              <w:adjustRightInd w:val="0"/>
              <w:rPr>
                <w:rFonts w:cstheme="minorHAnsi"/>
                <w:bCs/>
                <w:color w:val="00B0F0"/>
              </w:rPr>
            </w:pPr>
            <w:r w:rsidRPr="000136D7">
              <w:rPr>
                <w:color w:val="00B0F0"/>
              </w:rPr>
              <w:t>166</w:t>
            </w:r>
          </w:p>
        </w:tc>
        <w:tc>
          <w:tcPr>
            <w:tcW w:w="1300" w:type="dxa"/>
            <w:tcBorders>
              <w:left w:val="single" w:sz="4" w:space="0" w:color="auto"/>
              <w:right w:val="single" w:sz="4" w:space="0" w:color="auto"/>
            </w:tcBorders>
          </w:tcPr>
          <w:p w14:paraId="56F2CA15" w14:textId="5AA10E04" w:rsidR="00390B48" w:rsidRPr="000136D7" w:rsidRDefault="00390B48" w:rsidP="00390B48">
            <w:pPr>
              <w:autoSpaceDE w:val="0"/>
              <w:autoSpaceDN w:val="0"/>
              <w:adjustRightInd w:val="0"/>
              <w:rPr>
                <w:rFonts w:cstheme="minorHAnsi"/>
                <w:bCs/>
                <w:color w:val="00B0F0"/>
              </w:rPr>
            </w:pPr>
            <w:r w:rsidRPr="000136D7">
              <w:rPr>
                <w:color w:val="00B0F0"/>
              </w:rPr>
              <w:t>3</w:t>
            </w:r>
          </w:p>
        </w:tc>
        <w:tc>
          <w:tcPr>
            <w:tcW w:w="1134" w:type="dxa"/>
            <w:tcBorders>
              <w:left w:val="single" w:sz="4" w:space="0" w:color="auto"/>
              <w:right w:val="single" w:sz="4" w:space="0" w:color="auto"/>
            </w:tcBorders>
          </w:tcPr>
          <w:p w14:paraId="69F70BCE" w14:textId="03A6C792" w:rsidR="00390B48" w:rsidRPr="000136D7" w:rsidRDefault="00390B48" w:rsidP="00390B48">
            <w:pPr>
              <w:autoSpaceDE w:val="0"/>
              <w:autoSpaceDN w:val="0"/>
              <w:adjustRightInd w:val="0"/>
              <w:rPr>
                <w:rFonts w:cstheme="minorHAnsi"/>
                <w:bCs/>
                <w:color w:val="00B0F0"/>
              </w:rPr>
            </w:pPr>
            <w:r w:rsidRPr="000136D7">
              <w:rPr>
                <w:color w:val="00B0F0"/>
              </w:rPr>
              <w:t>1.8 (0.4, 5.2)</w:t>
            </w:r>
          </w:p>
        </w:tc>
        <w:tc>
          <w:tcPr>
            <w:tcW w:w="1216" w:type="dxa"/>
            <w:tcBorders>
              <w:left w:val="single" w:sz="4" w:space="0" w:color="auto"/>
              <w:right w:val="single" w:sz="4" w:space="0" w:color="auto"/>
            </w:tcBorders>
          </w:tcPr>
          <w:p w14:paraId="0F8BE60A" w14:textId="7024706C" w:rsidR="00390B48" w:rsidRPr="000136D7" w:rsidRDefault="00390B48" w:rsidP="00390B48">
            <w:pPr>
              <w:autoSpaceDE w:val="0"/>
              <w:autoSpaceDN w:val="0"/>
              <w:adjustRightInd w:val="0"/>
              <w:rPr>
                <w:rFonts w:cstheme="minorHAnsi"/>
                <w:bCs/>
                <w:color w:val="00B0F0"/>
              </w:rPr>
            </w:pPr>
            <w:r w:rsidRPr="000136D7">
              <w:rPr>
                <w:color w:val="00B0F0"/>
              </w:rPr>
              <w:t>171</w:t>
            </w:r>
          </w:p>
        </w:tc>
        <w:tc>
          <w:tcPr>
            <w:tcW w:w="1250" w:type="dxa"/>
            <w:tcBorders>
              <w:left w:val="single" w:sz="4" w:space="0" w:color="auto"/>
              <w:right w:val="single" w:sz="4" w:space="0" w:color="auto"/>
            </w:tcBorders>
          </w:tcPr>
          <w:p w14:paraId="0504C263" w14:textId="40F9E2E2" w:rsidR="00390B48" w:rsidRPr="000136D7" w:rsidRDefault="00390B48" w:rsidP="00390B48">
            <w:pPr>
              <w:autoSpaceDE w:val="0"/>
              <w:autoSpaceDN w:val="0"/>
              <w:adjustRightInd w:val="0"/>
              <w:rPr>
                <w:rFonts w:cstheme="minorHAnsi"/>
                <w:bCs/>
                <w:color w:val="00B0F0"/>
              </w:rPr>
            </w:pPr>
            <w:r w:rsidRPr="000136D7">
              <w:rPr>
                <w:color w:val="00B0F0"/>
              </w:rPr>
              <w:t>3</w:t>
            </w:r>
          </w:p>
        </w:tc>
        <w:tc>
          <w:tcPr>
            <w:tcW w:w="1182" w:type="dxa"/>
            <w:tcBorders>
              <w:left w:val="single" w:sz="4" w:space="0" w:color="auto"/>
              <w:right w:val="single" w:sz="4" w:space="0" w:color="auto"/>
            </w:tcBorders>
          </w:tcPr>
          <w:p w14:paraId="458CDA11" w14:textId="1E97259E" w:rsidR="00390B48" w:rsidRPr="000136D7" w:rsidRDefault="00A13852" w:rsidP="00390B48">
            <w:pPr>
              <w:autoSpaceDE w:val="0"/>
              <w:autoSpaceDN w:val="0"/>
              <w:adjustRightInd w:val="0"/>
              <w:rPr>
                <w:rFonts w:cstheme="minorHAnsi"/>
                <w:bCs/>
                <w:color w:val="00B0F0"/>
              </w:rPr>
            </w:pPr>
            <w:r>
              <w:rPr>
                <w:color w:val="00B0F0"/>
              </w:rPr>
              <w:t>1.8</w:t>
            </w:r>
            <w:r w:rsidR="00390B48" w:rsidRPr="000136D7">
              <w:rPr>
                <w:color w:val="00B0F0"/>
              </w:rPr>
              <w:t xml:space="preserve"> (0.4, 5.0)</w:t>
            </w:r>
          </w:p>
        </w:tc>
      </w:tr>
      <w:tr w:rsidR="000136D7" w:rsidRPr="000136D7" w14:paraId="31297914"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783E5884" w14:textId="77777777" w:rsidR="00390B48" w:rsidRPr="000136D7" w:rsidRDefault="00390B48" w:rsidP="00390B48">
            <w:pPr>
              <w:autoSpaceDE w:val="0"/>
              <w:autoSpaceDN w:val="0"/>
              <w:adjustRightInd w:val="0"/>
              <w:ind w:left="337"/>
              <w:rPr>
                <w:rFonts w:cstheme="minorHAnsi"/>
                <w:color w:val="00B0F0"/>
              </w:rPr>
            </w:pPr>
            <w:r w:rsidRPr="000136D7">
              <w:rPr>
                <w:rFonts w:cstheme="minorHAnsi"/>
                <w:bCs/>
                <w:color w:val="00B0F0"/>
              </w:rPr>
              <w:t>Other (such as other government plans)</w:t>
            </w:r>
          </w:p>
        </w:tc>
        <w:tc>
          <w:tcPr>
            <w:tcW w:w="1530" w:type="dxa"/>
            <w:tcBorders>
              <w:left w:val="single" w:sz="4" w:space="0" w:color="auto"/>
              <w:right w:val="single" w:sz="4" w:space="0" w:color="auto"/>
            </w:tcBorders>
          </w:tcPr>
          <w:p w14:paraId="0BCC3DC2" w14:textId="093492A8" w:rsidR="00390B48" w:rsidRPr="000136D7" w:rsidRDefault="00390B48" w:rsidP="00390B48">
            <w:pPr>
              <w:autoSpaceDE w:val="0"/>
              <w:autoSpaceDN w:val="0"/>
              <w:adjustRightInd w:val="0"/>
              <w:rPr>
                <w:rFonts w:cstheme="minorHAnsi"/>
                <w:bCs/>
                <w:color w:val="00B0F0"/>
              </w:rPr>
            </w:pPr>
            <w:r w:rsidRPr="000136D7">
              <w:rPr>
                <w:color w:val="00B0F0"/>
              </w:rPr>
              <w:t>235</w:t>
            </w:r>
          </w:p>
        </w:tc>
        <w:tc>
          <w:tcPr>
            <w:tcW w:w="1309" w:type="dxa"/>
            <w:tcBorders>
              <w:left w:val="single" w:sz="4" w:space="0" w:color="auto"/>
              <w:right w:val="single" w:sz="4" w:space="0" w:color="auto"/>
            </w:tcBorders>
          </w:tcPr>
          <w:p w14:paraId="3569FBB1" w14:textId="40EAEC01" w:rsidR="00390B48" w:rsidRPr="000136D7" w:rsidRDefault="00390B48" w:rsidP="00390B48">
            <w:pPr>
              <w:autoSpaceDE w:val="0"/>
              <w:autoSpaceDN w:val="0"/>
              <w:adjustRightInd w:val="0"/>
              <w:rPr>
                <w:rFonts w:cstheme="minorHAnsi"/>
                <w:bCs/>
                <w:color w:val="00B0F0"/>
              </w:rPr>
            </w:pPr>
            <w:r w:rsidRPr="000136D7">
              <w:rPr>
                <w:color w:val="00B0F0"/>
              </w:rPr>
              <w:t>3</w:t>
            </w:r>
          </w:p>
        </w:tc>
        <w:tc>
          <w:tcPr>
            <w:tcW w:w="1215" w:type="dxa"/>
            <w:gridSpan w:val="2"/>
            <w:tcBorders>
              <w:left w:val="single" w:sz="4" w:space="0" w:color="auto"/>
              <w:right w:val="single" w:sz="4" w:space="0" w:color="auto"/>
            </w:tcBorders>
          </w:tcPr>
          <w:p w14:paraId="0AD6C70D" w14:textId="7948E87E" w:rsidR="00390B48" w:rsidRPr="000136D7" w:rsidRDefault="00390B48" w:rsidP="00390B48">
            <w:pPr>
              <w:autoSpaceDE w:val="0"/>
              <w:autoSpaceDN w:val="0"/>
              <w:adjustRightInd w:val="0"/>
              <w:rPr>
                <w:rFonts w:cstheme="minorHAnsi"/>
                <w:bCs/>
                <w:color w:val="00B0F0"/>
              </w:rPr>
            </w:pPr>
            <w:r w:rsidRPr="000136D7">
              <w:rPr>
                <w:color w:val="00B0F0"/>
              </w:rPr>
              <w:t>1.3 (0.26, 3.7)</w:t>
            </w:r>
          </w:p>
        </w:tc>
        <w:tc>
          <w:tcPr>
            <w:tcW w:w="1216" w:type="dxa"/>
            <w:tcBorders>
              <w:left w:val="single" w:sz="4" w:space="0" w:color="auto"/>
              <w:right w:val="single" w:sz="4" w:space="0" w:color="auto"/>
            </w:tcBorders>
          </w:tcPr>
          <w:p w14:paraId="1F5420D7" w14:textId="5BE6ECC2" w:rsidR="00390B48" w:rsidRPr="000136D7" w:rsidRDefault="00390B48" w:rsidP="00390B48">
            <w:pPr>
              <w:autoSpaceDE w:val="0"/>
              <w:autoSpaceDN w:val="0"/>
              <w:adjustRightInd w:val="0"/>
              <w:rPr>
                <w:rFonts w:cstheme="minorHAnsi"/>
                <w:bCs/>
                <w:color w:val="00B0F0"/>
              </w:rPr>
            </w:pPr>
            <w:r w:rsidRPr="000136D7">
              <w:rPr>
                <w:color w:val="00B0F0"/>
              </w:rPr>
              <w:t>382</w:t>
            </w:r>
          </w:p>
        </w:tc>
        <w:tc>
          <w:tcPr>
            <w:tcW w:w="1300" w:type="dxa"/>
            <w:tcBorders>
              <w:left w:val="single" w:sz="4" w:space="0" w:color="auto"/>
              <w:right w:val="single" w:sz="4" w:space="0" w:color="auto"/>
            </w:tcBorders>
          </w:tcPr>
          <w:p w14:paraId="797C9039" w14:textId="4515A432" w:rsidR="00390B48" w:rsidRPr="000136D7" w:rsidRDefault="00390B48" w:rsidP="00390B48">
            <w:pPr>
              <w:autoSpaceDE w:val="0"/>
              <w:autoSpaceDN w:val="0"/>
              <w:adjustRightInd w:val="0"/>
              <w:rPr>
                <w:rFonts w:cstheme="minorHAnsi"/>
                <w:bCs/>
                <w:color w:val="00B0F0"/>
              </w:rPr>
            </w:pPr>
            <w:r w:rsidRPr="000136D7">
              <w:rPr>
                <w:color w:val="00B0F0"/>
              </w:rPr>
              <w:t>14</w:t>
            </w:r>
          </w:p>
        </w:tc>
        <w:tc>
          <w:tcPr>
            <w:tcW w:w="1134" w:type="dxa"/>
            <w:tcBorders>
              <w:left w:val="single" w:sz="4" w:space="0" w:color="auto"/>
              <w:right w:val="single" w:sz="4" w:space="0" w:color="auto"/>
            </w:tcBorders>
          </w:tcPr>
          <w:p w14:paraId="6C9F0461" w14:textId="777E692E" w:rsidR="00390B48" w:rsidRPr="000136D7" w:rsidRDefault="00390B48" w:rsidP="00390B48">
            <w:pPr>
              <w:autoSpaceDE w:val="0"/>
              <w:autoSpaceDN w:val="0"/>
              <w:adjustRightInd w:val="0"/>
              <w:rPr>
                <w:rFonts w:cstheme="minorHAnsi"/>
                <w:bCs/>
                <w:color w:val="00B0F0"/>
              </w:rPr>
            </w:pPr>
            <w:r w:rsidRPr="000136D7">
              <w:rPr>
                <w:color w:val="00B0F0"/>
              </w:rPr>
              <w:t>3.7 (2.0, 6.1)</w:t>
            </w:r>
          </w:p>
        </w:tc>
        <w:tc>
          <w:tcPr>
            <w:tcW w:w="1216" w:type="dxa"/>
            <w:tcBorders>
              <w:left w:val="single" w:sz="4" w:space="0" w:color="auto"/>
              <w:right w:val="single" w:sz="4" w:space="0" w:color="auto"/>
            </w:tcBorders>
          </w:tcPr>
          <w:p w14:paraId="54C73EB8" w14:textId="0967C17D" w:rsidR="00390B48" w:rsidRPr="000136D7" w:rsidRDefault="00390B48" w:rsidP="00390B48">
            <w:pPr>
              <w:autoSpaceDE w:val="0"/>
              <w:autoSpaceDN w:val="0"/>
              <w:adjustRightInd w:val="0"/>
              <w:rPr>
                <w:rFonts w:cstheme="minorHAnsi"/>
                <w:bCs/>
                <w:color w:val="00B0F0"/>
              </w:rPr>
            </w:pPr>
            <w:r w:rsidRPr="000136D7">
              <w:rPr>
                <w:color w:val="00B0F0"/>
              </w:rPr>
              <w:t>617</w:t>
            </w:r>
          </w:p>
        </w:tc>
        <w:tc>
          <w:tcPr>
            <w:tcW w:w="1250" w:type="dxa"/>
            <w:tcBorders>
              <w:left w:val="single" w:sz="4" w:space="0" w:color="auto"/>
              <w:right w:val="single" w:sz="4" w:space="0" w:color="auto"/>
            </w:tcBorders>
          </w:tcPr>
          <w:p w14:paraId="7ABE0AE2" w14:textId="6C769207" w:rsidR="00390B48" w:rsidRPr="000136D7" w:rsidRDefault="00390B48" w:rsidP="00390B48">
            <w:pPr>
              <w:autoSpaceDE w:val="0"/>
              <w:autoSpaceDN w:val="0"/>
              <w:adjustRightInd w:val="0"/>
              <w:rPr>
                <w:rFonts w:cstheme="minorHAnsi"/>
                <w:bCs/>
                <w:color w:val="00B0F0"/>
              </w:rPr>
            </w:pPr>
            <w:r w:rsidRPr="000136D7">
              <w:rPr>
                <w:color w:val="00B0F0"/>
              </w:rPr>
              <w:t>17</w:t>
            </w:r>
          </w:p>
        </w:tc>
        <w:tc>
          <w:tcPr>
            <w:tcW w:w="1182" w:type="dxa"/>
            <w:tcBorders>
              <w:left w:val="single" w:sz="4" w:space="0" w:color="auto"/>
              <w:right w:val="single" w:sz="4" w:space="0" w:color="auto"/>
            </w:tcBorders>
          </w:tcPr>
          <w:p w14:paraId="2B77E218" w14:textId="40086FD6" w:rsidR="00390B48" w:rsidRPr="000136D7" w:rsidRDefault="00390B48" w:rsidP="00390B48">
            <w:pPr>
              <w:autoSpaceDE w:val="0"/>
              <w:autoSpaceDN w:val="0"/>
              <w:adjustRightInd w:val="0"/>
              <w:rPr>
                <w:rFonts w:cstheme="minorHAnsi"/>
                <w:bCs/>
                <w:color w:val="00B0F0"/>
              </w:rPr>
            </w:pPr>
            <w:r w:rsidRPr="000136D7">
              <w:rPr>
                <w:color w:val="00B0F0"/>
              </w:rPr>
              <w:t>2.8 (1.6, 4.4)</w:t>
            </w:r>
          </w:p>
        </w:tc>
      </w:tr>
      <w:tr w:rsidR="000136D7" w:rsidRPr="000136D7" w14:paraId="346225CB" w14:textId="77777777" w:rsidTr="000136D7">
        <w:trPr>
          <w:gridAfter w:val="1"/>
          <w:wAfter w:w="29" w:type="dxa"/>
          <w:trHeight w:val="412"/>
        </w:trPr>
        <w:tc>
          <w:tcPr>
            <w:tcW w:w="2425" w:type="dxa"/>
            <w:tcBorders>
              <w:top w:val="single" w:sz="4" w:space="0" w:color="auto"/>
              <w:left w:val="single" w:sz="4" w:space="0" w:color="auto"/>
              <w:bottom w:val="single" w:sz="4" w:space="0" w:color="auto"/>
              <w:right w:val="single" w:sz="4" w:space="0" w:color="auto"/>
            </w:tcBorders>
            <w:hideMark/>
          </w:tcPr>
          <w:p w14:paraId="1F16BD40" w14:textId="77777777" w:rsidR="00390B48" w:rsidRPr="000136D7" w:rsidRDefault="00390B48" w:rsidP="00390B48">
            <w:pPr>
              <w:autoSpaceDE w:val="0"/>
              <w:autoSpaceDN w:val="0"/>
              <w:adjustRightInd w:val="0"/>
              <w:ind w:left="337"/>
              <w:rPr>
                <w:rFonts w:cstheme="minorHAnsi"/>
                <w:bCs/>
                <w:color w:val="00B0F0"/>
              </w:rPr>
            </w:pPr>
            <w:r w:rsidRPr="000136D7">
              <w:rPr>
                <w:rFonts w:cstheme="minorHAnsi"/>
                <w:color w:val="00B0F0"/>
              </w:rPr>
              <w:t>Unknown</w:t>
            </w:r>
          </w:p>
        </w:tc>
        <w:tc>
          <w:tcPr>
            <w:tcW w:w="1530" w:type="dxa"/>
            <w:tcBorders>
              <w:left w:val="single" w:sz="4" w:space="0" w:color="auto"/>
              <w:bottom w:val="single" w:sz="4" w:space="0" w:color="auto"/>
              <w:right w:val="single" w:sz="4" w:space="0" w:color="auto"/>
            </w:tcBorders>
          </w:tcPr>
          <w:p w14:paraId="17A3C9A5" w14:textId="2419E424" w:rsidR="00390B48" w:rsidRPr="000136D7" w:rsidRDefault="00390B48" w:rsidP="00390B48">
            <w:pPr>
              <w:autoSpaceDE w:val="0"/>
              <w:autoSpaceDN w:val="0"/>
              <w:adjustRightInd w:val="0"/>
              <w:rPr>
                <w:rFonts w:cstheme="minorHAnsi"/>
                <w:bCs/>
                <w:color w:val="00B0F0"/>
              </w:rPr>
            </w:pPr>
            <w:r w:rsidRPr="000136D7">
              <w:rPr>
                <w:color w:val="00B0F0"/>
              </w:rPr>
              <w:t>103</w:t>
            </w:r>
          </w:p>
        </w:tc>
        <w:tc>
          <w:tcPr>
            <w:tcW w:w="1309" w:type="dxa"/>
            <w:tcBorders>
              <w:left w:val="single" w:sz="4" w:space="0" w:color="auto"/>
              <w:bottom w:val="single" w:sz="4" w:space="0" w:color="auto"/>
              <w:right w:val="single" w:sz="4" w:space="0" w:color="auto"/>
            </w:tcBorders>
          </w:tcPr>
          <w:p w14:paraId="017B8454" w14:textId="1051FFAA" w:rsidR="00390B48" w:rsidRPr="000136D7" w:rsidRDefault="00390B48" w:rsidP="00390B48">
            <w:pPr>
              <w:autoSpaceDE w:val="0"/>
              <w:autoSpaceDN w:val="0"/>
              <w:adjustRightInd w:val="0"/>
              <w:rPr>
                <w:rFonts w:cstheme="minorHAnsi"/>
                <w:bCs/>
                <w:color w:val="00B0F0"/>
              </w:rPr>
            </w:pPr>
            <w:r w:rsidRPr="000136D7">
              <w:rPr>
                <w:color w:val="00B0F0"/>
              </w:rPr>
              <w:t>1</w:t>
            </w:r>
          </w:p>
        </w:tc>
        <w:tc>
          <w:tcPr>
            <w:tcW w:w="1215" w:type="dxa"/>
            <w:gridSpan w:val="2"/>
            <w:tcBorders>
              <w:left w:val="single" w:sz="4" w:space="0" w:color="auto"/>
              <w:bottom w:val="single" w:sz="4" w:space="0" w:color="auto"/>
              <w:right w:val="single" w:sz="4" w:space="0" w:color="auto"/>
            </w:tcBorders>
          </w:tcPr>
          <w:p w14:paraId="4666F094" w14:textId="09EA0978" w:rsidR="00390B48" w:rsidRPr="000136D7" w:rsidRDefault="00A13852" w:rsidP="00390B48">
            <w:pPr>
              <w:autoSpaceDE w:val="0"/>
              <w:autoSpaceDN w:val="0"/>
              <w:adjustRightInd w:val="0"/>
              <w:rPr>
                <w:rFonts w:cstheme="minorHAnsi"/>
                <w:bCs/>
                <w:color w:val="00B0F0"/>
              </w:rPr>
            </w:pPr>
            <w:r>
              <w:rPr>
                <w:color w:val="00B0F0"/>
              </w:rPr>
              <w:t>1.0</w:t>
            </w:r>
            <w:r w:rsidR="00390B48" w:rsidRPr="000136D7">
              <w:rPr>
                <w:color w:val="00B0F0"/>
              </w:rPr>
              <w:t xml:space="preserve"> (0.02, 5.3)</w:t>
            </w:r>
          </w:p>
        </w:tc>
        <w:tc>
          <w:tcPr>
            <w:tcW w:w="1216" w:type="dxa"/>
            <w:tcBorders>
              <w:left w:val="single" w:sz="4" w:space="0" w:color="auto"/>
              <w:bottom w:val="single" w:sz="4" w:space="0" w:color="auto"/>
              <w:right w:val="single" w:sz="4" w:space="0" w:color="auto"/>
            </w:tcBorders>
          </w:tcPr>
          <w:p w14:paraId="7745AD34" w14:textId="40D43F63"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0</w:t>
            </w:r>
          </w:p>
        </w:tc>
        <w:tc>
          <w:tcPr>
            <w:tcW w:w="1300" w:type="dxa"/>
            <w:tcBorders>
              <w:left w:val="single" w:sz="4" w:space="0" w:color="auto"/>
              <w:bottom w:val="single" w:sz="4" w:space="0" w:color="auto"/>
              <w:right w:val="single" w:sz="4" w:space="0" w:color="auto"/>
            </w:tcBorders>
          </w:tcPr>
          <w:p w14:paraId="4712A07F" w14:textId="39E2DD37"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0</w:t>
            </w:r>
          </w:p>
        </w:tc>
        <w:tc>
          <w:tcPr>
            <w:tcW w:w="1134" w:type="dxa"/>
            <w:tcBorders>
              <w:left w:val="single" w:sz="4" w:space="0" w:color="auto"/>
              <w:bottom w:val="single" w:sz="4" w:space="0" w:color="auto"/>
              <w:right w:val="single" w:sz="4" w:space="0" w:color="auto"/>
            </w:tcBorders>
          </w:tcPr>
          <w:p w14:paraId="76283DAC" w14:textId="69CB549A" w:rsidR="00390B48" w:rsidRPr="000136D7" w:rsidRDefault="00390B48" w:rsidP="00390B48">
            <w:pPr>
              <w:autoSpaceDE w:val="0"/>
              <w:autoSpaceDN w:val="0"/>
              <w:adjustRightInd w:val="0"/>
              <w:rPr>
                <w:rFonts w:cstheme="minorHAnsi"/>
                <w:bCs/>
                <w:color w:val="00B0F0"/>
              </w:rPr>
            </w:pPr>
            <w:r w:rsidRPr="000136D7">
              <w:rPr>
                <w:rFonts w:cstheme="minorHAnsi"/>
                <w:bCs/>
                <w:color w:val="00B0F0"/>
              </w:rPr>
              <w:t>N/A</w:t>
            </w:r>
          </w:p>
        </w:tc>
        <w:tc>
          <w:tcPr>
            <w:tcW w:w="1216" w:type="dxa"/>
            <w:tcBorders>
              <w:left w:val="single" w:sz="4" w:space="0" w:color="auto"/>
              <w:bottom w:val="single" w:sz="4" w:space="0" w:color="auto"/>
              <w:right w:val="single" w:sz="4" w:space="0" w:color="auto"/>
            </w:tcBorders>
          </w:tcPr>
          <w:p w14:paraId="0BE20005" w14:textId="3DE1987C" w:rsidR="00390B48" w:rsidRPr="000136D7" w:rsidRDefault="00390B48" w:rsidP="00390B48">
            <w:pPr>
              <w:autoSpaceDE w:val="0"/>
              <w:autoSpaceDN w:val="0"/>
              <w:adjustRightInd w:val="0"/>
              <w:rPr>
                <w:rFonts w:cstheme="minorHAnsi"/>
                <w:bCs/>
                <w:color w:val="00B0F0"/>
              </w:rPr>
            </w:pPr>
            <w:r w:rsidRPr="000136D7">
              <w:rPr>
                <w:color w:val="00B0F0"/>
              </w:rPr>
              <w:t>103</w:t>
            </w:r>
          </w:p>
        </w:tc>
        <w:tc>
          <w:tcPr>
            <w:tcW w:w="1250" w:type="dxa"/>
            <w:tcBorders>
              <w:left w:val="single" w:sz="4" w:space="0" w:color="auto"/>
              <w:bottom w:val="single" w:sz="4" w:space="0" w:color="auto"/>
              <w:right w:val="single" w:sz="4" w:space="0" w:color="auto"/>
            </w:tcBorders>
          </w:tcPr>
          <w:p w14:paraId="78276FFE" w14:textId="12A3AE15" w:rsidR="00390B48" w:rsidRPr="000136D7" w:rsidRDefault="00390B48" w:rsidP="00390B48">
            <w:pPr>
              <w:autoSpaceDE w:val="0"/>
              <w:autoSpaceDN w:val="0"/>
              <w:adjustRightInd w:val="0"/>
              <w:rPr>
                <w:rFonts w:cstheme="minorHAnsi"/>
                <w:bCs/>
                <w:color w:val="00B0F0"/>
              </w:rPr>
            </w:pPr>
            <w:r w:rsidRPr="000136D7">
              <w:rPr>
                <w:color w:val="00B0F0"/>
              </w:rPr>
              <w:t>1</w:t>
            </w:r>
          </w:p>
        </w:tc>
        <w:tc>
          <w:tcPr>
            <w:tcW w:w="1182" w:type="dxa"/>
            <w:tcBorders>
              <w:left w:val="single" w:sz="4" w:space="0" w:color="auto"/>
              <w:bottom w:val="single" w:sz="4" w:space="0" w:color="auto"/>
              <w:right w:val="single" w:sz="4" w:space="0" w:color="auto"/>
            </w:tcBorders>
          </w:tcPr>
          <w:p w14:paraId="00D2DC82" w14:textId="364D1CF2" w:rsidR="00390B48" w:rsidRPr="000136D7" w:rsidRDefault="00390B48" w:rsidP="00390B48">
            <w:pPr>
              <w:autoSpaceDE w:val="0"/>
              <w:autoSpaceDN w:val="0"/>
              <w:adjustRightInd w:val="0"/>
              <w:rPr>
                <w:rFonts w:cstheme="minorHAnsi"/>
                <w:bCs/>
                <w:color w:val="00B0F0"/>
              </w:rPr>
            </w:pPr>
            <w:r w:rsidRPr="000136D7">
              <w:rPr>
                <w:color w:val="00B0F0"/>
              </w:rPr>
              <w:t>1.0 (0.02, 5.3)</w:t>
            </w:r>
          </w:p>
        </w:tc>
      </w:tr>
    </w:tbl>
    <w:p w14:paraId="46A00192" w14:textId="77777777" w:rsidR="00C01159" w:rsidRDefault="00C01159" w:rsidP="00AF2D68">
      <w:pPr>
        <w:rPr>
          <w:rFonts w:cstheme="minorHAnsi"/>
          <w:b/>
          <w:bCs/>
          <w:highlight w:val="lightGray"/>
        </w:rPr>
        <w:sectPr w:rsidR="00C01159" w:rsidSect="000136D7">
          <w:pgSz w:w="15840" w:h="12240" w:orient="landscape"/>
          <w:pgMar w:top="720" w:right="720" w:bottom="720" w:left="720" w:header="720" w:footer="720" w:gutter="0"/>
          <w:cols w:space="720"/>
          <w:docGrid w:linePitch="360"/>
        </w:sectPr>
      </w:pPr>
    </w:p>
    <w:p w14:paraId="0CABCFF6" w14:textId="6DD35D2B" w:rsidR="00001D73" w:rsidRPr="00E15C08" w:rsidRDefault="009C7513" w:rsidP="00AF2D68">
      <w:pPr>
        <w:rPr>
          <w:rFonts w:cstheme="minorHAnsi"/>
          <w:bCs/>
          <w:sz w:val="4"/>
          <w:highlight w:val="lightGray"/>
        </w:rPr>
      </w:pPr>
      <w:r w:rsidRPr="00E15C08">
        <w:rPr>
          <w:rFonts w:cstheme="minorHAnsi"/>
          <w:b/>
          <w:bCs/>
          <w:highlight w:val="lightGray"/>
        </w:rPr>
        <w:lastRenderedPageBreak/>
        <w:t>2b3</w:t>
      </w:r>
      <w:r w:rsidR="00092566" w:rsidRPr="00E15C08">
        <w:rPr>
          <w:rFonts w:cstheme="minorHAnsi"/>
          <w:b/>
          <w:bCs/>
          <w:highlight w:val="lightGray"/>
        </w:rPr>
        <w:t>.3</w:t>
      </w:r>
      <w:r w:rsidR="00275563" w:rsidRPr="00E15C08">
        <w:rPr>
          <w:rFonts w:cstheme="minorHAnsi"/>
          <w:b/>
          <w:bCs/>
          <w:highlight w:val="lightGray"/>
        </w:rPr>
        <w:t>a</w:t>
      </w:r>
      <w:r w:rsidR="00092566" w:rsidRPr="00E15C08">
        <w:rPr>
          <w:rFonts w:cstheme="minorHAnsi"/>
          <w:b/>
          <w:bCs/>
          <w:highlight w:val="lightGray"/>
        </w:rPr>
        <w:t xml:space="preserve">. </w:t>
      </w:r>
      <w:r w:rsidR="00927027" w:rsidRPr="00E15C08">
        <w:rPr>
          <w:rFonts w:cstheme="minorHAnsi"/>
          <w:b/>
          <w:bCs/>
          <w:highlight w:val="lightGray"/>
        </w:rPr>
        <w:t>Describe</w:t>
      </w:r>
      <w:r w:rsidR="00092566" w:rsidRPr="00E15C08">
        <w:rPr>
          <w:rFonts w:cstheme="minorHAnsi"/>
          <w:b/>
          <w:bCs/>
          <w:highlight w:val="lightGray"/>
        </w:rPr>
        <w:t xml:space="preserve"> the conceptual/clinical </w:t>
      </w:r>
      <w:r w:rsidR="00092566" w:rsidRPr="00E15C08">
        <w:rPr>
          <w:rFonts w:cstheme="minorHAnsi"/>
          <w:b/>
          <w:bCs/>
          <w:highlight w:val="lightGray"/>
          <w:u w:val="single"/>
        </w:rPr>
        <w:t>and</w:t>
      </w:r>
      <w:r w:rsidR="00092566" w:rsidRPr="00E15C08">
        <w:rPr>
          <w:rFonts w:cstheme="minorHAnsi"/>
          <w:b/>
          <w:bCs/>
          <w:highlight w:val="lightGray"/>
        </w:rPr>
        <w:t xml:space="preserve"> statistical methods and criteria used to select </w:t>
      </w:r>
      <w:r w:rsidR="005363F1" w:rsidRPr="00E15C08">
        <w:rPr>
          <w:rFonts w:cstheme="minorHAnsi"/>
          <w:b/>
          <w:bCs/>
          <w:highlight w:val="lightGray"/>
        </w:rPr>
        <w:t xml:space="preserve">patient </w:t>
      </w:r>
      <w:r w:rsidR="00092566" w:rsidRPr="00E15C08">
        <w:rPr>
          <w:rFonts w:cstheme="minorHAnsi"/>
          <w:b/>
          <w:bCs/>
          <w:highlight w:val="lightGray"/>
        </w:rPr>
        <w:t xml:space="preserve">factors </w:t>
      </w:r>
      <w:r w:rsidR="0021054A" w:rsidRPr="00E15C08">
        <w:rPr>
          <w:rFonts w:cstheme="minorHAnsi"/>
          <w:b/>
          <w:bCs/>
          <w:highlight w:val="lightGray"/>
        </w:rPr>
        <w:t>(</w:t>
      </w:r>
      <w:r w:rsidR="00E967AD" w:rsidRPr="00E15C08">
        <w:rPr>
          <w:rFonts w:cstheme="minorHAnsi"/>
          <w:b/>
          <w:bCs/>
          <w:highlight w:val="lightGray"/>
        </w:rPr>
        <w:t xml:space="preserve">clinical factors or </w:t>
      </w:r>
      <w:r w:rsidR="00AF2D68" w:rsidRPr="00E15C08">
        <w:rPr>
          <w:rFonts w:cstheme="minorHAnsi"/>
          <w:b/>
          <w:bCs/>
          <w:highlight w:val="lightGray"/>
        </w:rPr>
        <w:t xml:space="preserve">social risk </w:t>
      </w:r>
      <w:r w:rsidR="0021054A" w:rsidRPr="00E15C08">
        <w:rPr>
          <w:rFonts w:cstheme="minorHAnsi"/>
          <w:b/>
          <w:bCs/>
          <w:highlight w:val="lightGray"/>
        </w:rPr>
        <w:t xml:space="preserve">factors) </w:t>
      </w:r>
      <w:r w:rsidR="00092566" w:rsidRPr="00E15C08">
        <w:rPr>
          <w:rFonts w:cstheme="minorHAnsi"/>
          <w:b/>
          <w:bCs/>
          <w:highlight w:val="lightGray"/>
        </w:rPr>
        <w:t>used in the statistical risk model or for stratification by risk</w:t>
      </w:r>
      <w:r w:rsidR="00927027" w:rsidRPr="00E15C08">
        <w:rPr>
          <w:rFonts w:cstheme="minorHAnsi"/>
          <w:b/>
          <w:bCs/>
          <w:highlight w:val="lightGray"/>
        </w:rPr>
        <w:t xml:space="preserve"> </w:t>
      </w:r>
      <w:r w:rsidR="00092566" w:rsidRPr="00E15C08">
        <w:rPr>
          <w:rFonts w:cstheme="minorHAnsi"/>
          <w:bCs/>
          <w:highlight w:val="lightGray"/>
        </w:rPr>
        <w:t>(</w:t>
      </w:r>
      <w:r w:rsidR="00092566" w:rsidRPr="00E15C08">
        <w:rPr>
          <w:rFonts w:cstheme="minorHAnsi"/>
          <w:bCs/>
          <w:i/>
          <w:highlight w:val="lightGray"/>
        </w:rPr>
        <w:t xml:space="preserve">e.g., potential factors identified in </w:t>
      </w:r>
      <w:r w:rsidR="005363F1" w:rsidRPr="00E15C08">
        <w:rPr>
          <w:rFonts w:cstheme="minorHAnsi"/>
          <w:bCs/>
          <w:i/>
          <w:highlight w:val="lightGray"/>
        </w:rPr>
        <w:t xml:space="preserve">the </w:t>
      </w:r>
      <w:r w:rsidR="00092566" w:rsidRPr="00E15C08">
        <w:rPr>
          <w:rFonts w:cstheme="minorHAnsi"/>
          <w:bCs/>
          <w:i/>
          <w:highlight w:val="lightGray"/>
        </w:rPr>
        <w:t>literature and/or expert panel; regression analysis; statistical significance of p&lt;0.10; correlation of x or higher</w:t>
      </w:r>
      <w:r w:rsidR="005363F1" w:rsidRPr="00E15C08">
        <w:rPr>
          <w:rFonts w:cstheme="minorHAnsi"/>
          <w:bCs/>
          <w:i/>
          <w:highlight w:val="lightGray"/>
        </w:rPr>
        <w:t>; patient factors should be present at the start of care</w:t>
      </w:r>
      <w:r w:rsidR="00092566" w:rsidRPr="00E15C08">
        <w:rPr>
          <w:rFonts w:cstheme="minorHAnsi"/>
          <w:bCs/>
          <w:highlight w:val="lightGray"/>
        </w:rPr>
        <w:t>)</w:t>
      </w:r>
      <w:r w:rsidR="00AF2D68" w:rsidRPr="00E15C08">
        <w:rPr>
          <w:rFonts w:cstheme="minorHAnsi"/>
          <w:bCs/>
          <w:highlight w:val="lightGray"/>
        </w:rPr>
        <w:t xml:space="preserve">  </w:t>
      </w:r>
      <w:r w:rsidR="00AF2D68" w:rsidRPr="00E15C08">
        <w:rPr>
          <w:rFonts w:cstheme="minorHAnsi"/>
          <w:b/>
          <w:bCs/>
          <w:highlight w:val="lightGray"/>
        </w:rPr>
        <w:t>Also discuss any “ordering” of risk factor inclusion</w:t>
      </w:r>
      <w:r w:rsidR="00CE284E" w:rsidRPr="00E15C08">
        <w:rPr>
          <w:rFonts w:cstheme="minorHAnsi"/>
          <w:bCs/>
          <w:highlight w:val="lightGray"/>
        </w:rPr>
        <w:t>; for example, a</w:t>
      </w:r>
      <w:r w:rsidR="00AF2D68" w:rsidRPr="00E15C08">
        <w:rPr>
          <w:rFonts w:cstheme="minorHAnsi"/>
          <w:bCs/>
          <w:highlight w:val="lightGray"/>
        </w:rPr>
        <w:t>re social risk factors added after all clinical factors?</w:t>
      </w:r>
      <w:r w:rsidR="00092566" w:rsidRPr="00E15C08">
        <w:rPr>
          <w:rFonts w:cstheme="minorHAnsi"/>
          <w:bCs/>
          <w:highlight w:val="lightGray"/>
        </w:rPr>
        <w:br/>
      </w:r>
    </w:p>
    <w:p w14:paraId="4260792A" w14:textId="019483A8" w:rsidR="00275563" w:rsidRPr="00E15C08" w:rsidRDefault="00275563" w:rsidP="00001D73">
      <w:pPr>
        <w:autoSpaceDE w:val="0"/>
        <w:autoSpaceDN w:val="0"/>
        <w:adjustRightInd w:val="0"/>
        <w:spacing w:after="0" w:line="240" w:lineRule="auto"/>
        <w:rPr>
          <w:rFonts w:cstheme="minorHAnsi"/>
          <w:b/>
          <w:bCs/>
          <w:highlight w:val="lightGray"/>
        </w:rPr>
      </w:pPr>
      <w:r w:rsidRPr="00E15C08">
        <w:rPr>
          <w:rFonts w:cstheme="minorHAnsi"/>
          <w:b/>
          <w:bCs/>
          <w:highlight w:val="lightGray"/>
        </w:rPr>
        <w:t xml:space="preserve">2b3.3b. How was the conceptual model </w:t>
      </w:r>
      <w:r w:rsidR="00CE284E" w:rsidRPr="00E15C08">
        <w:rPr>
          <w:rFonts w:cstheme="minorHAnsi"/>
          <w:b/>
          <w:bCs/>
          <w:highlight w:val="lightGray"/>
        </w:rPr>
        <w:t xml:space="preserve">of how social risk impacts this outcome </w:t>
      </w:r>
      <w:r w:rsidRPr="00E15C08">
        <w:rPr>
          <w:rFonts w:cstheme="minorHAnsi"/>
          <w:b/>
          <w:bCs/>
          <w:highlight w:val="lightGray"/>
        </w:rPr>
        <w:t>developed?  Please check all that apply:</w:t>
      </w:r>
    </w:p>
    <w:p w14:paraId="2B47DA83" w14:textId="0EF09D8A" w:rsidR="00275563" w:rsidRPr="00E15C08" w:rsidRDefault="00F9194F" w:rsidP="00275563">
      <w:pPr>
        <w:tabs>
          <w:tab w:val="left" w:pos="180"/>
        </w:tabs>
        <w:autoSpaceDE w:val="0"/>
        <w:autoSpaceDN w:val="0"/>
        <w:adjustRightInd w:val="0"/>
        <w:spacing w:after="0" w:line="240" w:lineRule="auto"/>
        <w:ind w:left="180"/>
        <w:rPr>
          <w:rFonts w:cstheme="minorHAnsi"/>
          <w:b/>
          <w:bCs/>
          <w:highlight w:val="lightGray"/>
        </w:rPr>
      </w:pPr>
      <w:sdt>
        <w:sdtPr>
          <w:rPr>
            <w:rFonts w:cstheme="minorHAnsi"/>
            <w:bCs/>
            <w:color w:val="0000FF"/>
            <w:highlight w:val="lightGray"/>
          </w:rPr>
          <w:id w:val="-319728797"/>
          <w14:checkbox>
            <w14:checked w14:val="0"/>
            <w14:checkedState w14:val="2612" w14:font="MS Gothic"/>
            <w14:uncheckedState w14:val="2610" w14:font="MS Gothic"/>
          </w14:checkbox>
        </w:sdtPr>
        <w:sdtContent>
          <w:r w:rsidR="002D75EE">
            <w:rPr>
              <w:rFonts w:ascii="MS Gothic" w:eastAsia="MS Gothic" w:hAnsi="MS Gothic" w:cstheme="minorHAnsi" w:hint="eastAsia"/>
              <w:bCs/>
              <w:color w:val="0000FF"/>
              <w:highlight w:val="lightGray"/>
            </w:rPr>
            <w:t>☐</w:t>
          </w:r>
        </w:sdtContent>
      </w:sdt>
      <w:r w:rsidR="00275563" w:rsidRPr="00E15C08">
        <w:rPr>
          <w:rFonts w:eastAsia="MS Mincho" w:cstheme="minorHAnsi"/>
          <w:b/>
          <w:bCs/>
          <w:color w:val="0000FF"/>
          <w:highlight w:val="lightGray"/>
        </w:rPr>
        <w:t xml:space="preserve"> </w:t>
      </w:r>
      <w:r w:rsidR="00CE284E" w:rsidRPr="00E15C08">
        <w:rPr>
          <w:rFonts w:cstheme="minorHAnsi"/>
          <w:b/>
          <w:bCs/>
          <w:highlight w:val="lightGray"/>
        </w:rPr>
        <w:t>Published l</w:t>
      </w:r>
      <w:r w:rsidR="00275563" w:rsidRPr="00E15C08">
        <w:rPr>
          <w:rFonts w:cstheme="minorHAnsi"/>
          <w:b/>
          <w:bCs/>
          <w:highlight w:val="lightGray"/>
        </w:rPr>
        <w:t>iterature</w:t>
      </w:r>
    </w:p>
    <w:p w14:paraId="7E969A3E" w14:textId="6BA683BB" w:rsidR="00275563" w:rsidRPr="00E15C08" w:rsidRDefault="00F9194F" w:rsidP="00275563">
      <w:pPr>
        <w:tabs>
          <w:tab w:val="left" w:pos="180"/>
        </w:tabs>
        <w:autoSpaceDE w:val="0"/>
        <w:autoSpaceDN w:val="0"/>
        <w:adjustRightInd w:val="0"/>
        <w:spacing w:after="0" w:line="240" w:lineRule="auto"/>
        <w:ind w:left="180"/>
        <w:rPr>
          <w:rFonts w:cstheme="minorHAnsi"/>
          <w:b/>
          <w:bCs/>
          <w:highlight w:val="lightGray"/>
        </w:rPr>
      </w:pPr>
      <w:sdt>
        <w:sdtPr>
          <w:rPr>
            <w:rFonts w:cstheme="minorHAnsi"/>
            <w:bCs/>
            <w:color w:val="0000FF"/>
            <w:highlight w:val="lightGray"/>
          </w:rPr>
          <w:id w:val="1418363777"/>
          <w14:checkbox>
            <w14:checked w14:val="0"/>
            <w14:checkedState w14:val="2612" w14:font="MS Gothic"/>
            <w14:uncheckedState w14:val="2610" w14:font="MS Gothic"/>
          </w14:checkbox>
        </w:sdtPr>
        <w:sdtContent>
          <w:r w:rsidR="00275563" w:rsidRPr="00E15C08">
            <w:rPr>
              <w:rFonts w:ascii="MS Gothic" w:eastAsia="MS Gothic" w:hAnsi="MS Gothic" w:cstheme="minorHAnsi" w:hint="eastAsia"/>
              <w:bCs/>
              <w:color w:val="0000FF"/>
              <w:highlight w:val="lightGray"/>
            </w:rPr>
            <w:t>☐</w:t>
          </w:r>
        </w:sdtContent>
      </w:sdt>
      <w:r w:rsidR="00275563" w:rsidRPr="00E15C08">
        <w:rPr>
          <w:rFonts w:cstheme="minorHAnsi"/>
          <w:bCs/>
          <w:color w:val="0000FF"/>
          <w:highlight w:val="lightGray"/>
        </w:rPr>
        <w:t xml:space="preserve"> </w:t>
      </w:r>
      <w:r w:rsidR="00CE284E" w:rsidRPr="00E15C08">
        <w:rPr>
          <w:rFonts w:cstheme="minorHAnsi"/>
          <w:b/>
          <w:bCs/>
          <w:highlight w:val="lightGray"/>
        </w:rPr>
        <w:t>Internal d</w:t>
      </w:r>
      <w:r w:rsidR="00275563" w:rsidRPr="00E15C08">
        <w:rPr>
          <w:rFonts w:cstheme="minorHAnsi"/>
          <w:b/>
          <w:bCs/>
          <w:highlight w:val="lightGray"/>
        </w:rPr>
        <w:t>ata</w:t>
      </w:r>
      <w:r w:rsidR="00CE284E" w:rsidRPr="00E15C08">
        <w:rPr>
          <w:rFonts w:cstheme="minorHAnsi"/>
          <w:b/>
          <w:bCs/>
          <w:highlight w:val="lightGray"/>
        </w:rPr>
        <w:t xml:space="preserve"> analysis</w:t>
      </w:r>
    </w:p>
    <w:p w14:paraId="72A847BD" w14:textId="1489D6C2" w:rsidR="00275563" w:rsidRPr="00E15C08" w:rsidRDefault="00F9194F" w:rsidP="00275563">
      <w:pPr>
        <w:tabs>
          <w:tab w:val="left" w:pos="180"/>
        </w:tabs>
        <w:autoSpaceDE w:val="0"/>
        <w:autoSpaceDN w:val="0"/>
        <w:adjustRightInd w:val="0"/>
        <w:spacing w:after="0" w:line="240" w:lineRule="auto"/>
        <w:ind w:left="180"/>
        <w:rPr>
          <w:rFonts w:cstheme="minorHAnsi"/>
          <w:b/>
          <w:bCs/>
          <w:highlight w:val="lightGray"/>
        </w:rPr>
      </w:pPr>
      <w:sdt>
        <w:sdtPr>
          <w:rPr>
            <w:rFonts w:cstheme="minorHAnsi"/>
            <w:bCs/>
            <w:color w:val="0000FF"/>
            <w:highlight w:val="lightGray"/>
          </w:rPr>
          <w:id w:val="776755179"/>
          <w14:checkbox>
            <w14:checked w14:val="0"/>
            <w14:checkedState w14:val="2612" w14:font="MS Gothic"/>
            <w14:uncheckedState w14:val="2610" w14:font="MS Gothic"/>
          </w14:checkbox>
        </w:sdtPr>
        <w:sdtContent>
          <w:r w:rsidR="00275563" w:rsidRPr="00E15C08">
            <w:rPr>
              <w:rFonts w:ascii="MS Gothic" w:eastAsia="MS Gothic" w:cstheme="minorHAnsi" w:hint="eastAsia"/>
              <w:bCs/>
              <w:color w:val="0000FF"/>
              <w:highlight w:val="lightGray"/>
            </w:rPr>
            <w:t>☐</w:t>
          </w:r>
        </w:sdtContent>
      </w:sdt>
      <w:r w:rsidR="00275563" w:rsidRPr="00E15C08">
        <w:rPr>
          <w:rFonts w:eastAsia="MS Mincho" w:cstheme="minorHAnsi"/>
          <w:b/>
          <w:bCs/>
          <w:color w:val="0000FF"/>
          <w:highlight w:val="lightGray"/>
        </w:rPr>
        <w:t xml:space="preserve"> </w:t>
      </w:r>
      <w:r w:rsidR="00275563" w:rsidRPr="00E15C08">
        <w:rPr>
          <w:rFonts w:cstheme="minorHAnsi"/>
          <w:b/>
          <w:bCs/>
          <w:highlight w:val="lightGray"/>
        </w:rPr>
        <w:t>Other (please describe)</w:t>
      </w:r>
    </w:p>
    <w:p w14:paraId="7C5644B4" w14:textId="77777777" w:rsidR="00275563" w:rsidRPr="00E15C08" w:rsidRDefault="00275563" w:rsidP="00001D73">
      <w:pPr>
        <w:autoSpaceDE w:val="0"/>
        <w:autoSpaceDN w:val="0"/>
        <w:adjustRightInd w:val="0"/>
        <w:spacing w:after="0" w:line="240" w:lineRule="auto"/>
        <w:rPr>
          <w:rFonts w:cstheme="minorHAnsi"/>
          <w:b/>
          <w:bCs/>
          <w:highlight w:val="lightGray"/>
        </w:rPr>
      </w:pPr>
    </w:p>
    <w:p w14:paraId="0CABCFF7" w14:textId="434655CC" w:rsidR="00092566" w:rsidRPr="00E15C08" w:rsidRDefault="009C7513" w:rsidP="00001D73">
      <w:pPr>
        <w:autoSpaceDE w:val="0"/>
        <w:autoSpaceDN w:val="0"/>
        <w:adjustRightInd w:val="0"/>
        <w:spacing w:after="0" w:line="240" w:lineRule="auto"/>
        <w:rPr>
          <w:rFonts w:cstheme="minorHAnsi"/>
          <w:b/>
          <w:bCs/>
          <w:highlight w:val="lightGray"/>
        </w:rPr>
      </w:pPr>
      <w:r w:rsidRPr="00E15C08">
        <w:rPr>
          <w:rFonts w:cstheme="minorHAnsi"/>
          <w:b/>
          <w:bCs/>
          <w:highlight w:val="lightGray"/>
        </w:rPr>
        <w:t>2b3</w:t>
      </w:r>
      <w:r w:rsidR="00092566" w:rsidRPr="00E15C08">
        <w:rPr>
          <w:rFonts w:cstheme="minorHAnsi"/>
          <w:b/>
          <w:bCs/>
          <w:highlight w:val="lightGray"/>
        </w:rPr>
        <w:t>.4</w:t>
      </w:r>
      <w:r w:rsidR="00193F21" w:rsidRPr="00E15C08">
        <w:rPr>
          <w:rFonts w:cstheme="minorHAnsi"/>
          <w:b/>
          <w:bCs/>
          <w:highlight w:val="lightGray"/>
        </w:rPr>
        <w:t>a</w:t>
      </w:r>
      <w:r w:rsidR="00092566" w:rsidRPr="00E15C08">
        <w:rPr>
          <w:rFonts w:cstheme="minorHAnsi"/>
          <w:b/>
          <w:bCs/>
          <w:highlight w:val="lightGray"/>
        </w:rPr>
        <w:t>. What were the statistical results of the analyses used to select risk factors?</w:t>
      </w:r>
      <w:r w:rsidR="00001D73" w:rsidRPr="00E15C08">
        <w:rPr>
          <w:rFonts w:cstheme="minorHAnsi"/>
          <w:b/>
          <w:bCs/>
          <w:highlight w:val="lightGray"/>
        </w:rPr>
        <w:br/>
      </w:r>
    </w:p>
    <w:p w14:paraId="0CABCFF8" w14:textId="350A0D85" w:rsidR="00001D73" w:rsidRPr="00293824" w:rsidRDefault="009C7513" w:rsidP="00001D73">
      <w:pPr>
        <w:autoSpaceDE w:val="0"/>
        <w:autoSpaceDN w:val="0"/>
        <w:adjustRightInd w:val="0"/>
        <w:spacing w:after="0" w:line="240" w:lineRule="auto"/>
        <w:rPr>
          <w:rFonts w:cstheme="minorHAnsi"/>
          <w:b/>
          <w:bCs/>
          <w:highlight w:val="lightGray"/>
        </w:rPr>
      </w:pPr>
      <w:r w:rsidRPr="00E15C08">
        <w:rPr>
          <w:rFonts w:cstheme="minorHAnsi"/>
          <w:b/>
          <w:bCs/>
          <w:highlight w:val="lightGray"/>
        </w:rPr>
        <w:t>2b3</w:t>
      </w:r>
      <w:r w:rsidR="00C1695E" w:rsidRPr="00E15C08">
        <w:rPr>
          <w:rFonts w:cstheme="minorHAnsi"/>
          <w:b/>
          <w:bCs/>
          <w:highlight w:val="lightGray"/>
        </w:rPr>
        <w:t xml:space="preserve">.4b. Describe the analyses and interpretation resulting in the decision to select </w:t>
      </w:r>
      <w:r w:rsidR="00AF2D68" w:rsidRPr="00E15C08">
        <w:rPr>
          <w:rFonts w:cstheme="minorHAnsi"/>
          <w:b/>
          <w:bCs/>
          <w:highlight w:val="lightGray"/>
        </w:rPr>
        <w:t>social risk</w:t>
      </w:r>
      <w:r w:rsidR="00C1695E" w:rsidRPr="00E15C08">
        <w:rPr>
          <w:rFonts w:cstheme="minorHAnsi"/>
          <w:b/>
          <w:bCs/>
          <w:highlight w:val="lightGray"/>
        </w:rPr>
        <w:t xml:space="preserve"> factors </w:t>
      </w:r>
      <w:r w:rsidR="00C1695E" w:rsidRPr="00E15C08">
        <w:rPr>
          <w:rFonts w:cstheme="minorHAnsi"/>
          <w:bCs/>
          <w:i/>
          <w:highlight w:val="lightGray"/>
        </w:rPr>
        <w:t xml:space="preserve">(e.g. prevalence of the factor across measured entities, empirical association with the outcome, </w:t>
      </w:r>
      <w:r w:rsidR="00C1695E" w:rsidRPr="00293824">
        <w:rPr>
          <w:rFonts w:cstheme="minorHAnsi"/>
          <w:bCs/>
          <w:i/>
          <w:highlight w:val="lightGray"/>
        </w:rPr>
        <w:t>contribution of unique variation in the outcome, assessment of between-unit effects and within-unit effects</w:t>
      </w:r>
      <w:r w:rsidR="00CE284E" w:rsidRPr="00293824">
        <w:rPr>
          <w:rFonts w:cstheme="minorHAnsi"/>
          <w:bCs/>
          <w:i/>
          <w:highlight w:val="lightGray"/>
        </w:rPr>
        <w:t xml:space="preserve">.)  </w:t>
      </w:r>
      <w:r w:rsidR="00CE284E" w:rsidRPr="00293824">
        <w:rPr>
          <w:rFonts w:cstheme="minorHAnsi"/>
          <w:b/>
          <w:bCs/>
          <w:highlight w:val="lightGray"/>
        </w:rPr>
        <w:t>Also describe the</w:t>
      </w:r>
      <w:r w:rsidR="00AF2D68" w:rsidRPr="00293824">
        <w:rPr>
          <w:rFonts w:cstheme="minorHAnsi"/>
          <w:b/>
          <w:bCs/>
          <w:highlight w:val="lightGray"/>
        </w:rPr>
        <w:t xml:space="preserve"> impact of adjusting for social risk (or not) on providers</w:t>
      </w:r>
      <w:r w:rsidR="00CE284E" w:rsidRPr="00293824">
        <w:rPr>
          <w:rFonts w:cstheme="minorHAnsi"/>
          <w:b/>
          <w:bCs/>
          <w:highlight w:val="lightGray"/>
        </w:rPr>
        <w:t xml:space="preserve"> at high or low extremes of risk.</w:t>
      </w:r>
    </w:p>
    <w:p w14:paraId="0CABCFF9" w14:textId="77777777" w:rsidR="00C1695E" w:rsidRPr="00293824" w:rsidRDefault="00C1695E" w:rsidP="00001D73">
      <w:pPr>
        <w:autoSpaceDE w:val="0"/>
        <w:autoSpaceDN w:val="0"/>
        <w:adjustRightInd w:val="0"/>
        <w:spacing w:after="0" w:line="240" w:lineRule="auto"/>
        <w:rPr>
          <w:rFonts w:cstheme="minorHAnsi"/>
          <w:b/>
          <w:bCs/>
          <w:highlight w:val="lightGray"/>
        </w:rPr>
      </w:pPr>
    </w:p>
    <w:p w14:paraId="0CABCFFA" w14:textId="5F1D568F" w:rsidR="00092566" w:rsidRPr="00293824" w:rsidRDefault="009C7513" w:rsidP="00092566">
      <w:pPr>
        <w:autoSpaceDE w:val="0"/>
        <w:autoSpaceDN w:val="0"/>
        <w:adjustRightInd w:val="0"/>
        <w:spacing w:after="0" w:line="240" w:lineRule="auto"/>
        <w:rPr>
          <w:rFonts w:cstheme="minorHAnsi"/>
          <w:bCs/>
          <w:highlight w:val="lightGray"/>
        </w:rPr>
      </w:pPr>
      <w:r w:rsidRPr="00293824">
        <w:rPr>
          <w:rFonts w:cstheme="minorHAnsi"/>
          <w:b/>
          <w:bCs/>
          <w:highlight w:val="lightGray"/>
        </w:rPr>
        <w:t>2b3</w:t>
      </w:r>
      <w:r w:rsidR="00E1508F" w:rsidRPr="00293824">
        <w:rPr>
          <w:rFonts w:cstheme="minorHAnsi"/>
          <w:b/>
          <w:bCs/>
          <w:highlight w:val="lightGray"/>
        </w:rPr>
        <w:t>.</w:t>
      </w:r>
      <w:r w:rsidR="00092566" w:rsidRPr="00293824">
        <w:rPr>
          <w:rFonts w:cstheme="minorHAnsi"/>
          <w:b/>
          <w:bCs/>
          <w:highlight w:val="lightGray"/>
        </w:rPr>
        <w:t xml:space="preserve">5. </w:t>
      </w:r>
      <w:r w:rsidR="008871A9" w:rsidRPr="00293824">
        <w:rPr>
          <w:rFonts w:cstheme="minorHAnsi"/>
          <w:b/>
          <w:bCs/>
          <w:highlight w:val="lightGray"/>
        </w:rPr>
        <w:t>Describe the method of</w:t>
      </w:r>
      <w:r w:rsidR="00092566" w:rsidRPr="00293824">
        <w:rPr>
          <w:rFonts w:cstheme="minorHAnsi"/>
          <w:b/>
          <w:bCs/>
          <w:highlight w:val="lightGray"/>
        </w:rPr>
        <w:t xml:space="preserve"> </w:t>
      </w:r>
      <w:r w:rsidR="008871A9" w:rsidRPr="00293824">
        <w:rPr>
          <w:rFonts w:cstheme="minorHAnsi"/>
          <w:b/>
          <w:bCs/>
          <w:highlight w:val="lightGray"/>
        </w:rPr>
        <w:t xml:space="preserve">testing/analysis used </w:t>
      </w:r>
      <w:r w:rsidR="00092566" w:rsidRPr="00293824">
        <w:rPr>
          <w:rFonts w:cstheme="minorHAnsi"/>
          <w:b/>
          <w:bCs/>
          <w:highlight w:val="lightGray"/>
        </w:rPr>
        <w:t xml:space="preserve">to develop and validate the adequacy of the statistical model </w:t>
      </w:r>
      <w:r w:rsidR="00092566" w:rsidRPr="00293824">
        <w:rPr>
          <w:rFonts w:cstheme="minorHAnsi"/>
          <w:b/>
          <w:bCs/>
          <w:highlight w:val="lightGray"/>
          <w:u w:val="single"/>
        </w:rPr>
        <w:t>or</w:t>
      </w:r>
      <w:r w:rsidR="00092566" w:rsidRPr="00293824">
        <w:rPr>
          <w:rFonts w:cstheme="minorHAnsi"/>
          <w:b/>
          <w:bCs/>
          <w:highlight w:val="lightGray"/>
        </w:rPr>
        <w:t xml:space="preserve"> stratification approach</w:t>
      </w:r>
      <w:r w:rsidR="00092566" w:rsidRPr="00293824">
        <w:rPr>
          <w:rFonts w:cstheme="minorHAnsi"/>
          <w:bCs/>
          <w:highlight w:val="lightGray"/>
        </w:rPr>
        <w:t xml:space="preserve"> (</w:t>
      </w:r>
      <w:r w:rsidR="008871A9" w:rsidRPr="00293824">
        <w:rPr>
          <w:rFonts w:cstheme="minorHAnsi"/>
          <w:bCs/>
          <w:i/>
          <w:highlight w:val="lightGray"/>
        </w:rPr>
        <w:t>describe the steps―do not just name a method</w:t>
      </w:r>
      <w:r w:rsidR="006C3A4F" w:rsidRPr="00293824">
        <w:rPr>
          <w:rFonts w:cstheme="minorHAnsi"/>
          <w:bCs/>
          <w:i/>
          <w:highlight w:val="lightGray"/>
        </w:rPr>
        <w:t>; what statistical analysis was used</w:t>
      </w:r>
      <w:r w:rsidR="00092566" w:rsidRPr="00293824">
        <w:rPr>
          <w:rFonts w:cstheme="minorHAnsi"/>
          <w:bCs/>
          <w:highlight w:val="lightGray"/>
        </w:rPr>
        <w:t>)</w:t>
      </w:r>
      <w:r w:rsidR="00092566" w:rsidRPr="00293824">
        <w:rPr>
          <w:rFonts w:cstheme="minorHAnsi"/>
          <w:bCs/>
          <w:highlight w:val="lightGray"/>
        </w:rPr>
        <w:br/>
      </w:r>
    </w:p>
    <w:p w14:paraId="0CABCFFB" w14:textId="78FCA6D3" w:rsidR="00E1508F" w:rsidRPr="00293824" w:rsidRDefault="00001D73" w:rsidP="00092566">
      <w:pPr>
        <w:autoSpaceDE w:val="0"/>
        <w:autoSpaceDN w:val="0"/>
        <w:adjustRightInd w:val="0"/>
        <w:spacing w:after="0" w:line="240" w:lineRule="auto"/>
        <w:rPr>
          <w:rFonts w:cstheme="minorHAnsi"/>
          <w:b/>
          <w:bCs/>
          <w:highlight w:val="lightGray"/>
        </w:rPr>
      </w:pPr>
      <w:r w:rsidRPr="00293824">
        <w:rPr>
          <w:rFonts w:cstheme="minorHAnsi"/>
          <w:bCs/>
          <w:i/>
          <w:highlight w:val="lightGray"/>
        </w:rPr>
        <w:t>Provide</w:t>
      </w:r>
      <w:r w:rsidR="00092566" w:rsidRPr="00293824">
        <w:rPr>
          <w:rFonts w:cstheme="minorHAnsi"/>
          <w:bCs/>
          <w:i/>
          <w:highlight w:val="lightGray"/>
        </w:rPr>
        <w:t xml:space="preserve"> the statistical results from testing the approach to controlling for differences in patient characteristics (case mix)</w:t>
      </w:r>
      <w:r w:rsidRPr="00293824">
        <w:rPr>
          <w:rFonts w:cstheme="minorHAnsi"/>
          <w:bCs/>
          <w:i/>
          <w:highlight w:val="lightGray"/>
        </w:rPr>
        <w:t xml:space="preserve"> below</w:t>
      </w:r>
      <w:r w:rsidRPr="00293824">
        <w:rPr>
          <w:rFonts w:cstheme="minorHAnsi"/>
          <w:bCs/>
          <w:highlight w:val="lightGray"/>
        </w:rPr>
        <w:t>.</w:t>
      </w:r>
      <w:r w:rsidR="00092566" w:rsidRPr="00293824">
        <w:rPr>
          <w:rFonts w:cstheme="minorHAnsi"/>
          <w:bCs/>
          <w:highlight w:val="lightGray"/>
        </w:rPr>
        <w:br/>
      </w:r>
      <w:r w:rsidR="001F7A20" w:rsidRPr="00293824">
        <w:rPr>
          <w:rFonts w:cstheme="minorHAnsi"/>
          <w:b/>
          <w:bCs/>
          <w:i/>
          <w:highlight w:val="lightGray"/>
        </w:rPr>
        <w:t>If</w:t>
      </w:r>
      <w:r w:rsidR="00743E46" w:rsidRPr="00293824">
        <w:rPr>
          <w:rFonts w:cstheme="minorHAnsi"/>
          <w:b/>
          <w:bCs/>
          <w:i/>
          <w:highlight w:val="lightGray"/>
        </w:rPr>
        <w:t xml:space="preserve"> stratified, skip to </w:t>
      </w:r>
      <w:hyperlink w:anchor="question2b49" w:history="1">
        <w:r w:rsidR="009C7513" w:rsidRPr="00293824">
          <w:rPr>
            <w:rStyle w:val="Hyperlink"/>
            <w:rFonts w:cstheme="minorHAnsi"/>
            <w:b/>
            <w:bCs/>
            <w:i/>
            <w:highlight w:val="lightGray"/>
          </w:rPr>
          <w:t>2b3.9</w:t>
        </w:r>
      </w:hyperlink>
    </w:p>
    <w:p w14:paraId="0CABCFFC" w14:textId="77777777" w:rsidR="00743E46" w:rsidRPr="00293824" w:rsidRDefault="00743E46" w:rsidP="00092566">
      <w:pPr>
        <w:autoSpaceDE w:val="0"/>
        <w:autoSpaceDN w:val="0"/>
        <w:adjustRightInd w:val="0"/>
        <w:spacing w:after="0" w:line="240" w:lineRule="auto"/>
        <w:rPr>
          <w:rFonts w:cstheme="minorHAnsi"/>
          <w:b/>
          <w:bCs/>
          <w:highlight w:val="lightGray"/>
        </w:rPr>
      </w:pPr>
    </w:p>
    <w:p w14:paraId="0CABCFFD" w14:textId="79D5D7A7" w:rsidR="00001D73" w:rsidRPr="00293824" w:rsidRDefault="00743E46" w:rsidP="00092566">
      <w:pPr>
        <w:autoSpaceDE w:val="0"/>
        <w:autoSpaceDN w:val="0"/>
        <w:adjustRightInd w:val="0"/>
        <w:spacing w:after="0" w:line="240" w:lineRule="auto"/>
        <w:rPr>
          <w:rFonts w:cstheme="minorHAnsi"/>
          <w:b/>
          <w:bCs/>
          <w:highlight w:val="lightGray"/>
        </w:rPr>
      </w:pPr>
      <w:r w:rsidRPr="00293824">
        <w:rPr>
          <w:rFonts w:cstheme="minorHAnsi"/>
          <w:b/>
          <w:bCs/>
          <w:highlight w:val="lightGray"/>
        </w:rPr>
        <w:t>2b</w:t>
      </w:r>
      <w:r w:rsidR="009C7513" w:rsidRPr="00293824">
        <w:rPr>
          <w:rFonts w:cstheme="minorHAnsi"/>
          <w:b/>
          <w:bCs/>
          <w:highlight w:val="lightGray"/>
        </w:rPr>
        <w:t>3</w:t>
      </w:r>
      <w:r w:rsidRPr="00293824">
        <w:rPr>
          <w:rFonts w:cstheme="minorHAnsi"/>
          <w:b/>
          <w:bCs/>
          <w:highlight w:val="lightGray"/>
        </w:rPr>
        <w:t xml:space="preserve">.6. </w:t>
      </w:r>
      <w:r w:rsidR="00001D73" w:rsidRPr="00293824">
        <w:rPr>
          <w:rFonts w:cstheme="minorHAnsi"/>
          <w:b/>
          <w:bCs/>
          <w:highlight w:val="lightGray"/>
        </w:rPr>
        <w:t xml:space="preserve">Statistical </w:t>
      </w:r>
      <w:r w:rsidR="00092566" w:rsidRPr="00293824">
        <w:rPr>
          <w:rFonts w:cstheme="minorHAnsi"/>
          <w:b/>
          <w:bCs/>
          <w:highlight w:val="lightGray"/>
        </w:rPr>
        <w:t>Risk Model Discrimination Statistics</w:t>
      </w:r>
      <w:r w:rsidR="003605B4" w:rsidRPr="00293824">
        <w:rPr>
          <w:rFonts w:cstheme="minorHAnsi"/>
          <w:bCs/>
          <w:highlight w:val="lightGray"/>
        </w:rPr>
        <w:t xml:space="preserve"> (</w:t>
      </w:r>
      <w:r w:rsidR="003605B4" w:rsidRPr="00293824">
        <w:rPr>
          <w:rFonts w:cstheme="minorHAnsi"/>
          <w:bCs/>
          <w:i/>
          <w:highlight w:val="lightGray"/>
        </w:rPr>
        <w:t>e.g., c-statistic, R-squared</w:t>
      </w:r>
      <w:r w:rsidR="003605B4" w:rsidRPr="00293824">
        <w:rPr>
          <w:rFonts w:cstheme="minorHAnsi"/>
          <w:bCs/>
          <w:highlight w:val="lightGray"/>
        </w:rPr>
        <w:t>)</w:t>
      </w:r>
      <w:r w:rsidRPr="00293824">
        <w:rPr>
          <w:rFonts w:cstheme="minorHAnsi"/>
          <w:b/>
          <w:bCs/>
          <w:highlight w:val="lightGray"/>
        </w:rPr>
        <w:t>:</w:t>
      </w:r>
      <w:r w:rsidR="00092566" w:rsidRPr="00293824">
        <w:rPr>
          <w:rFonts w:cstheme="minorHAnsi"/>
          <w:b/>
          <w:bCs/>
          <w:highlight w:val="lightGray"/>
        </w:rPr>
        <w:t xml:space="preserve">  </w:t>
      </w:r>
      <w:r w:rsidR="00092566" w:rsidRPr="00293824">
        <w:rPr>
          <w:rFonts w:cstheme="minorHAnsi"/>
          <w:b/>
          <w:highlight w:val="lightGray"/>
        </w:rPr>
        <w:br/>
      </w:r>
    </w:p>
    <w:p w14:paraId="0CABCFFE" w14:textId="57E7DDD4" w:rsidR="00001D73" w:rsidRPr="00293824" w:rsidRDefault="009C7513" w:rsidP="00092566">
      <w:pPr>
        <w:autoSpaceDE w:val="0"/>
        <w:autoSpaceDN w:val="0"/>
        <w:adjustRightInd w:val="0"/>
        <w:spacing w:after="0" w:line="240" w:lineRule="auto"/>
        <w:rPr>
          <w:rFonts w:cstheme="minorHAnsi"/>
          <w:b/>
          <w:bCs/>
          <w:highlight w:val="lightGray"/>
        </w:rPr>
      </w:pPr>
      <w:r w:rsidRPr="00293824">
        <w:rPr>
          <w:rFonts w:cstheme="minorHAnsi"/>
          <w:b/>
          <w:bCs/>
          <w:highlight w:val="lightGray"/>
        </w:rPr>
        <w:t>2b3</w:t>
      </w:r>
      <w:r w:rsidR="00743E46" w:rsidRPr="00293824">
        <w:rPr>
          <w:rFonts w:cstheme="minorHAnsi"/>
          <w:b/>
          <w:bCs/>
          <w:highlight w:val="lightGray"/>
        </w:rPr>
        <w:t>.7</w:t>
      </w:r>
      <w:r w:rsidR="00001D73" w:rsidRPr="00293824">
        <w:rPr>
          <w:rFonts w:cstheme="minorHAnsi"/>
          <w:b/>
          <w:bCs/>
          <w:highlight w:val="lightGray"/>
        </w:rPr>
        <w:t xml:space="preserve">. </w:t>
      </w:r>
      <w:r w:rsidR="00743E46" w:rsidRPr="00293824">
        <w:rPr>
          <w:rFonts w:cstheme="minorHAnsi"/>
          <w:b/>
          <w:bCs/>
          <w:highlight w:val="lightGray"/>
        </w:rPr>
        <w:t xml:space="preserve">Statistical </w:t>
      </w:r>
      <w:r w:rsidR="00092566" w:rsidRPr="00293824">
        <w:rPr>
          <w:rFonts w:cstheme="minorHAnsi"/>
          <w:b/>
          <w:bCs/>
          <w:highlight w:val="lightGray"/>
        </w:rPr>
        <w:t>Risk Model Calibration Statistics</w:t>
      </w:r>
      <w:r w:rsidR="003605B4" w:rsidRPr="00293824">
        <w:rPr>
          <w:rFonts w:cstheme="minorHAnsi"/>
          <w:b/>
          <w:bCs/>
          <w:highlight w:val="lightGray"/>
        </w:rPr>
        <w:t xml:space="preserve"> </w:t>
      </w:r>
      <w:r w:rsidR="003605B4" w:rsidRPr="00293824">
        <w:rPr>
          <w:rFonts w:cstheme="minorHAnsi"/>
          <w:bCs/>
          <w:highlight w:val="lightGray"/>
        </w:rPr>
        <w:t>(</w:t>
      </w:r>
      <w:r w:rsidR="003605B4" w:rsidRPr="00293824">
        <w:rPr>
          <w:rFonts w:cstheme="minorHAnsi"/>
          <w:bCs/>
          <w:i/>
          <w:highlight w:val="lightGray"/>
        </w:rPr>
        <w:t>e.g., Hosmer-Lemeshow statistic</w:t>
      </w:r>
      <w:r w:rsidR="003605B4" w:rsidRPr="00293824">
        <w:rPr>
          <w:rFonts w:cstheme="minorHAnsi"/>
          <w:bCs/>
          <w:highlight w:val="lightGray"/>
        </w:rPr>
        <w:t>)</w:t>
      </w:r>
      <w:r w:rsidR="00092566" w:rsidRPr="00293824">
        <w:rPr>
          <w:rFonts w:cstheme="minorHAnsi"/>
          <w:bCs/>
          <w:highlight w:val="lightGray"/>
        </w:rPr>
        <w:t xml:space="preserve">:  </w:t>
      </w:r>
      <w:r w:rsidR="00092566" w:rsidRPr="00293824">
        <w:rPr>
          <w:rFonts w:cstheme="minorHAnsi"/>
          <w:bCs/>
          <w:highlight w:val="lightGray"/>
        </w:rPr>
        <w:br/>
      </w:r>
    </w:p>
    <w:p w14:paraId="0CABCFFF" w14:textId="7ECFB7AA" w:rsidR="00743E46" w:rsidRPr="00293824" w:rsidRDefault="009C7513" w:rsidP="00092566">
      <w:pPr>
        <w:autoSpaceDE w:val="0"/>
        <w:autoSpaceDN w:val="0"/>
        <w:adjustRightInd w:val="0"/>
        <w:spacing w:after="0" w:line="240" w:lineRule="auto"/>
        <w:rPr>
          <w:rFonts w:cstheme="minorHAnsi"/>
          <w:b/>
          <w:highlight w:val="lightGray"/>
        </w:rPr>
      </w:pPr>
      <w:r w:rsidRPr="00293824">
        <w:rPr>
          <w:rFonts w:cstheme="minorHAnsi"/>
          <w:b/>
          <w:bCs/>
          <w:highlight w:val="lightGray"/>
        </w:rPr>
        <w:t>2b3</w:t>
      </w:r>
      <w:r w:rsidR="00743E46" w:rsidRPr="00293824">
        <w:rPr>
          <w:rFonts w:cstheme="minorHAnsi"/>
          <w:b/>
          <w:bCs/>
          <w:highlight w:val="lightGray"/>
        </w:rPr>
        <w:t>.8</w:t>
      </w:r>
      <w:r w:rsidR="00001D73" w:rsidRPr="00293824">
        <w:rPr>
          <w:rFonts w:cstheme="minorHAnsi"/>
          <w:b/>
          <w:bCs/>
          <w:highlight w:val="lightGray"/>
        </w:rPr>
        <w:t xml:space="preserve">. </w:t>
      </w:r>
      <w:r w:rsidR="00743E46" w:rsidRPr="00293824">
        <w:rPr>
          <w:rFonts w:cstheme="minorHAnsi"/>
          <w:b/>
          <w:bCs/>
          <w:highlight w:val="lightGray"/>
        </w:rPr>
        <w:t xml:space="preserve">Statistical </w:t>
      </w:r>
      <w:r w:rsidR="00092566" w:rsidRPr="00293824">
        <w:rPr>
          <w:rFonts w:cstheme="minorHAnsi"/>
          <w:b/>
          <w:bCs/>
          <w:highlight w:val="lightGray"/>
        </w:rPr>
        <w:t>Risk Model Calibration – Risk decile plots or calibration curves</w:t>
      </w:r>
      <w:r w:rsidR="00092566" w:rsidRPr="00293824">
        <w:rPr>
          <w:rFonts w:cstheme="minorHAnsi"/>
          <w:bCs/>
          <w:highlight w:val="lightGray"/>
        </w:rPr>
        <w:t>:</w:t>
      </w:r>
      <w:r w:rsidR="00092566" w:rsidRPr="00293824">
        <w:rPr>
          <w:rFonts w:cstheme="minorHAnsi"/>
          <w:bCs/>
          <w:highlight w:val="lightGray"/>
        </w:rPr>
        <w:br/>
      </w:r>
    </w:p>
    <w:p w14:paraId="0CABD000" w14:textId="2277C090" w:rsidR="00092566" w:rsidRPr="00293824" w:rsidRDefault="009C7513" w:rsidP="00092566">
      <w:pPr>
        <w:autoSpaceDE w:val="0"/>
        <w:autoSpaceDN w:val="0"/>
        <w:adjustRightInd w:val="0"/>
        <w:spacing w:after="0" w:line="240" w:lineRule="auto"/>
        <w:rPr>
          <w:rFonts w:cstheme="minorHAnsi"/>
          <w:bCs/>
          <w:highlight w:val="lightGray"/>
        </w:rPr>
      </w:pPr>
      <w:bookmarkStart w:id="53" w:name="question2b49"/>
      <w:bookmarkEnd w:id="53"/>
      <w:r w:rsidRPr="00293824">
        <w:rPr>
          <w:rFonts w:cstheme="minorHAnsi"/>
          <w:b/>
          <w:highlight w:val="lightGray"/>
        </w:rPr>
        <w:t>2b3</w:t>
      </w:r>
      <w:r w:rsidR="00743E46" w:rsidRPr="00293824">
        <w:rPr>
          <w:rFonts w:cstheme="minorHAnsi"/>
          <w:b/>
          <w:highlight w:val="lightGray"/>
        </w:rPr>
        <w:t>.9</w:t>
      </w:r>
      <w:r w:rsidR="00001D73" w:rsidRPr="00293824">
        <w:rPr>
          <w:rFonts w:cstheme="minorHAnsi"/>
          <w:b/>
          <w:highlight w:val="lightGray"/>
        </w:rPr>
        <w:t xml:space="preserve">. Results of </w:t>
      </w:r>
      <w:r w:rsidR="00092566" w:rsidRPr="00293824">
        <w:rPr>
          <w:rFonts w:cstheme="minorHAnsi"/>
          <w:b/>
          <w:highlight w:val="lightGray"/>
        </w:rPr>
        <w:t>Risk Stratification Analysis</w:t>
      </w:r>
      <w:r w:rsidR="00092566" w:rsidRPr="00293824">
        <w:rPr>
          <w:rFonts w:cstheme="minorHAnsi"/>
          <w:highlight w:val="lightGray"/>
        </w:rPr>
        <w:t xml:space="preserve">: </w:t>
      </w:r>
      <w:r w:rsidR="00092566" w:rsidRPr="00293824">
        <w:rPr>
          <w:rFonts w:cstheme="minorHAnsi"/>
          <w:bCs/>
          <w:highlight w:val="lightGray"/>
        </w:rPr>
        <w:t xml:space="preserve"> </w:t>
      </w:r>
    </w:p>
    <w:p w14:paraId="0CABD001" w14:textId="77777777" w:rsidR="00092566" w:rsidRPr="00293824" w:rsidRDefault="00092566" w:rsidP="00092566">
      <w:pPr>
        <w:pStyle w:val="ListParagraph"/>
        <w:rPr>
          <w:rFonts w:cstheme="minorHAnsi"/>
          <w:bCs/>
          <w:highlight w:val="lightGray"/>
        </w:rPr>
      </w:pPr>
    </w:p>
    <w:p w14:paraId="0CABD002" w14:textId="35305BFC" w:rsidR="00092566" w:rsidRPr="00293824" w:rsidRDefault="009C7513" w:rsidP="00092566">
      <w:pPr>
        <w:autoSpaceDE w:val="0"/>
        <w:autoSpaceDN w:val="0"/>
        <w:adjustRightInd w:val="0"/>
        <w:spacing w:after="0" w:line="240" w:lineRule="auto"/>
        <w:rPr>
          <w:rFonts w:cstheme="minorHAnsi"/>
          <w:bCs/>
          <w:highlight w:val="lightGray"/>
        </w:rPr>
      </w:pPr>
      <w:r w:rsidRPr="00293824">
        <w:rPr>
          <w:rFonts w:cstheme="minorHAnsi"/>
          <w:b/>
          <w:bCs/>
          <w:highlight w:val="lightGray"/>
        </w:rPr>
        <w:t>2b3</w:t>
      </w:r>
      <w:r w:rsidR="00743E46" w:rsidRPr="00293824">
        <w:rPr>
          <w:rFonts w:cstheme="minorHAnsi"/>
          <w:b/>
          <w:bCs/>
          <w:highlight w:val="lightGray"/>
        </w:rPr>
        <w:t>.10</w:t>
      </w:r>
      <w:r w:rsidR="00001D73" w:rsidRPr="00293824">
        <w:rPr>
          <w:rFonts w:cstheme="minorHAnsi"/>
          <w:b/>
          <w:bCs/>
          <w:highlight w:val="lightGray"/>
        </w:rPr>
        <w:t xml:space="preserve">. </w:t>
      </w:r>
      <w:r w:rsidR="00092566" w:rsidRPr="00293824">
        <w:rPr>
          <w:rFonts w:cstheme="minorHAnsi"/>
          <w:b/>
          <w:bCs/>
          <w:highlight w:val="lightGray"/>
        </w:rPr>
        <w:t>What is your interpretation of the results in terms of demonstrating adequacy of controlling for differences in patient characteristics (case mix)?</w:t>
      </w:r>
      <w:r w:rsidR="00092566" w:rsidRPr="00293824">
        <w:rPr>
          <w:rFonts w:cstheme="minorHAnsi"/>
          <w:bCs/>
          <w:highlight w:val="lightGray"/>
        </w:rPr>
        <w:t xml:space="preserve"> (i</w:t>
      </w:r>
      <w:r w:rsidR="00092566" w:rsidRPr="00293824">
        <w:rPr>
          <w:rFonts w:cstheme="minorHAnsi"/>
          <w:bCs/>
          <w:i/>
          <w:highlight w:val="lightGray"/>
        </w:rPr>
        <w:t>.e., what do the results mean and what are the norms for the test conducted</w:t>
      </w:r>
      <w:r w:rsidR="00092566" w:rsidRPr="00293824">
        <w:rPr>
          <w:rFonts w:cstheme="minorHAnsi"/>
          <w:bCs/>
          <w:highlight w:val="lightGray"/>
        </w:rPr>
        <w:t>)</w:t>
      </w:r>
      <w:r w:rsidR="00092566" w:rsidRPr="00293824">
        <w:rPr>
          <w:rFonts w:cstheme="minorHAnsi"/>
          <w:bCs/>
          <w:highlight w:val="lightGray"/>
        </w:rPr>
        <w:br/>
      </w:r>
    </w:p>
    <w:p w14:paraId="0CABD003" w14:textId="77777777" w:rsidR="00092566" w:rsidRPr="00293824" w:rsidRDefault="00092566" w:rsidP="00092566">
      <w:pPr>
        <w:spacing w:after="0" w:line="240" w:lineRule="auto"/>
        <w:rPr>
          <w:rFonts w:cstheme="minorHAnsi"/>
          <w:highlight w:val="lightGray"/>
        </w:rPr>
      </w:pPr>
    </w:p>
    <w:p w14:paraId="7D4017F0" w14:textId="77777777" w:rsidR="00C675E5" w:rsidRDefault="009C7513" w:rsidP="00C675E5">
      <w:pPr>
        <w:spacing w:after="0" w:line="240" w:lineRule="auto"/>
        <w:rPr>
          <w:rFonts w:cstheme="minorHAnsi"/>
        </w:rPr>
      </w:pPr>
      <w:r w:rsidRPr="00293824">
        <w:rPr>
          <w:rFonts w:cstheme="minorHAnsi"/>
          <w:b/>
          <w:highlight w:val="lightGray"/>
        </w:rPr>
        <w:t>2b3</w:t>
      </w:r>
      <w:r w:rsidR="009B1A15" w:rsidRPr="00293824">
        <w:rPr>
          <w:rFonts w:cstheme="minorHAnsi"/>
          <w:b/>
          <w:highlight w:val="lightGray"/>
        </w:rPr>
        <w:t>.11.</w:t>
      </w:r>
      <w:r w:rsidR="009B1A15" w:rsidRPr="00293824">
        <w:rPr>
          <w:rFonts w:cstheme="minorHAnsi"/>
          <w:highlight w:val="lightGray"/>
        </w:rPr>
        <w:t xml:space="preserve"> </w:t>
      </w:r>
      <w:r w:rsidR="00092566" w:rsidRPr="00293824">
        <w:rPr>
          <w:rFonts w:cstheme="minorHAnsi"/>
          <w:b/>
          <w:highlight w:val="lightGray"/>
        </w:rPr>
        <w:t>Optional</w:t>
      </w:r>
      <w:r w:rsidR="009B1A15" w:rsidRPr="00293824">
        <w:rPr>
          <w:rFonts w:cstheme="minorHAnsi"/>
          <w:b/>
          <w:highlight w:val="lightGray"/>
        </w:rPr>
        <w:t xml:space="preserve"> Additional Testing</w:t>
      </w:r>
      <w:r w:rsidR="004756E1" w:rsidRPr="00293824">
        <w:rPr>
          <w:rFonts w:cstheme="minorHAnsi"/>
          <w:b/>
          <w:highlight w:val="lightGray"/>
        </w:rPr>
        <w:t xml:space="preserve"> for Risk Adjustment</w:t>
      </w:r>
      <w:r w:rsidR="00092566" w:rsidRPr="00293824">
        <w:rPr>
          <w:rFonts w:cstheme="minorHAnsi"/>
          <w:b/>
          <w:highlight w:val="lightGray"/>
        </w:rPr>
        <w:t xml:space="preserve"> </w:t>
      </w:r>
      <w:r w:rsidR="00092566" w:rsidRPr="00293824">
        <w:rPr>
          <w:rFonts w:cstheme="minorHAnsi"/>
          <w:highlight w:val="lightGray"/>
        </w:rPr>
        <w:t>(</w:t>
      </w:r>
      <w:r w:rsidR="00092566" w:rsidRPr="00293824">
        <w:rPr>
          <w:rFonts w:cstheme="minorHAnsi"/>
          <w:i/>
          <w:highlight w:val="lightGray"/>
          <w:u w:val="single"/>
        </w:rPr>
        <w:t>not required</w:t>
      </w:r>
      <w:r w:rsidR="00092566" w:rsidRPr="00293824">
        <w:rPr>
          <w:rFonts w:cstheme="minorHAnsi"/>
          <w:i/>
          <w:highlight w:val="lightGray"/>
        </w:rPr>
        <w:t>, but would provide additional support of adequacy of risk model</w:t>
      </w:r>
      <w:r w:rsidR="009B1A15" w:rsidRPr="00293824">
        <w:rPr>
          <w:rFonts w:cstheme="minorHAnsi"/>
          <w:i/>
          <w:highlight w:val="lightGray"/>
        </w:rPr>
        <w:t>, e.g., testing of risk model in another data se</w:t>
      </w:r>
      <w:r w:rsidR="002408E4" w:rsidRPr="00293824">
        <w:rPr>
          <w:rFonts w:cstheme="minorHAnsi"/>
          <w:i/>
          <w:highlight w:val="lightGray"/>
        </w:rPr>
        <w:t>t</w:t>
      </w:r>
      <w:r w:rsidR="009B1A15" w:rsidRPr="00293824">
        <w:rPr>
          <w:rFonts w:cstheme="minorHAnsi"/>
          <w:i/>
          <w:highlight w:val="lightGray"/>
        </w:rPr>
        <w:t>; sensitivity analysis for missing data</w:t>
      </w:r>
      <w:r w:rsidR="002408E4" w:rsidRPr="00293824">
        <w:rPr>
          <w:rFonts w:cstheme="minorHAnsi"/>
          <w:i/>
          <w:highlight w:val="lightGray"/>
        </w:rPr>
        <w:t>;</w:t>
      </w:r>
      <w:r w:rsidR="009B1A15" w:rsidRPr="00293824">
        <w:rPr>
          <w:rFonts w:cstheme="minorHAnsi"/>
          <w:i/>
          <w:highlight w:val="lightGray"/>
        </w:rPr>
        <w:t xml:space="preserve"> other methods</w:t>
      </w:r>
      <w:r w:rsidR="008F7E67" w:rsidRPr="00293824">
        <w:rPr>
          <w:rFonts w:cstheme="minorHAnsi"/>
          <w:i/>
          <w:highlight w:val="lightGray"/>
        </w:rPr>
        <w:t xml:space="preserve"> that were assessed</w:t>
      </w:r>
      <w:r w:rsidR="009B1A15" w:rsidRPr="00293824">
        <w:rPr>
          <w:rFonts w:cstheme="minorHAnsi"/>
          <w:highlight w:val="lightGray"/>
        </w:rPr>
        <w:t>)</w:t>
      </w:r>
    </w:p>
    <w:p w14:paraId="0CABD006" w14:textId="21600F85" w:rsidR="00D61410" w:rsidRPr="00A25024" w:rsidRDefault="00D61410" w:rsidP="00C675E5">
      <w:pPr>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54" w:name="section2b5"/>
      <w:bookmarkEnd w:id="54"/>
      <w:r>
        <w:rPr>
          <w:rFonts w:cstheme="minorHAnsi"/>
          <w:b/>
          <w:bCs/>
        </w:rPr>
        <w:t>2b4</w:t>
      </w:r>
      <w:r w:rsidR="00D61410" w:rsidRPr="00A25024">
        <w:rPr>
          <w:rFonts w:cstheme="minorHAnsi"/>
          <w:b/>
          <w:bCs/>
        </w:rPr>
        <w:t>. IDENTIFICATION OF STATISTICALLY SIGNIFICANT &amp; MEANINGFUL DIFFERENCES IN PERFORMANCE</w:t>
      </w:r>
    </w:p>
    <w:p w14:paraId="79753EC9" w14:textId="77777777" w:rsidR="00807296" w:rsidRDefault="009C7513" w:rsidP="00D61410">
      <w:pPr>
        <w:autoSpaceDE w:val="0"/>
        <w:autoSpaceDN w:val="0"/>
        <w:adjustRightInd w:val="0"/>
        <w:spacing w:after="0" w:line="240" w:lineRule="auto"/>
        <w:rPr>
          <w:rFonts w:cstheme="minorHAnsi"/>
          <w:bCs/>
          <w:i/>
        </w:rPr>
      </w:pPr>
      <w:r>
        <w:rPr>
          <w:rFonts w:cstheme="minorHAnsi"/>
          <w:b/>
          <w:bCs/>
        </w:rPr>
        <w:lastRenderedPageBreak/>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1A30B64D" w14:textId="327E73A6" w:rsidR="002D75EE" w:rsidRDefault="00807296" w:rsidP="002D75E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sidRPr="00807296">
        <w:rPr>
          <w:rFonts w:cstheme="minorHAnsi"/>
          <w:bCs/>
          <w:color w:val="FF0000"/>
        </w:rPr>
        <w:t xml:space="preserve">We </w:t>
      </w:r>
      <w:r w:rsidR="00567B0D">
        <w:rPr>
          <w:rFonts w:cstheme="minorHAnsi"/>
          <w:bCs/>
          <w:color w:val="FF0000"/>
        </w:rPr>
        <w:t>examined</w:t>
      </w:r>
      <w:r w:rsidR="00567B0D" w:rsidRPr="00807296">
        <w:rPr>
          <w:rFonts w:cstheme="minorHAnsi"/>
          <w:bCs/>
          <w:color w:val="FF0000"/>
        </w:rPr>
        <w:t xml:space="preserve"> </w:t>
      </w:r>
      <w:r w:rsidRPr="00807296">
        <w:rPr>
          <w:rFonts w:cstheme="minorHAnsi"/>
          <w:bCs/>
          <w:color w:val="FF0000"/>
        </w:rPr>
        <w:t xml:space="preserve">the data to determine if there </w:t>
      </w:r>
      <w:r w:rsidR="00567B0D">
        <w:rPr>
          <w:rFonts w:cstheme="minorHAnsi"/>
          <w:bCs/>
          <w:color w:val="FF0000"/>
        </w:rPr>
        <w:t>were</w:t>
      </w:r>
      <w:r w:rsidR="00567B0D" w:rsidRPr="00807296">
        <w:rPr>
          <w:rFonts w:cstheme="minorHAnsi"/>
          <w:bCs/>
          <w:color w:val="FF0000"/>
        </w:rPr>
        <w:t xml:space="preserve"> </w:t>
      </w:r>
      <w:r w:rsidR="00092154">
        <w:rPr>
          <w:rFonts w:cstheme="minorHAnsi"/>
          <w:bCs/>
          <w:color w:val="FF0000"/>
        </w:rPr>
        <w:t xml:space="preserve">meaningful </w:t>
      </w:r>
      <w:r w:rsidRPr="00807296">
        <w:rPr>
          <w:rFonts w:cstheme="minorHAnsi"/>
          <w:bCs/>
          <w:color w:val="FF0000"/>
        </w:rPr>
        <w:t xml:space="preserve">differences in performance </w:t>
      </w:r>
      <w:r w:rsidR="00536A48">
        <w:rPr>
          <w:rFonts w:cstheme="minorHAnsi"/>
          <w:bCs/>
          <w:color w:val="FF0000"/>
        </w:rPr>
        <w:t>(</w:t>
      </w:r>
      <w:r w:rsidR="001B415E">
        <w:rPr>
          <w:rFonts w:cstheme="minorHAnsi"/>
          <w:bCs/>
          <w:color w:val="FF0000"/>
        </w:rPr>
        <w:t>harm rates</w:t>
      </w:r>
      <w:r w:rsidR="00536A48">
        <w:rPr>
          <w:rFonts w:cstheme="minorHAnsi"/>
          <w:bCs/>
          <w:color w:val="FF0000"/>
        </w:rPr>
        <w:t>)</w:t>
      </w:r>
      <w:r w:rsidR="001B415E" w:rsidRPr="00807296">
        <w:rPr>
          <w:rFonts w:cstheme="minorHAnsi"/>
          <w:bCs/>
          <w:color w:val="FF0000"/>
        </w:rPr>
        <w:t xml:space="preserve"> </w:t>
      </w:r>
      <w:r w:rsidRPr="00807296">
        <w:rPr>
          <w:rFonts w:cstheme="minorHAnsi"/>
          <w:bCs/>
          <w:color w:val="FF0000"/>
        </w:rPr>
        <w:t xml:space="preserve">between </w:t>
      </w:r>
      <w:r w:rsidR="001B415E">
        <w:rPr>
          <w:rFonts w:cstheme="minorHAnsi"/>
          <w:bCs/>
          <w:color w:val="FF0000"/>
        </w:rPr>
        <w:t>measured entities (</w:t>
      </w:r>
      <w:r w:rsidR="003A5280">
        <w:rPr>
          <w:rFonts w:cstheme="minorHAnsi"/>
          <w:bCs/>
          <w:color w:val="FF0000"/>
        </w:rPr>
        <w:t>i.e., hospitals)</w:t>
      </w:r>
      <w:r w:rsidR="006E0CB0">
        <w:rPr>
          <w:rFonts w:cstheme="minorHAnsi"/>
          <w:bCs/>
          <w:color w:val="FF0000"/>
        </w:rPr>
        <w:t>.</w:t>
      </w:r>
      <w:r w:rsidR="00567B0D">
        <w:rPr>
          <w:rFonts w:cstheme="minorHAnsi"/>
          <w:bCs/>
          <w:color w:val="FF0000"/>
        </w:rPr>
        <w:t xml:space="preserve"> </w:t>
      </w:r>
      <w:r w:rsidRPr="00807296">
        <w:rPr>
          <w:rFonts w:cstheme="minorHAnsi"/>
          <w:bCs/>
          <w:color w:val="FF0000"/>
        </w:rPr>
        <w:t xml:space="preserve">We </w:t>
      </w:r>
      <w:r w:rsidR="00567B0D">
        <w:rPr>
          <w:rFonts w:cstheme="minorHAnsi"/>
          <w:bCs/>
          <w:color w:val="FF0000"/>
        </w:rPr>
        <w:t xml:space="preserve">examined confidence intervals </w:t>
      </w:r>
      <w:r w:rsidR="00A66F7D">
        <w:rPr>
          <w:rFonts w:cstheme="minorHAnsi"/>
          <w:bCs/>
          <w:color w:val="FF0000"/>
        </w:rPr>
        <w:t xml:space="preserve">around the estimates </w:t>
      </w:r>
      <w:r w:rsidR="00567B0D">
        <w:rPr>
          <w:rFonts w:cstheme="minorHAnsi"/>
          <w:bCs/>
          <w:color w:val="FF0000"/>
        </w:rPr>
        <w:t xml:space="preserve">and variation </w:t>
      </w:r>
      <w:r w:rsidR="003A5280">
        <w:rPr>
          <w:rFonts w:cstheme="minorHAnsi"/>
          <w:bCs/>
          <w:color w:val="FF0000"/>
        </w:rPr>
        <w:t xml:space="preserve">in performance rates </w:t>
      </w:r>
      <w:r w:rsidR="00567B0D">
        <w:rPr>
          <w:rFonts w:cstheme="minorHAnsi"/>
          <w:bCs/>
          <w:color w:val="FF0000"/>
        </w:rPr>
        <w:t xml:space="preserve">between </w:t>
      </w:r>
      <w:r w:rsidR="001B415E">
        <w:rPr>
          <w:rFonts w:cstheme="minorHAnsi"/>
          <w:bCs/>
          <w:color w:val="FF0000"/>
        </w:rPr>
        <w:t xml:space="preserve">hospitals </w:t>
      </w:r>
      <w:r w:rsidR="003A5280">
        <w:rPr>
          <w:rFonts w:cstheme="minorHAnsi"/>
          <w:bCs/>
          <w:color w:val="FF0000"/>
        </w:rPr>
        <w:t xml:space="preserve">within </w:t>
      </w:r>
      <w:r w:rsidR="008760C9" w:rsidRPr="00A66F7D">
        <w:rPr>
          <w:rFonts w:cstheme="minorHAnsi"/>
          <w:b/>
          <w:bCs/>
          <w:color w:val="FF0000"/>
        </w:rPr>
        <w:t>Beta Dataset</w:t>
      </w:r>
      <w:r w:rsidR="00E66287" w:rsidRPr="00A66F7D">
        <w:rPr>
          <w:rFonts w:cstheme="minorHAnsi"/>
          <w:b/>
          <w:bCs/>
          <w:color w:val="FF0000"/>
        </w:rPr>
        <w:t>s</w:t>
      </w:r>
      <w:r w:rsidR="008760C9" w:rsidRPr="00A66F7D">
        <w:rPr>
          <w:rFonts w:cstheme="minorHAnsi"/>
          <w:b/>
          <w:bCs/>
          <w:color w:val="FF0000"/>
        </w:rPr>
        <w:t xml:space="preserve"> 1</w:t>
      </w:r>
      <w:r w:rsidR="008760C9" w:rsidRPr="00E26040">
        <w:rPr>
          <w:rFonts w:cstheme="minorHAnsi"/>
          <w:bCs/>
          <w:color w:val="FF0000"/>
        </w:rPr>
        <w:t xml:space="preserve"> </w:t>
      </w:r>
      <w:r w:rsidR="00536A48" w:rsidRPr="009B271A">
        <w:rPr>
          <w:rFonts w:cstheme="minorHAnsi"/>
          <w:b/>
          <w:bCs/>
          <w:color w:val="FF0000"/>
        </w:rPr>
        <w:t xml:space="preserve">and </w:t>
      </w:r>
      <w:r w:rsidR="008760C9" w:rsidRPr="00A66F7D">
        <w:rPr>
          <w:rFonts w:cstheme="minorHAnsi"/>
          <w:b/>
          <w:bCs/>
          <w:color w:val="FF0000"/>
        </w:rPr>
        <w:t>2</w:t>
      </w:r>
      <w:r w:rsidR="008760C9">
        <w:rPr>
          <w:rFonts w:cstheme="minorHAnsi"/>
          <w:bCs/>
          <w:color w:val="FF0000"/>
        </w:rPr>
        <w:t xml:space="preserve"> </w:t>
      </w:r>
      <w:r w:rsidR="00567B0D">
        <w:rPr>
          <w:rFonts w:cstheme="minorHAnsi"/>
          <w:bCs/>
          <w:color w:val="FF0000"/>
        </w:rPr>
        <w:t>to determine</w:t>
      </w:r>
      <w:r w:rsidR="00A66F7D">
        <w:rPr>
          <w:rFonts w:cstheme="minorHAnsi"/>
          <w:bCs/>
          <w:color w:val="FF0000"/>
        </w:rPr>
        <w:t xml:space="preserve"> the stability of each estimate and</w:t>
      </w:r>
      <w:r w:rsidR="00567B0D">
        <w:rPr>
          <w:rFonts w:cstheme="minorHAnsi"/>
          <w:bCs/>
          <w:color w:val="FF0000"/>
        </w:rPr>
        <w:t xml:space="preserve"> if there </w:t>
      </w:r>
      <w:r w:rsidR="001A48F4">
        <w:rPr>
          <w:rFonts w:cstheme="minorHAnsi"/>
          <w:bCs/>
          <w:color w:val="FF0000"/>
        </w:rPr>
        <w:t xml:space="preserve">were </w:t>
      </w:r>
      <w:r w:rsidR="00567B0D">
        <w:rPr>
          <w:rFonts w:cstheme="minorHAnsi"/>
          <w:bCs/>
          <w:color w:val="FF0000"/>
        </w:rPr>
        <w:t>differences in performance</w:t>
      </w:r>
      <w:r w:rsidR="001B415E">
        <w:rPr>
          <w:rFonts w:cstheme="minorHAnsi"/>
          <w:bCs/>
          <w:color w:val="FF0000"/>
        </w:rPr>
        <w:t xml:space="preserve"> </w:t>
      </w:r>
      <w:r w:rsidR="00536A48">
        <w:rPr>
          <w:rFonts w:cstheme="minorHAnsi"/>
          <w:bCs/>
          <w:color w:val="FF0000"/>
        </w:rPr>
        <w:t>(</w:t>
      </w:r>
      <w:r w:rsidR="001B415E">
        <w:rPr>
          <w:rFonts w:cstheme="minorHAnsi"/>
          <w:bCs/>
          <w:color w:val="FF0000"/>
        </w:rPr>
        <w:t>h</w:t>
      </w:r>
      <w:r w:rsidR="00536A48">
        <w:rPr>
          <w:rFonts w:cstheme="minorHAnsi"/>
          <w:bCs/>
          <w:color w:val="FF0000"/>
        </w:rPr>
        <w:t>arm rates)</w:t>
      </w:r>
      <w:r w:rsidR="00A66F7D">
        <w:rPr>
          <w:rFonts w:cstheme="minorHAnsi"/>
          <w:bCs/>
          <w:color w:val="FF0000"/>
        </w:rPr>
        <w:t xml:space="preserve"> between hospitals, respectively.</w:t>
      </w:r>
      <w:r w:rsidR="00567B0D">
        <w:rPr>
          <w:rFonts w:cstheme="minorHAnsi"/>
          <w:bCs/>
          <w:color w:val="FF0000"/>
        </w:rPr>
        <w:t xml:space="preserve"> </w:t>
      </w:r>
    </w:p>
    <w:p w14:paraId="631831A7" w14:textId="77777777" w:rsidR="002D75EE" w:rsidRDefault="002D75EE" w:rsidP="00D61410">
      <w:pPr>
        <w:autoSpaceDE w:val="0"/>
        <w:autoSpaceDN w:val="0"/>
        <w:adjustRightInd w:val="0"/>
        <w:spacing w:after="0" w:line="240" w:lineRule="auto"/>
        <w:rPr>
          <w:rFonts w:cstheme="minorHAnsi"/>
          <w:b/>
          <w:bCs/>
        </w:rPr>
      </w:pPr>
    </w:p>
    <w:p w14:paraId="0CABD00A" w14:textId="40A05CE2"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2C90CB62" w14:textId="703CDA7D" w:rsidR="00AC0EB0" w:rsidRPr="00D360AE" w:rsidRDefault="00AC0EB0"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55" w:name="_Hlk521597684"/>
      <w:r>
        <w:rPr>
          <w:rFonts w:cstheme="minorHAnsi"/>
          <w:bCs/>
          <w:color w:val="FF0000"/>
        </w:rPr>
        <w:t>The p</w:t>
      </w:r>
      <w:r w:rsidR="00F55D36" w:rsidRPr="00E26040">
        <w:rPr>
          <w:rFonts w:cstheme="minorHAnsi"/>
          <w:bCs/>
          <w:color w:val="FF0000"/>
        </w:rPr>
        <w:t>erformance rate across</w:t>
      </w:r>
      <w:r w:rsidR="00034EC8">
        <w:rPr>
          <w:rFonts w:cstheme="minorHAnsi"/>
          <w:bCs/>
          <w:color w:val="FF0000"/>
        </w:rPr>
        <w:t xml:space="preserve"> all hospitals in both</w:t>
      </w:r>
      <w:r w:rsidR="00F55D36" w:rsidRPr="00E26040">
        <w:rPr>
          <w:rFonts w:cstheme="minorHAnsi"/>
          <w:bCs/>
          <w:color w:val="FF0000"/>
        </w:rPr>
        <w:t xml:space="preserve"> </w:t>
      </w:r>
      <w:r w:rsidR="001A48F4" w:rsidRPr="00E26040">
        <w:rPr>
          <w:rFonts w:cstheme="minorHAnsi"/>
          <w:b/>
          <w:bCs/>
          <w:color w:val="FF0000"/>
        </w:rPr>
        <w:t>Beta Dataset</w:t>
      </w:r>
      <w:r>
        <w:rPr>
          <w:rFonts w:cstheme="minorHAnsi"/>
          <w:b/>
          <w:bCs/>
          <w:color w:val="FF0000"/>
        </w:rPr>
        <w:t>s</w:t>
      </w:r>
      <w:r w:rsidR="001A48F4" w:rsidRPr="00E26040">
        <w:rPr>
          <w:rFonts w:cstheme="minorHAnsi"/>
          <w:b/>
          <w:bCs/>
          <w:color w:val="FF0000"/>
        </w:rPr>
        <w:t xml:space="preserve"> </w:t>
      </w:r>
      <w:r w:rsidR="00F55D36" w:rsidRPr="00E26040">
        <w:rPr>
          <w:rFonts w:cstheme="minorHAnsi"/>
          <w:b/>
          <w:bCs/>
          <w:color w:val="FF0000"/>
        </w:rPr>
        <w:t>1 and 2</w:t>
      </w:r>
      <w:r w:rsidR="00F55D36" w:rsidRPr="00E26040">
        <w:rPr>
          <w:rFonts w:cstheme="minorHAnsi"/>
          <w:bCs/>
          <w:color w:val="FF0000"/>
        </w:rPr>
        <w:t xml:space="preserve"> was 2.7</w:t>
      </w:r>
      <w:r w:rsidR="006550C1">
        <w:rPr>
          <w:rFonts w:cstheme="minorHAnsi"/>
          <w:bCs/>
          <w:color w:val="FF0000"/>
        </w:rPr>
        <w:t>1</w:t>
      </w:r>
      <w:r w:rsidR="00F55D36" w:rsidRPr="00D360AE">
        <w:rPr>
          <w:rFonts w:cstheme="minorHAnsi"/>
          <w:bCs/>
          <w:color w:val="FF0000"/>
        </w:rPr>
        <w:t>% (</w:t>
      </w:r>
      <w:r w:rsidR="00D50A1D" w:rsidRPr="00D360AE">
        <w:rPr>
          <w:rFonts w:cstheme="minorHAnsi"/>
          <w:bCs/>
          <w:color w:val="FF0000"/>
        </w:rPr>
        <w:t xml:space="preserve">95% </w:t>
      </w:r>
      <w:r w:rsidR="00F55D36" w:rsidRPr="00D360AE">
        <w:rPr>
          <w:rFonts w:cstheme="minorHAnsi"/>
          <w:bCs/>
          <w:color w:val="FF0000"/>
        </w:rPr>
        <w:t>CI: 2.4</w:t>
      </w:r>
      <w:r w:rsidR="006550C1">
        <w:rPr>
          <w:rFonts w:cstheme="minorHAnsi"/>
          <w:bCs/>
          <w:color w:val="FF0000"/>
        </w:rPr>
        <w:t>4</w:t>
      </w:r>
      <w:r w:rsidR="00F55D36" w:rsidRPr="00D360AE">
        <w:rPr>
          <w:rFonts w:cstheme="minorHAnsi"/>
          <w:bCs/>
          <w:color w:val="FF0000"/>
        </w:rPr>
        <w:t xml:space="preserve">%, </w:t>
      </w:r>
      <w:r w:rsidR="006550C1">
        <w:rPr>
          <w:rFonts w:cstheme="minorHAnsi"/>
          <w:bCs/>
          <w:color w:val="FF0000"/>
        </w:rPr>
        <w:t>2.99</w:t>
      </w:r>
      <w:r w:rsidR="00F55D36" w:rsidRPr="00D360AE">
        <w:rPr>
          <w:rFonts w:cstheme="minorHAnsi"/>
          <w:bCs/>
          <w:color w:val="FF0000"/>
        </w:rPr>
        <w:t>%).</w:t>
      </w:r>
      <w:r w:rsidR="001A48F4" w:rsidRPr="00D360AE">
        <w:rPr>
          <w:rFonts w:cstheme="minorHAnsi"/>
          <w:bCs/>
          <w:color w:val="FF0000"/>
        </w:rPr>
        <w:t xml:space="preserve"> </w:t>
      </w:r>
      <w:r w:rsidR="00306C6C" w:rsidRPr="00D360AE">
        <w:rPr>
          <w:rFonts w:cstheme="minorHAnsi"/>
          <w:bCs/>
          <w:color w:val="FF0000"/>
        </w:rPr>
        <w:t xml:space="preserve">The performance rate ranged from </w:t>
      </w:r>
      <w:r w:rsidR="008805B0" w:rsidRPr="00E45576">
        <w:rPr>
          <w:rFonts w:cstheme="minorHAnsi"/>
          <w:bCs/>
          <w:color w:val="FF0000"/>
        </w:rPr>
        <w:t>1.0</w:t>
      </w:r>
      <w:r w:rsidR="006550C1">
        <w:rPr>
          <w:rFonts w:cstheme="minorHAnsi"/>
          <w:bCs/>
          <w:color w:val="FF0000"/>
        </w:rPr>
        <w:t>5</w:t>
      </w:r>
      <w:r w:rsidR="008805B0" w:rsidRPr="00E45576">
        <w:rPr>
          <w:rFonts w:cstheme="minorHAnsi"/>
          <w:bCs/>
          <w:color w:val="FF0000"/>
        </w:rPr>
        <w:t xml:space="preserve">% </w:t>
      </w:r>
      <w:r w:rsidR="00306C6C" w:rsidRPr="00E45576">
        <w:rPr>
          <w:rFonts w:cstheme="minorHAnsi"/>
          <w:bCs/>
          <w:color w:val="FF0000"/>
        </w:rPr>
        <w:t xml:space="preserve">to </w:t>
      </w:r>
      <w:r w:rsidR="006B378B">
        <w:rPr>
          <w:rFonts w:cstheme="minorHAnsi"/>
          <w:bCs/>
          <w:color w:val="FF0000"/>
        </w:rPr>
        <w:t>3.</w:t>
      </w:r>
      <w:r w:rsidR="006550C1">
        <w:rPr>
          <w:rFonts w:cstheme="minorHAnsi"/>
          <w:bCs/>
          <w:color w:val="FF0000"/>
        </w:rPr>
        <w:t>5</w:t>
      </w:r>
      <w:r w:rsidR="006B378B">
        <w:rPr>
          <w:rFonts w:cstheme="minorHAnsi"/>
          <w:bCs/>
          <w:color w:val="FF0000"/>
        </w:rPr>
        <w:t>6%</w:t>
      </w:r>
      <w:r w:rsidR="006B378B" w:rsidRPr="00D360AE">
        <w:rPr>
          <w:rFonts w:cstheme="minorHAnsi"/>
          <w:bCs/>
          <w:color w:val="FF0000"/>
        </w:rPr>
        <w:t xml:space="preserve"> </w:t>
      </w:r>
      <w:r w:rsidR="00306C6C" w:rsidRPr="00D360AE">
        <w:rPr>
          <w:rFonts w:cstheme="minorHAnsi"/>
          <w:bCs/>
          <w:color w:val="FF0000"/>
        </w:rPr>
        <w:t>across all hospitals in both datasets.</w:t>
      </w:r>
    </w:p>
    <w:p w14:paraId="697CFD0B" w14:textId="77777777" w:rsidR="00BB3EAD" w:rsidRPr="00D360AE" w:rsidRDefault="00BB3EAD"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7953F1D2" w14:textId="14B83E7C" w:rsidR="00BB3EAD" w:rsidRPr="00D360AE" w:rsidRDefault="00AC0EB0"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D360AE">
        <w:rPr>
          <w:rFonts w:cstheme="minorHAnsi"/>
          <w:bCs/>
          <w:color w:val="FF0000"/>
        </w:rPr>
        <w:t>The p</w:t>
      </w:r>
      <w:r w:rsidR="005666DF" w:rsidRPr="00D360AE">
        <w:rPr>
          <w:rFonts w:cstheme="minorHAnsi"/>
          <w:bCs/>
          <w:color w:val="FF0000"/>
        </w:rPr>
        <w:t xml:space="preserve">erformance rate </w:t>
      </w:r>
      <w:r w:rsidR="008A0544" w:rsidRPr="00D360AE">
        <w:rPr>
          <w:rFonts w:cstheme="minorHAnsi"/>
          <w:bCs/>
          <w:color w:val="FF0000"/>
        </w:rPr>
        <w:t xml:space="preserve">for all hospitals in </w:t>
      </w:r>
      <w:r w:rsidR="001A48F4" w:rsidRPr="00D360AE">
        <w:rPr>
          <w:rFonts w:cstheme="minorHAnsi"/>
          <w:b/>
          <w:bCs/>
          <w:color w:val="FF0000"/>
        </w:rPr>
        <w:t xml:space="preserve">Beta </w:t>
      </w:r>
      <w:r w:rsidR="000B10F6" w:rsidRPr="00D360AE">
        <w:rPr>
          <w:rFonts w:cstheme="minorHAnsi"/>
          <w:b/>
          <w:bCs/>
          <w:color w:val="FF0000"/>
        </w:rPr>
        <w:t xml:space="preserve">Dataset </w:t>
      </w:r>
      <w:r w:rsidR="001A48F4" w:rsidRPr="00D360AE">
        <w:rPr>
          <w:rFonts w:cstheme="minorHAnsi"/>
          <w:b/>
          <w:bCs/>
          <w:color w:val="FF0000"/>
        </w:rPr>
        <w:t>1</w:t>
      </w:r>
      <w:r w:rsidR="001A48F4" w:rsidRPr="00D360AE">
        <w:rPr>
          <w:rFonts w:cstheme="minorHAnsi"/>
          <w:bCs/>
          <w:color w:val="FF0000"/>
        </w:rPr>
        <w:t xml:space="preserve"> </w:t>
      </w:r>
      <w:r w:rsidR="005666DF" w:rsidRPr="00D360AE">
        <w:rPr>
          <w:rFonts w:cstheme="minorHAnsi"/>
          <w:bCs/>
          <w:color w:val="FF0000"/>
        </w:rPr>
        <w:t xml:space="preserve">was </w:t>
      </w:r>
      <w:r w:rsidR="00111677" w:rsidRPr="00D360AE">
        <w:rPr>
          <w:rFonts w:cstheme="minorHAnsi"/>
          <w:bCs/>
          <w:color w:val="FF0000"/>
        </w:rPr>
        <w:t>2.5</w:t>
      </w:r>
      <w:r w:rsidR="006550C1">
        <w:rPr>
          <w:rFonts w:cstheme="minorHAnsi"/>
          <w:bCs/>
          <w:color w:val="FF0000"/>
        </w:rPr>
        <w:t>2</w:t>
      </w:r>
      <w:r w:rsidR="00111677" w:rsidRPr="00D360AE">
        <w:rPr>
          <w:rFonts w:cstheme="minorHAnsi"/>
          <w:bCs/>
          <w:color w:val="FF0000"/>
        </w:rPr>
        <w:t>% (</w:t>
      </w:r>
      <w:r w:rsidR="00D50A1D" w:rsidRPr="00D360AE">
        <w:rPr>
          <w:rFonts w:cstheme="minorHAnsi"/>
          <w:bCs/>
          <w:color w:val="FF0000"/>
        </w:rPr>
        <w:t xml:space="preserve">95% </w:t>
      </w:r>
      <w:r w:rsidR="00567B0D" w:rsidRPr="00D360AE">
        <w:rPr>
          <w:rFonts w:cstheme="minorHAnsi"/>
          <w:bCs/>
          <w:color w:val="FF0000"/>
        </w:rPr>
        <w:t xml:space="preserve">CI: </w:t>
      </w:r>
      <w:r w:rsidR="00111677" w:rsidRPr="00D360AE">
        <w:rPr>
          <w:rFonts w:cstheme="minorHAnsi"/>
          <w:bCs/>
          <w:color w:val="FF0000"/>
        </w:rPr>
        <w:t>2.</w:t>
      </w:r>
      <w:r w:rsidR="006550C1">
        <w:rPr>
          <w:rFonts w:cstheme="minorHAnsi"/>
          <w:bCs/>
          <w:color w:val="FF0000"/>
        </w:rPr>
        <w:t>18</w:t>
      </w:r>
      <w:r w:rsidR="00111677" w:rsidRPr="00D360AE">
        <w:rPr>
          <w:rFonts w:cstheme="minorHAnsi"/>
          <w:bCs/>
          <w:color w:val="FF0000"/>
        </w:rPr>
        <w:t>%, 2.</w:t>
      </w:r>
      <w:r w:rsidR="006550C1">
        <w:rPr>
          <w:rFonts w:cstheme="minorHAnsi"/>
          <w:bCs/>
          <w:color w:val="FF0000"/>
        </w:rPr>
        <w:t>8</w:t>
      </w:r>
      <w:r w:rsidR="00111677" w:rsidRPr="00D360AE">
        <w:rPr>
          <w:rFonts w:cstheme="minorHAnsi"/>
          <w:bCs/>
          <w:color w:val="FF0000"/>
        </w:rPr>
        <w:t>9%)</w:t>
      </w:r>
      <w:r w:rsidR="00F40E0B">
        <w:rPr>
          <w:rFonts w:cstheme="minorHAnsi"/>
          <w:bCs/>
          <w:color w:val="FF0000"/>
        </w:rPr>
        <w:t>.</w:t>
      </w:r>
    </w:p>
    <w:p w14:paraId="1C0CA5A1" w14:textId="77777777" w:rsidR="00BB3EAD" w:rsidRPr="00D360AE" w:rsidRDefault="00BB3EAD"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7864C6CD" w14:textId="001FA383" w:rsidR="005666DF" w:rsidRDefault="00AC0EB0"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360AE">
        <w:rPr>
          <w:rFonts w:cstheme="minorHAnsi"/>
          <w:bCs/>
          <w:color w:val="FF0000"/>
        </w:rPr>
        <w:t xml:space="preserve">The performance rate </w:t>
      </w:r>
      <w:r w:rsidR="008A0544" w:rsidRPr="00D360AE">
        <w:rPr>
          <w:rFonts w:cstheme="minorHAnsi"/>
          <w:bCs/>
          <w:color w:val="FF0000"/>
        </w:rPr>
        <w:t xml:space="preserve">for all hospitals in </w:t>
      </w:r>
      <w:r w:rsidR="001A48F4" w:rsidRPr="00D360AE">
        <w:rPr>
          <w:rFonts w:cstheme="minorHAnsi"/>
          <w:b/>
          <w:bCs/>
          <w:color w:val="FF0000"/>
        </w:rPr>
        <w:t xml:space="preserve">Beta </w:t>
      </w:r>
      <w:r w:rsidR="000B10F6" w:rsidRPr="00D360AE">
        <w:rPr>
          <w:rFonts w:cstheme="minorHAnsi"/>
          <w:b/>
          <w:bCs/>
          <w:color w:val="FF0000"/>
        </w:rPr>
        <w:t>Dataset</w:t>
      </w:r>
      <w:r w:rsidR="001A48F4" w:rsidRPr="00D360AE">
        <w:rPr>
          <w:rFonts w:cstheme="minorHAnsi"/>
          <w:b/>
          <w:bCs/>
          <w:color w:val="FF0000"/>
        </w:rPr>
        <w:t xml:space="preserve"> 2</w:t>
      </w:r>
      <w:r w:rsidRPr="00D360AE">
        <w:rPr>
          <w:rFonts w:cstheme="minorHAnsi"/>
          <w:bCs/>
          <w:color w:val="FF0000"/>
        </w:rPr>
        <w:t xml:space="preserve"> was</w:t>
      </w:r>
      <w:r w:rsidR="001528E0" w:rsidRPr="00D360AE">
        <w:rPr>
          <w:rFonts w:cstheme="minorHAnsi"/>
          <w:bCs/>
          <w:color w:val="FF0000"/>
        </w:rPr>
        <w:t xml:space="preserve"> </w:t>
      </w:r>
      <w:r w:rsidR="006550C1">
        <w:rPr>
          <w:rFonts w:cstheme="minorHAnsi"/>
          <w:bCs/>
          <w:color w:val="FF0000"/>
        </w:rPr>
        <w:t>2.96</w:t>
      </w:r>
      <w:r w:rsidR="001528E0" w:rsidRPr="00D360AE">
        <w:rPr>
          <w:rFonts w:cstheme="minorHAnsi"/>
          <w:bCs/>
          <w:color w:val="FF0000"/>
        </w:rPr>
        <w:t>% (</w:t>
      </w:r>
      <w:r w:rsidR="00D50A1D" w:rsidRPr="00D360AE">
        <w:rPr>
          <w:rFonts w:cstheme="minorHAnsi"/>
          <w:bCs/>
          <w:color w:val="FF0000"/>
        </w:rPr>
        <w:t xml:space="preserve">95% </w:t>
      </w:r>
      <w:r w:rsidR="00567B0D" w:rsidRPr="00D360AE">
        <w:rPr>
          <w:rFonts w:cstheme="minorHAnsi"/>
          <w:bCs/>
          <w:color w:val="FF0000"/>
        </w:rPr>
        <w:t xml:space="preserve">CI: </w:t>
      </w:r>
      <w:r w:rsidR="001528E0" w:rsidRPr="00D360AE">
        <w:rPr>
          <w:rFonts w:cstheme="minorHAnsi"/>
          <w:bCs/>
          <w:color w:val="FF0000"/>
        </w:rPr>
        <w:t>2.5</w:t>
      </w:r>
      <w:r w:rsidR="006550C1">
        <w:rPr>
          <w:rFonts w:cstheme="minorHAnsi"/>
          <w:bCs/>
          <w:color w:val="FF0000"/>
        </w:rPr>
        <w:t>4</w:t>
      </w:r>
      <w:r w:rsidR="001528E0" w:rsidRPr="00D360AE">
        <w:rPr>
          <w:rFonts w:cstheme="minorHAnsi"/>
          <w:bCs/>
          <w:color w:val="FF0000"/>
        </w:rPr>
        <w:t>%, 3.4</w:t>
      </w:r>
      <w:r w:rsidR="006550C1">
        <w:rPr>
          <w:rFonts w:cstheme="minorHAnsi"/>
          <w:bCs/>
          <w:color w:val="FF0000"/>
        </w:rPr>
        <w:t>2</w:t>
      </w:r>
      <w:r w:rsidR="001528E0" w:rsidRPr="00D360AE">
        <w:rPr>
          <w:rFonts w:cstheme="minorHAnsi"/>
          <w:bCs/>
          <w:color w:val="FF0000"/>
        </w:rPr>
        <w:t>%)</w:t>
      </w:r>
      <w:bookmarkEnd w:id="55"/>
      <w:r w:rsidR="00F40E0B">
        <w:rPr>
          <w:rFonts w:cstheme="minorHAnsi"/>
          <w:bCs/>
          <w:color w:val="FF0000"/>
        </w:rPr>
        <w:t>.</w:t>
      </w:r>
      <w:r w:rsidR="00567B0D">
        <w:rPr>
          <w:rFonts w:cstheme="minorHAnsi"/>
          <w:bCs/>
          <w:color w:val="FF0000"/>
        </w:rPr>
        <w:t xml:space="preserve"> </w:t>
      </w:r>
    </w:p>
    <w:p w14:paraId="00B4F4D5" w14:textId="77777777" w:rsidR="005666DF" w:rsidRDefault="005666DF" w:rsidP="00D61410">
      <w:pPr>
        <w:autoSpaceDE w:val="0"/>
        <w:autoSpaceDN w:val="0"/>
        <w:adjustRightInd w:val="0"/>
        <w:spacing w:after="0" w:line="240" w:lineRule="auto"/>
        <w:rPr>
          <w:rFonts w:cstheme="minorHAnsi"/>
          <w:bCs/>
        </w:rPr>
      </w:pPr>
    </w:p>
    <w:p w14:paraId="5C1FB874" w14:textId="77777777" w:rsidR="006F2F20" w:rsidRDefault="006F2F20" w:rsidP="004076F8">
      <w:pPr>
        <w:autoSpaceDE w:val="0"/>
        <w:autoSpaceDN w:val="0"/>
        <w:adjustRightInd w:val="0"/>
        <w:spacing w:after="0" w:line="240" w:lineRule="auto"/>
        <w:rPr>
          <w:rFonts w:cstheme="minorHAnsi"/>
          <w:b/>
          <w:bCs/>
        </w:rPr>
      </w:pPr>
    </w:p>
    <w:p w14:paraId="7EEFF927" w14:textId="514EEE7B" w:rsidR="00A4533B" w:rsidRDefault="009C7513" w:rsidP="004076F8">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8208900" w14:textId="22897400" w:rsidR="004076F8" w:rsidRDefault="00D7021A"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536A48">
        <w:rPr>
          <w:rFonts w:cstheme="minorHAnsi"/>
          <w:bCs/>
          <w:color w:val="FF0000"/>
        </w:rPr>
        <w:t>Results</w:t>
      </w:r>
      <w:r w:rsidR="00A4533B" w:rsidRPr="00536A48">
        <w:rPr>
          <w:rFonts w:cstheme="minorHAnsi"/>
          <w:bCs/>
          <w:color w:val="FF0000"/>
        </w:rPr>
        <w:t xml:space="preserve"> from </w:t>
      </w:r>
      <w:r w:rsidR="001A48F4" w:rsidRPr="00E26040">
        <w:rPr>
          <w:rFonts w:cstheme="minorHAnsi"/>
          <w:b/>
          <w:bCs/>
          <w:color w:val="FF0000"/>
        </w:rPr>
        <w:t>Beta</w:t>
      </w:r>
      <w:r w:rsidR="001A48F4">
        <w:rPr>
          <w:rFonts w:cstheme="minorHAnsi"/>
          <w:bCs/>
          <w:color w:val="FF0000"/>
        </w:rPr>
        <w:t xml:space="preserve"> </w:t>
      </w:r>
      <w:r w:rsidR="00743800">
        <w:rPr>
          <w:rFonts w:cstheme="minorHAnsi"/>
          <w:b/>
          <w:bCs/>
          <w:color w:val="FF0000"/>
        </w:rPr>
        <w:t>Datasets 1 and 2</w:t>
      </w:r>
      <w:r w:rsidR="001A48F4" w:rsidRPr="00536A48">
        <w:rPr>
          <w:rFonts w:cstheme="minorHAnsi"/>
          <w:bCs/>
          <w:color w:val="FF0000"/>
        </w:rPr>
        <w:t xml:space="preserve"> </w:t>
      </w:r>
      <w:r w:rsidR="00A4533B" w:rsidRPr="00536A48">
        <w:rPr>
          <w:rFonts w:cstheme="minorHAnsi"/>
          <w:bCs/>
          <w:color w:val="FF0000"/>
        </w:rPr>
        <w:t xml:space="preserve">showed performance scores that were within range of </w:t>
      </w:r>
      <w:r w:rsidR="00743800">
        <w:rPr>
          <w:rFonts w:cstheme="minorHAnsi"/>
          <w:bCs/>
          <w:color w:val="FF0000"/>
        </w:rPr>
        <w:t>harm rates</w:t>
      </w:r>
      <w:r w:rsidR="00A4533B" w:rsidRPr="00536A48">
        <w:rPr>
          <w:rFonts w:cstheme="minorHAnsi"/>
          <w:bCs/>
          <w:color w:val="FF0000"/>
        </w:rPr>
        <w:t xml:space="preserve"> found in the literature</w:t>
      </w:r>
      <w:r w:rsidR="00B659CB">
        <w:rPr>
          <w:rFonts w:cstheme="minorHAnsi"/>
          <w:bCs/>
          <w:color w:val="FF0000"/>
        </w:rPr>
        <w:t xml:space="preserve"> </w:t>
      </w:r>
      <w:r w:rsidR="00B659CB" w:rsidRPr="00285D7F">
        <w:rPr>
          <w:rFonts w:cstheme="minorHAnsi"/>
          <w:bCs/>
        </w:rPr>
        <w:t>(</w:t>
      </w:r>
      <w:r w:rsidR="008760C9" w:rsidRPr="00285D7F">
        <w:t>Nirantharakumar</w:t>
      </w:r>
      <w:r w:rsidR="00D34AA8" w:rsidRPr="00285D7F">
        <w:t xml:space="preserve"> and Marshall, 2012; Wexler and Meigs, 2007)</w:t>
      </w:r>
      <w:r w:rsidR="00A4533B" w:rsidRPr="00285D7F">
        <w:rPr>
          <w:rFonts w:cstheme="minorHAnsi"/>
          <w:bCs/>
          <w:color w:val="FF0000"/>
        </w:rPr>
        <w:t xml:space="preserve">.  </w:t>
      </w:r>
      <w:r w:rsidR="006E6FE1" w:rsidRPr="00536A48">
        <w:rPr>
          <w:rFonts w:cstheme="minorHAnsi"/>
          <w:bCs/>
          <w:color w:val="FF0000"/>
        </w:rPr>
        <w:t xml:space="preserve">There was variation </w:t>
      </w:r>
      <w:r w:rsidR="00D34AA8">
        <w:rPr>
          <w:rFonts w:cstheme="minorHAnsi"/>
          <w:bCs/>
          <w:color w:val="FF0000"/>
        </w:rPr>
        <w:t xml:space="preserve">shown </w:t>
      </w:r>
      <w:r w:rsidR="00C51EB7">
        <w:rPr>
          <w:rFonts w:cstheme="minorHAnsi"/>
          <w:bCs/>
          <w:color w:val="FF0000"/>
        </w:rPr>
        <w:t xml:space="preserve">in the rate of harm </w:t>
      </w:r>
      <w:r w:rsidR="006E6FE1" w:rsidRPr="00536A48">
        <w:rPr>
          <w:rFonts w:cstheme="minorHAnsi"/>
          <w:bCs/>
          <w:color w:val="FF0000"/>
        </w:rPr>
        <w:t xml:space="preserve">across </w:t>
      </w:r>
      <w:r w:rsidR="00C51EB7">
        <w:rPr>
          <w:rFonts w:cstheme="minorHAnsi"/>
          <w:bCs/>
          <w:color w:val="FF0000"/>
        </w:rPr>
        <w:t xml:space="preserve">the </w:t>
      </w:r>
      <w:r w:rsidR="006E6FE1" w:rsidRPr="00536A48">
        <w:rPr>
          <w:rFonts w:cstheme="minorHAnsi"/>
          <w:bCs/>
          <w:color w:val="FF0000"/>
        </w:rPr>
        <w:t>six hospitals</w:t>
      </w:r>
      <w:r w:rsidR="00C51EB7">
        <w:rPr>
          <w:rFonts w:cstheme="minorHAnsi"/>
          <w:bCs/>
          <w:color w:val="FF0000"/>
        </w:rPr>
        <w:t xml:space="preserve"> in this dataset</w:t>
      </w:r>
      <w:r w:rsidR="00411CA8">
        <w:rPr>
          <w:rFonts w:cstheme="minorHAnsi"/>
          <w:bCs/>
          <w:color w:val="FF0000"/>
        </w:rPr>
        <w:t xml:space="preserve">, </w:t>
      </w:r>
      <w:bookmarkStart w:id="56" w:name="_Hlk531359772"/>
      <w:r w:rsidR="00411CA8">
        <w:rPr>
          <w:rFonts w:cstheme="minorHAnsi"/>
          <w:bCs/>
          <w:color w:val="FF0000"/>
        </w:rPr>
        <w:t xml:space="preserve">demonstrating a quality signal, </w:t>
      </w:r>
      <w:bookmarkEnd w:id="56"/>
      <w:r w:rsidR="00C51EB7">
        <w:rPr>
          <w:rFonts w:cstheme="minorHAnsi"/>
          <w:bCs/>
          <w:color w:val="FF0000"/>
        </w:rPr>
        <w:t>suggesting room for improvement in rates of severe hypoglycemia among admitted patients</w:t>
      </w:r>
      <w:r w:rsidR="006E6FE1" w:rsidRPr="00536A48">
        <w:rPr>
          <w:rFonts w:cstheme="minorHAnsi"/>
          <w:bCs/>
          <w:color w:val="FF0000"/>
        </w:rPr>
        <w:t xml:space="preserve">. </w:t>
      </w:r>
    </w:p>
    <w:p w14:paraId="4376D50F" w14:textId="18F7B439" w:rsidR="00B659CB" w:rsidRDefault="00B659CB"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71C99E95" w14:textId="494F891E" w:rsidR="00B659CB" w:rsidRDefault="00B659CB" w:rsidP="00A4533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E26040">
        <w:rPr>
          <w:rFonts w:cstheme="minorHAnsi"/>
          <w:bCs/>
          <w:color w:val="FF0000"/>
          <w:u w:val="single"/>
        </w:rPr>
        <w:t>References</w:t>
      </w:r>
      <w:r>
        <w:rPr>
          <w:rFonts w:cstheme="minorHAnsi"/>
          <w:bCs/>
          <w:color w:val="FF0000"/>
        </w:rPr>
        <w:t xml:space="preserve">: </w:t>
      </w:r>
    </w:p>
    <w:p w14:paraId="6D30C66F" w14:textId="77777777" w:rsidR="008760C9" w:rsidRDefault="008760C9" w:rsidP="008760C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Nirantharakumar, K., Marshall, T., Kennedy, A., Narendran, P., Hemming, K., &amp; Coleman, J. J. (2012). Hypoglycaemia is associated</w:t>
      </w:r>
    </w:p>
    <w:p w14:paraId="24DB5E01" w14:textId="3B5A67D8" w:rsidR="008760C9" w:rsidRDefault="008760C9" w:rsidP="008760C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with increased length of stay and mortality in people with diabetes who are hospitalized. Diabetic Medicine, 29(12), e445-e448.</w:t>
      </w:r>
    </w:p>
    <w:p w14:paraId="489CE9E2" w14:textId="77777777" w:rsidR="008760C9" w:rsidRDefault="008760C9" w:rsidP="008760C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Wexler, D. J., Meigs, J. B., Cagliero, E., Nathan, D. M., &amp; Grant, R. W. (2007). Prevalence of hyper- and hypoglycemia among</w:t>
      </w:r>
    </w:p>
    <w:p w14:paraId="56A3746D" w14:textId="46C55BAB" w:rsidR="008760C9" w:rsidRDefault="008760C9" w:rsidP="008760C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inpatients with diabetes: A national survey of 44 U.S. hospitals. Diabetes Care, 30(2), 367-369.</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BA791D" w:rsidRDefault="00021170" w:rsidP="00DB3627">
      <w:pPr>
        <w:autoSpaceDE w:val="0"/>
        <w:autoSpaceDN w:val="0"/>
        <w:adjustRightInd w:val="0"/>
        <w:spacing w:after="0" w:line="240" w:lineRule="auto"/>
        <w:rPr>
          <w:rFonts w:cstheme="minorHAnsi"/>
          <w:b/>
          <w:bCs/>
          <w:highlight w:val="lightGray"/>
        </w:rPr>
      </w:pPr>
      <w:r w:rsidRPr="00BA791D">
        <w:rPr>
          <w:rFonts w:cstheme="minorHAnsi"/>
          <w:b/>
          <w:bCs/>
          <w:highlight w:val="lightGray"/>
        </w:rPr>
        <w:t>2</w:t>
      </w:r>
      <w:r w:rsidR="00EA5F47" w:rsidRPr="00BA791D">
        <w:rPr>
          <w:rFonts w:cstheme="minorHAnsi"/>
          <w:b/>
          <w:bCs/>
          <w:highlight w:val="lightGray"/>
        </w:rPr>
        <w:t>b</w:t>
      </w:r>
      <w:r w:rsidR="009C7513" w:rsidRPr="00BA791D">
        <w:rPr>
          <w:rFonts w:cstheme="minorHAnsi"/>
          <w:b/>
          <w:bCs/>
          <w:highlight w:val="lightGray"/>
        </w:rPr>
        <w:t>5</w:t>
      </w:r>
      <w:r w:rsidRPr="00BA791D">
        <w:rPr>
          <w:rFonts w:cstheme="minorHAnsi"/>
          <w:b/>
          <w:bCs/>
          <w:highlight w:val="lightGray"/>
        </w:rPr>
        <w:t xml:space="preserve">. COMPARABILITY OF PERFORMANCE SCORES </w:t>
      </w:r>
      <w:r w:rsidR="004C498F" w:rsidRPr="00BA791D">
        <w:rPr>
          <w:rFonts w:cstheme="minorHAnsi"/>
          <w:b/>
          <w:bCs/>
          <w:highlight w:val="lightGray"/>
        </w:rPr>
        <w:t>WHEN</w:t>
      </w:r>
      <w:r w:rsidR="002B2116" w:rsidRPr="00BA791D">
        <w:rPr>
          <w:rFonts w:cstheme="minorHAnsi"/>
          <w:b/>
          <w:bCs/>
          <w:highlight w:val="lightGray"/>
        </w:rPr>
        <w:t xml:space="preserve"> MORE THAN ONE SET OF SPECIFICATIONS </w:t>
      </w:r>
    </w:p>
    <w:p w14:paraId="0CABD00F" w14:textId="77777777" w:rsidR="00567D12" w:rsidRPr="00BA791D" w:rsidRDefault="00567D12" w:rsidP="00567D12">
      <w:pPr>
        <w:spacing w:after="0" w:line="240" w:lineRule="auto"/>
        <w:rPr>
          <w:rFonts w:cstheme="minorHAnsi"/>
          <w:b/>
          <w:bCs/>
          <w:highlight w:val="lightGray"/>
        </w:rPr>
      </w:pPr>
      <w:r w:rsidRPr="00BA791D">
        <w:rPr>
          <w:rFonts w:cstheme="minorHAnsi"/>
          <w:b/>
          <w:bCs/>
          <w:i/>
          <w:highlight w:val="lightGray"/>
        </w:rPr>
        <w:t xml:space="preserve">If only one set of specifications, this section can be </w:t>
      </w:r>
      <w:r w:rsidR="00BE592D" w:rsidRPr="00BA791D">
        <w:rPr>
          <w:rFonts w:cstheme="minorHAnsi"/>
          <w:b/>
          <w:bCs/>
          <w:i/>
          <w:highlight w:val="lightGray"/>
        </w:rPr>
        <w:t>skipped.</w:t>
      </w:r>
    </w:p>
    <w:p w14:paraId="0CABD010" w14:textId="77777777" w:rsidR="00567D12" w:rsidRPr="00BA791D" w:rsidRDefault="00567D12" w:rsidP="00DB3627">
      <w:pPr>
        <w:autoSpaceDE w:val="0"/>
        <w:autoSpaceDN w:val="0"/>
        <w:adjustRightInd w:val="0"/>
        <w:spacing w:after="0" w:line="240" w:lineRule="auto"/>
        <w:rPr>
          <w:rFonts w:cstheme="minorHAnsi"/>
          <w:b/>
          <w:bCs/>
          <w:highlight w:val="lightGray"/>
        </w:rPr>
      </w:pPr>
    </w:p>
    <w:p w14:paraId="0CABD011" w14:textId="52777D4F" w:rsidR="00052A6F" w:rsidRPr="00BA791D" w:rsidRDefault="002B2116" w:rsidP="00DB3627">
      <w:pPr>
        <w:autoSpaceDE w:val="0"/>
        <w:autoSpaceDN w:val="0"/>
        <w:adjustRightInd w:val="0"/>
        <w:spacing w:after="0" w:line="240" w:lineRule="auto"/>
        <w:rPr>
          <w:rFonts w:cstheme="minorHAnsi"/>
          <w:bCs/>
          <w:i/>
          <w:highlight w:val="lightGray"/>
        </w:rPr>
      </w:pPr>
      <w:r w:rsidRPr="00BA791D">
        <w:rPr>
          <w:rFonts w:cstheme="minorHAnsi"/>
          <w:b/>
          <w:bCs/>
          <w:highlight w:val="lightGray"/>
          <w:u w:val="single"/>
        </w:rPr>
        <w:t>Note</w:t>
      </w:r>
      <w:r w:rsidRPr="00BA791D">
        <w:rPr>
          <w:rFonts w:cstheme="minorHAnsi"/>
          <w:bCs/>
          <w:i/>
          <w:highlight w:val="lightGray"/>
        </w:rPr>
        <w:t xml:space="preserve">: </w:t>
      </w:r>
      <w:r w:rsidR="00F1412B" w:rsidRPr="00BA791D">
        <w:rPr>
          <w:rFonts w:ascii="Calibri-Italic" w:eastAsiaTheme="minorHAnsi" w:hAnsi="Calibri-Italic" w:cs="Calibri-Italic"/>
          <w:i/>
          <w:iCs/>
          <w:highlight w:val="lightGray"/>
        </w:rPr>
        <w:t xml:space="preserve">This item is directed to measures that are risk-adjusted (with or without </w:t>
      </w:r>
      <w:r w:rsidR="00AF2D68" w:rsidRPr="00BA791D">
        <w:rPr>
          <w:rFonts w:ascii="Calibri-Italic" w:eastAsiaTheme="minorHAnsi" w:hAnsi="Calibri-Italic" w:cs="Calibri-Italic"/>
          <w:i/>
          <w:iCs/>
          <w:highlight w:val="lightGray"/>
        </w:rPr>
        <w:t>social risk</w:t>
      </w:r>
      <w:r w:rsidR="00F1412B" w:rsidRPr="00BA791D">
        <w:rPr>
          <w:rFonts w:ascii="Calibri-Italic" w:eastAsiaTheme="minorHAnsi" w:hAnsi="Calibri-Italic" w:cs="Calibri-Italic"/>
          <w:i/>
          <w:iCs/>
          <w:highlight w:val="lightGray"/>
        </w:rPr>
        <w:t xml:space="preserve"> factors) </w:t>
      </w:r>
      <w:r w:rsidR="00F1412B" w:rsidRPr="00BA791D">
        <w:rPr>
          <w:rFonts w:ascii="Calibri-Italic" w:eastAsiaTheme="minorHAnsi" w:hAnsi="Calibri-Italic" w:cs="Calibri-Italic"/>
          <w:b/>
          <w:i/>
          <w:iCs/>
          <w:highlight w:val="lightGray"/>
        </w:rPr>
        <w:t>OR</w:t>
      </w:r>
      <w:r w:rsidR="00F1412B" w:rsidRPr="00BA791D">
        <w:rPr>
          <w:rFonts w:ascii="Calibri-Italic" w:eastAsiaTheme="minorHAnsi" w:hAnsi="Calibri-Italic" w:cs="Calibri-Italic"/>
          <w:i/>
          <w:iCs/>
          <w:highlight w:val="lightGray"/>
        </w:rPr>
        <w:t xml:space="preserve"> to measures with more than one set of specifications/instructions (e.g., one set of specifications for how to identify and compute the measure from medical record abstraction and a different set of specifications </w:t>
      </w:r>
      <w:r w:rsidR="00F1412B" w:rsidRPr="00BA791D">
        <w:rPr>
          <w:rFonts w:ascii="Calibri-Italic" w:eastAsiaTheme="minorHAnsi" w:hAnsi="Calibri-Italic" w:cs="Calibri-Italic"/>
          <w:i/>
          <w:iCs/>
          <w:highlight w:val="lightGray"/>
        </w:rPr>
        <w:lastRenderedPageBreak/>
        <w:t xml:space="preserve">for claims or eMeasures). It does not apply to measures that use more than one source of data in one set of specifications/instructions (e.g., claims data to identify the denominator and medical record abstraction for the numerator). </w:t>
      </w:r>
      <w:r w:rsidR="00F1412B" w:rsidRPr="00BA791D">
        <w:rPr>
          <w:rFonts w:ascii="Calibri-BoldItalic" w:eastAsiaTheme="minorHAnsi" w:hAnsi="Calibri-BoldItalic" w:cs="Calibri-BoldItalic"/>
          <w:b/>
          <w:bCs/>
          <w:i/>
          <w:iCs/>
          <w:highlight w:val="lightGray"/>
        </w:rPr>
        <w:t xml:space="preserve">Comparability is not required when comparing performance scores with and without </w:t>
      </w:r>
      <w:r w:rsidR="00AF2D68" w:rsidRPr="00BA791D">
        <w:rPr>
          <w:rFonts w:ascii="Calibri-BoldItalic" w:eastAsiaTheme="minorHAnsi" w:hAnsi="Calibri-BoldItalic" w:cs="Calibri-BoldItalic"/>
          <w:b/>
          <w:bCs/>
          <w:i/>
          <w:iCs/>
          <w:highlight w:val="lightGray"/>
        </w:rPr>
        <w:t>social risk</w:t>
      </w:r>
      <w:r w:rsidR="00F1412B" w:rsidRPr="00BA791D">
        <w:rPr>
          <w:rFonts w:ascii="Calibri-BoldItalic" w:eastAsiaTheme="minorHAnsi" w:hAnsi="Calibri-BoldItalic" w:cs="Calibri-BoldItalic"/>
          <w:b/>
          <w:bCs/>
          <w:i/>
          <w:iCs/>
          <w:highlight w:val="lightGray"/>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BA791D" w:rsidRDefault="000F06B5" w:rsidP="00DB3627">
      <w:pPr>
        <w:autoSpaceDE w:val="0"/>
        <w:autoSpaceDN w:val="0"/>
        <w:adjustRightInd w:val="0"/>
        <w:spacing w:after="0" w:line="240" w:lineRule="auto"/>
        <w:rPr>
          <w:rFonts w:cstheme="minorHAnsi"/>
          <w:bCs/>
          <w:highlight w:val="lightGray"/>
        </w:rPr>
      </w:pPr>
    </w:p>
    <w:p w14:paraId="0CABD013" w14:textId="050CD570" w:rsidR="000F06B5" w:rsidRPr="00BA791D" w:rsidRDefault="009C7513" w:rsidP="00DB3627">
      <w:pPr>
        <w:autoSpaceDE w:val="0"/>
        <w:autoSpaceDN w:val="0"/>
        <w:adjustRightInd w:val="0"/>
        <w:spacing w:after="0" w:line="240" w:lineRule="auto"/>
        <w:rPr>
          <w:rFonts w:cstheme="minorHAnsi"/>
          <w:bCs/>
          <w:sz w:val="14"/>
          <w:highlight w:val="lightGray"/>
        </w:rPr>
      </w:pPr>
      <w:r w:rsidRPr="00BA791D">
        <w:rPr>
          <w:rFonts w:cstheme="minorHAnsi"/>
          <w:b/>
          <w:bCs/>
          <w:highlight w:val="lightGray"/>
        </w:rPr>
        <w:t>2b5</w:t>
      </w:r>
      <w:r w:rsidR="00E1508F" w:rsidRPr="00BA791D">
        <w:rPr>
          <w:rFonts w:cstheme="minorHAnsi"/>
          <w:b/>
          <w:bCs/>
          <w:highlight w:val="lightGray"/>
        </w:rPr>
        <w:t xml:space="preserve">.1. </w:t>
      </w:r>
      <w:r w:rsidR="008871A9" w:rsidRPr="00BA791D">
        <w:rPr>
          <w:rFonts w:cstheme="minorHAnsi"/>
          <w:b/>
          <w:bCs/>
          <w:highlight w:val="lightGray"/>
        </w:rPr>
        <w:t xml:space="preserve">Describe the method of </w:t>
      </w:r>
      <w:r w:rsidR="000F06B5" w:rsidRPr="00BA791D">
        <w:rPr>
          <w:rFonts w:cstheme="minorHAnsi"/>
          <w:b/>
          <w:bCs/>
          <w:highlight w:val="lightGray"/>
        </w:rPr>
        <w:t>testing conducted</w:t>
      </w:r>
      <w:r w:rsidR="008871A9" w:rsidRPr="00BA791D">
        <w:rPr>
          <w:rFonts w:cstheme="minorHAnsi"/>
          <w:b/>
          <w:bCs/>
          <w:highlight w:val="lightGray"/>
        </w:rPr>
        <w:t xml:space="preserve"> to </w:t>
      </w:r>
      <w:r w:rsidR="00F1412B" w:rsidRPr="00BA791D">
        <w:rPr>
          <w:rFonts w:cstheme="minorHAnsi"/>
          <w:b/>
          <w:bCs/>
          <w:highlight w:val="lightGray"/>
        </w:rPr>
        <w:t>compare</w:t>
      </w:r>
      <w:r w:rsidR="004B6CEE" w:rsidRPr="00BA791D">
        <w:rPr>
          <w:rFonts w:cstheme="minorHAnsi"/>
          <w:b/>
          <w:bCs/>
          <w:highlight w:val="lightGray"/>
        </w:rPr>
        <w:t xml:space="preserve"> performance scores </w:t>
      </w:r>
      <w:r w:rsidR="00A35F8F" w:rsidRPr="00BA791D">
        <w:rPr>
          <w:rFonts w:cstheme="minorHAnsi"/>
          <w:b/>
          <w:bCs/>
          <w:highlight w:val="lightGray"/>
        </w:rPr>
        <w:t xml:space="preserve">for the same entities </w:t>
      </w:r>
      <w:r w:rsidR="00287649" w:rsidRPr="00BA791D">
        <w:rPr>
          <w:rFonts w:cstheme="minorHAnsi"/>
          <w:b/>
          <w:bCs/>
          <w:highlight w:val="lightGray"/>
        </w:rPr>
        <w:t xml:space="preserve">across the different </w:t>
      </w:r>
      <w:r w:rsidR="00864CA8" w:rsidRPr="00BA791D">
        <w:rPr>
          <w:rFonts w:cstheme="minorHAnsi"/>
          <w:b/>
          <w:bCs/>
          <w:highlight w:val="lightGray"/>
        </w:rPr>
        <w:t>data</w:t>
      </w:r>
      <w:r w:rsidR="0028114D" w:rsidRPr="00BA791D">
        <w:rPr>
          <w:rFonts w:cstheme="minorHAnsi"/>
          <w:b/>
          <w:bCs/>
          <w:highlight w:val="lightGray"/>
        </w:rPr>
        <w:t xml:space="preserve"> </w:t>
      </w:r>
      <w:r w:rsidR="00864CA8" w:rsidRPr="00BA791D">
        <w:rPr>
          <w:rFonts w:cstheme="minorHAnsi"/>
          <w:b/>
          <w:bCs/>
          <w:highlight w:val="lightGray"/>
        </w:rPr>
        <w:t>sources/</w:t>
      </w:r>
      <w:r w:rsidR="00287649" w:rsidRPr="00BA791D">
        <w:rPr>
          <w:rFonts w:cstheme="minorHAnsi"/>
          <w:b/>
          <w:bCs/>
          <w:highlight w:val="lightGray"/>
        </w:rPr>
        <w:t>specifications</w:t>
      </w:r>
      <w:r w:rsidR="000F06B5" w:rsidRPr="00BA791D">
        <w:rPr>
          <w:rFonts w:cstheme="minorHAnsi"/>
          <w:bCs/>
          <w:highlight w:val="lightGray"/>
        </w:rPr>
        <w:t xml:space="preserve"> (</w:t>
      </w:r>
      <w:r w:rsidR="008871A9" w:rsidRPr="00BA791D">
        <w:rPr>
          <w:rFonts w:cstheme="minorHAnsi"/>
          <w:bCs/>
          <w:i/>
          <w:highlight w:val="lightGray"/>
        </w:rPr>
        <w:t>describe the steps―do not just name a method</w:t>
      </w:r>
      <w:r w:rsidR="006C3A4F" w:rsidRPr="00BA791D">
        <w:rPr>
          <w:rFonts w:cstheme="minorHAnsi"/>
          <w:bCs/>
          <w:i/>
          <w:highlight w:val="lightGray"/>
        </w:rPr>
        <w:t>; what statistical analysis was used</w:t>
      </w:r>
      <w:r w:rsidR="000F06B5" w:rsidRPr="00BA791D">
        <w:rPr>
          <w:rFonts w:cstheme="minorHAnsi"/>
          <w:bCs/>
          <w:highlight w:val="lightGray"/>
        </w:rPr>
        <w:t>)</w:t>
      </w:r>
      <w:r w:rsidR="000F06B5" w:rsidRPr="00BA791D">
        <w:rPr>
          <w:rFonts w:cstheme="minorHAnsi"/>
          <w:bCs/>
          <w:highlight w:val="lightGray"/>
        </w:rPr>
        <w:br/>
        <w:t xml:space="preserve"> </w:t>
      </w:r>
    </w:p>
    <w:p w14:paraId="0CABD014" w14:textId="77777777" w:rsidR="000F06B5" w:rsidRPr="00BA791D" w:rsidRDefault="000F06B5" w:rsidP="00DB3627">
      <w:pPr>
        <w:pStyle w:val="ListParagraph"/>
        <w:autoSpaceDE w:val="0"/>
        <w:autoSpaceDN w:val="0"/>
        <w:adjustRightInd w:val="0"/>
        <w:spacing w:after="0" w:line="240" w:lineRule="auto"/>
        <w:ind w:left="0"/>
        <w:rPr>
          <w:rFonts w:cstheme="minorHAnsi"/>
          <w:bCs/>
          <w:highlight w:val="lightGray"/>
        </w:rPr>
      </w:pPr>
    </w:p>
    <w:p w14:paraId="0CABD015" w14:textId="377012FB" w:rsidR="00A35F8F" w:rsidRPr="00BA791D" w:rsidRDefault="009C7513" w:rsidP="00E1508F">
      <w:pPr>
        <w:autoSpaceDE w:val="0"/>
        <w:autoSpaceDN w:val="0"/>
        <w:adjustRightInd w:val="0"/>
        <w:spacing w:after="0" w:line="240" w:lineRule="auto"/>
        <w:rPr>
          <w:rFonts w:cstheme="minorHAnsi"/>
          <w:bCs/>
          <w:highlight w:val="lightGray"/>
        </w:rPr>
      </w:pPr>
      <w:r w:rsidRPr="00BA791D">
        <w:rPr>
          <w:rFonts w:cstheme="minorHAnsi"/>
          <w:b/>
          <w:bCs/>
          <w:highlight w:val="lightGray"/>
        </w:rPr>
        <w:t>2b5</w:t>
      </w:r>
      <w:r w:rsidR="00E1508F" w:rsidRPr="00BA791D">
        <w:rPr>
          <w:rFonts w:cstheme="minorHAnsi"/>
          <w:b/>
          <w:bCs/>
          <w:highlight w:val="lightGray"/>
        </w:rPr>
        <w:t xml:space="preserve">.2. </w:t>
      </w:r>
      <w:r w:rsidR="000F06B5" w:rsidRPr="00BA791D">
        <w:rPr>
          <w:rFonts w:cstheme="minorHAnsi"/>
          <w:b/>
          <w:bCs/>
          <w:highlight w:val="lightGray"/>
        </w:rPr>
        <w:t xml:space="preserve">What were the statistical results </w:t>
      </w:r>
      <w:r w:rsidR="00A35F8F" w:rsidRPr="00BA791D">
        <w:rPr>
          <w:rFonts w:cstheme="minorHAnsi"/>
          <w:b/>
          <w:bCs/>
          <w:highlight w:val="lightGray"/>
        </w:rPr>
        <w:t>from testing</w:t>
      </w:r>
      <w:r w:rsidR="000F06B5" w:rsidRPr="00BA791D">
        <w:rPr>
          <w:rFonts w:cstheme="minorHAnsi"/>
          <w:b/>
          <w:bCs/>
          <w:highlight w:val="lightGray"/>
        </w:rPr>
        <w:t xml:space="preserve"> comparability of performance scores for the same entities when using different </w:t>
      </w:r>
      <w:r w:rsidR="00864CA8" w:rsidRPr="00BA791D">
        <w:rPr>
          <w:rFonts w:cstheme="minorHAnsi"/>
          <w:b/>
          <w:bCs/>
          <w:highlight w:val="lightGray"/>
        </w:rPr>
        <w:t>data sources/</w:t>
      </w:r>
      <w:r w:rsidR="000F06B5" w:rsidRPr="00BA791D">
        <w:rPr>
          <w:rFonts w:cstheme="minorHAnsi"/>
          <w:b/>
          <w:bCs/>
          <w:highlight w:val="lightGray"/>
        </w:rPr>
        <w:t>specifications?</w:t>
      </w:r>
      <w:r w:rsidR="000F06B5" w:rsidRPr="00BA791D">
        <w:rPr>
          <w:rFonts w:cstheme="minorHAnsi"/>
          <w:bCs/>
          <w:highlight w:val="lightGray"/>
        </w:rPr>
        <w:t xml:space="preserve"> </w:t>
      </w:r>
      <w:r w:rsidR="00287649" w:rsidRPr="00BA791D">
        <w:rPr>
          <w:rFonts w:cstheme="minorHAnsi"/>
          <w:bCs/>
          <w:highlight w:val="lightGray"/>
        </w:rPr>
        <w:t>(</w:t>
      </w:r>
      <w:r w:rsidR="00287649" w:rsidRPr="00BA791D">
        <w:rPr>
          <w:rFonts w:cstheme="minorHAnsi"/>
          <w:bCs/>
          <w:i/>
          <w:highlight w:val="lightGray"/>
        </w:rPr>
        <w:t>e.g., correlation</w:t>
      </w:r>
      <w:r w:rsidR="006C3A4F" w:rsidRPr="00BA791D">
        <w:rPr>
          <w:rFonts w:cstheme="minorHAnsi"/>
          <w:bCs/>
          <w:i/>
          <w:highlight w:val="lightGray"/>
        </w:rPr>
        <w:t>, rank order</w:t>
      </w:r>
      <w:r w:rsidR="00287649" w:rsidRPr="00BA791D">
        <w:rPr>
          <w:rFonts w:cstheme="minorHAnsi"/>
          <w:bCs/>
          <w:highlight w:val="lightGray"/>
        </w:rPr>
        <w:t>)</w:t>
      </w:r>
      <w:r w:rsidR="000F06B5" w:rsidRPr="00BA791D">
        <w:rPr>
          <w:rFonts w:cstheme="minorHAnsi"/>
          <w:bCs/>
          <w:highlight w:val="lightGray"/>
        </w:rPr>
        <w:br/>
      </w:r>
    </w:p>
    <w:p w14:paraId="0CABD016" w14:textId="77777777" w:rsidR="00E1508F" w:rsidRPr="00BA791D" w:rsidRDefault="00E1508F" w:rsidP="00E1508F">
      <w:pPr>
        <w:autoSpaceDE w:val="0"/>
        <w:autoSpaceDN w:val="0"/>
        <w:adjustRightInd w:val="0"/>
        <w:spacing w:after="0" w:line="240" w:lineRule="auto"/>
        <w:rPr>
          <w:rFonts w:cstheme="minorHAnsi"/>
          <w:bCs/>
          <w:highlight w:val="lightGray"/>
        </w:rPr>
      </w:pPr>
    </w:p>
    <w:p w14:paraId="0CABD018" w14:textId="62CCF663" w:rsidR="008F7E67" w:rsidRDefault="009C7513" w:rsidP="002D75EE">
      <w:pPr>
        <w:autoSpaceDE w:val="0"/>
        <w:autoSpaceDN w:val="0"/>
        <w:adjustRightInd w:val="0"/>
        <w:spacing w:after="0" w:line="240" w:lineRule="auto"/>
        <w:rPr>
          <w:rFonts w:cstheme="minorHAnsi"/>
          <w:b/>
          <w:bCs/>
        </w:rPr>
      </w:pPr>
      <w:r w:rsidRPr="00BA791D">
        <w:rPr>
          <w:rFonts w:cstheme="minorHAnsi"/>
          <w:b/>
          <w:bCs/>
          <w:highlight w:val="lightGray"/>
        </w:rPr>
        <w:t>2b5</w:t>
      </w:r>
      <w:r w:rsidR="00E1508F" w:rsidRPr="00BA791D">
        <w:rPr>
          <w:rFonts w:cstheme="minorHAnsi"/>
          <w:b/>
          <w:bCs/>
          <w:highlight w:val="lightGray"/>
        </w:rPr>
        <w:t xml:space="preserve">.3. </w:t>
      </w:r>
      <w:r w:rsidR="002B0C3A" w:rsidRPr="00BA791D">
        <w:rPr>
          <w:rFonts w:cstheme="minorHAnsi"/>
          <w:b/>
          <w:bCs/>
          <w:highlight w:val="lightGray"/>
        </w:rPr>
        <w:t xml:space="preserve">What is your interpretation of the results </w:t>
      </w:r>
      <w:r w:rsidR="00A35F8F" w:rsidRPr="00BA791D">
        <w:rPr>
          <w:rFonts w:cstheme="minorHAnsi"/>
          <w:b/>
          <w:bCs/>
          <w:highlight w:val="lightGray"/>
        </w:rPr>
        <w:t xml:space="preserve">in terms of </w:t>
      </w:r>
      <w:r w:rsidR="00F1412B" w:rsidRPr="00BA791D">
        <w:rPr>
          <w:rFonts w:cstheme="minorHAnsi"/>
          <w:b/>
          <w:bCs/>
          <w:highlight w:val="lightGray"/>
        </w:rPr>
        <w:t>the differences in</w:t>
      </w:r>
      <w:r w:rsidR="002B0C3A" w:rsidRPr="00BA791D">
        <w:rPr>
          <w:rFonts w:cstheme="minorHAnsi"/>
          <w:b/>
          <w:bCs/>
          <w:highlight w:val="lightGray"/>
        </w:rPr>
        <w:t xml:space="preserve"> performance measure scores </w:t>
      </w:r>
      <w:r w:rsidR="00287649" w:rsidRPr="00BA791D">
        <w:rPr>
          <w:rFonts w:cstheme="minorHAnsi"/>
          <w:b/>
          <w:bCs/>
          <w:highlight w:val="lightGray"/>
        </w:rPr>
        <w:t xml:space="preserve">for the same entities across the different </w:t>
      </w:r>
      <w:r w:rsidR="00864CA8" w:rsidRPr="00BA791D">
        <w:rPr>
          <w:rFonts w:cstheme="minorHAnsi"/>
          <w:b/>
          <w:bCs/>
          <w:highlight w:val="lightGray"/>
        </w:rPr>
        <w:t>data sources/</w:t>
      </w:r>
      <w:r w:rsidR="00287649" w:rsidRPr="00BA791D">
        <w:rPr>
          <w:rFonts w:cstheme="minorHAnsi"/>
          <w:b/>
          <w:bCs/>
          <w:highlight w:val="lightGray"/>
        </w:rPr>
        <w:t>specifications</w:t>
      </w:r>
      <w:r w:rsidR="002B0C3A" w:rsidRPr="00BA791D">
        <w:rPr>
          <w:rFonts w:cstheme="minorHAnsi"/>
          <w:b/>
          <w:bCs/>
          <w:highlight w:val="lightGray"/>
        </w:rPr>
        <w:t>?</w:t>
      </w:r>
      <w:r w:rsidR="00A35F8F" w:rsidRPr="00BA791D">
        <w:rPr>
          <w:rFonts w:cstheme="minorHAnsi"/>
          <w:bCs/>
          <w:highlight w:val="lightGray"/>
        </w:rPr>
        <w:t xml:space="preserve"> </w:t>
      </w:r>
      <w:r w:rsidR="002B0C3A" w:rsidRPr="00BA791D">
        <w:rPr>
          <w:rFonts w:cstheme="minorHAnsi"/>
          <w:bCs/>
          <w:highlight w:val="lightGray"/>
        </w:rPr>
        <w:t>(i</w:t>
      </w:r>
      <w:r w:rsidR="002B0C3A" w:rsidRPr="00BA791D">
        <w:rPr>
          <w:rFonts w:cstheme="minorHAnsi"/>
          <w:bCs/>
          <w:i/>
          <w:highlight w:val="lightGray"/>
        </w:rPr>
        <w:t>.e., what do the results mean and what are the norms for the test conducted</w:t>
      </w:r>
      <w:r w:rsidR="002B0C3A" w:rsidRPr="00BA791D">
        <w:rPr>
          <w:rFonts w:cstheme="minorHAnsi"/>
          <w:bCs/>
          <w:highlight w:val="lightGray"/>
        </w:rPr>
        <w:t>)</w:t>
      </w:r>
      <w:r w:rsidR="00A35F8F" w:rsidRPr="00DB3627">
        <w:rPr>
          <w:rFonts w:cstheme="minorHAnsi"/>
          <w:bCs/>
        </w:rPr>
        <w:br/>
      </w:r>
      <w:r w:rsidR="008F7E67">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680925D" w14:textId="77777777" w:rsidR="00807296" w:rsidRDefault="009C7513" w:rsidP="00807296">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0F48FB23" w14:textId="7217F55F" w:rsidR="00D7021A" w:rsidRDefault="001F159A" w:rsidP="006C14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1F159A">
        <w:rPr>
          <w:rFonts w:cstheme="minorHAnsi"/>
          <w:bCs/>
          <w:color w:val="FF0000"/>
        </w:rPr>
        <w:t xml:space="preserve">We quantitatively assessed data element feasibility using the rate of missing for each required </w:t>
      </w:r>
      <w:r w:rsidR="00C958D3">
        <w:rPr>
          <w:rFonts w:cstheme="minorHAnsi"/>
          <w:bCs/>
          <w:color w:val="FF0000"/>
        </w:rPr>
        <w:t xml:space="preserve">EHR </w:t>
      </w:r>
      <w:r w:rsidRPr="001F159A">
        <w:rPr>
          <w:rFonts w:cstheme="minorHAnsi"/>
          <w:bCs/>
          <w:color w:val="FF0000"/>
        </w:rPr>
        <w:t xml:space="preserve">data element </w:t>
      </w:r>
      <w:r w:rsidR="00C958D3">
        <w:rPr>
          <w:rFonts w:cstheme="minorHAnsi"/>
          <w:bCs/>
          <w:color w:val="FF0000"/>
        </w:rPr>
        <w:t>for measure calculation.</w:t>
      </w:r>
    </w:p>
    <w:p w14:paraId="4479BFEF" w14:textId="77777777" w:rsidR="00D7021A" w:rsidRDefault="00D7021A" w:rsidP="006C14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1BAF845C" w14:textId="19358256" w:rsidR="00807296" w:rsidRPr="00807296" w:rsidRDefault="00807296" w:rsidP="006C14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807296">
        <w:rPr>
          <w:rFonts w:cstheme="minorHAnsi"/>
          <w:bCs/>
          <w:color w:val="FF0000"/>
        </w:rPr>
        <w:t xml:space="preserve">For the EHR data elements used in this measure, we anticipate that there </w:t>
      </w:r>
      <w:r w:rsidR="00C958D3">
        <w:rPr>
          <w:rFonts w:cstheme="minorHAnsi"/>
          <w:bCs/>
          <w:color w:val="FF0000"/>
        </w:rPr>
        <w:t xml:space="preserve">may </w:t>
      </w:r>
      <w:r w:rsidRPr="00807296">
        <w:rPr>
          <w:rFonts w:cstheme="minorHAnsi"/>
          <w:bCs/>
          <w:color w:val="FF0000"/>
        </w:rPr>
        <w:t>be some missing data. However, we included only those variables that we expect to be consistently obtained in the ta</w:t>
      </w:r>
      <w:r w:rsidR="00460C87">
        <w:rPr>
          <w:rFonts w:cstheme="minorHAnsi"/>
          <w:bCs/>
          <w:color w:val="FF0000"/>
        </w:rPr>
        <w:t xml:space="preserve">rget population, available in </w:t>
      </w:r>
      <w:r w:rsidRPr="00807296">
        <w:rPr>
          <w:rFonts w:cstheme="minorHAnsi"/>
          <w:bCs/>
          <w:color w:val="FF0000"/>
        </w:rPr>
        <w:t>structured field</w:t>
      </w:r>
      <w:r w:rsidR="00460C87">
        <w:rPr>
          <w:rFonts w:cstheme="minorHAnsi"/>
          <w:bCs/>
          <w:color w:val="FF0000"/>
        </w:rPr>
        <w:t>s</w:t>
      </w:r>
      <w:r w:rsidRPr="00807296">
        <w:rPr>
          <w:rFonts w:cstheme="minorHAnsi"/>
          <w:bCs/>
          <w:color w:val="FF0000"/>
        </w:rPr>
        <w:t xml:space="preserve">, and captured as part of the standard care workflow.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33809F80" w14:textId="77777777" w:rsidR="006F2F20" w:rsidRDefault="006F2F20" w:rsidP="008F7E67">
      <w:pPr>
        <w:autoSpaceDE w:val="0"/>
        <w:autoSpaceDN w:val="0"/>
        <w:adjustRightInd w:val="0"/>
        <w:spacing w:after="0" w:line="240" w:lineRule="auto"/>
        <w:rPr>
          <w:rFonts w:cstheme="minorHAnsi"/>
          <w:b/>
          <w:bCs/>
        </w:rPr>
        <w:sectPr w:rsidR="006F2F20" w:rsidSect="006F2F20">
          <w:pgSz w:w="12240" w:h="15840"/>
          <w:pgMar w:top="1440" w:right="1440" w:bottom="1440" w:left="1440" w:header="720" w:footer="720" w:gutter="0"/>
          <w:cols w:space="720"/>
          <w:docGrid w:linePitch="360"/>
        </w:sectPr>
      </w:pPr>
    </w:p>
    <w:p w14:paraId="2BD776C1" w14:textId="372D1D52" w:rsidR="00EE1605" w:rsidRDefault="009C7513" w:rsidP="008F7E67">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540B16F0" w14:textId="6BB55032" w:rsidR="009B271A" w:rsidRPr="00F0224A" w:rsidRDefault="00281A5B" w:rsidP="00F0224A">
      <w:pPr>
        <w:pStyle w:val="Caption"/>
      </w:pPr>
      <w:r>
        <w:t xml:space="preserve">Table </w:t>
      </w:r>
      <w:r w:rsidR="00C01159">
        <w:t>7</w:t>
      </w:r>
      <w:r>
        <w:t>. Frequency of Missing Data by Data E</w:t>
      </w:r>
      <w:r w:rsidR="00E16463" w:rsidRPr="00807296">
        <w:t xml:space="preserve">lement </w:t>
      </w:r>
      <w:r>
        <w:t>R</w:t>
      </w:r>
      <w:r w:rsidR="00783C70">
        <w:t xml:space="preserve">equired for </w:t>
      </w:r>
      <w:r>
        <w:t>M</w:t>
      </w:r>
      <w:r w:rsidR="00D34AA8">
        <w:t xml:space="preserve">easure </w:t>
      </w:r>
      <w:r w:rsidR="00E16463" w:rsidRPr="00807296">
        <w:t>(</w:t>
      </w:r>
      <w:r w:rsidR="00D34AA8">
        <w:t xml:space="preserve">Beta </w:t>
      </w:r>
      <w:r w:rsidR="00E16463" w:rsidRPr="00807296">
        <w:t>Dataset</w:t>
      </w:r>
      <w:r w:rsidR="00783C70">
        <w:t>s</w:t>
      </w:r>
      <w:r w:rsidR="000B10F6">
        <w:t xml:space="preserve"> </w:t>
      </w:r>
      <w:r w:rsidR="00D34AA8">
        <w:t xml:space="preserve">1 </w:t>
      </w:r>
      <w:r w:rsidR="000B10F6">
        <w:t xml:space="preserve">and </w:t>
      </w:r>
      <w:r w:rsidR="00D34AA8">
        <w:t>2</w:t>
      </w:r>
      <w:r w:rsidR="00E16463" w:rsidRPr="00807296">
        <w:t>)</w:t>
      </w:r>
    </w:p>
    <w:tbl>
      <w:tblPr>
        <w:tblStyle w:val="TableGrid"/>
        <w:tblW w:w="12976" w:type="dxa"/>
        <w:tblLayout w:type="fixed"/>
        <w:tblLook w:val="04A0" w:firstRow="1" w:lastRow="0" w:firstColumn="1" w:lastColumn="0" w:noHBand="0" w:noVBand="1"/>
      </w:tblPr>
      <w:tblGrid>
        <w:gridCol w:w="5044"/>
        <w:gridCol w:w="1322"/>
        <w:gridCol w:w="1322"/>
        <w:gridCol w:w="1322"/>
        <w:gridCol w:w="1322"/>
        <w:gridCol w:w="1322"/>
        <w:gridCol w:w="1322"/>
      </w:tblGrid>
      <w:tr w:rsidR="00C12E94" w:rsidRPr="009504F1" w14:paraId="6A85AA62" w14:textId="77777777" w:rsidTr="005E7D1E">
        <w:trPr>
          <w:trHeight w:val="242"/>
        </w:trPr>
        <w:tc>
          <w:tcPr>
            <w:tcW w:w="5044" w:type="dxa"/>
            <w:vMerge w:val="restart"/>
            <w:tcBorders>
              <w:top w:val="single" w:sz="4" w:space="0" w:color="auto"/>
              <w:left w:val="single" w:sz="4" w:space="0" w:color="auto"/>
              <w:bottom w:val="single" w:sz="4" w:space="0" w:color="auto"/>
              <w:right w:val="single" w:sz="4" w:space="0" w:color="auto"/>
            </w:tcBorders>
            <w:vAlign w:val="center"/>
            <w:hideMark/>
          </w:tcPr>
          <w:p w14:paraId="18A9B41B" w14:textId="77777777" w:rsidR="00C12E94" w:rsidRPr="009504F1" w:rsidRDefault="00C12E94">
            <w:pPr>
              <w:jc w:val="center"/>
              <w:rPr>
                <w:rFonts w:eastAsia="Times New Roman" w:cstheme="minorHAnsi"/>
                <w:b/>
                <w:bCs/>
                <w:color w:val="FF0000"/>
                <w:sz w:val="20"/>
                <w:szCs w:val="20"/>
              </w:rPr>
            </w:pPr>
            <w:bookmarkStart w:id="57" w:name="_Hlk531353238"/>
            <w:r w:rsidRPr="009504F1">
              <w:rPr>
                <w:rFonts w:eastAsia="Times New Roman" w:cstheme="minorHAnsi"/>
                <w:b/>
                <w:bCs/>
                <w:color w:val="FF0000"/>
                <w:sz w:val="20"/>
                <w:szCs w:val="20"/>
              </w:rPr>
              <w:t>Data Element</w:t>
            </w:r>
          </w:p>
        </w:tc>
        <w:tc>
          <w:tcPr>
            <w:tcW w:w="3966" w:type="dxa"/>
            <w:gridSpan w:val="3"/>
            <w:tcBorders>
              <w:top w:val="single" w:sz="4" w:space="0" w:color="auto"/>
              <w:left w:val="single" w:sz="4" w:space="0" w:color="auto"/>
              <w:bottom w:val="single" w:sz="4" w:space="0" w:color="auto"/>
              <w:right w:val="single" w:sz="4" w:space="0" w:color="auto"/>
            </w:tcBorders>
          </w:tcPr>
          <w:p w14:paraId="416F3D49" w14:textId="6D48CEE2" w:rsidR="00C12E94" w:rsidRPr="009504F1" w:rsidRDefault="00C12E94">
            <w:pPr>
              <w:jc w:val="center"/>
              <w:rPr>
                <w:rFonts w:eastAsia="Times New Roman" w:cstheme="minorHAnsi"/>
                <w:b/>
                <w:color w:val="FF0000"/>
                <w:sz w:val="20"/>
                <w:szCs w:val="20"/>
              </w:rPr>
            </w:pPr>
            <w:r>
              <w:rPr>
                <w:rFonts w:eastAsia="Times New Roman" w:cstheme="minorHAnsi"/>
                <w:b/>
                <w:color w:val="FF0000"/>
                <w:sz w:val="20"/>
                <w:szCs w:val="20"/>
              </w:rPr>
              <w:t>Beta Dataset 1</w:t>
            </w:r>
          </w:p>
        </w:tc>
        <w:tc>
          <w:tcPr>
            <w:tcW w:w="3966" w:type="dxa"/>
            <w:gridSpan w:val="3"/>
            <w:tcBorders>
              <w:top w:val="single" w:sz="4" w:space="0" w:color="auto"/>
              <w:left w:val="single" w:sz="4" w:space="0" w:color="auto"/>
              <w:bottom w:val="single" w:sz="4" w:space="0" w:color="auto"/>
              <w:right w:val="single" w:sz="4" w:space="0" w:color="auto"/>
            </w:tcBorders>
          </w:tcPr>
          <w:p w14:paraId="638EEC50" w14:textId="1D35AAB7" w:rsidR="00C12E94" w:rsidRPr="009504F1" w:rsidRDefault="00C12E94">
            <w:pPr>
              <w:jc w:val="center"/>
              <w:rPr>
                <w:rFonts w:eastAsia="Times New Roman" w:cstheme="minorHAnsi"/>
                <w:b/>
                <w:color w:val="FF0000"/>
                <w:sz w:val="20"/>
                <w:szCs w:val="20"/>
              </w:rPr>
            </w:pPr>
            <w:r>
              <w:rPr>
                <w:rFonts w:eastAsia="Times New Roman" w:cstheme="minorHAnsi"/>
                <w:b/>
                <w:color w:val="FF0000"/>
                <w:sz w:val="20"/>
                <w:szCs w:val="20"/>
              </w:rPr>
              <w:t>Beta Dataset 2</w:t>
            </w:r>
          </w:p>
        </w:tc>
      </w:tr>
      <w:tr w:rsidR="0054584E" w:rsidRPr="009504F1" w14:paraId="0C1A84EC" w14:textId="77777777" w:rsidTr="00C12E94">
        <w:trPr>
          <w:trHeight w:val="442"/>
        </w:trPr>
        <w:tc>
          <w:tcPr>
            <w:tcW w:w="5044" w:type="dxa"/>
            <w:vMerge/>
            <w:tcBorders>
              <w:top w:val="single" w:sz="4" w:space="0" w:color="auto"/>
              <w:left w:val="single" w:sz="4" w:space="0" w:color="auto"/>
              <w:bottom w:val="single" w:sz="4" w:space="0" w:color="auto"/>
              <w:right w:val="single" w:sz="4" w:space="0" w:color="auto"/>
            </w:tcBorders>
            <w:vAlign w:val="center"/>
            <w:hideMark/>
          </w:tcPr>
          <w:p w14:paraId="24E6696A" w14:textId="77777777" w:rsidR="0054584E" w:rsidRPr="009504F1" w:rsidRDefault="0054584E">
            <w:pPr>
              <w:rPr>
                <w:rFonts w:eastAsia="Times New Roman" w:cstheme="minorHAnsi"/>
                <w:b/>
                <w:bCs/>
                <w:color w:val="FF0000"/>
                <w:sz w:val="20"/>
                <w:szCs w:val="20"/>
              </w:rPr>
            </w:pPr>
          </w:p>
        </w:tc>
        <w:tc>
          <w:tcPr>
            <w:tcW w:w="1322" w:type="dxa"/>
            <w:tcBorders>
              <w:top w:val="single" w:sz="4" w:space="0" w:color="auto"/>
              <w:left w:val="single" w:sz="4" w:space="0" w:color="auto"/>
              <w:bottom w:val="single" w:sz="4" w:space="0" w:color="auto"/>
              <w:right w:val="single" w:sz="4" w:space="0" w:color="auto"/>
            </w:tcBorders>
            <w:vAlign w:val="center"/>
            <w:hideMark/>
          </w:tcPr>
          <w:p w14:paraId="3666CBFE" w14:textId="77777777" w:rsidR="0054584E" w:rsidRPr="009504F1" w:rsidRDefault="0054584E">
            <w:pPr>
              <w:jc w:val="center"/>
              <w:rPr>
                <w:rFonts w:eastAsia="Times New Roman" w:cstheme="minorHAnsi"/>
                <w:b/>
                <w:color w:val="FF0000"/>
                <w:sz w:val="20"/>
                <w:szCs w:val="20"/>
              </w:rPr>
            </w:pPr>
            <w:r w:rsidRPr="009504F1">
              <w:rPr>
                <w:rFonts w:eastAsia="Times New Roman" w:cstheme="minorHAnsi"/>
                <w:b/>
                <w:color w:val="FF0000"/>
                <w:sz w:val="20"/>
                <w:szCs w:val="20"/>
              </w:rPr>
              <w:t xml:space="preserve">Missing </w:t>
            </w:r>
            <w:r w:rsidRPr="009504F1">
              <w:rPr>
                <w:rFonts w:eastAsia="Times New Roman" w:cstheme="minorHAnsi"/>
                <w:b/>
                <w:color w:val="FF0000"/>
                <w:sz w:val="20"/>
                <w:szCs w:val="20"/>
              </w:rPr>
              <w:br/>
              <w:t>Count (#)</w:t>
            </w:r>
          </w:p>
        </w:tc>
        <w:tc>
          <w:tcPr>
            <w:tcW w:w="1322" w:type="dxa"/>
            <w:tcBorders>
              <w:top w:val="single" w:sz="4" w:space="0" w:color="auto"/>
              <w:left w:val="single" w:sz="4" w:space="0" w:color="auto"/>
              <w:bottom w:val="single" w:sz="4" w:space="0" w:color="auto"/>
              <w:right w:val="single" w:sz="4" w:space="0" w:color="auto"/>
            </w:tcBorders>
          </w:tcPr>
          <w:p w14:paraId="40BB8B09" w14:textId="671FB79E" w:rsidR="0054584E" w:rsidRPr="009504F1" w:rsidRDefault="0054584E">
            <w:pPr>
              <w:jc w:val="center"/>
              <w:rPr>
                <w:rFonts w:eastAsia="Times New Roman" w:cstheme="minorHAnsi"/>
                <w:b/>
                <w:color w:val="FF0000"/>
                <w:sz w:val="20"/>
                <w:szCs w:val="20"/>
              </w:rPr>
            </w:pPr>
            <w:r>
              <w:rPr>
                <w:rFonts w:eastAsia="Times New Roman" w:cstheme="minorHAnsi"/>
                <w:b/>
                <w:color w:val="FF0000"/>
                <w:sz w:val="20"/>
                <w:szCs w:val="20"/>
              </w:rPr>
              <w:t>Encounters (#)</w:t>
            </w:r>
          </w:p>
        </w:tc>
        <w:tc>
          <w:tcPr>
            <w:tcW w:w="1322" w:type="dxa"/>
            <w:tcBorders>
              <w:top w:val="single" w:sz="4" w:space="0" w:color="auto"/>
              <w:left w:val="single" w:sz="4" w:space="0" w:color="auto"/>
              <w:bottom w:val="single" w:sz="4" w:space="0" w:color="auto"/>
              <w:right w:val="single" w:sz="4" w:space="0" w:color="auto"/>
            </w:tcBorders>
            <w:vAlign w:val="center"/>
            <w:hideMark/>
          </w:tcPr>
          <w:p w14:paraId="20ACA9DD" w14:textId="128CDB08" w:rsidR="0054584E" w:rsidRPr="009504F1" w:rsidRDefault="0054584E">
            <w:pPr>
              <w:jc w:val="center"/>
              <w:rPr>
                <w:rFonts w:eastAsia="Times New Roman" w:cstheme="minorHAnsi"/>
                <w:b/>
                <w:color w:val="FF0000"/>
                <w:sz w:val="20"/>
                <w:szCs w:val="20"/>
              </w:rPr>
            </w:pPr>
            <w:r w:rsidRPr="009504F1">
              <w:rPr>
                <w:rFonts w:eastAsia="Times New Roman" w:cstheme="minorHAnsi"/>
                <w:b/>
                <w:color w:val="FF0000"/>
                <w:sz w:val="20"/>
                <w:szCs w:val="20"/>
              </w:rPr>
              <w:t>Missing Percent (%)</w:t>
            </w:r>
          </w:p>
        </w:tc>
        <w:tc>
          <w:tcPr>
            <w:tcW w:w="1322" w:type="dxa"/>
            <w:tcBorders>
              <w:top w:val="single" w:sz="4" w:space="0" w:color="auto"/>
              <w:left w:val="single" w:sz="4" w:space="0" w:color="auto"/>
              <w:bottom w:val="single" w:sz="4" w:space="0" w:color="auto"/>
              <w:right w:val="single" w:sz="4" w:space="0" w:color="auto"/>
            </w:tcBorders>
            <w:vAlign w:val="center"/>
            <w:hideMark/>
          </w:tcPr>
          <w:p w14:paraId="1AFD4DEB" w14:textId="77777777" w:rsidR="0054584E" w:rsidRPr="009504F1" w:rsidRDefault="0054584E">
            <w:pPr>
              <w:jc w:val="center"/>
              <w:rPr>
                <w:rFonts w:eastAsia="Times New Roman" w:cstheme="minorHAnsi"/>
                <w:b/>
                <w:color w:val="FF0000"/>
                <w:sz w:val="20"/>
                <w:szCs w:val="20"/>
              </w:rPr>
            </w:pPr>
            <w:r w:rsidRPr="009504F1">
              <w:rPr>
                <w:rFonts w:eastAsia="Times New Roman" w:cstheme="minorHAnsi"/>
                <w:b/>
                <w:color w:val="FF0000"/>
                <w:sz w:val="20"/>
                <w:szCs w:val="20"/>
              </w:rPr>
              <w:t xml:space="preserve">Missing </w:t>
            </w:r>
            <w:r w:rsidRPr="009504F1">
              <w:rPr>
                <w:rFonts w:eastAsia="Times New Roman" w:cstheme="minorHAnsi"/>
                <w:b/>
                <w:color w:val="FF0000"/>
                <w:sz w:val="20"/>
                <w:szCs w:val="20"/>
              </w:rPr>
              <w:br/>
              <w:t>Count (#)</w:t>
            </w:r>
          </w:p>
        </w:tc>
        <w:tc>
          <w:tcPr>
            <w:tcW w:w="1322" w:type="dxa"/>
            <w:tcBorders>
              <w:top w:val="single" w:sz="4" w:space="0" w:color="auto"/>
              <w:left w:val="single" w:sz="4" w:space="0" w:color="auto"/>
              <w:bottom w:val="single" w:sz="4" w:space="0" w:color="auto"/>
              <w:right w:val="single" w:sz="4" w:space="0" w:color="auto"/>
            </w:tcBorders>
          </w:tcPr>
          <w:p w14:paraId="6934D832" w14:textId="1FEA5675" w:rsidR="0054584E" w:rsidRPr="009504F1" w:rsidRDefault="0054584E">
            <w:pPr>
              <w:jc w:val="center"/>
              <w:rPr>
                <w:rFonts w:eastAsia="Times New Roman" w:cstheme="minorHAnsi"/>
                <w:b/>
                <w:color w:val="FF0000"/>
                <w:sz w:val="20"/>
                <w:szCs w:val="20"/>
              </w:rPr>
            </w:pPr>
            <w:r>
              <w:rPr>
                <w:rFonts w:eastAsia="Times New Roman" w:cstheme="minorHAnsi"/>
                <w:b/>
                <w:color w:val="FF0000"/>
                <w:sz w:val="20"/>
                <w:szCs w:val="20"/>
              </w:rPr>
              <w:t>Encounters (#)</w:t>
            </w:r>
          </w:p>
        </w:tc>
        <w:tc>
          <w:tcPr>
            <w:tcW w:w="1322" w:type="dxa"/>
            <w:tcBorders>
              <w:top w:val="single" w:sz="4" w:space="0" w:color="auto"/>
              <w:left w:val="single" w:sz="4" w:space="0" w:color="auto"/>
              <w:bottom w:val="single" w:sz="4" w:space="0" w:color="auto"/>
              <w:right w:val="single" w:sz="4" w:space="0" w:color="auto"/>
            </w:tcBorders>
            <w:vAlign w:val="center"/>
            <w:hideMark/>
          </w:tcPr>
          <w:p w14:paraId="02A2E08E" w14:textId="3B69E9A3" w:rsidR="0054584E" w:rsidRPr="009504F1" w:rsidRDefault="0054584E">
            <w:pPr>
              <w:jc w:val="center"/>
              <w:rPr>
                <w:rFonts w:eastAsia="Times New Roman" w:cstheme="minorHAnsi"/>
                <w:b/>
                <w:color w:val="FF0000"/>
                <w:sz w:val="20"/>
                <w:szCs w:val="20"/>
              </w:rPr>
            </w:pPr>
            <w:r w:rsidRPr="009504F1">
              <w:rPr>
                <w:rFonts w:eastAsia="Times New Roman" w:cstheme="minorHAnsi"/>
                <w:b/>
                <w:color w:val="FF0000"/>
                <w:sz w:val="20"/>
                <w:szCs w:val="20"/>
              </w:rPr>
              <w:t>Missing Percent (%)</w:t>
            </w:r>
          </w:p>
        </w:tc>
      </w:tr>
      <w:tr w:rsidR="0054584E" w:rsidRPr="009504F1" w14:paraId="2141BB79" w14:textId="77777777" w:rsidTr="00C12E94">
        <w:trPr>
          <w:trHeight w:val="242"/>
        </w:trPr>
        <w:tc>
          <w:tcPr>
            <w:tcW w:w="5044" w:type="dxa"/>
            <w:tcBorders>
              <w:top w:val="single" w:sz="4" w:space="0" w:color="auto"/>
              <w:left w:val="single" w:sz="4" w:space="0" w:color="auto"/>
              <w:bottom w:val="single" w:sz="4" w:space="0" w:color="auto"/>
              <w:right w:val="single" w:sz="4" w:space="0" w:color="auto"/>
            </w:tcBorders>
            <w:hideMark/>
          </w:tcPr>
          <w:p w14:paraId="588F8609" w14:textId="2EC800F4" w:rsidR="0054584E" w:rsidRPr="009504F1" w:rsidRDefault="0054584E" w:rsidP="000B4595">
            <w:pPr>
              <w:rPr>
                <w:rFonts w:eastAsia="Times New Roman" w:cstheme="minorHAnsi"/>
                <w:color w:val="FF0000"/>
                <w:sz w:val="20"/>
                <w:szCs w:val="20"/>
              </w:rPr>
            </w:pPr>
            <w:r>
              <w:rPr>
                <w:rFonts w:eastAsia="Times New Roman" w:cstheme="minorHAnsi"/>
                <w:color w:val="FF0000"/>
                <w:sz w:val="20"/>
                <w:szCs w:val="20"/>
              </w:rPr>
              <w:t>Admission</w:t>
            </w:r>
            <w:r w:rsidRPr="009504F1">
              <w:rPr>
                <w:rFonts w:eastAsia="Times New Roman" w:cstheme="minorHAnsi"/>
                <w:color w:val="FF0000"/>
                <w:sz w:val="20"/>
                <w:szCs w:val="20"/>
              </w:rPr>
              <w:t xml:space="preserve"> characteristic: admission date and time</w:t>
            </w:r>
          </w:p>
        </w:tc>
        <w:tc>
          <w:tcPr>
            <w:tcW w:w="1322" w:type="dxa"/>
            <w:tcBorders>
              <w:top w:val="single" w:sz="4" w:space="0" w:color="auto"/>
              <w:left w:val="single" w:sz="4" w:space="0" w:color="auto"/>
              <w:bottom w:val="single" w:sz="4" w:space="0" w:color="auto"/>
              <w:right w:val="single" w:sz="4" w:space="0" w:color="auto"/>
            </w:tcBorders>
            <w:noWrap/>
            <w:vAlign w:val="center"/>
          </w:tcPr>
          <w:p w14:paraId="1515DEB7" w14:textId="6D78176F"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0A489B39" w14:textId="1E5FEAC5"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7,748</w:t>
            </w:r>
          </w:p>
        </w:tc>
        <w:tc>
          <w:tcPr>
            <w:tcW w:w="1322" w:type="dxa"/>
            <w:tcBorders>
              <w:top w:val="single" w:sz="4" w:space="0" w:color="auto"/>
              <w:left w:val="single" w:sz="4" w:space="0" w:color="auto"/>
              <w:bottom w:val="single" w:sz="4" w:space="0" w:color="auto"/>
              <w:right w:val="single" w:sz="4" w:space="0" w:color="auto"/>
            </w:tcBorders>
            <w:noWrap/>
            <w:vAlign w:val="center"/>
          </w:tcPr>
          <w:p w14:paraId="030DC4FC" w14:textId="75D1BCE5"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0.0</w:t>
            </w:r>
            <w:r w:rsidRPr="000B4595">
              <w:rPr>
                <w:rFonts w:eastAsia="Times New Roman" w:cstheme="minorHAnsi"/>
                <w:color w:val="FF0000"/>
                <w:sz w:val="20"/>
                <w:szCs w:val="20"/>
              </w:rPr>
              <w:t>%</w:t>
            </w:r>
          </w:p>
        </w:tc>
        <w:tc>
          <w:tcPr>
            <w:tcW w:w="1322" w:type="dxa"/>
            <w:tcBorders>
              <w:top w:val="single" w:sz="4" w:space="0" w:color="auto"/>
              <w:left w:val="single" w:sz="4" w:space="0" w:color="auto"/>
              <w:bottom w:val="single" w:sz="4" w:space="0" w:color="auto"/>
              <w:right w:val="single" w:sz="4" w:space="0" w:color="auto"/>
            </w:tcBorders>
            <w:vAlign w:val="center"/>
            <w:hideMark/>
          </w:tcPr>
          <w:p w14:paraId="424ABB5B" w14:textId="36DCF38E"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40369CD7" w14:textId="5785026E"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5,888</w:t>
            </w:r>
          </w:p>
        </w:tc>
        <w:tc>
          <w:tcPr>
            <w:tcW w:w="1322" w:type="dxa"/>
            <w:tcBorders>
              <w:top w:val="single" w:sz="4" w:space="0" w:color="auto"/>
              <w:left w:val="single" w:sz="4" w:space="0" w:color="auto"/>
              <w:bottom w:val="single" w:sz="4" w:space="0" w:color="auto"/>
              <w:right w:val="single" w:sz="4" w:space="0" w:color="auto"/>
            </w:tcBorders>
            <w:vAlign w:val="center"/>
            <w:hideMark/>
          </w:tcPr>
          <w:p w14:paraId="48027AA9" w14:textId="2B56E908"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0.0</w:t>
            </w:r>
            <w:r w:rsidRPr="000B4595">
              <w:rPr>
                <w:rFonts w:eastAsia="Times New Roman" w:cstheme="minorHAnsi"/>
                <w:color w:val="FF0000"/>
                <w:sz w:val="20"/>
                <w:szCs w:val="20"/>
              </w:rPr>
              <w:t>%</w:t>
            </w:r>
          </w:p>
        </w:tc>
      </w:tr>
      <w:tr w:rsidR="0054584E" w:rsidRPr="009504F1" w14:paraId="12D77FB7" w14:textId="77777777" w:rsidTr="00C12E94">
        <w:trPr>
          <w:trHeight w:val="242"/>
        </w:trPr>
        <w:tc>
          <w:tcPr>
            <w:tcW w:w="5044" w:type="dxa"/>
            <w:tcBorders>
              <w:top w:val="single" w:sz="4" w:space="0" w:color="auto"/>
              <w:left w:val="single" w:sz="4" w:space="0" w:color="auto"/>
              <w:bottom w:val="single" w:sz="4" w:space="0" w:color="auto"/>
              <w:right w:val="single" w:sz="4" w:space="0" w:color="auto"/>
            </w:tcBorders>
            <w:hideMark/>
          </w:tcPr>
          <w:p w14:paraId="3719D5DC" w14:textId="2EE2F6A3" w:rsidR="0054584E" w:rsidRPr="009504F1" w:rsidRDefault="0054584E" w:rsidP="000B4595">
            <w:pPr>
              <w:rPr>
                <w:rFonts w:eastAsia="Times New Roman" w:cstheme="minorHAnsi"/>
                <w:color w:val="FF0000"/>
                <w:sz w:val="20"/>
                <w:szCs w:val="20"/>
              </w:rPr>
            </w:pPr>
            <w:r>
              <w:rPr>
                <w:rFonts w:eastAsia="Times New Roman" w:cstheme="minorHAnsi"/>
                <w:color w:val="FF0000"/>
                <w:sz w:val="20"/>
                <w:szCs w:val="20"/>
              </w:rPr>
              <w:t>A</w:t>
            </w:r>
            <w:r w:rsidRPr="009504F1">
              <w:rPr>
                <w:rFonts w:eastAsia="Times New Roman" w:cstheme="minorHAnsi"/>
                <w:color w:val="FF0000"/>
                <w:sz w:val="20"/>
                <w:szCs w:val="20"/>
              </w:rPr>
              <w:t>ntihyperglycemic medication administered</w:t>
            </w:r>
            <w:r>
              <w:rPr>
                <w:rFonts w:eastAsia="Times New Roman" w:cstheme="minorHAnsi"/>
                <w:color w:val="FF0000"/>
                <w:sz w:val="20"/>
                <w:szCs w:val="20"/>
              </w:rPr>
              <w:t>:</w:t>
            </w:r>
            <w:r w:rsidRPr="009504F1">
              <w:rPr>
                <w:rFonts w:eastAsia="Times New Roman" w:cstheme="minorHAnsi"/>
                <w:color w:val="FF0000"/>
                <w:sz w:val="20"/>
                <w:szCs w:val="20"/>
              </w:rPr>
              <w:t xml:space="preserve"> order ID</w:t>
            </w:r>
          </w:p>
        </w:tc>
        <w:tc>
          <w:tcPr>
            <w:tcW w:w="1322" w:type="dxa"/>
            <w:tcBorders>
              <w:top w:val="single" w:sz="4" w:space="0" w:color="auto"/>
              <w:left w:val="single" w:sz="4" w:space="0" w:color="auto"/>
              <w:bottom w:val="single" w:sz="4" w:space="0" w:color="auto"/>
              <w:right w:val="single" w:sz="4" w:space="0" w:color="auto"/>
            </w:tcBorders>
            <w:noWrap/>
            <w:vAlign w:val="center"/>
          </w:tcPr>
          <w:p w14:paraId="752E3049" w14:textId="630C755C"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6E727316" w14:textId="08FF01B1"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7,748</w:t>
            </w:r>
          </w:p>
        </w:tc>
        <w:tc>
          <w:tcPr>
            <w:tcW w:w="1322" w:type="dxa"/>
            <w:tcBorders>
              <w:top w:val="single" w:sz="4" w:space="0" w:color="auto"/>
              <w:left w:val="single" w:sz="4" w:space="0" w:color="auto"/>
              <w:bottom w:val="single" w:sz="4" w:space="0" w:color="auto"/>
              <w:right w:val="single" w:sz="4" w:space="0" w:color="auto"/>
            </w:tcBorders>
            <w:noWrap/>
            <w:vAlign w:val="center"/>
          </w:tcPr>
          <w:p w14:paraId="07FF58C8" w14:textId="1E77A144"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0.0</w:t>
            </w:r>
            <w:r w:rsidRPr="000B4595">
              <w:rPr>
                <w:rFonts w:eastAsia="Times New Roman" w:cstheme="minorHAnsi"/>
                <w:color w:val="FF0000"/>
                <w:sz w:val="20"/>
                <w:szCs w:val="20"/>
              </w:rPr>
              <w:t>%</w:t>
            </w:r>
          </w:p>
        </w:tc>
        <w:tc>
          <w:tcPr>
            <w:tcW w:w="1322" w:type="dxa"/>
            <w:tcBorders>
              <w:top w:val="single" w:sz="4" w:space="0" w:color="auto"/>
              <w:left w:val="single" w:sz="4" w:space="0" w:color="auto"/>
              <w:bottom w:val="single" w:sz="4" w:space="0" w:color="auto"/>
              <w:right w:val="single" w:sz="4" w:space="0" w:color="auto"/>
            </w:tcBorders>
            <w:vAlign w:val="center"/>
            <w:hideMark/>
          </w:tcPr>
          <w:p w14:paraId="69FDB8A9" w14:textId="744CC87E"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4BC3B758" w14:textId="6B8ED079"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5,888</w:t>
            </w:r>
          </w:p>
        </w:tc>
        <w:tc>
          <w:tcPr>
            <w:tcW w:w="1322" w:type="dxa"/>
            <w:tcBorders>
              <w:top w:val="single" w:sz="4" w:space="0" w:color="auto"/>
              <w:left w:val="single" w:sz="4" w:space="0" w:color="auto"/>
              <w:bottom w:val="single" w:sz="4" w:space="0" w:color="auto"/>
              <w:right w:val="single" w:sz="4" w:space="0" w:color="auto"/>
            </w:tcBorders>
            <w:vAlign w:val="center"/>
            <w:hideMark/>
          </w:tcPr>
          <w:p w14:paraId="45A21A97" w14:textId="0A2BC225"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0.0</w:t>
            </w:r>
            <w:r w:rsidRPr="000B4595">
              <w:rPr>
                <w:rFonts w:eastAsia="Times New Roman" w:cstheme="minorHAnsi"/>
                <w:color w:val="FF0000"/>
                <w:sz w:val="20"/>
                <w:szCs w:val="20"/>
              </w:rPr>
              <w:t>%</w:t>
            </w:r>
          </w:p>
        </w:tc>
      </w:tr>
      <w:tr w:rsidR="0054584E" w:rsidRPr="009504F1" w14:paraId="5F3478AA" w14:textId="77777777" w:rsidTr="00C12E94">
        <w:trPr>
          <w:trHeight w:val="242"/>
        </w:trPr>
        <w:tc>
          <w:tcPr>
            <w:tcW w:w="5044" w:type="dxa"/>
            <w:tcBorders>
              <w:top w:val="single" w:sz="4" w:space="0" w:color="auto"/>
              <w:left w:val="single" w:sz="4" w:space="0" w:color="auto"/>
              <w:bottom w:val="single" w:sz="4" w:space="0" w:color="auto"/>
              <w:right w:val="single" w:sz="4" w:space="0" w:color="auto"/>
            </w:tcBorders>
            <w:hideMark/>
          </w:tcPr>
          <w:p w14:paraId="704B3CA9" w14:textId="48588559" w:rsidR="0054584E" w:rsidRPr="009504F1" w:rsidRDefault="0054584E" w:rsidP="000B4595">
            <w:pPr>
              <w:rPr>
                <w:rFonts w:eastAsia="Times New Roman" w:cstheme="minorHAnsi"/>
                <w:color w:val="FF0000"/>
                <w:sz w:val="20"/>
                <w:szCs w:val="20"/>
              </w:rPr>
            </w:pPr>
            <w:r w:rsidRPr="009504F1">
              <w:rPr>
                <w:rFonts w:eastAsia="Times New Roman" w:cstheme="minorHAnsi"/>
                <w:color w:val="FF0000"/>
                <w:sz w:val="20"/>
                <w:szCs w:val="20"/>
              </w:rPr>
              <w:t>Antihyperglycemic medicati</w:t>
            </w:r>
            <w:r>
              <w:rPr>
                <w:rFonts w:eastAsia="Times New Roman" w:cstheme="minorHAnsi"/>
                <w:color w:val="FF0000"/>
                <w:sz w:val="20"/>
                <w:szCs w:val="20"/>
              </w:rPr>
              <w:t xml:space="preserve">on </w:t>
            </w:r>
            <w:r w:rsidRPr="009504F1">
              <w:rPr>
                <w:rFonts w:eastAsia="Times New Roman" w:cstheme="minorHAnsi"/>
                <w:color w:val="FF0000"/>
                <w:sz w:val="20"/>
                <w:szCs w:val="20"/>
              </w:rPr>
              <w:t>administered</w:t>
            </w:r>
            <w:r w:rsidDel="00D34AA8">
              <w:rPr>
                <w:rFonts w:eastAsia="Times New Roman" w:cstheme="minorHAnsi"/>
                <w:color w:val="FF0000"/>
                <w:sz w:val="20"/>
                <w:szCs w:val="20"/>
              </w:rPr>
              <w:t xml:space="preserve"> </w:t>
            </w:r>
            <w:r>
              <w:rPr>
                <w:rFonts w:eastAsia="Times New Roman" w:cstheme="minorHAnsi"/>
                <w:color w:val="FF0000"/>
                <w:sz w:val="20"/>
                <w:szCs w:val="20"/>
              </w:rPr>
              <w:t>with date and time</w:t>
            </w:r>
          </w:p>
        </w:tc>
        <w:tc>
          <w:tcPr>
            <w:tcW w:w="1322" w:type="dxa"/>
            <w:tcBorders>
              <w:top w:val="single" w:sz="4" w:space="0" w:color="auto"/>
              <w:left w:val="single" w:sz="4" w:space="0" w:color="auto"/>
              <w:bottom w:val="single" w:sz="4" w:space="0" w:color="auto"/>
              <w:right w:val="single" w:sz="4" w:space="0" w:color="auto"/>
            </w:tcBorders>
            <w:noWrap/>
            <w:vAlign w:val="center"/>
          </w:tcPr>
          <w:p w14:paraId="11630D8B" w14:textId="304075BD"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5A70ABEF" w14:textId="2342A11A"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7,748</w:t>
            </w:r>
          </w:p>
        </w:tc>
        <w:tc>
          <w:tcPr>
            <w:tcW w:w="1322" w:type="dxa"/>
            <w:tcBorders>
              <w:top w:val="single" w:sz="4" w:space="0" w:color="auto"/>
              <w:left w:val="single" w:sz="4" w:space="0" w:color="auto"/>
              <w:bottom w:val="single" w:sz="4" w:space="0" w:color="auto"/>
              <w:right w:val="single" w:sz="4" w:space="0" w:color="auto"/>
            </w:tcBorders>
            <w:noWrap/>
            <w:vAlign w:val="center"/>
          </w:tcPr>
          <w:p w14:paraId="200B4193" w14:textId="37B5F47A"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w:t>
            </w: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6ADF6118" w14:textId="52E5F516"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54948CAE" w14:textId="515AD26E"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5,888</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169CB482" w14:textId="2E5D83C3"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w:t>
            </w:r>
            <w:r w:rsidRPr="000B4595">
              <w:rPr>
                <w:rFonts w:eastAsia="Times New Roman" w:cstheme="minorHAnsi"/>
                <w:color w:val="FF0000"/>
                <w:sz w:val="20"/>
                <w:szCs w:val="20"/>
              </w:rPr>
              <w:t>0%</w:t>
            </w:r>
          </w:p>
        </w:tc>
      </w:tr>
      <w:tr w:rsidR="0054584E" w:rsidRPr="009504F1" w14:paraId="65FA06A6" w14:textId="77777777" w:rsidTr="00C12E94">
        <w:trPr>
          <w:trHeight w:val="242"/>
        </w:trPr>
        <w:tc>
          <w:tcPr>
            <w:tcW w:w="5044" w:type="dxa"/>
            <w:tcBorders>
              <w:top w:val="single" w:sz="4" w:space="0" w:color="auto"/>
              <w:left w:val="single" w:sz="4" w:space="0" w:color="auto"/>
              <w:bottom w:val="single" w:sz="4" w:space="0" w:color="auto"/>
              <w:right w:val="single" w:sz="4" w:space="0" w:color="auto"/>
            </w:tcBorders>
            <w:hideMark/>
          </w:tcPr>
          <w:p w14:paraId="3DC7B32D" w14:textId="07008C90" w:rsidR="0054584E" w:rsidRPr="009504F1" w:rsidRDefault="0054584E" w:rsidP="000B4595">
            <w:pPr>
              <w:rPr>
                <w:rFonts w:eastAsia="Times New Roman" w:cstheme="minorHAnsi"/>
                <w:color w:val="FF0000"/>
                <w:sz w:val="20"/>
                <w:szCs w:val="20"/>
              </w:rPr>
            </w:pPr>
            <w:r w:rsidRPr="009504F1">
              <w:rPr>
                <w:rFonts w:eastAsia="Times New Roman" w:cstheme="minorHAnsi"/>
                <w:color w:val="FF0000"/>
                <w:sz w:val="20"/>
                <w:szCs w:val="20"/>
              </w:rPr>
              <w:t xml:space="preserve">Laboratory test, blood glucose </w:t>
            </w:r>
            <w:r>
              <w:rPr>
                <w:rFonts w:eastAsia="Times New Roman" w:cstheme="minorHAnsi"/>
                <w:color w:val="FF0000"/>
                <w:sz w:val="20"/>
                <w:szCs w:val="20"/>
              </w:rPr>
              <w:t>results</w:t>
            </w:r>
          </w:p>
        </w:tc>
        <w:tc>
          <w:tcPr>
            <w:tcW w:w="1322" w:type="dxa"/>
            <w:tcBorders>
              <w:top w:val="single" w:sz="4" w:space="0" w:color="auto"/>
              <w:left w:val="single" w:sz="4" w:space="0" w:color="auto"/>
              <w:bottom w:val="single" w:sz="4" w:space="0" w:color="auto"/>
              <w:right w:val="single" w:sz="4" w:space="0" w:color="auto"/>
            </w:tcBorders>
            <w:noWrap/>
            <w:vAlign w:val="center"/>
          </w:tcPr>
          <w:p w14:paraId="313198BE" w14:textId="0509F4F7"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7BFEA254" w14:textId="1F3678DC"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7,748</w:t>
            </w:r>
          </w:p>
        </w:tc>
        <w:tc>
          <w:tcPr>
            <w:tcW w:w="1322" w:type="dxa"/>
            <w:tcBorders>
              <w:top w:val="single" w:sz="4" w:space="0" w:color="auto"/>
              <w:left w:val="single" w:sz="4" w:space="0" w:color="auto"/>
              <w:bottom w:val="single" w:sz="4" w:space="0" w:color="auto"/>
              <w:right w:val="single" w:sz="4" w:space="0" w:color="auto"/>
            </w:tcBorders>
            <w:noWrap/>
            <w:vAlign w:val="center"/>
          </w:tcPr>
          <w:p w14:paraId="56BD913B" w14:textId="2F80D1D5"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w:t>
            </w: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417966F7" w14:textId="2D85306B"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4A3328CE" w14:textId="15563E2F"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5,888</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696FE619" w14:textId="61E5DBEE"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w:t>
            </w:r>
            <w:r w:rsidRPr="000B4595">
              <w:rPr>
                <w:rFonts w:eastAsia="Times New Roman" w:cstheme="minorHAnsi"/>
                <w:color w:val="FF0000"/>
                <w:sz w:val="20"/>
                <w:szCs w:val="20"/>
              </w:rPr>
              <w:t>0%</w:t>
            </w:r>
          </w:p>
        </w:tc>
      </w:tr>
      <w:tr w:rsidR="0054584E" w:rsidRPr="009504F1" w14:paraId="08C0254C" w14:textId="77777777" w:rsidTr="00C12E94">
        <w:trPr>
          <w:trHeight w:val="242"/>
        </w:trPr>
        <w:tc>
          <w:tcPr>
            <w:tcW w:w="5044" w:type="dxa"/>
            <w:tcBorders>
              <w:top w:val="single" w:sz="4" w:space="0" w:color="auto"/>
              <w:left w:val="single" w:sz="4" w:space="0" w:color="auto"/>
              <w:bottom w:val="single" w:sz="4" w:space="0" w:color="auto"/>
              <w:right w:val="single" w:sz="4" w:space="0" w:color="auto"/>
            </w:tcBorders>
            <w:hideMark/>
          </w:tcPr>
          <w:p w14:paraId="43DDF4F5" w14:textId="3B1D3300" w:rsidR="0054584E" w:rsidRPr="009504F1" w:rsidRDefault="0054584E" w:rsidP="000B4595">
            <w:pPr>
              <w:rPr>
                <w:rFonts w:eastAsia="Times New Roman" w:cstheme="minorHAnsi"/>
                <w:color w:val="FF0000"/>
                <w:sz w:val="20"/>
                <w:szCs w:val="20"/>
              </w:rPr>
            </w:pPr>
            <w:r w:rsidRPr="009504F1">
              <w:rPr>
                <w:rFonts w:eastAsia="Times New Roman" w:cstheme="minorHAnsi"/>
                <w:color w:val="FF0000"/>
                <w:sz w:val="20"/>
                <w:szCs w:val="20"/>
              </w:rPr>
              <w:t>Laboratory test, blood glucose date and time</w:t>
            </w:r>
          </w:p>
        </w:tc>
        <w:tc>
          <w:tcPr>
            <w:tcW w:w="1322" w:type="dxa"/>
            <w:tcBorders>
              <w:top w:val="single" w:sz="4" w:space="0" w:color="auto"/>
              <w:left w:val="single" w:sz="4" w:space="0" w:color="auto"/>
              <w:bottom w:val="single" w:sz="4" w:space="0" w:color="auto"/>
              <w:right w:val="single" w:sz="4" w:space="0" w:color="auto"/>
            </w:tcBorders>
            <w:noWrap/>
            <w:vAlign w:val="center"/>
          </w:tcPr>
          <w:p w14:paraId="350B2F00" w14:textId="4ED6C328"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77DA222B" w14:textId="1313AA3D"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7,748</w:t>
            </w:r>
          </w:p>
        </w:tc>
        <w:tc>
          <w:tcPr>
            <w:tcW w:w="1322" w:type="dxa"/>
            <w:tcBorders>
              <w:top w:val="single" w:sz="4" w:space="0" w:color="auto"/>
              <w:left w:val="single" w:sz="4" w:space="0" w:color="auto"/>
              <w:bottom w:val="single" w:sz="4" w:space="0" w:color="auto"/>
              <w:right w:val="single" w:sz="4" w:space="0" w:color="auto"/>
            </w:tcBorders>
            <w:noWrap/>
            <w:vAlign w:val="center"/>
          </w:tcPr>
          <w:p w14:paraId="0916DE3B" w14:textId="72A67B6E"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0.0</w:t>
            </w:r>
            <w:r w:rsidRPr="000B4595">
              <w:rPr>
                <w:rFonts w:eastAsia="Times New Roman" w:cstheme="minorHAnsi"/>
                <w:color w:val="FF0000"/>
                <w:sz w:val="20"/>
                <w:szCs w:val="20"/>
              </w:rPr>
              <w:t>%</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4D583EFF" w14:textId="0543C91A"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559243F3" w14:textId="1DD39C10"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5,888</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4D759401" w14:textId="27B13D88"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w:t>
            </w:r>
            <w:r w:rsidRPr="000B4595">
              <w:rPr>
                <w:rFonts w:eastAsia="Times New Roman" w:cstheme="minorHAnsi"/>
                <w:color w:val="FF0000"/>
                <w:sz w:val="20"/>
                <w:szCs w:val="20"/>
              </w:rPr>
              <w:t>0%</w:t>
            </w:r>
          </w:p>
        </w:tc>
      </w:tr>
      <w:tr w:rsidR="0054584E" w:rsidRPr="009504F1" w14:paraId="362DB090" w14:textId="77777777" w:rsidTr="00C12E94">
        <w:trPr>
          <w:trHeight w:val="242"/>
        </w:trPr>
        <w:tc>
          <w:tcPr>
            <w:tcW w:w="5044" w:type="dxa"/>
            <w:tcBorders>
              <w:top w:val="single" w:sz="4" w:space="0" w:color="auto"/>
              <w:left w:val="single" w:sz="4" w:space="0" w:color="auto"/>
              <w:bottom w:val="single" w:sz="4" w:space="0" w:color="auto"/>
              <w:right w:val="single" w:sz="4" w:space="0" w:color="auto"/>
            </w:tcBorders>
            <w:hideMark/>
          </w:tcPr>
          <w:p w14:paraId="096C8D72" w14:textId="75DBC550" w:rsidR="0054584E" w:rsidRPr="009504F1" w:rsidRDefault="0054584E" w:rsidP="000B4595">
            <w:pPr>
              <w:rPr>
                <w:rFonts w:eastAsia="Times New Roman" w:cstheme="minorHAnsi"/>
                <w:color w:val="FF0000"/>
                <w:sz w:val="20"/>
                <w:szCs w:val="20"/>
              </w:rPr>
            </w:pPr>
            <w:r w:rsidRPr="009504F1">
              <w:rPr>
                <w:rFonts w:eastAsia="Times New Roman" w:cstheme="minorHAnsi"/>
                <w:color w:val="FF0000"/>
                <w:sz w:val="20"/>
                <w:szCs w:val="20"/>
              </w:rPr>
              <w:t>Patient characteristic: birth date</w:t>
            </w:r>
          </w:p>
        </w:tc>
        <w:tc>
          <w:tcPr>
            <w:tcW w:w="1322" w:type="dxa"/>
            <w:tcBorders>
              <w:top w:val="single" w:sz="4" w:space="0" w:color="auto"/>
              <w:left w:val="single" w:sz="4" w:space="0" w:color="auto"/>
              <w:bottom w:val="single" w:sz="4" w:space="0" w:color="auto"/>
              <w:right w:val="single" w:sz="4" w:space="0" w:color="auto"/>
            </w:tcBorders>
            <w:noWrap/>
            <w:vAlign w:val="center"/>
          </w:tcPr>
          <w:p w14:paraId="247AFE85" w14:textId="6C4A5ED5"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5755AFEA" w14:textId="2E6D9037"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7,748</w:t>
            </w:r>
          </w:p>
        </w:tc>
        <w:tc>
          <w:tcPr>
            <w:tcW w:w="1322" w:type="dxa"/>
            <w:tcBorders>
              <w:top w:val="single" w:sz="4" w:space="0" w:color="auto"/>
              <w:left w:val="single" w:sz="4" w:space="0" w:color="auto"/>
              <w:bottom w:val="single" w:sz="4" w:space="0" w:color="auto"/>
              <w:right w:val="single" w:sz="4" w:space="0" w:color="auto"/>
            </w:tcBorders>
            <w:noWrap/>
            <w:vAlign w:val="center"/>
          </w:tcPr>
          <w:p w14:paraId="1D82FF52" w14:textId="065DCB87"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0.0</w:t>
            </w:r>
            <w:r w:rsidRPr="000B4595">
              <w:rPr>
                <w:rFonts w:eastAsia="Times New Roman" w:cstheme="minorHAnsi"/>
                <w:color w:val="FF0000"/>
                <w:sz w:val="20"/>
                <w:szCs w:val="20"/>
              </w:rPr>
              <w:t>%</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4589BFCF" w14:textId="32050990" w:rsidR="0054584E" w:rsidRPr="009504F1" w:rsidRDefault="0054584E" w:rsidP="000B4595">
            <w:pPr>
              <w:jc w:val="center"/>
              <w:rPr>
                <w:rFonts w:eastAsia="Times New Roman" w:cstheme="minorHAnsi"/>
                <w:color w:val="FF0000"/>
                <w:sz w:val="20"/>
                <w:szCs w:val="20"/>
              </w:rPr>
            </w:pPr>
            <w:r w:rsidRPr="000B4595">
              <w:rPr>
                <w:rFonts w:eastAsia="Times New Roman" w:cstheme="minorHAnsi"/>
                <w:color w:val="FF0000"/>
                <w:sz w:val="20"/>
                <w:szCs w:val="20"/>
              </w:rPr>
              <w:t>0</w:t>
            </w:r>
          </w:p>
        </w:tc>
        <w:tc>
          <w:tcPr>
            <w:tcW w:w="1322" w:type="dxa"/>
            <w:tcBorders>
              <w:top w:val="single" w:sz="4" w:space="0" w:color="auto"/>
              <w:left w:val="single" w:sz="4" w:space="0" w:color="auto"/>
              <w:bottom w:val="single" w:sz="4" w:space="0" w:color="auto"/>
              <w:right w:val="single" w:sz="4" w:space="0" w:color="auto"/>
            </w:tcBorders>
          </w:tcPr>
          <w:p w14:paraId="773C7E76" w14:textId="2DBD792C" w:rsidR="0054584E" w:rsidRDefault="0054584E" w:rsidP="000B4595">
            <w:pPr>
              <w:jc w:val="center"/>
              <w:rPr>
                <w:rFonts w:eastAsia="Times New Roman" w:cstheme="minorHAnsi"/>
                <w:color w:val="FF0000"/>
                <w:sz w:val="20"/>
                <w:szCs w:val="20"/>
              </w:rPr>
            </w:pPr>
            <w:r>
              <w:rPr>
                <w:rFonts w:eastAsia="Times New Roman" w:cstheme="minorHAnsi"/>
                <w:color w:val="FF0000"/>
                <w:sz w:val="20"/>
                <w:szCs w:val="20"/>
              </w:rPr>
              <w:t>5,888</w:t>
            </w:r>
          </w:p>
        </w:tc>
        <w:tc>
          <w:tcPr>
            <w:tcW w:w="1322" w:type="dxa"/>
            <w:tcBorders>
              <w:top w:val="single" w:sz="4" w:space="0" w:color="auto"/>
              <w:left w:val="single" w:sz="4" w:space="0" w:color="auto"/>
              <w:bottom w:val="single" w:sz="4" w:space="0" w:color="auto"/>
              <w:right w:val="single" w:sz="4" w:space="0" w:color="auto"/>
            </w:tcBorders>
            <w:noWrap/>
            <w:vAlign w:val="center"/>
            <w:hideMark/>
          </w:tcPr>
          <w:p w14:paraId="50904BEE" w14:textId="6745AE4C" w:rsidR="0054584E" w:rsidRPr="009504F1" w:rsidRDefault="0054584E" w:rsidP="000B4595">
            <w:pPr>
              <w:jc w:val="center"/>
              <w:rPr>
                <w:rFonts w:eastAsia="Times New Roman" w:cstheme="minorHAnsi"/>
                <w:color w:val="FF0000"/>
                <w:sz w:val="20"/>
                <w:szCs w:val="20"/>
              </w:rPr>
            </w:pPr>
            <w:r>
              <w:rPr>
                <w:rFonts w:eastAsia="Times New Roman" w:cstheme="minorHAnsi"/>
                <w:color w:val="FF0000"/>
                <w:sz w:val="20"/>
                <w:szCs w:val="20"/>
              </w:rPr>
              <w:t>0.</w:t>
            </w:r>
            <w:r w:rsidRPr="000B4595">
              <w:rPr>
                <w:rFonts w:eastAsia="Times New Roman" w:cstheme="minorHAnsi"/>
                <w:color w:val="FF0000"/>
                <w:sz w:val="20"/>
                <w:szCs w:val="20"/>
              </w:rPr>
              <w:t>0%</w:t>
            </w:r>
          </w:p>
        </w:tc>
      </w:tr>
      <w:bookmarkEnd w:id="57"/>
    </w:tbl>
    <w:p w14:paraId="684D2F3C" w14:textId="77777777" w:rsidR="006F2F20" w:rsidRDefault="006F2F20">
      <w:pPr>
        <w:autoSpaceDE w:val="0"/>
        <w:autoSpaceDN w:val="0"/>
        <w:adjustRightInd w:val="0"/>
        <w:spacing w:after="0" w:line="240" w:lineRule="auto"/>
        <w:rPr>
          <w:rFonts w:cstheme="minorHAnsi"/>
          <w:b/>
          <w:bCs/>
        </w:rPr>
      </w:pPr>
    </w:p>
    <w:p w14:paraId="0CABD01F" w14:textId="52858BB3"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1703621A" w14:textId="77777777" w:rsidR="00783C70" w:rsidRDefault="00783C70">
      <w:pPr>
        <w:autoSpaceDE w:val="0"/>
        <w:autoSpaceDN w:val="0"/>
        <w:adjustRightInd w:val="0"/>
        <w:spacing w:after="0" w:line="240" w:lineRule="auto"/>
        <w:rPr>
          <w:rFonts w:cstheme="minorHAnsi"/>
          <w:bCs/>
          <w:color w:val="FF0000"/>
        </w:rPr>
      </w:pPr>
    </w:p>
    <w:p w14:paraId="0CABD020" w14:textId="4D5ECD3C" w:rsidR="00BA053B" w:rsidRPr="009504F1" w:rsidRDefault="00605923" w:rsidP="00C958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605923">
        <w:rPr>
          <w:rFonts w:cstheme="minorHAnsi"/>
          <w:bCs/>
          <w:color w:val="FF0000"/>
        </w:rPr>
        <w:t xml:space="preserve">Among the data elements </w:t>
      </w:r>
      <w:bookmarkStart w:id="58" w:name="_Hlk532398796"/>
      <w:r w:rsidRPr="00605923">
        <w:rPr>
          <w:rFonts w:cstheme="minorHAnsi"/>
          <w:bCs/>
          <w:color w:val="FF0000"/>
        </w:rPr>
        <w:t>required for the measure calculation</w:t>
      </w:r>
      <w:bookmarkEnd w:id="58"/>
      <w:r w:rsidRPr="00605923">
        <w:rPr>
          <w:rFonts w:cstheme="minorHAnsi"/>
          <w:bCs/>
          <w:color w:val="FF0000"/>
        </w:rPr>
        <w:t xml:space="preserve">, </w:t>
      </w:r>
      <w:r>
        <w:rPr>
          <w:rFonts w:cstheme="minorHAnsi"/>
          <w:bCs/>
          <w:color w:val="FF0000"/>
        </w:rPr>
        <w:t xml:space="preserve">there were no </w:t>
      </w:r>
      <w:r w:rsidRPr="00605923">
        <w:rPr>
          <w:rFonts w:cstheme="minorHAnsi"/>
          <w:bCs/>
          <w:color w:val="FF0000"/>
        </w:rPr>
        <w:t xml:space="preserve">missing data </w:t>
      </w:r>
      <w:r w:rsidR="00D34AA8">
        <w:rPr>
          <w:rFonts w:cstheme="minorHAnsi"/>
          <w:bCs/>
          <w:color w:val="FF0000"/>
        </w:rPr>
        <w:t>meaning all encounters had all required data elements, showing</w:t>
      </w:r>
      <w:r w:rsidR="00F754C9">
        <w:rPr>
          <w:rFonts w:cstheme="minorHAnsi"/>
          <w:bCs/>
          <w:color w:val="FF0000"/>
        </w:rPr>
        <w:t xml:space="preserve"> that it was feasible to extract the data elements from each test site’s EHR</w:t>
      </w:r>
      <w:r w:rsidR="00616D0E" w:rsidRPr="00885C9C">
        <w:rPr>
          <w:rFonts w:cstheme="minorHAnsi"/>
          <w:bCs/>
          <w:color w:val="FF0000"/>
        </w:rPr>
        <w:t>. This means each encounter had an antihyperglycemic medication, and a blood glucose result. Because all patients in the measure denominator received at least one antihyperglycemic medication during their hospitalization, we expect all patients to receive glucose blood tests</w:t>
      </w:r>
      <w:r w:rsidR="00C958D3">
        <w:rPr>
          <w:rFonts w:cstheme="minorHAnsi"/>
          <w:bCs/>
          <w:color w:val="FF0000"/>
        </w:rPr>
        <w:t>.</w:t>
      </w:r>
    </w:p>
    <w:p w14:paraId="7B772B1A" w14:textId="77777777" w:rsidR="00586E23" w:rsidRDefault="00586E23"/>
    <w:sectPr w:rsidR="00586E23" w:rsidSect="006F2F2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DABBA" w14:textId="77777777" w:rsidR="00F9194F" w:rsidRDefault="00F9194F">
      <w:pPr>
        <w:spacing w:after="0" w:line="240" w:lineRule="auto"/>
      </w:pPr>
      <w:r>
        <w:separator/>
      </w:r>
    </w:p>
  </w:endnote>
  <w:endnote w:type="continuationSeparator" w:id="0">
    <w:p w14:paraId="22536618" w14:textId="77777777" w:rsidR="00F9194F" w:rsidRDefault="00F91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51CF2B1E" w:rsidR="00F9194F" w:rsidRDefault="00F9194F">
    <w:pPr>
      <w:pStyle w:val="Footer"/>
    </w:pPr>
    <w:r>
      <w:t>Version 7.1 9/6/2017</w:t>
    </w:r>
    <w:r>
      <w:ptab w:relativeTo="margin" w:alignment="right" w:leader="none"/>
    </w:r>
    <w:r>
      <w:fldChar w:fldCharType="begin"/>
    </w:r>
    <w:r>
      <w:instrText xml:space="preserve"> PAGE   \* MERGEFORMAT </w:instrText>
    </w:r>
    <w:r>
      <w:fldChar w:fldCharType="separate"/>
    </w:r>
    <w:r w:rsidR="00CB728F">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D12AA" w14:textId="77777777" w:rsidR="00F9194F" w:rsidRDefault="00F9194F">
      <w:pPr>
        <w:spacing w:after="0" w:line="240" w:lineRule="auto"/>
      </w:pPr>
      <w:r>
        <w:separator/>
      </w:r>
    </w:p>
  </w:footnote>
  <w:footnote w:type="continuationSeparator" w:id="0">
    <w:p w14:paraId="40F00D51" w14:textId="77777777" w:rsidR="00F9194F" w:rsidRDefault="00F91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F9194F" w:rsidRPr="00105D8B" w:rsidRDefault="00F9194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DC6CC0"/>
    <w:multiLevelType w:val="hybridMultilevel"/>
    <w:tmpl w:val="B63C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2D86F5F"/>
    <w:multiLevelType w:val="hybridMultilevel"/>
    <w:tmpl w:val="D968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DF38C2"/>
    <w:multiLevelType w:val="hybridMultilevel"/>
    <w:tmpl w:val="54C2EB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A322D8"/>
    <w:multiLevelType w:val="hybridMultilevel"/>
    <w:tmpl w:val="9AFA1158"/>
    <w:lvl w:ilvl="0" w:tplc="D6FE66C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2"/>
  </w:num>
  <w:num w:numId="9">
    <w:abstractNumId w:val="10"/>
  </w:num>
  <w:num w:numId="10">
    <w:abstractNumId w:val="29"/>
  </w:num>
  <w:num w:numId="11">
    <w:abstractNumId w:val="12"/>
  </w:num>
  <w:num w:numId="12">
    <w:abstractNumId w:val="27"/>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8"/>
  </w:num>
  <w:num w:numId="18">
    <w:abstractNumId w:val="24"/>
  </w:num>
  <w:num w:numId="19">
    <w:abstractNumId w:val="23"/>
  </w:num>
  <w:num w:numId="20">
    <w:abstractNumId w:val="17"/>
  </w:num>
  <w:num w:numId="21">
    <w:abstractNumId w:val="21"/>
  </w:num>
  <w:num w:numId="22">
    <w:abstractNumId w:val="15"/>
  </w:num>
  <w:num w:numId="23">
    <w:abstractNumId w:val="7"/>
  </w:num>
  <w:num w:numId="24">
    <w:abstractNumId w:val="14"/>
  </w:num>
  <w:num w:numId="25">
    <w:abstractNumId w:val="13"/>
  </w:num>
  <w:num w:numId="26">
    <w:abstractNumId w:val="30"/>
  </w:num>
  <w:num w:numId="27">
    <w:abstractNumId w:val="0"/>
  </w:num>
  <w:num w:numId="28">
    <w:abstractNumId w:val="9"/>
  </w:num>
  <w:num w:numId="29">
    <w:abstractNumId w:val="18"/>
  </w:num>
  <w:num w:numId="30">
    <w:abstractNumId w:val="26"/>
  </w:num>
  <w:num w:numId="31">
    <w:abstractNumId w:val="16"/>
  </w:num>
  <w:num w:numId="32">
    <w:abstractNumId w:val="31"/>
  </w:num>
  <w:num w:numId="33">
    <w:abstractNumId w:val="26"/>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6B2B"/>
    <w:rsid w:val="00007E3B"/>
    <w:rsid w:val="0001094F"/>
    <w:rsid w:val="000136D7"/>
    <w:rsid w:val="00015832"/>
    <w:rsid w:val="00021170"/>
    <w:rsid w:val="0002128B"/>
    <w:rsid w:val="000237F3"/>
    <w:rsid w:val="00024182"/>
    <w:rsid w:val="00024DFD"/>
    <w:rsid w:val="00024F83"/>
    <w:rsid w:val="00027AB8"/>
    <w:rsid w:val="000309DD"/>
    <w:rsid w:val="00031414"/>
    <w:rsid w:val="0003241A"/>
    <w:rsid w:val="00033038"/>
    <w:rsid w:val="00033D63"/>
    <w:rsid w:val="0003436F"/>
    <w:rsid w:val="00034EC8"/>
    <w:rsid w:val="00040FAD"/>
    <w:rsid w:val="000414E8"/>
    <w:rsid w:val="00042BCC"/>
    <w:rsid w:val="00042F88"/>
    <w:rsid w:val="0004593A"/>
    <w:rsid w:val="00050A3E"/>
    <w:rsid w:val="00050EAC"/>
    <w:rsid w:val="00051575"/>
    <w:rsid w:val="00052239"/>
    <w:rsid w:val="00052797"/>
    <w:rsid w:val="00052A6F"/>
    <w:rsid w:val="00053F02"/>
    <w:rsid w:val="0005612B"/>
    <w:rsid w:val="000574AB"/>
    <w:rsid w:val="0006147A"/>
    <w:rsid w:val="0006234F"/>
    <w:rsid w:val="000659B3"/>
    <w:rsid w:val="000706DE"/>
    <w:rsid w:val="000721A5"/>
    <w:rsid w:val="000757F6"/>
    <w:rsid w:val="0007696A"/>
    <w:rsid w:val="0007758F"/>
    <w:rsid w:val="000775F8"/>
    <w:rsid w:val="00080CF7"/>
    <w:rsid w:val="000819D6"/>
    <w:rsid w:val="00083BE8"/>
    <w:rsid w:val="000851B2"/>
    <w:rsid w:val="00087280"/>
    <w:rsid w:val="00090A0D"/>
    <w:rsid w:val="00091BB7"/>
    <w:rsid w:val="00092154"/>
    <w:rsid w:val="00092566"/>
    <w:rsid w:val="00092D26"/>
    <w:rsid w:val="000968F8"/>
    <w:rsid w:val="00097012"/>
    <w:rsid w:val="000A0469"/>
    <w:rsid w:val="000A0709"/>
    <w:rsid w:val="000A43B9"/>
    <w:rsid w:val="000B032A"/>
    <w:rsid w:val="000B10F6"/>
    <w:rsid w:val="000B1250"/>
    <w:rsid w:val="000B1C5C"/>
    <w:rsid w:val="000B1E4E"/>
    <w:rsid w:val="000B2735"/>
    <w:rsid w:val="000B2DF7"/>
    <w:rsid w:val="000B3880"/>
    <w:rsid w:val="000B4595"/>
    <w:rsid w:val="000B5CE4"/>
    <w:rsid w:val="000B5F8B"/>
    <w:rsid w:val="000B7D57"/>
    <w:rsid w:val="000C036D"/>
    <w:rsid w:val="000C0FF8"/>
    <w:rsid w:val="000C1336"/>
    <w:rsid w:val="000C4F57"/>
    <w:rsid w:val="000C7429"/>
    <w:rsid w:val="000C79C7"/>
    <w:rsid w:val="000D2722"/>
    <w:rsid w:val="000D27F2"/>
    <w:rsid w:val="000D3DA5"/>
    <w:rsid w:val="000D514D"/>
    <w:rsid w:val="000D5188"/>
    <w:rsid w:val="000D6F2A"/>
    <w:rsid w:val="000D7948"/>
    <w:rsid w:val="000D7C84"/>
    <w:rsid w:val="000D7E95"/>
    <w:rsid w:val="000E1171"/>
    <w:rsid w:val="000E44E2"/>
    <w:rsid w:val="000E4636"/>
    <w:rsid w:val="000E4E13"/>
    <w:rsid w:val="000E5D9B"/>
    <w:rsid w:val="000E6BAE"/>
    <w:rsid w:val="000E78F6"/>
    <w:rsid w:val="000F034A"/>
    <w:rsid w:val="000F06B5"/>
    <w:rsid w:val="000F1B7A"/>
    <w:rsid w:val="000F24E0"/>
    <w:rsid w:val="000F3677"/>
    <w:rsid w:val="000F39E9"/>
    <w:rsid w:val="000F4EE5"/>
    <w:rsid w:val="000F5920"/>
    <w:rsid w:val="000F7386"/>
    <w:rsid w:val="000F7D7E"/>
    <w:rsid w:val="000F7FA1"/>
    <w:rsid w:val="001000F6"/>
    <w:rsid w:val="00101390"/>
    <w:rsid w:val="00103CA2"/>
    <w:rsid w:val="00104B45"/>
    <w:rsid w:val="00105D8B"/>
    <w:rsid w:val="00111677"/>
    <w:rsid w:val="0011342F"/>
    <w:rsid w:val="0011460A"/>
    <w:rsid w:val="00115F26"/>
    <w:rsid w:val="001168D8"/>
    <w:rsid w:val="001202E9"/>
    <w:rsid w:val="001244F9"/>
    <w:rsid w:val="0012454F"/>
    <w:rsid w:val="00125273"/>
    <w:rsid w:val="001253C4"/>
    <w:rsid w:val="0012575E"/>
    <w:rsid w:val="00127C06"/>
    <w:rsid w:val="001347EA"/>
    <w:rsid w:val="001348CD"/>
    <w:rsid w:val="00135CFF"/>
    <w:rsid w:val="00135EBA"/>
    <w:rsid w:val="00140717"/>
    <w:rsid w:val="00145149"/>
    <w:rsid w:val="00145849"/>
    <w:rsid w:val="00145D4F"/>
    <w:rsid w:val="0014773C"/>
    <w:rsid w:val="0015130F"/>
    <w:rsid w:val="001528E0"/>
    <w:rsid w:val="00153019"/>
    <w:rsid w:val="00154418"/>
    <w:rsid w:val="00171B94"/>
    <w:rsid w:val="0017696D"/>
    <w:rsid w:val="001773A8"/>
    <w:rsid w:val="00177DE8"/>
    <w:rsid w:val="00184723"/>
    <w:rsid w:val="001848FC"/>
    <w:rsid w:val="001850B6"/>
    <w:rsid w:val="0018583B"/>
    <w:rsid w:val="00190FBE"/>
    <w:rsid w:val="001930D1"/>
    <w:rsid w:val="00193F21"/>
    <w:rsid w:val="001969C5"/>
    <w:rsid w:val="00196A7F"/>
    <w:rsid w:val="00197A9F"/>
    <w:rsid w:val="001A1E9B"/>
    <w:rsid w:val="001A2D6F"/>
    <w:rsid w:val="001A3BD9"/>
    <w:rsid w:val="001A48F4"/>
    <w:rsid w:val="001A6CDD"/>
    <w:rsid w:val="001B415E"/>
    <w:rsid w:val="001B58A1"/>
    <w:rsid w:val="001C12EE"/>
    <w:rsid w:val="001C174A"/>
    <w:rsid w:val="001C55F1"/>
    <w:rsid w:val="001C7B02"/>
    <w:rsid w:val="001D5A5A"/>
    <w:rsid w:val="001E21FD"/>
    <w:rsid w:val="001E4DD4"/>
    <w:rsid w:val="001E4ECE"/>
    <w:rsid w:val="001E50E0"/>
    <w:rsid w:val="001E69DC"/>
    <w:rsid w:val="001E6A8B"/>
    <w:rsid w:val="001F159A"/>
    <w:rsid w:val="001F169D"/>
    <w:rsid w:val="001F1DA1"/>
    <w:rsid w:val="001F6F93"/>
    <w:rsid w:val="001F78BC"/>
    <w:rsid w:val="001F7A20"/>
    <w:rsid w:val="002010B8"/>
    <w:rsid w:val="00201AA6"/>
    <w:rsid w:val="002046C2"/>
    <w:rsid w:val="0021054A"/>
    <w:rsid w:val="0021195A"/>
    <w:rsid w:val="00213383"/>
    <w:rsid w:val="00214E5D"/>
    <w:rsid w:val="00220250"/>
    <w:rsid w:val="00222444"/>
    <w:rsid w:val="0022691B"/>
    <w:rsid w:val="00231BB9"/>
    <w:rsid w:val="00232163"/>
    <w:rsid w:val="00232E60"/>
    <w:rsid w:val="00235B24"/>
    <w:rsid w:val="002365AA"/>
    <w:rsid w:val="002373A1"/>
    <w:rsid w:val="002376F8"/>
    <w:rsid w:val="002408E4"/>
    <w:rsid w:val="00241591"/>
    <w:rsid w:val="002435EC"/>
    <w:rsid w:val="00244184"/>
    <w:rsid w:val="00247398"/>
    <w:rsid w:val="00250B4F"/>
    <w:rsid w:val="00255C67"/>
    <w:rsid w:val="0025762F"/>
    <w:rsid w:val="00265BB7"/>
    <w:rsid w:val="00267A7B"/>
    <w:rsid w:val="002753F2"/>
    <w:rsid w:val="00275563"/>
    <w:rsid w:val="00276F38"/>
    <w:rsid w:val="00277BE0"/>
    <w:rsid w:val="0028114D"/>
    <w:rsid w:val="00281A5B"/>
    <w:rsid w:val="0028251B"/>
    <w:rsid w:val="00285D7F"/>
    <w:rsid w:val="00287649"/>
    <w:rsid w:val="00287E84"/>
    <w:rsid w:val="0029286C"/>
    <w:rsid w:val="00292F42"/>
    <w:rsid w:val="0029300E"/>
    <w:rsid w:val="00293824"/>
    <w:rsid w:val="002A06C8"/>
    <w:rsid w:val="002A438C"/>
    <w:rsid w:val="002A598B"/>
    <w:rsid w:val="002A6E73"/>
    <w:rsid w:val="002B0C3A"/>
    <w:rsid w:val="002B1E9B"/>
    <w:rsid w:val="002B2116"/>
    <w:rsid w:val="002B2D9B"/>
    <w:rsid w:val="002B445A"/>
    <w:rsid w:val="002B5016"/>
    <w:rsid w:val="002B742C"/>
    <w:rsid w:val="002B7F4D"/>
    <w:rsid w:val="002C10A3"/>
    <w:rsid w:val="002C224B"/>
    <w:rsid w:val="002C2641"/>
    <w:rsid w:val="002C285C"/>
    <w:rsid w:val="002C76C0"/>
    <w:rsid w:val="002C7BE4"/>
    <w:rsid w:val="002C7F7D"/>
    <w:rsid w:val="002D363E"/>
    <w:rsid w:val="002D417D"/>
    <w:rsid w:val="002D53B7"/>
    <w:rsid w:val="002D5E5D"/>
    <w:rsid w:val="002D75EE"/>
    <w:rsid w:val="002D7DD6"/>
    <w:rsid w:val="002E0A9D"/>
    <w:rsid w:val="002E3C1E"/>
    <w:rsid w:val="002E4DFF"/>
    <w:rsid w:val="002E5415"/>
    <w:rsid w:val="002E68D0"/>
    <w:rsid w:val="002E6F2B"/>
    <w:rsid w:val="002E78A0"/>
    <w:rsid w:val="002F0A9A"/>
    <w:rsid w:val="002F1623"/>
    <w:rsid w:val="002F164F"/>
    <w:rsid w:val="002F2687"/>
    <w:rsid w:val="002F2F99"/>
    <w:rsid w:val="002F48E1"/>
    <w:rsid w:val="002F4F3B"/>
    <w:rsid w:val="002F6B9A"/>
    <w:rsid w:val="003005A4"/>
    <w:rsid w:val="00303282"/>
    <w:rsid w:val="00304C86"/>
    <w:rsid w:val="003059EB"/>
    <w:rsid w:val="00306C6C"/>
    <w:rsid w:val="003116AC"/>
    <w:rsid w:val="0031274E"/>
    <w:rsid w:val="00313C1B"/>
    <w:rsid w:val="00314874"/>
    <w:rsid w:val="00315567"/>
    <w:rsid w:val="00316892"/>
    <w:rsid w:val="00317D2A"/>
    <w:rsid w:val="003229CB"/>
    <w:rsid w:val="00323199"/>
    <w:rsid w:val="003235EA"/>
    <w:rsid w:val="00326AD4"/>
    <w:rsid w:val="00330144"/>
    <w:rsid w:val="00332CA8"/>
    <w:rsid w:val="00334329"/>
    <w:rsid w:val="00337784"/>
    <w:rsid w:val="00342943"/>
    <w:rsid w:val="00344AF2"/>
    <w:rsid w:val="00345CBA"/>
    <w:rsid w:val="003461BB"/>
    <w:rsid w:val="00346245"/>
    <w:rsid w:val="00351FE8"/>
    <w:rsid w:val="0035253F"/>
    <w:rsid w:val="00352A7E"/>
    <w:rsid w:val="00352E9C"/>
    <w:rsid w:val="00354226"/>
    <w:rsid w:val="00356267"/>
    <w:rsid w:val="003569A6"/>
    <w:rsid w:val="00356BAD"/>
    <w:rsid w:val="00356E60"/>
    <w:rsid w:val="003605B4"/>
    <w:rsid w:val="00361B2F"/>
    <w:rsid w:val="003627AC"/>
    <w:rsid w:val="003632DC"/>
    <w:rsid w:val="0036673E"/>
    <w:rsid w:val="00366914"/>
    <w:rsid w:val="00367059"/>
    <w:rsid w:val="0036748D"/>
    <w:rsid w:val="00372899"/>
    <w:rsid w:val="00372FE3"/>
    <w:rsid w:val="00374717"/>
    <w:rsid w:val="003755CB"/>
    <w:rsid w:val="00375664"/>
    <w:rsid w:val="00376F82"/>
    <w:rsid w:val="003805E4"/>
    <w:rsid w:val="00381254"/>
    <w:rsid w:val="00383F85"/>
    <w:rsid w:val="00384D9A"/>
    <w:rsid w:val="00387BA1"/>
    <w:rsid w:val="00390B48"/>
    <w:rsid w:val="00395A75"/>
    <w:rsid w:val="003A2C00"/>
    <w:rsid w:val="003A306C"/>
    <w:rsid w:val="003A3A85"/>
    <w:rsid w:val="003A5280"/>
    <w:rsid w:val="003A695E"/>
    <w:rsid w:val="003A6E1F"/>
    <w:rsid w:val="003A7DE7"/>
    <w:rsid w:val="003B0FE7"/>
    <w:rsid w:val="003B1006"/>
    <w:rsid w:val="003B74A9"/>
    <w:rsid w:val="003C0E15"/>
    <w:rsid w:val="003C5F11"/>
    <w:rsid w:val="003C6F6A"/>
    <w:rsid w:val="003D293F"/>
    <w:rsid w:val="003D294B"/>
    <w:rsid w:val="003D6401"/>
    <w:rsid w:val="003E0766"/>
    <w:rsid w:val="003E08AC"/>
    <w:rsid w:val="003E1863"/>
    <w:rsid w:val="003E18E5"/>
    <w:rsid w:val="003E1EFF"/>
    <w:rsid w:val="003E5C90"/>
    <w:rsid w:val="003F38FB"/>
    <w:rsid w:val="003F44FE"/>
    <w:rsid w:val="003F5C60"/>
    <w:rsid w:val="003F5D10"/>
    <w:rsid w:val="003F71F4"/>
    <w:rsid w:val="00402BC4"/>
    <w:rsid w:val="00405090"/>
    <w:rsid w:val="00405332"/>
    <w:rsid w:val="00405686"/>
    <w:rsid w:val="004076F8"/>
    <w:rsid w:val="004078C5"/>
    <w:rsid w:val="00411CA8"/>
    <w:rsid w:val="00411F1B"/>
    <w:rsid w:val="0041427F"/>
    <w:rsid w:val="00414872"/>
    <w:rsid w:val="0041606D"/>
    <w:rsid w:val="00416962"/>
    <w:rsid w:val="004206A8"/>
    <w:rsid w:val="004207BE"/>
    <w:rsid w:val="00420BFD"/>
    <w:rsid w:val="004254DA"/>
    <w:rsid w:val="004259A5"/>
    <w:rsid w:val="0042726B"/>
    <w:rsid w:val="00430BAF"/>
    <w:rsid w:val="00431A11"/>
    <w:rsid w:val="00432697"/>
    <w:rsid w:val="00432944"/>
    <w:rsid w:val="004348CC"/>
    <w:rsid w:val="00436287"/>
    <w:rsid w:val="004378DF"/>
    <w:rsid w:val="0044145B"/>
    <w:rsid w:val="00444C47"/>
    <w:rsid w:val="00450C58"/>
    <w:rsid w:val="00451002"/>
    <w:rsid w:val="00452C31"/>
    <w:rsid w:val="004542BD"/>
    <w:rsid w:val="0045501C"/>
    <w:rsid w:val="00456444"/>
    <w:rsid w:val="00460C87"/>
    <w:rsid w:val="004635B9"/>
    <w:rsid w:val="0046573B"/>
    <w:rsid w:val="004658FF"/>
    <w:rsid w:val="00467F0A"/>
    <w:rsid w:val="0047045B"/>
    <w:rsid w:val="00471737"/>
    <w:rsid w:val="004726B2"/>
    <w:rsid w:val="00472E22"/>
    <w:rsid w:val="00474ED7"/>
    <w:rsid w:val="004756E1"/>
    <w:rsid w:val="00476E37"/>
    <w:rsid w:val="0048008A"/>
    <w:rsid w:val="004838E4"/>
    <w:rsid w:val="00483E94"/>
    <w:rsid w:val="00484120"/>
    <w:rsid w:val="00484A45"/>
    <w:rsid w:val="004853A0"/>
    <w:rsid w:val="00487751"/>
    <w:rsid w:val="00492B49"/>
    <w:rsid w:val="004931EC"/>
    <w:rsid w:val="00495BDD"/>
    <w:rsid w:val="00496B5F"/>
    <w:rsid w:val="004A02E3"/>
    <w:rsid w:val="004A1050"/>
    <w:rsid w:val="004A1EEA"/>
    <w:rsid w:val="004A2E10"/>
    <w:rsid w:val="004A7141"/>
    <w:rsid w:val="004B17FF"/>
    <w:rsid w:val="004B1BA0"/>
    <w:rsid w:val="004B5014"/>
    <w:rsid w:val="004B5FBE"/>
    <w:rsid w:val="004B6CEE"/>
    <w:rsid w:val="004C12A0"/>
    <w:rsid w:val="004C2443"/>
    <w:rsid w:val="004C498F"/>
    <w:rsid w:val="004C5783"/>
    <w:rsid w:val="004C5D29"/>
    <w:rsid w:val="004C5E3B"/>
    <w:rsid w:val="004C65FE"/>
    <w:rsid w:val="004C681A"/>
    <w:rsid w:val="004D4D8A"/>
    <w:rsid w:val="004D6C29"/>
    <w:rsid w:val="004E08BE"/>
    <w:rsid w:val="004E0937"/>
    <w:rsid w:val="004E1E5C"/>
    <w:rsid w:val="004E37D7"/>
    <w:rsid w:val="004F68EE"/>
    <w:rsid w:val="004F7551"/>
    <w:rsid w:val="005013D7"/>
    <w:rsid w:val="005018F1"/>
    <w:rsid w:val="005038D5"/>
    <w:rsid w:val="00503ACD"/>
    <w:rsid w:val="00505FFA"/>
    <w:rsid w:val="00510595"/>
    <w:rsid w:val="00511203"/>
    <w:rsid w:val="00511BA4"/>
    <w:rsid w:val="00513491"/>
    <w:rsid w:val="005149E7"/>
    <w:rsid w:val="005221D3"/>
    <w:rsid w:val="00522354"/>
    <w:rsid w:val="005232D6"/>
    <w:rsid w:val="00525086"/>
    <w:rsid w:val="00525B26"/>
    <w:rsid w:val="00525DA5"/>
    <w:rsid w:val="0052609B"/>
    <w:rsid w:val="005333CC"/>
    <w:rsid w:val="00533D3D"/>
    <w:rsid w:val="00534191"/>
    <w:rsid w:val="0053585A"/>
    <w:rsid w:val="005363F1"/>
    <w:rsid w:val="00536A48"/>
    <w:rsid w:val="00537C1B"/>
    <w:rsid w:val="005401E1"/>
    <w:rsid w:val="0054584E"/>
    <w:rsid w:val="0055007C"/>
    <w:rsid w:val="00550600"/>
    <w:rsid w:val="00550CF3"/>
    <w:rsid w:val="00551AFE"/>
    <w:rsid w:val="00551D3C"/>
    <w:rsid w:val="005539A7"/>
    <w:rsid w:val="00554922"/>
    <w:rsid w:val="00555282"/>
    <w:rsid w:val="005560E7"/>
    <w:rsid w:val="005601D6"/>
    <w:rsid w:val="005612CC"/>
    <w:rsid w:val="00562A46"/>
    <w:rsid w:val="00563029"/>
    <w:rsid w:val="00565905"/>
    <w:rsid w:val="00565946"/>
    <w:rsid w:val="005666DF"/>
    <w:rsid w:val="0056685B"/>
    <w:rsid w:val="00567B0D"/>
    <w:rsid w:val="00567D12"/>
    <w:rsid w:val="005722EC"/>
    <w:rsid w:val="00574395"/>
    <w:rsid w:val="00576062"/>
    <w:rsid w:val="005762DE"/>
    <w:rsid w:val="00584854"/>
    <w:rsid w:val="0058515A"/>
    <w:rsid w:val="0058692E"/>
    <w:rsid w:val="00586E23"/>
    <w:rsid w:val="00590DF0"/>
    <w:rsid w:val="00590E7A"/>
    <w:rsid w:val="0059559F"/>
    <w:rsid w:val="005A333C"/>
    <w:rsid w:val="005A49FF"/>
    <w:rsid w:val="005A7634"/>
    <w:rsid w:val="005A7AE8"/>
    <w:rsid w:val="005B11AB"/>
    <w:rsid w:val="005B257E"/>
    <w:rsid w:val="005B2698"/>
    <w:rsid w:val="005B310C"/>
    <w:rsid w:val="005B6F04"/>
    <w:rsid w:val="005C0447"/>
    <w:rsid w:val="005C29E4"/>
    <w:rsid w:val="005C442A"/>
    <w:rsid w:val="005C50B1"/>
    <w:rsid w:val="005C739F"/>
    <w:rsid w:val="005C73CA"/>
    <w:rsid w:val="005C79AE"/>
    <w:rsid w:val="005D4768"/>
    <w:rsid w:val="005D4BC6"/>
    <w:rsid w:val="005D4D97"/>
    <w:rsid w:val="005D57A7"/>
    <w:rsid w:val="005D5FD6"/>
    <w:rsid w:val="005E2BFF"/>
    <w:rsid w:val="005E2CAB"/>
    <w:rsid w:val="005E429E"/>
    <w:rsid w:val="005E55F6"/>
    <w:rsid w:val="005E7D1E"/>
    <w:rsid w:val="005F01CD"/>
    <w:rsid w:val="005F2BF9"/>
    <w:rsid w:val="005F51F3"/>
    <w:rsid w:val="005F57F1"/>
    <w:rsid w:val="00601ED4"/>
    <w:rsid w:val="006030BC"/>
    <w:rsid w:val="006037CB"/>
    <w:rsid w:val="00603A9D"/>
    <w:rsid w:val="00605923"/>
    <w:rsid w:val="006116F8"/>
    <w:rsid w:val="00612866"/>
    <w:rsid w:val="006138F2"/>
    <w:rsid w:val="00616D0E"/>
    <w:rsid w:val="00616EB5"/>
    <w:rsid w:val="00624B1C"/>
    <w:rsid w:val="006269D4"/>
    <w:rsid w:val="00627F8D"/>
    <w:rsid w:val="0063097D"/>
    <w:rsid w:val="00632293"/>
    <w:rsid w:val="006327D8"/>
    <w:rsid w:val="0063425B"/>
    <w:rsid w:val="00634D1C"/>
    <w:rsid w:val="00636DCF"/>
    <w:rsid w:val="00636F03"/>
    <w:rsid w:val="0064070A"/>
    <w:rsid w:val="00640BA2"/>
    <w:rsid w:val="006437A1"/>
    <w:rsid w:val="00643A01"/>
    <w:rsid w:val="00644E44"/>
    <w:rsid w:val="006512A3"/>
    <w:rsid w:val="00651D44"/>
    <w:rsid w:val="00652408"/>
    <w:rsid w:val="006524D8"/>
    <w:rsid w:val="006550C1"/>
    <w:rsid w:val="006558DE"/>
    <w:rsid w:val="00655FE3"/>
    <w:rsid w:val="00656DA7"/>
    <w:rsid w:val="006574D2"/>
    <w:rsid w:val="00661132"/>
    <w:rsid w:val="00661DF6"/>
    <w:rsid w:val="00663563"/>
    <w:rsid w:val="006676D4"/>
    <w:rsid w:val="006704DB"/>
    <w:rsid w:val="00675535"/>
    <w:rsid w:val="00681359"/>
    <w:rsid w:val="00686E70"/>
    <w:rsid w:val="0069157C"/>
    <w:rsid w:val="00695BDA"/>
    <w:rsid w:val="00696262"/>
    <w:rsid w:val="006A3CA1"/>
    <w:rsid w:val="006A5A17"/>
    <w:rsid w:val="006A65B4"/>
    <w:rsid w:val="006B0AC7"/>
    <w:rsid w:val="006B1AF6"/>
    <w:rsid w:val="006B378B"/>
    <w:rsid w:val="006C1439"/>
    <w:rsid w:val="006C313D"/>
    <w:rsid w:val="006C3A4F"/>
    <w:rsid w:val="006C4845"/>
    <w:rsid w:val="006D384C"/>
    <w:rsid w:val="006D524B"/>
    <w:rsid w:val="006D6BC1"/>
    <w:rsid w:val="006D7C38"/>
    <w:rsid w:val="006E03FD"/>
    <w:rsid w:val="006E0CB0"/>
    <w:rsid w:val="006E2BFC"/>
    <w:rsid w:val="006E33AF"/>
    <w:rsid w:val="006E44B0"/>
    <w:rsid w:val="006E4FFD"/>
    <w:rsid w:val="006E5C57"/>
    <w:rsid w:val="006E6FE1"/>
    <w:rsid w:val="006F1013"/>
    <w:rsid w:val="006F22A5"/>
    <w:rsid w:val="006F2F20"/>
    <w:rsid w:val="006F5E1D"/>
    <w:rsid w:val="00702C73"/>
    <w:rsid w:val="007118CD"/>
    <w:rsid w:val="00713377"/>
    <w:rsid w:val="00713394"/>
    <w:rsid w:val="00717243"/>
    <w:rsid w:val="00724677"/>
    <w:rsid w:val="00724B66"/>
    <w:rsid w:val="00725AC2"/>
    <w:rsid w:val="00732880"/>
    <w:rsid w:val="00736EE3"/>
    <w:rsid w:val="00737561"/>
    <w:rsid w:val="007416B9"/>
    <w:rsid w:val="007422FD"/>
    <w:rsid w:val="007429A9"/>
    <w:rsid w:val="00743800"/>
    <w:rsid w:val="00743E46"/>
    <w:rsid w:val="00746783"/>
    <w:rsid w:val="00747C45"/>
    <w:rsid w:val="007518CD"/>
    <w:rsid w:val="00751B42"/>
    <w:rsid w:val="00753D51"/>
    <w:rsid w:val="00754BF9"/>
    <w:rsid w:val="00756A17"/>
    <w:rsid w:val="00756FDB"/>
    <w:rsid w:val="007616F9"/>
    <w:rsid w:val="007629B6"/>
    <w:rsid w:val="00762D5C"/>
    <w:rsid w:val="00764F57"/>
    <w:rsid w:val="007660CF"/>
    <w:rsid w:val="007665BF"/>
    <w:rsid w:val="007710AE"/>
    <w:rsid w:val="00771A5E"/>
    <w:rsid w:val="00771B2A"/>
    <w:rsid w:val="007757CE"/>
    <w:rsid w:val="00775800"/>
    <w:rsid w:val="00776385"/>
    <w:rsid w:val="00782382"/>
    <w:rsid w:val="00782ADC"/>
    <w:rsid w:val="00783C70"/>
    <w:rsid w:val="00787BC1"/>
    <w:rsid w:val="0079180E"/>
    <w:rsid w:val="00792D9B"/>
    <w:rsid w:val="00794B80"/>
    <w:rsid w:val="007950CC"/>
    <w:rsid w:val="0079538B"/>
    <w:rsid w:val="00796079"/>
    <w:rsid w:val="007961B8"/>
    <w:rsid w:val="00797624"/>
    <w:rsid w:val="007A40D7"/>
    <w:rsid w:val="007A4828"/>
    <w:rsid w:val="007A48CD"/>
    <w:rsid w:val="007A7B0A"/>
    <w:rsid w:val="007B093D"/>
    <w:rsid w:val="007B2069"/>
    <w:rsid w:val="007B7B3D"/>
    <w:rsid w:val="007C04A1"/>
    <w:rsid w:val="007C1239"/>
    <w:rsid w:val="007C15F6"/>
    <w:rsid w:val="007C21FA"/>
    <w:rsid w:val="007C4873"/>
    <w:rsid w:val="007C58B6"/>
    <w:rsid w:val="007C5F41"/>
    <w:rsid w:val="007D13B1"/>
    <w:rsid w:val="007D2984"/>
    <w:rsid w:val="007D355D"/>
    <w:rsid w:val="007D4351"/>
    <w:rsid w:val="007D7019"/>
    <w:rsid w:val="007E18DB"/>
    <w:rsid w:val="007E533A"/>
    <w:rsid w:val="007E6F1C"/>
    <w:rsid w:val="007F0F99"/>
    <w:rsid w:val="007F11D3"/>
    <w:rsid w:val="007F28C4"/>
    <w:rsid w:val="00804C69"/>
    <w:rsid w:val="00806E7F"/>
    <w:rsid w:val="0080711D"/>
    <w:rsid w:val="00807296"/>
    <w:rsid w:val="00811A2C"/>
    <w:rsid w:val="00814380"/>
    <w:rsid w:val="008155CD"/>
    <w:rsid w:val="0081624D"/>
    <w:rsid w:val="00817111"/>
    <w:rsid w:val="008201D6"/>
    <w:rsid w:val="0082162B"/>
    <w:rsid w:val="00823660"/>
    <w:rsid w:val="00825F95"/>
    <w:rsid w:val="008273DB"/>
    <w:rsid w:val="00832B72"/>
    <w:rsid w:val="00833325"/>
    <w:rsid w:val="00840A41"/>
    <w:rsid w:val="00842EC4"/>
    <w:rsid w:val="00842F3C"/>
    <w:rsid w:val="00843CD2"/>
    <w:rsid w:val="00843E93"/>
    <w:rsid w:val="0084559D"/>
    <w:rsid w:val="008464F5"/>
    <w:rsid w:val="00847C9D"/>
    <w:rsid w:val="008505D1"/>
    <w:rsid w:val="00855158"/>
    <w:rsid w:val="00855F25"/>
    <w:rsid w:val="00857EE8"/>
    <w:rsid w:val="008604A7"/>
    <w:rsid w:val="00862ECD"/>
    <w:rsid w:val="00862F17"/>
    <w:rsid w:val="0086464B"/>
    <w:rsid w:val="008647FC"/>
    <w:rsid w:val="00864CA8"/>
    <w:rsid w:val="008655DF"/>
    <w:rsid w:val="00865E2D"/>
    <w:rsid w:val="00870E6C"/>
    <w:rsid w:val="00871B48"/>
    <w:rsid w:val="00871F83"/>
    <w:rsid w:val="00874998"/>
    <w:rsid w:val="00875846"/>
    <w:rsid w:val="00875A29"/>
    <w:rsid w:val="008760C9"/>
    <w:rsid w:val="00876AC6"/>
    <w:rsid w:val="008804A7"/>
    <w:rsid w:val="008805B0"/>
    <w:rsid w:val="00881312"/>
    <w:rsid w:val="00882285"/>
    <w:rsid w:val="00882A63"/>
    <w:rsid w:val="00884486"/>
    <w:rsid w:val="00885C9C"/>
    <w:rsid w:val="008871A9"/>
    <w:rsid w:val="008916BA"/>
    <w:rsid w:val="00892176"/>
    <w:rsid w:val="00892674"/>
    <w:rsid w:val="008A0544"/>
    <w:rsid w:val="008A1DB7"/>
    <w:rsid w:val="008A2F82"/>
    <w:rsid w:val="008A403A"/>
    <w:rsid w:val="008A4C13"/>
    <w:rsid w:val="008A7CF0"/>
    <w:rsid w:val="008B0087"/>
    <w:rsid w:val="008B208F"/>
    <w:rsid w:val="008B604D"/>
    <w:rsid w:val="008C3D1B"/>
    <w:rsid w:val="008C4C87"/>
    <w:rsid w:val="008C54A9"/>
    <w:rsid w:val="008C7650"/>
    <w:rsid w:val="008C7DDA"/>
    <w:rsid w:val="008D0518"/>
    <w:rsid w:val="008E3175"/>
    <w:rsid w:val="008E5FEB"/>
    <w:rsid w:val="008E67C3"/>
    <w:rsid w:val="008F345D"/>
    <w:rsid w:val="008F589F"/>
    <w:rsid w:val="008F6974"/>
    <w:rsid w:val="008F76A9"/>
    <w:rsid w:val="008F7E67"/>
    <w:rsid w:val="00900DBF"/>
    <w:rsid w:val="00900FE3"/>
    <w:rsid w:val="0090181A"/>
    <w:rsid w:val="00903DEB"/>
    <w:rsid w:val="009048B9"/>
    <w:rsid w:val="00904E91"/>
    <w:rsid w:val="009065E4"/>
    <w:rsid w:val="009108A3"/>
    <w:rsid w:val="009111D5"/>
    <w:rsid w:val="009118C4"/>
    <w:rsid w:val="00915886"/>
    <w:rsid w:val="00916F8E"/>
    <w:rsid w:val="0092023C"/>
    <w:rsid w:val="009214DC"/>
    <w:rsid w:val="00926078"/>
    <w:rsid w:val="00927027"/>
    <w:rsid w:val="00932D22"/>
    <w:rsid w:val="009344BA"/>
    <w:rsid w:val="00934B90"/>
    <w:rsid w:val="00935672"/>
    <w:rsid w:val="00936E75"/>
    <w:rsid w:val="009379A1"/>
    <w:rsid w:val="00944B8A"/>
    <w:rsid w:val="00946E61"/>
    <w:rsid w:val="00947F78"/>
    <w:rsid w:val="009504F1"/>
    <w:rsid w:val="00951F6C"/>
    <w:rsid w:val="00951FFC"/>
    <w:rsid w:val="0095233C"/>
    <w:rsid w:val="00953234"/>
    <w:rsid w:val="009556C5"/>
    <w:rsid w:val="00955864"/>
    <w:rsid w:val="00961057"/>
    <w:rsid w:val="00961EAF"/>
    <w:rsid w:val="009623AB"/>
    <w:rsid w:val="00962565"/>
    <w:rsid w:val="0096278F"/>
    <w:rsid w:val="00962D52"/>
    <w:rsid w:val="00966809"/>
    <w:rsid w:val="00967245"/>
    <w:rsid w:val="00967670"/>
    <w:rsid w:val="009726E1"/>
    <w:rsid w:val="00972A04"/>
    <w:rsid w:val="009743D2"/>
    <w:rsid w:val="00977591"/>
    <w:rsid w:val="009777C8"/>
    <w:rsid w:val="00977A60"/>
    <w:rsid w:val="00980E75"/>
    <w:rsid w:val="00981DCC"/>
    <w:rsid w:val="00983D96"/>
    <w:rsid w:val="00985D78"/>
    <w:rsid w:val="00986093"/>
    <w:rsid w:val="009861FA"/>
    <w:rsid w:val="00994BE0"/>
    <w:rsid w:val="009A25B1"/>
    <w:rsid w:val="009A3718"/>
    <w:rsid w:val="009A4608"/>
    <w:rsid w:val="009A5D96"/>
    <w:rsid w:val="009A6A57"/>
    <w:rsid w:val="009A70BF"/>
    <w:rsid w:val="009A7A53"/>
    <w:rsid w:val="009B0CA4"/>
    <w:rsid w:val="009B1A15"/>
    <w:rsid w:val="009B271A"/>
    <w:rsid w:val="009B766D"/>
    <w:rsid w:val="009C0852"/>
    <w:rsid w:val="009C13CA"/>
    <w:rsid w:val="009C32C6"/>
    <w:rsid w:val="009C3734"/>
    <w:rsid w:val="009C4C29"/>
    <w:rsid w:val="009C665F"/>
    <w:rsid w:val="009C7513"/>
    <w:rsid w:val="009D2ADD"/>
    <w:rsid w:val="009D2C82"/>
    <w:rsid w:val="009D2E8B"/>
    <w:rsid w:val="009D31A0"/>
    <w:rsid w:val="009D344A"/>
    <w:rsid w:val="009D3882"/>
    <w:rsid w:val="009D633F"/>
    <w:rsid w:val="009D7E38"/>
    <w:rsid w:val="009E095B"/>
    <w:rsid w:val="009E0ECE"/>
    <w:rsid w:val="009E1846"/>
    <w:rsid w:val="009E311A"/>
    <w:rsid w:val="009E392E"/>
    <w:rsid w:val="009E3BEA"/>
    <w:rsid w:val="009E78FF"/>
    <w:rsid w:val="009E7CA4"/>
    <w:rsid w:val="009F1E8C"/>
    <w:rsid w:val="009F42F4"/>
    <w:rsid w:val="00A01494"/>
    <w:rsid w:val="00A11858"/>
    <w:rsid w:val="00A126DD"/>
    <w:rsid w:val="00A13852"/>
    <w:rsid w:val="00A16042"/>
    <w:rsid w:val="00A16B1F"/>
    <w:rsid w:val="00A20679"/>
    <w:rsid w:val="00A22FA9"/>
    <w:rsid w:val="00A23166"/>
    <w:rsid w:val="00A25024"/>
    <w:rsid w:val="00A262D6"/>
    <w:rsid w:val="00A2647C"/>
    <w:rsid w:val="00A27841"/>
    <w:rsid w:val="00A279AF"/>
    <w:rsid w:val="00A27C8C"/>
    <w:rsid w:val="00A35F8F"/>
    <w:rsid w:val="00A40FB8"/>
    <w:rsid w:val="00A41377"/>
    <w:rsid w:val="00A41B79"/>
    <w:rsid w:val="00A4263D"/>
    <w:rsid w:val="00A43072"/>
    <w:rsid w:val="00A4533B"/>
    <w:rsid w:val="00A45E94"/>
    <w:rsid w:val="00A509B8"/>
    <w:rsid w:val="00A52AB9"/>
    <w:rsid w:val="00A53645"/>
    <w:rsid w:val="00A5515B"/>
    <w:rsid w:val="00A5599F"/>
    <w:rsid w:val="00A60766"/>
    <w:rsid w:val="00A6210B"/>
    <w:rsid w:val="00A64EBF"/>
    <w:rsid w:val="00A65EF0"/>
    <w:rsid w:val="00A66F7D"/>
    <w:rsid w:val="00A67929"/>
    <w:rsid w:val="00A71200"/>
    <w:rsid w:val="00A7323A"/>
    <w:rsid w:val="00A744BD"/>
    <w:rsid w:val="00A765DB"/>
    <w:rsid w:val="00A773A9"/>
    <w:rsid w:val="00A81B50"/>
    <w:rsid w:val="00A823B6"/>
    <w:rsid w:val="00A831B4"/>
    <w:rsid w:val="00A87434"/>
    <w:rsid w:val="00A92A93"/>
    <w:rsid w:val="00A92D17"/>
    <w:rsid w:val="00A94598"/>
    <w:rsid w:val="00A94DE8"/>
    <w:rsid w:val="00A95FAE"/>
    <w:rsid w:val="00A96070"/>
    <w:rsid w:val="00A96C69"/>
    <w:rsid w:val="00A97798"/>
    <w:rsid w:val="00A97F20"/>
    <w:rsid w:val="00AA1A14"/>
    <w:rsid w:val="00AA1C49"/>
    <w:rsid w:val="00AA202D"/>
    <w:rsid w:val="00AA4607"/>
    <w:rsid w:val="00AA5213"/>
    <w:rsid w:val="00AA65A6"/>
    <w:rsid w:val="00AA68E5"/>
    <w:rsid w:val="00AB16A9"/>
    <w:rsid w:val="00AB1952"/>
    <w:rsid w:val="00AB2C27"/>
    <w:rsid w:val="00AC0EB0"/>
    <w:rsid w:val="00AC1D8E"/>
    <w:rsid w:val="00AC3C76"/>
    <w:rsid w:val="00AC48FA"/>
    <w:rsid w:val="00AC4CFF"/>
    <w:rsid w:val="00AC70FE"/>
    <w:rsid w:val="00AD0240"/>
    <w:rsid w:val="00AD055B"/>
    <w:rsid w:val="00AD17C1"/>
    <w:rsid w:val="00AD4137"/>
    <w:rsid w:val="00AD4969"/>
    <w:rsid w:val="00AE27EA"/>
    <w:rsid w:val="00AE414B"/>
    <w:rsid w:val="00AE58D3"/>
    <w:rsid w:val="00AE6462"/>
    <w:rsid w:val="00AF2D68"/>
    <w:rsid w:val="00AF430A"/>
    <w:rsid w:val="00AF46FE"/>
    <w:rsid w:val="00AF4D59"/>
    <w:rsid w:val="00AF6875"/>
    <w:rsid w:val="00AF7BDC"/>
    <w:rsid w:val="00B02A9B"/>
    <w:rsid w:val="00B02D42"/>
    <w:rsid w:val="00B0319A"/>
    <w:rsid w:val="00B033B9"/>
    <w:rsid w:val="00B03567"/>
    <w:rsid w:val="00B035F3"/>
    <w:rsid w:val="00B037BA"/>
    <w:rsid w:val="00B03D6A"/>
    <w:rsid w:val="00B05C12"/>
    <w:rsid w:val="00B10735"/>
    <w:rsid w:val="00B10BAA"/>
    <w:rsid w:val="00B13F36"/>
    <w:rsid w:val="00B152CA"/>
    <w:rsid w:val="00B15D75"/>
    <w:rsid w:val="00B15DC0"/>
    <w:rsid w:val="00B15E89"/>
    <w:rsid w:val="00B20139"/>
    <w:rsid w:val="00B218DA"/>
    <w:rsid w:val="00B22D68"/>
    <w:rsid w:val="00B24336"/>
    <w:rsid w:val="00B31A46"/>
    <w:rsid w:val="00B31E6B"/>
    <w:rsid w:val="00B3204B"/>
    <w:rsid w:val="00B342FA"/>
    <w:rsid w:val="00B34C6F"/>
    <w:rsid w:val="00B358A7"/>
    <w:rsid w:val="00B50E97"/>
    <w:rsid w:val="00B52F57"/>
    <w:rsid w:val="00B5302B"/>
    <w:rsid w:val="00B53E8B"/>
    <w:rsid w:val="00B55B06"/>
    <w:rsid w:val="00B55C4D"/>
    <w:rsid w:val="00B562D9"/>
    <w:rsid w:val="00B572C5"/>
    <w:rsid w:val="00B659CB"/>
    <w:rsid w:val="00B72462"/>
    <w:rsid w:val="00B72FFD"/>
    <w:rsid w:val="00B774D2"/>
    <w:rsid w:val="00B8015A"/>
    <w:rsid w:val="00B816E0"/>
    <w:rsid w:val="00B822B4"/>
    <w:rsid w:val="00B82A57"/>
    <w:rsid w:val="00B83F6C"/>
    <w:rsid w:val="00B83FC1"/>
    <w:rsid w:val="00B87698"/>
    <w:rsid w:val="00B90E2E"/>
    <w:rsid w:val="00B93E3A"/>
    <w:rsid w:val="00B946FA"/>
    <w:rsid w:val="00BA049C"/>
    <w:rsid w:val="00BA053B"/>
    <w:rsid w:val="00BA3B96"/>
    <w:rsid w:val="00BA3C28"/>
    <w:rsid w:val="00BA4737"/>
    <w:rsid w:val="00BA791D"/>
    <w:rsid w:val="00BA7FBD"/>
    <w:rsid w:val="00BB35AE"/>
    <w:rsid w:val="00BB3EAD"/>
    <w:rsid w:val="00BC03A1"/>
    <w:rsid w:val="00BC0D25"/>
    <w:rsid w:val="00BC1884"/>
    <w:rsid w:val="00BC1D81"/>
    <w:rsid w:val="00BD2505"/>
    <w:rsid w:val="00BD4CBC"/>
    <w:rsid w:val="00BE0056"/>
    <w:rsid w:val="00BE1B5E"/>
    <w:rsid w:val="00BE43B3"/>
    <w:rsid w:val="00BE592D"/>
    <w:rsid w:val="00BE69C2"/>
    <w:rsid w:val="00BE7358"/>
    <w:rsid w:val="00BF4EDB"/>
    <w:rsid w:val="00BF52B0"/>
    <w:rsid w:val="00BF5697"/>
    <w:rsid w:val="00BF6FBD"/>
    <w:rsid w:val="00C007B0"/>
    <w:rsid w:val="00C01159"/>
    <w:rsid w:val="00C03C78"/>
    <w:rsid w:val="00C0440C"/>
    <w:rsid w:val="00C11EC2"/>
    <w:rsid w:val="00C12E94"/>
    <w:rsid w:val="00C1375E"/>
    <w:rsid w:val="00C14CCC"/>
    <w:rsid w:val="00C1695E"/>
    <w:rsid w:val="00C222E0"/>
    <w:rsid w:val="00C227A7"/>
    <w:rsid w:val="00C22C1C"/>
    <w:rsid w:val="00C24BB5"/>
    <w:rsid w:val="00C250B0"/>
    <w:rsid w:val="00C33F2E"/>
    <w:rsid w:val="00C34936"/>
    <w:rsid w:val="00C34C14"/>
    <w:rsid w:val="00C355B9"/>
    <w:rsid w:val="00C35998"/>
    <w:rsid w:val="00C36C37"/>
    <w:rsid w:val="00C37296"/>
    <w:rsid w:val="00C37507"/>
    <w:rsid w:val="00C37870"/>
    <w:rsid w:val="00C37EF1"/>
    <w:rsid w:val="00C401C4"/>
    <w:rsid w:val="00C40DAC"/>
    <w:rsid w:val="00C41562"/>
    <w:rsid w:val="00C41680"/>
    <w:rsid w:val="00C42EAE"/>
    <w:rsid w:val="00C43307"/>
    <w:rsid w:val="00C45601"/>
    <w:rsid w:val="00C46F5C"/>
    <w:rsid w:val="00C47E1B"/>
    <w:rsid w:val="00C51EB7"/>
    <w:rsid w:val="00C53187"/>
    <w:rsid w:val="00C60A25"/>
    <w:rsid w:val="00C61BCC"/>
    <w:rsid w:val="00C61CC3"/>
    <w:rsid w:val="00C675E5"/>
    <w:rsid w:val="00C70405"/>
    <w:rsid w:val="00C716C2"/>
    <w:rsid w:val="00C7311C"/>
    <w:rsid w:val="00C75CA6"/>
    <w:rsid w:val="00C765C5"/>
    <w:rsid w:val="00C775CE"/>
    <w:rsid w:val="00C82479"/>
    <w:rsid w:val="00C82515"/>
    <w:rsid w:val="00C82F64"/>
    <w:rsid w:val="00C844D3"/>
    <w:rsid w:val="00C867F0"/>
    <w:rsid w:val="00C87D8D"/>
    <w:rsid w:val="00C908AC"/>
    <w:rsid w:val="00C93684"/>
    <w:rsid w:val="00C958D3"/>
    <w:rsid w:val="00C964D1"/>
    <w:rsid w:val="00CA06D8"/>
    <w:rsid w:val="00CA076F"/>
    <w:rsid w:val="00CA28EE"/>
    <w:rsid w:val="00CA345A"/>
    <w:rsid w:val="00CA4CC5"/>
    <w:rsid w:val="00CA5113"/>
    <w:rsid w:val="00CA6B98"/>
    <w:rsid w:val="00CB42B4"/>
    <w:rsid w:val="00CB49FF"/>
    <w:rsid w:val="00CB6541"/>
    <w:rsid w:val="00CB728F"/>
    <w:rsid w:val="00CC02CF"/>
    <w:rsid w:val="00CC086A"/>
    <w:rsid w:val="00CC292D"/>
    <w:rsid w:val="00CC5DB2"/>
    <w:rsid w:val="00CC6EFE"/>
    <w:rsid w:val="00CD0873"/>
    <w:rsid w:val="00CD09DC"/>
    <w:rsid w:val="00CD0E24"/>
    <w:rsid w:val="00CD0F66"/>
    <w:rsid w:val="00CD364B"/>
    <w:rsid w:val="00CD467D"/>
    <w:rsid w:val="00CE23B8"/>
    <w:rsid w:val="00CE265A"/>
    <w:rsid w:val="00CE284E"/>
    <w:rsid w:val="00CE3F14"/>
    <w:rsid w:val="00CE50D7"/>
    <w:rsid w:val="00CE588A"/>
    <w:rsid w:val="00CF4CBE"/>
    <w:rsid w:val="00D00344"/>
    <w:rsid w:val="00D03FDD"/>
    <w:rsid w:val="00D0563D"/>
    <w:rsid w:val="00D05D4A"/>
    <w:rsid w:val="00D06241"/>
    <w:rsid w:val="00D11A81"/>
    <w:rsid w:val="00D15C06"/>
    <w:rsid w:val="00D15E49"/>
    <w:rsid w:val="00D17295"/>
    <w:rsid w:val="00D1754D"/>
    <w:rsid w:val="00D2223F"/>
    <w:rsid w:val="00D24FE5"/>
    <w:rsid w:val="00D252A4"/>
    <w:rsid w:val="00D274A4"/>
    <w:rsid w:val="00D274AC"/>
    <w:rsid w:val="00D277AF"/>
    <w:rsid w:val="00D31163"/>
    <w:rsid w:val="00D31A0D"/>
    <w:rsid w:val="00D320B1"/>
    <w:rsid w:val="00D33AFD"/>
    <w:rsid w:val="00D34AA8"/>
    <w:rsid w:val="00D360AE"/>
    <w:rsid w:val="00D36489"/>
    <w:rsid w:val="00D369E9"/>
    <w:rsid w:val="00D369EA"/>
    <w:rsid w:val="00D40678"/>
    <w:rsid w:val="00D42195"/>
    <w:rsid w:val="00D45488"/>
    <w:rsid w:val="00D50704"/>
    <w:rsid w:val="00D50A1D"/>
    <w:rsid w:val="00D569C8"/>
    <w:rsid w:val="00D5760A"/>
    <w:rsid w:val="00D60382"/>
    <w:rsid w:val="00D61410"/>
    <w:rsid w:val="00D61A04"/>
    <w:rsid w:val="00D63195"/>
    <w:rsid w:val="00D64832"/>
    <w:rsid w:val="00D65C49"/>
    <w:rsid w:val="00D66AE3"/>
    <w:rsid w:val="00D6732A"/>
    <w:rsid w:val="00D674B7"/>
    <w:rsid w:val="00D67E5D"/>
    <w:rsid w:val="00D7021A"/>
    <w:rsid w:val="00D71CAA"/>
    <w:rsid w:val="00D730DE"/>
    <w:rsid w:val="00D7654F"/>
    <w:rsid w:val="00D7764B"/>
    <w:rsid w:val="00D8181D"/>
    <w:rsid w:val="00D82EBB"/>
    <w:rsid w:val="00D84B8F"/>
    <w:rsid w:val="00D91B7B"/>
    <w:rsid w:val="00D968D8"/>
    <w:rsid w:val="00D96B64"/>
    <w:rsid w:val="00DA1934"/>
    <w:rsid w:val="00DA563D"/>
    <w:rsid w:val="00DA7277"/>
    <w:rsid w:val="00DB3627"/>
    <w:rsid w:val="00DB4724"/>
    <w:rsid w:val="00DB4B60"/>
    <w:rsid w:val="00DB4E0E"/>
    <w:rsid w:val="00DB6348"/>
    <w:rsid w:val="00DB6944"/>
    <w:rsid w:val="00DC28A9"/>
    <w:rsid w:val="00DC2D67"/>
    <w:rsid w:val="00DC4746"/>
    <w:rsid w:val="00DC4C3A"/>
    <w:rsid w:val="00DD41D7"/>
    <w:rsid w:val="00DD796A"/>
    <w:rsid w:val="00DD7A05"/>
    <w:rsid w:val="00DE1934"/>
    <w:rsid w:val="00DE1C80"/>
    <w:rsid w:val="00DE2B96"/>
    <w:rsid w:val="00DE7149"/>
    <w:rsid w:val="00DF2191"/>
    <w:rsid w:val="00DF48A3"/>
    <w:rsid w:val="00DF6EF7"/>
    <w:rsid w:val="00DF7CAF"/>
    <w:rsid w:val="00E02A2B"/>
    <w:rsid w:val="00E0314C"/>
    <w:rsid w:val="00E05CF0"/>
    <w:rsid w:val="00E12B08"/>
    <w:rsid w:val="00E1508F"/>
    <w:rsid w:val="00E15C08"/>
    <w:rsid w:val="00E16463"/>
    <w:rsid w:val="00E1739E"/>
    <w:rsid w:val="00E21556"/>
    <w:rsid w:val="00E251E5"/>
    <w:rsid w:val="00E26040"/>
    <w:rsid w:val="00E260BB"/>
    <w:rsid w:val="00E261DF"/>
    <w:rsid w:val="00E27240"/>
    <w:rsid w:val="00E27506"/>
    <w:rsid w:val="00E27EDD"/>
    <w:rsid w:val="00E30584"/>
    <w:rsid w:val="00E310B9"/>
    <w:rsid w:val="00E358CA"/>
    <w:rsid w:val="00E37E1B"/>
    <w:rsid w:val="00E40645"/>
    <w:rsid w:val="00E4180D"/>
    <w:rsid w:val="00E45576"/>
    <w:rsid w:val="00E5022A"/>
    <w:rsid w:val="00E517D1"/>
    <w:rsid w:val="00E562C0"/>
    <w:rsid w:val="00E57FAF"/>
    <w:rsid w:val="00E61713"/>
    <w:rsid w:val="00E62AC0"/>
    <w:rsid w:val="00E644AC"/>
    <w:rsid w:val="00E648B3"/>
    <w:rsid w:val="00E66287"/>
    <w:rsid w:val="00E6651A"/>
    <w:rsid w:val="00E66563"/>
    <w:rsid w:val="00E672D6"/>
    <w:rsid w:val="00E730FB"/>
    <w:rsid w:val="00E75AD3"/>
    <w:rsid w:val="00E76024"/>
    <w:rsid w:val="00E77B0F"/>
    <w:rsid w:val="00E80D85"/>
    <w:rsid w:val="00E84318"/>
    <w:rsid w:val="00E856A2"/>
    <w:rsid w:val="00E86628"/>
    <w:rsid w:val="00E86F3B"/>
    <w:rsid w:val="00E87200"/>
    <w:rsid w:val="00E967AD"/>
    <w:rsid w:val="00E96884"/>
    <w:rsid w:val="00E9752D"/>
    <w:rsid w:val="00E97FDD"/>
    <w:rsid w:val="00EA1E83"/>
    <w:rsid w:val="00EA497C"/>
    <w:rsid w:val="00EA5435"/>
    <w:rsid w:val="00EA5F47"/>
    <w:rsid w:val="00EB1D16"/>
    <w:rsid w:val="00EB3E4B"/>
    <w:rsid w:val="00EB455E"/>
    <w:rsid w:val="00EB4A49"/>
    <w:rsid w:val="00EB6E7C"/>
    <w:rsid w:val="00EC1136"/>
    <w:rsid w:val="00EC497A"/>
    <w:rsid w:val="00EC67BD"/>
    <w:rsid w:val="00EC79DE"/>
    <w:rsid w:val="00ED3FD0"/>
    <w:rsid w:val="00ED4ACE"/>
    <w:rsid w:val="00ED6BD3"/>
    <w:rsid w:val="00ED6F3B"/>
    <w:rsid w:val="00ED7DB8"/>
    <w:rsid w:val="00EE1605"/>
    <w:rsid w:val="00EE44C0"/>
    <w:rsid w:val="00EE4D35"/>
    <w:rsid w:val="00EE5DAE"/>
    <w:rsid w:val="00EF1E02"/>
    <w:rsid w:val="00EF1FF4"/>
    <w:rsid w:val="00EF2DA7"/>
    <w:rsid w:val="00EF3D46"/>
    <w:rsid w:val="00EF4F75"/>
    <w:rsid w:val="00F0224A"/>
    <w:rsid w:val="00F049BD"/>
    <w:rsid w:val="00F07165"/>
    <w:rsid w:val="00F07D84"/>
    <w:rsid w:val="00F13610"/>
    <w:rsid w:val="00F1412B"/>
    <w:rsid w:val="00F1550B"/>
    <w:rsid w:val="00F15BFA"/>
    <w:rsid w:val="00F2259A"/>
    <w:rsid w:val="00F26958"/>
    <w:rsid w:val="00F26D20"/>
    <w:rsid w:val="00F33D48"/>
    <w:rsid w:val="00F345E4"/>
    <w:rsid w:val="00F34FAB"/>
    <w:rsid w:val="00F37AE0"/>
    <w:rsid w:val="00F40E0B"/>
    <w:rsid w:val="00F435AA"/>
    <w:rsid w:val="00F443DD"/>
    <w:rsid w:val="00F509CF"/>
    <w:rsid w:val="00F53E38"/>
    <w:rsid w:val="00F54BDD"/>
    <w:rsid w:val="00F55D36"/>
    <w:rsid w:val="00F5738A"/>
    <w:rsid w:val="00F612D4"/>
    <w:rsid w:val="00F613FC"/>
    <w:rsid w:val="00F619C4"/>
    <w:rsid w:val="00F66040"/>
    <w:rsid w:val="00F66EFC"/>
    <w:rsid w:val="00F67C30"/>
    <w:rsid w:val="00F72794"/>
    <w:rsid w:val="00F7389E"/>
    <w:rsid w:val="00F754C9"/>
    <w:rsid w:val="00F760D1"/>
    <w:rsid w:val="00F77601"/>
    <w:rsid w:val="00F77F1D"/>
    <w:rsid w:val="00F800D8"/>
    <w:rsid w:val="00F86422"/>
    <w:rsid w:val="00F86E29"/>
    <w:rsid w:val="00F8777C"/>
    <w:rsid w:val="00F87CCB"/>
    <w:rsid w:val="00F9194F"/>
    <w:rsid w:val="00F92FC8"/>
    <w:rsid w:val="00F964BE"/>
    <w:rsid w:val="00F96AE4"/>
    <w:rsid w:val="00FA1A10"/>
    <w:rsid w:val="00FA48C7"/>
    <w:rsid w:val="00FA4BC6"/>
    <w:rsid w:val="00FA6910"/>
    <w:rsid w:val="00FA7888"/>
    <w:rsid w:val="00FB0ED2"/>
    <w:rsid w:val="00FB3D07"/>
    <w:rsid w:val="00FB51FB"/>
    <w:rsid w:val="00FB5201"/>
    <w:rsid w:val="00FB73C1"/>
    <w:rsid w:val="00FC0E30"/>
    <w:rsid w:val="00FC168B"/>
    <w:rsid w:val="00FC411C"/>
    <w:rsid w:val="00FC6276"/>
    <w:rsid w:val="00FC6C71"/>
    <w:rsid w:val="00FC7E46"/>
    <w:rsid w:val="00FD266A"/>
    <w:rsid w:val="00FD28CB"/>
    <w:rsid w:val="00FE0D51"/>
    <w:rsid w:val="00FE6C03"/>
    <w:rsid w:val="00FF646A"/>
    <w:rsid w:val="00FF6ED6"/>
    <w:rsid w:val="00FF7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1159"/>
  </w:style>
  <w:style w:type="paragraph" w:styleId="Heading1">
    <w:name w:val="heading 1"/>
    <w:basedOn w:val="Normal"/>
    <w:next w:val="Normal"/>
    <w:link w:val="Heading1Char"/>
    <w:uiPriority w:val="9"/>
    <w:qFormat/>
    <w:rsid w:val="00292F4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292F4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292F4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92F42"/>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292F42"/>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292F4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292F4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92F4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292F4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9"/>
    <w:rsid w:val="00292F42"/>
    <w:rPr>
      <w:rFonts w:asciiTheme="majorHAnsi" w:eastAsiaTheme="majorEastAsia" w:hAnsiTheme="majorHAnsi" w:cstheme="majorBidi"/>
      <w:i/>
      <w:iCs/>
      <w:color w:val="404040" w:themeColor="text1" w:themeTint="BF"/>
    </w:rPr>
  </w:style>
  <w:style w:type="character" w:styleId="Strong">
    <w:name w:val="Strong"/>
    <w:basedOn w:val="DefaultParagraphFont"/>
    <w:uiPriority w:val="22"/>
    <w:qFormat/>
    <w:rsid w:val="00292F42"/>
    <w:rPr>
      <w:b/>
      <w:bCs/>
      <w:color w:val="auto"/>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92F42"/>
    <w:pPr>
      <w:spacing w:after="0" w:line="240" w:lineRule="auto"/>
    </w:pPr>
  </w:style>
  <w:style w:type="paragraph" w:styleId="Caption">
    <w:name w:val="caption"/>
    <w:basedOn w:val="Normal"/>
    <w:next w:val="Normal"/>
    <w:uiPriority w:val="35"/>
    <w:unhideWhenUsed/>
    <w:qFormat/>
    <w:rsid w:val="005B2698"/>
    <w:pPr>
      <w:spacing w:after="200" w:line="240" w:lineRule="auto"/>
    </w:pPr>
    <w:rPr>
      <w:b/>
      <w:iCs/>
      <w:color w:val="FF0000"/>
      <w:szCs w:val="18"/>
    </w:rPr>
  </w:style>
  <w:style w:type="character" w:customStyle="1" w:styleId="Heading1Char">
    <w:name w:val="Heading 1 Char"/>
    <w:basedOn w:val="DefaultParagraphFont"/>
    <w:link w:val="Heading1"/>
    <w:uiPriority w:val="9"/>
    <w:rsid w:val="00292F4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292F4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292F42"/>
    <w:rPr>
      <w:rFonts w:asciiTheme="majorHAnsi" w:eastAsiaTheme="majorEastAsia" w:hAnsiTheme="majorHAnsi" w:cstheme="majorBidi"/>
      <w:color w:val="0D0D0D" w:themeColor="text1" w:themeTint="F2"/>
      <w:sz w:val="24"/>
      <w:szCs w:val="24"/>
    </w:rPr>
  </w:style>
  <w:style w:type="character" w:customStyle="1" w:styleId="Heading5Char">
    <w:name w:val="Heading 5 Char"/>
    <w:basedOn w:val="DefaultParagraphFont"/>
    <w:link w:val="Heading5"/>
    <w:uiPriority w:val="9"/>
    <w:semiHidden/>
    <w:rsid w:val="00292F42"/>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292F42"/>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292F4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92F4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292F42"/>
    <w:rPr>
      <w:rFonts w:asciiTheme="majorHAnsi" w:eastAsiaTheme="majorEastAsia" w:hAnsiTheme="majorHAnsi" w:cstheme="majorBidi"/>
      <w:i/>
      <w:iCs/>
      <w:color w:val="262626" w:themeColor="text1" w:themeTint="D9"/>
      <w:sz w:val="21"/>
      <w:szCs w:val="21"/>
    </w:rPr>
  </w:style>
  <w:style w:type="paragraph" w:styleId="Title">
    <w:name w:val="Title"/>
    <w:basedOn w:val="Normal"/>
    <w:next w:val="Normal"/>
    <w:link w:val="TitleChar"/>
    <w:uiPriority w:val="10"/>
    <w:qFormat/>
    <w:rsid w:val="00292F4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92F4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92F4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92F42"/>
    <w:rPr>
      <w:color w:val="5A5A5A" w:themeColor="text1" w:themeTint="A5"/>
      <w:spacing w:val="15"/>
    </w:rPr>
  </w:style>
  <w:style w:type="character" w:styleId="Emphasis">
    <w:name w:val="Emphasis"/>
    <w:basedOn w:val="DefaultParagraphFont"/>
    <w:uiPriority w:val="20"/>
    <w:qFormat/>
    <w:rsid w:val="00292F42"/>
    <w:rPr>
      <w:i/>
      <w:iCs/>
      <w:color w:val="auto"/>
    </w:rPr>
  </w:style>
  <w:style w:type="paragraph" w:styleId="Quote">
    <w:name w:val="Quote"/>
    <w:basedOn w:val="Normal"/>
    <w:next w:val="Normal"/>
    <w:link w:val="QuoteChar"/>
    <w:uiPriority w:val="29"/>
    <w:qFormat/>
    <w:rsid w:val="00292F4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92F42"/>
    <w:rPr>
      <w:i/>
      <w:iCs/>
      <w:color w:val="404040" w:themeColor="text1" w:themeTint="BF"/>
    </w:rPr>
  </w:style>
  <w:style w:type="paragraph" w:styleId="IntenseQuote">
    <w:name w:val="Intense Quote"/>
    <w:basedOn w:val="Normal"/>
    <w:next w:val="Normal"/>
    <w:link w:val="IntenseQuoteChar"/>
    <w:uiPriority w:val="30"/>
    <w:qFormat/>
    <w:rsid w:val="00292F4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92F42"/>
    <w:rPr>
      <w:i/>
      <w:iCs/>
      <w:color w:val="404040" w:themeColor="text1" w:themeTint="BF"/>
    </w:rPr>
  </w:style>
  <w:style w:type="character" w:styleId="SubtleEmphasis">
    <w:name w:val="Subtle Emphasis"/>
    <w:basedOn w:val="DefaultParagraphFont"/>
    <w:uiPriority w:val="19"/>
    <w:qFormat/>
    <w:rsid w:val="00292F42"/>
    <w:rPr>
      <w:i/>
      <w:iCs/>
      <w:color w:val="404040" w:themeColor="text1" w:themeTint="BF"/>
    </w:rPr>
  </w:style>
  <w:style w:type="character" w:styleId="IntenseEmphasis">
    <w:name w:val="Intense Emphasis"/>
    <w:basedOn w:val="DefaultParagraphFont"/>
    <w:uiPriority w:val="21"/>
    <w:qFormat/>
    <w:rsid w:val="00292F42"/>
    <w:rPr>
      <w:b/>
      <w:bCs/>
      <w:i/>
      <w:iCs/>
      <w:color w:val="auto"/>
    </w:rPr>
  </w:style>
  <w:style w:type="character" w:styleId="SubtleReference">
    <w:name w:val="Subtle Reference"/>
    <w:basedOn w:val="DefaultParagraphFont"/>
    <w:uiPriority w:val="31"/>
    <w:qFormat/>
    <w:rsid w:val="00292F42"/>
    <w:rPr>
      <w:smallCaps/>
      <w:color w:val="404040" w:themeColor="text1" w:themeTint="BF"/>
    </w:rPr>
  </w:style>
  <w:style w:type="character" w:styleId="IntenseReference">
    <w:name w:val="Intense Reference"/>
    <w:basedOn w:val="DefaultParagraphFont"/>
    <w:uiPriority w:val="32"/>
    <w:qFormat/>
    <w:rsid w:val="00292F42"/>
    <w:rPr>
      <w:b/>
      <w:bCs/>
      <w:smallCaps/>
      <w:color w:val="404040" w:themeColor="text1" w:themeTint="BF"/>
      <w:spacing w:val="5"/>
    </w:rPr>
  </w:style>
  <w:style w:type="character" w:styleId="BookTitle">
    <w:name w:val="Book Title"/>
    <w:basedOn w:val="DefaultParagraphFont"/>
    <w:uiPriority w:val="33"/>
    <w:qFormat/>
    <w:rsid w:val="00292F42"/>
    <w:rPr>
      <w:b/>
      <w:bCs/>
      <w:i/>
      <w:iCs/>
      <w:spacing w:val="5"/>
    </w:rPr>
  </w:style>
  <w:style w:type="paragraph" w:styleId="TOCHeading">
    <w:name w:val="TOC Heading"/>
    <w:basedOn w:val="Heading1"/>
    <w:next w:val="Normal"/>
    <w:uiPriority w:val="39"/>
    <w:semiHidden/>
    <w:unhideWhenUsed/>
    <w:qFormat/>
    <w:rsid w:val="00292F42"/>
    <w:pPr>
      <w:outlineLvl w:val="9"/>
    </w:pPr>
  </w:style>
  <w:style w:type="table" w:customStyle="1" w:styleId="TableGrid1">
    <w:name w:val="Table Grid1"/>
    <w:basedOn w:val="TableNormal"/>
    <w:next w:val="TableGrid"/>
    <w:uiPriority w:val="59"/>
    <w:rsid w:val="00D674B7"/>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1857">
      <w:bodyDiv w:val="1"/>
      <w:marLeft w:val="0"/>
      <w:marRight w:val="0"/>
      <w:marTop w:val="0"/>
      <w:marBottom w:val="0"/>
      <w:divBdr>
        <w:top w:val="none" w:sz="0" w:space="0" w:color="auto"/>
        <w:left w:val="none" w:sz="0" w:space="0" w:color="auto"/>
        <w:bottom w:val="none" w:sz="0" w:space="0" w:color="auto"/>
        <w:right w:val="none" w:sz="0" w:space="0" w:color="auto"/>
      </w:divBdr>
    </w:div>
    <w:div w:id="27490306">
      <w:bodyDiv w:val="1"/>
      <w:marLeft w:val="0"/>
      <w:marRight w:val="0"/>
      <w:marTop w:val="0"/>
      <w:marBottom w:val="0"/>
      <w:divBdr>
        <w:top w:val="none" w:sz="0" w:space="0" w:color="auto"/>
        <w:left w:val="none" w:sz="0" w:space="0" w:color="auto"/>
        <w:bottom w:val="none" w:sz="0" w:space="0" w:color="auto"/>
        <w:right w:val="none" w:sz="0" w:space="0" w:color="auto"/>
      </w:divBdr>
    </w:div>
    <w:div w:id="33897321">
      <w:bodyDiv w:val="1"/>
      <w:marLeft w:val="0"/>
      <w:marRight w:val="0"/>
      <w:marTop w:val="0"/>
      <w:marBottom w:val="0"/>
      <w:divBdr>
        <w:top w:val="none" w:sz="0" w:space="0" w:color="auto"/>
        <w:left w:val="none" w:sz="0" w:space="0" w:color="auto"/>
        <w:bottom w:val="none" w:sz="0" w:space="0" w:color="auto"/>
        <w:right w:val="none" w:sz="0" w:space="0" w:color="auto"/>
      </w:divBdr>
    </w:div>
    <w:div w:id="96409901">
      <w:bodyDiv w:val="1"/>
      <w:marLeft w:val="0"/>
      <w:marRight w:val="0"/>
      <w:marTop w:val="0"/>
      <w:marBottom w:val="0"/>
      <w:divBdr>
        <w:top w:val="none" w:sz="0" w:space="0" w:color="auto"/>
        <w:left w:val="none" w:sz="0" w:space="0" w:color="auto"/>
        <w:bottom w:val="none" w:sz="0" w:space="0" w:color="auto"/>
        <w:right w:val="none" w:sz="0" w:space="0" w:color="auto"/>
      </w:divBdr>
    </w:div>
    <w:div w:id="96606789">
      <w:bodyDiv w:val="1"/>
      <w:marLeft w:val="0"/>
      <w:marRight w:val="0"/>
      <w:marTop w:val="0"/>
      <w:marBottom w:val="0"/>
      <w:divBdr>
        <w:top w:val="none" w:sz="0" w:space="0" w:color="auto"/>
        <w:left w:val="none" w:sz="0" w:space="0" w:color="auto"/>
        <w:bottom w:val="none" w:sz="0" w:space="0" w:color="auto"/>
        <w:right w:val="none" w:sz="0" w:space="0" w:color="auto"/>
      </w:divBdr>
    </w:div>
    <w:div w:id="117529210">
      <w:bodyDiv w:val="1"/>
      <w:marLeft w:val="0"/>
      <w:marRight w:val="0"/>
      <w:marTop w:val="0"/>
      <w:marBottom w:val="0"/>
      <w:divBdr>
        <w:top w:val="none" w:sz="0" w:space="0" w:color="auto"/>
        <w:left w:val="none" w:sz="0" w:space="0" w:color="auto"/>
        <w:bottom w:val="none" w:sz="0" w:space="0" w:color="auto"/>
        <w:right w:val="none" w:sz="0" w:space="0" w:color="auto"/>
      </w:divBdr>
    </w:div>
    <w:div w:id="145050431">
      <w:bodyDiv w:val="1"/>
      <w:marLeft w:val="0"/>
      <w:marRight w:val="0"/>
      <w:marTop w:val="0"/>
      <w:marBottom w:val="0"/>
      <w:divBdr>
        <w:top w:val="none" w:sz="0" w:space="0" w:color="auto"/>
        <w:left w:val="none" w:sz="0" w:space="0" w:color="auto"/>
        <w:bottom w:val="none" w:sz="0" w:space="0" w:color="auto"/>
        <w:right w:val="none" w:sz="0" w:space="0" w:color="auto"/>
      </w:divBdr>
    </w:div>
    <w:div w:id="155729114">
      <w:bodyDiv w:val="1"/>
      <w:marLeft w:val="0"/>
      <w:marRight w:val="0"/>
      <w:marTop w:val="0"/>
      <w:marBottom w:val="0"/>
      <w:divBdr>
        <w:top w:val="none" w:sz="0" w:space="0" w:color="auto"/>
        <w:left w:val="none" w:sz="0" w:space="0" w:color="auto"/>
        <w:bottom w:val="none" w:sz="0" w:space="0" w:color="auto"/>
        <w:right w:val="none" w:sz="0" w:space="0" w:color="auto"/>
      </w:divBdr>
    </w:div>
    <w:div w:id="161118120">
      <w:bodyDiv w:val="1"/>
      <w:marLeft w:val="0"/>
      <w:marRight w:val="0"/>
      <w:marTop w:val="0"/>
      <w:marBottom w:val="0"/>
      <w:divBdr>
        <w:top w:val="none" w:sz="0" w:space="0" w:color="auto"/>
        <w:left w:val="none" w:sz="0" w:space="0" w:color="auto"/>
        <w:bottom w:val="none" w:sz="0" w:space="0" w:color="auto"/>
        <w:right w:val="none" w:sz="0" w:space="0" w:color="auto"/>
      </w:divBdr>
    </w:div>
    <w:div w:id="164245144">
      <w:bodyDiv w:val="1"/>
      <w:marLeft w:val="0"/>
      <w:marRight w:val="0"/>
      <w:marTop w:val="0"/>
      <w:marBottom w:val="0"/>
      <w:divBdr>
        <w:top w:val="none" w:sz="0" w:space="0" w:color="auto"/>
        <w:left w:val="none" w:sz="0" w:space="0" w:color="auto"/>
        <w:bottom w:val="none" w:sz="0" w:space="0" w:color="auto"/>
        <w:right w:val="none" w:sz="0" w:space="0" w:color="auto"/>
      </w:divBdr>
    </w:div>
    <w:div w:id="188614583">
      <w:bodyDiv w:val="1"/>
      <w:marLeft w:val="0"/>
      <w:marRight w:val="0"/>
      <w:marTop w:val="0"/>
      <w:marBottom w:val="0"/>
      <w:divBdr>
        <w:top w:val="none" w:sz="0" w:space="0" w:color="auto"/>
        <w:left w:val="none" w:sz="0" w:space="0" w:color="auto"/>
        <w:bottom w:val="none" w:sz="0" w:space="0" w:color="auto"/>
        <w:right w:val="none" w:sz="0" w:space="0" w:color="auto"/>
      </w:divBdr>
    </w:div>
    <w:div w:id="264730669">
      <w:bodyDiv w:val="1"/>
      <w:marLeft w:val="0"/>
      <w:marRight w:val="0"/>
      <w:marTop w:val="0"/>
      <w:marBottom w:val="0"/>
      <w:divBdr>
        <w:top w:val="none" w:sz="0" w:space="0" w:color="auto"/>
        <w:left w:val="none" w:sz="0" w:space="0" w:color="auto"/>
        <w:bottom w:val="none" w:sz="0" w:space="0" w:color="auto"/>
        <w:right w:val="none" w:sz="0" w:space="0" w:color="auto"/>
      </w:divBdr>
    </w:div>
    <w:div w:id="265771566">
      <w:bodyDiv w:val="1"/>
      <w:marLeft w:val="0"/>
      <w:marRight w:val="0"/>
      <w:marTop w:val="0"/>
      <w:marBottom w:val="0"/>
      <w:divBdr>
        <w:top w:val="none" w:sz="0" w:space="0" w:color="auto"/>
        <w:left w:val="none" w:sz="0" w:space="0" w:color="auto"/>
        <w:bottom w:val="none" w:sz="0" w:space="0" w:color="auto"/>
        <w:right w:val="none" w:sz="0" w:space="0" w:color="auto"/>
      </w:divBdr>
    </w:div>
    <w:div w:id="284703644">
      <w:bodyDiv w:val="1"/>
      <w:marLeft w:val="0"/>
      <w:marRight w:val="0"/>
      <w:marTop w:val="0"/>
      <w:marBottom w:val="0"/>
      <w:divBdr>
        <w:top w:val="none" w:sz="0" w:space="0" w:color="auto"/>
        <w:left w:val="none" w:sz="0" w:space="0" w:color="auto"/>
        <w:bottom w:val="none" w:sz="0" w:space="0" w:color="auto"/>
        <w:right w:val="none" w:sz="0" w:space="0" w:color="auto"/>
      </w:divBdr>
    </w:div>
    <w:div w:id="290745096">
      <w:bodyDiv w:val="1"/>
      <w:marLeft w:val="0"/>
      <w:marRight w:val="0"/>
      <w:marTop w:val="0"/>
      <w:marBottom w:val="0"/>
      <w:divBdr>
        <w:top w:val="none" w:sz="0" w:space="0" w:color="auto"/>
        <w:left w:val="none" w:sz="0" w:space="0" w:color="auto"/>
        <w:bottom w:val="none" w:sz="0" w:space="0" w:color="auto"/>
        <w:right w:val="none" w:sz="0" w:space="0" w:color="auto"/>
      </w:divBdr>
    </w:div>
    <w:div w:id="294792820">
      <w:bodyDiv w:val="1"/>
      <w:marLeft w:val="0"/>
      <w:marRight w:val="0"/>
      <w:marTop w:val="0"/>
      <w:marBottom w:val="0"/>
      <w:divBdr>
        <w:top w:val="none" w:sz="0" w:space="0" w:color="auto"/>
        <w:left w:val="none" w:sz="0" w:space="0" w:color="auto"/>
        <w:bottom w:val="none" w:sz="0" w:space="0" w:color="auto"/>
        <w:right w:val="none" w:sz="0" w:space="0" w:color="auto"/>
      </w:divBdr>
    </w:div>
    <w:div w:id="346637708">
      <w:bodyDiv w:val="1"/>
      <w:marLeft w:val="0"/>
      <w:marRight w:val="0"/>
      <w:marTop w:val="0"/>
      <w:marBottom w:val="0"/>
      <w:divBdr>
        <w:top w:val="none" w:sz="0" w:space="0" w:color="auto"/>
        <w:left w:val="none" w:sz="0" w:space="0" w:color="auto"/>
        <w:bottom w:val="none" w:sz="0" w:space="0" w:color="auto"/>
        <w:right w:val="none" w:sz="0" w:space="0" w:color="auto"/>
      </w:divBdr>
    </w:div>
    <w:div w:id="347144333">
      <w:bodyDiv w:val="1"/>
      <w:marLeft w:val="0"/>
      <w:marRight w:val="0"/>
      <w:marTop w:val="0"/>
      <w:marBottom w:val="0"/>
      <w:divBdr>
        <w:top w:val="none" w:sz="0" w:space="0" w:color="auto"/>
        <w:left w:val="none" w:sz="0" w:space="0" w:color="auto"/>
        <w:bottom w:val="none" w:sz="0" w:space="0" w:color="auto"/>
        <w:right w:val="none" w:sz="0" w:space="0" w:color="auto"/>
      </w:divBdr>
    </w:div>
    <w:div w:id="349994966">
      <w:bodyDiv w:val="1"/>
      <w:marLeft w:val="0"/>
      <w:marRight w:val="0"/>
      <w:marTop w:val="0"/>
      <w:marBottom w:val="0"/>
      <w:divBdr>
        <w:top w:val="none" w:sz="0" w:space="0" w:color="auto"/>
        <w:left w:val="none" w:sz="0" w:space="0" w:color="auto"/>
        <w:bottom w:val="none" w:sz="0" w:space="0" w:color="auto"/>
        <w:right w:val="none" w:sz="0" w:space="0" w:color="auto"/>
      </w:divBdr>
    </w:div>
    <w:div w:id="352268605">
      <w:bodyDiv w:val="1"/>
      <w:marLeft w:val="0"/>
      <w:marRight w:val="0"/>
      <w:marTop w:val="0"/>
      <w:marBottom w:val="0"/>
      <w:divBdr>
        <w:top w:val="none" w:sz="0" w:space="0" w:color="auto"/>
        <w:left w:val="none" w:sz="0" w:space="0" w:color="auto"/>
        <w:bottom w:val="none" w:sz="0" w:space="0" w:color="auto"/>
        <w:right w:val="none" w:sz="0" w:space="0" w:color="auto"/>
      </w:divBdr>
    </w:div>
    <w:div w:id="366220812">
      <w:bodyDiv w:val="1"/>
      <w:marLeft w:val="0"/>
      <w:marRight w:val="0"/>
      <w:marTop w:val="0"/>
      <w:marBottom w:val="0"/>
      <w:divBdr>
        <w:top w:val="none" w:sz="0" w:space="0" w:color="auto"/>
        <w:left w:val="none" w:sz="0" w:space="0" w:color="auto"/>
        <w:bottom w:val="none" w:sz="0" w:space="0" w:color="auto"/>
        <w:right w:val="none" w:sz="0" w:space="0" w:color="auto"/>
      </w:divBdr>
    </w:div>
    <w:div w:id="50655518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8154887">
      <w:bodyDiv w:val="1"/>
      <w:marLeft w:val="0"/>
      <w:marRight w:val="0"/>
      <w:marTop w:val="0"/>
      <w:marBottom w:val="0"/>
      <w:divBdr>
        <w:top w:val="none" w:sz="0" w:space="0" w:color="auto"/>
        <w:left w:val="none" w:sz="0" w:space="0" w:color="auto"/>
        <w:bottom w:val="none" w:sz="0" w:space="0" w:color="auto"/>
        <w:right w:val="none" w:sz="0" w:space="0" w:color="auto"/>
      </w:divBdr>
    </w:div>
    <w:div w:id="520749760">
      <w:bodyDiv w:val="1"/>
      <w:marLeft w:val="0"/>
      <w:marRight w:val="0"/>
      <w:marTop w:val="0"/>
      <w:marBottom w:val="0"/>
      <w:divBdr>
        <w:top w:val="none" w:sz="0" w:space="0" w:color="auto"/>
        <w:left w:val="none" w:sz="0" w:space="0" w:color="auto"/>
        <w:bottom w:val="none" w:sz="0" w:space="0" w:color="auto"/>
        <w:right w:val="none" w:sz="0" w:space="0" w:color="auto"/>
      </w:divBdr>
    </w:div>
    <w:div w:id="524367086">
      <w:bodyDiv w:val="1"/>
      <w:marLeft w:val="0"/>
      <w:marRight w:val="0"/>
      <w:marTop w:val="0"/>
      <w:marBottom w:val="0"/>
      <w:divBdr>
        <w:top w:val="none" w:sz="0" w:space="0" w:color="auto"/>
        <w:left w:val="none" w:sz="0" w:space="0" w:color="auto"/>
        <w:bottom w:val="none" w:sz="0" w:space="0" w:color="auto"/>
        <w:right w:val="none" w:sz="0" w:space="0" w:color="auto"/>
      </w:divBdr>
    </w:div>
    <w:div w:id="528297013">
      <w:bodyDiv w:val="1"/>
      <w:marLeft w:val="0"/>
      <w:marRight w:val="0"/>
      <w:marTop w:val="0"/>
      <w:marBottom w:val="0"/>
      <w:divBdr>
        <w:top w:val="none" w:sz="0" w:space="0" w:color="auto"/>
        <w:left w:val="none" w:sz="0" w:space="0" w:color="auto"/>
        <w:bottom w:val="none" w:sz="0" w:space="0" w:color="auto"/>
        <w:right w:val="none" w:sz="0" w:space="0" w:color="auto"/>
      </w:divBdr>
    </w:div>
    <w:div w:id="532768241">
      <w:bodyDiv w:val="1"/>
      <w:marLeft w:val="0"/>
      <w:marRight w:val="0"/>
      <w:marTop w:val="0"/>
      <w:marBottom w:val="0"/>
      <w:divBdr>
        <w:top w:val="none" w:sz="0" w:space="0" w:color="auto"/>
        <w:left w:val="none" w:sz="0" w:space="0" w:color="auto"/>
        <w:bottom w:val="none" w:sz="0" w:space="0" w:color="auto"/>
        <w:right w:val="none" w:sz="0" w:space="0" w:color="auto"/>
      </w:divBdr>
    </w:div>
    <w:div w:id="546186738">
      <w:bodyDiv w:val="1"/>
      <w:marLeft w:val="0"/>
      <w:marRight w:val="0"/>
      <w:marTop w:val="0"/>
      <w:marBottom w:val="0"/>
      <w:divBdr>
        <w:top w:val="none" w:sz="0" w:space="0" w:color="auto"/>
        <w:left w:val="none" w:sz="0" w:space="0" w:color="auto"/>
        <w:bottom w:val="none" w:sz="0" w:space="0" w:color="auto"/>
        <w:right w:val="none" w:sz="0" w:space="0" w:color="auto"/>
      </w:divBdr>
    </w:div>
    <w:div w:id="554243763">
      <w:bodyDiv w:val="1"/>
      <w:marLeft w:val="0"/>
      <w:marRight w:val="0"/>
      <w:marTop w:val="0"/>
      <w:marBottom w:val="0"/>
      <w:divBdr>
        <w:top w:val="none" w:sz="0" w:space="0" w:color="auto"/>
        <w:left w:val="none" w:sz="0" w:space="0" w:color="auto"/>
        <w:bottom w:val="none" w:sz="0" w:space="0" w:color="auto"/>
        <w:right w:val="none" w:sz="0" w:space="0" w:color="auto"/>
      </w:divBdr>
    </w:div>
    <w:div w:id="574054299">
      <w:bodyDiv w:val="1"/>
      <w:marLeft w:val="0"/>
      <w:marRight w:val="0"/>
      <w:marTop w:val="0"/>
      <w:marBottom w:val="0"/>
      <w:divBdr>
        <w:top w:val="none" w:sz="0" w:space="0" w:color="auto"/>
        <w:left w:val="none" w:sz="0" w:space="0" w:color="auto"/>
        <w:bottom w:val="none" w:sz="0" w:space="0" w:color="auto"/>
        <w:right w:val="none" w:sz="0" w:space="0" w:color="auto"/>
      </w:divBdr>
    </w:div>
    <w:div w:id="586579326">
      <w:bodyDiv w:val="1"/>
      <w:marLeft w:val="0"/>
      <w:marRight w:val="0"/>
      <w:marTop w:val="0"/>
      <w:marBottom w:val="0"/>
      <w:divBdr>
        <w:top w:val="none" w:sz="0" w:space="0" w:color="auto"/>
        <w:left w:val="none" w:sz="0" w:space="0" w:color="auto"/>
        <w:bottom w:val="none" w:sz="0" w:space="0" w:color="auto"/>
        <w:right w:val="none" w:sz="0" w:space="0" w:color="auto"/>
      </w:divBdr>
    </w:div>
    <w:div w:id="592083761">
      <w:bodyDiv w:val="1"/>
      <w:marLeft w:val="0"/>
      <w:marRight w:val="0"/>
      <w:marTop w:val="0"/>
      <w:marBottom w:val="0"/>
      <w:divBdr>
        <w:top w:val="none" w:sz="0" w:space="0" w:color="auto"/>
        <w:left w:val="none" w:sz="0" w:space="0" w:color="auto"/>
        <w:bottom w:val="none" w:sz="0" w:space="0" w:color="auto"/>
        <w:right w:val="none" w:sz="0" w:space="0" w:color="auto"/>
      </w:divBdr>
    </w:div>
    <w:div w:id="616645557">
      <w:bodyDiv w:val="1"/>
      <w:marLeft w:val="0"/>
      <w:marRight w:val="0"/>
      <w:marTop w:val="0"/>
      <w:marBottom w:val="0"/>
      <w:divBdr>
        <w:top w:val="none" w:sz="0" w:space="0" w:color="auto"/>
        <w:left w:val="none" w:sz="0" w:space="0" w:color="auto"/>
        <w:bottom w:val="none" w:sz="0" w:space="0" w:color="auto"/>
        <w:right w:val="none" w:sz="0" w:space="0" w:color="auto"/>
      </w:divBdr>
    </w:div>
    <w:div w:id="633944729">
      <w:bodyDiv w:val="1"/>
      <w:marLeft w:val="0"/>
      <w:marRight w:val="0"/>
      <w:marTop w:val="0"/>
      <w:marBottom w:val="0"/>
      <w:divBdr>
        <w:top w:val="none" w:sz="0" w:space="0" w:color="auto"/>
        <w:left w:val="none" w:sz="0" w:space="0" w:color="auto"/>
        <w:bottom w:val="none" w:sz="0" w:space="0" w:color="auto"/>
        <w:right w:val="none" w:sz="0" w:space="0" w:color="auto"/>
      </w:divBdr>
    </w:div>
    <w:div w:id="666595407">
      <w:bodyDiv w:val="1"/>
      <w:marLeft w:val="0"/>
      <w:marRight w:val="0"/>
      <w:marTop w:val="0"/>
      <w:marBottom w:val="0"/>
      <w:divBdr>
        <w:top w:val="none" w:sz="0" w:space="0" w:color="auto"/>
        <w:left w:val="none" w:sz="0" w:space="0" w:color="auto"/>
        <w:bottom w:val="none" w:sz="0" w:space="0" w:color="auto"/>
        <w:right w:val="none" w:sz="0" w:space="0" w:color="auto"/>
      </w:divBdr>
    </w:div>
    <w:div w:id="667102321">
      <w:bodyDiv w:val="1"/>
      <w:marLeft w:val="0"/>
      <w:marRight w:val="0"/>
      <w:marTop w:val="0"/>
      <w:marBottom w:val="0"/>
      <w:divBdr>
        <w:top w:val="none" w:sz="0" w:space="0" w:color="auto"/>
        <w:left w:val="none" w:sz="0" w:space="0" w:color="auto"/>
        <w:bottom w:val="none" w:sz="0" w:space="0" w:color="auto"/>
        <w:right w:val="none" w:sz="0" w:space="0" w:color="auto"/>
      </w:divBdr>
    </w:div>
    <w:div w:id="678386289">
      <w:bodyDiv w:val="1"/>
      <w:marLeft w:val="0"/>
      <w:marRight w:val="0"/>
      <w:marTop w:val="0"/>
      <w:marBottom w:val="0"/>
      <w:divBdr>
        <w:top w:val="none" w:sz="0" w:space="0" w:color="auto"/>
        <w:left w:val="none" w:sz="0" w:space="0" w:color="auto"/>
        <w:bottom w:val="none" w:sz="0" w:space="0" w:color="auto"/>
        <w:right w:val="none" w:sz="0" w:space="0" w:color="auto"/>
      </w:divBdr>
    </w:div>
    <w:div w:id="682711332">
      <w:bodyDiv w:val="1"/>
      <w:marLeft w:val="0"/>
      <w:marRight w:val="0"/>
      <w:marTop w:val="0"/>
      <w:marBottom w:val="0"/>
      <w:divBdr>
        <w:top w:val="none" w:sz="0" w:space="0" w:color="auto"/>
        <w:left w:val="none" w:sz="0" w:space="0" w:color="auto"/>
        <w:bottom w:val="none" w:sz="0" w:space="0" w:color="auto"/>
        <w:right w:val="none" w:sz="0" w:space="0" w:color="auto"/>
      </w:divBdr>
    </w:div>
    <w:div w:id="701130563">
      <w:bodyDiv w:val="1"/>
      <w:marLeft w:val="0"/>
      <w:marRight w:val="0"/>
      <w:marTop w:val="0"/>
      <w:marBottom w:val="0"/>
      <w:divBdr>
        <w:top w:val="none" w:sz="0" w:space="0" w:color="auto"/>
        <w:left w:val="none" w:sz="0" w:space="0" w:color="auto"/>
        <w:bottom w:val="none" w:sz="0" w:space="0" w:color="auto"/>
        <w:right w:val="none" w:sz="0" w:space="0" w:color="auto"/>
      </w:divBdr>
    </w:div>
    <w:div w:id="714964349">
      <w:bodyDiv w:val="1"/>
      <w:marLeft w:val="0"/>
      <w:marRight w:val="0"/>
      <w:marTop w:val="0"/>
      <w:marBottom w:val="0"/>
      <w:divBdr>
        <w:top w:val="none" w:sz="0" w:space="0" w:color="auto"/>
        <w:left w:val="none" w:sz="0" w:space="0" w:color="auto"/>
        <w:bottom w:val="none" w:sz="0" w:space="0" w:color="auto"/>
        <w:right w:val="none" w:sz="0" w:space="0" w:color="auto"/>
      </w:divBdr>
    </w:div>
    <w:div w:id="752170066">
      <w:bodyDiv w:val="1"/>
      <w:marLeft w:val="0"/>
      <w:marRight w:val="0"/>
      <w:marTop w:val="0"/>
      <w:marBottom w:val="0"/>
      <w:divBdr>
        <w:top w:val="none" w:sz="0" w:space="0" w:color="auto"/>
        <w:left w:val="none" w:sz="0" w:space="0" w:color="auto"/>
        <w:bottom w:val="none" w:sz="0" w:space="0" w:color="auto"/>
        <w:right w:val="none" w:sz="0" w:space="0" w:color="auto"/>
      </w:divBdr>
    </w:div>
    <w:div w:id="828210312">
      <w:bodyDiv w:val="1"/>
      <w:marLeft w:val="0"/>
      <w:marRight w:val="0"/>
      <w:marTop w:val="0"/>
      <w:marBottom w:val="0"/>
      <w:divBdr>
        <w:top w:val="none" w:sz="0" w:space="0" w:color="auto"/>
        <w:left w:val="none" w:sz="0" w:space="0" w:color="auto"/>
        <w:bottom w:val="none" w:sz="0" w:space="0" w:color="auto"/>
        <w:right w:val="none" w:sz="0" w:space="0" w:color="auto"/>
      </w:divBdr>
    </w:div>
    <w:div w:id="829176087">
      <w:bodyDiv w:val="1"/>
      <w:marLeft w:val="0"/>
      <w:marRight w:val="0"/>
      <w:marTop w:val="0"/>
      <w:marBottom w:val="0"/>
      <w:divBdr>
        <w:top w:val="none" w:sz="0" w:space="0" w:color="auto"/>
        <w:left w:val="none" w:sz="0" w:space="0" w:color="auto"/>
        <w:bottom w:val="none" w:sz="0" w:space="0" w:color="auto"/>
        <w:right w:val="none" w:sz="0" w:space="0" w:color="auto"/>
      </w:divBdr>
    </w:div>
    <w:div w:id="846559800">
      <w:bodyDiv w:val="1"/>
      <w:marLeft w:val="0"/>
      <w:marRight w:val="0"/>
      <w:marTop w:val="0"/>
      <w:marBottom w:val="0"/>
      <w:divBdr>
        <w:top w:val="none" w:sz="0" w:space="0" w:color="auto"/>
        <w:left w:val="none" w:sz="0" w:space="0" w:color="auto"/>
        <w:bottom w:val="none" w:sz="0" w:space="0" w:color="auto"/>
        <w:right w:val="none" w:sz="0" w:space="0" w:color="auto"/>
      </w:divBdr>
    </w:div>
    <w:div w:id="861240622">
      <w:bodyDiv w:val="1"/>
      <w:marLeft w:val="0"/>
      <w:marRight w:val="0"/>
      <w:marTop w:val="0"/>
      <w:marBottom w:val="0"/>
      <w:divBdr>
        <w:top w:val="none" w:sz="0" w:space="0" w:color="auto"/>
        <w:left w:val="none" w:sz="0" w:space="0" w:color="auto"/>
        <w:bottom w:val="none" w:sz="0" w:space="0" w:color="auto"/>
        <w:right w:val="none" w:sz="0" w:space="0" w:color="auto"/>
      </w:divBdr>
      <w:divsChild>
        <w:div w:id="1730491310">
          <w:marLeft w:val="0"/>
          <w:marRight w:val="0"/>
          <w:marTop w:val="0"/>
          <w:marBottom w:val="0"/>
          <w:divBdr>
            <w:top w:val="none" w:sz="0" w:space="0" w:color="auto"/>
            <w:left w:val="none" w:sz="0" w:space="0" w:color="auto"/>
            <w:bottom w:val="none" w:sz="0" w:space="0" w:color="auto"/>
            <w:right w:val="none" w:sz="0" w:space="0" w:color="auto"/>
          </w:divBdr>
          <w:divsChild>
            <w:div w:id="1144009197">
              <w:marLeft w:val="0"/>
              <w:marRight w:val="0"/>
              <w:marTop w:val="900"/>
              <w:marBottom w:val="0"/>
              <w:divBdr>
                <w:top w:val="none" w:sz="0" w:space="0" w:color="auto"/>
                <w:left w:val="none" w:sz="0" w:space="0" w:color="auto"/>
                <w:bottom w:val="none" w:sz="0" w:space="0" w:color="auto"/>
                <w:right w:val="none" w:sz="0" w:space="0" w:color="auto"/>
              </w:divBdr>
              <w:divsChild>
                <w:div w:id="1136608172">
                  <w:marLeft w:val="0"/>
                  <w:marRight w:val="0"/>
                  <w:marTop w:val="0"/>
                  <w:marBottom w:val="0"/>
                  <w:divBdr>
                    <w:top w:val="none" w:sz="0" w:space="0" w:color="auto"/>
                    <w:left w:val="none" w:sz="0" w:space="0" w:color="auto"/>
                    <w:bottom w:val="none" w:sz="0" w:space="0" w:color="auto"/>
                    <w:right w:val="none" w:sz="0" w:space="0" w:color="auto"/>
                  </w:divBdr>
                  <w:divsChild>
                    <w:div w:id="1152218716">
                      <w:marLeft w:val="0"/>
                      <w:marRight w:val="0"/>
                      <w:marTop w:val="0"/>
                      <w:marBottom w:val="0"/>
                      <w:divBdr>
                        <w:top w:val="none" w:sz="0" w:space="0" w:color="auto"/>
                        <w:left w:val="none" w:sz="0" w:space="0" w:color="auto"/>
                        <w:bottom w:val="none" w:sz="0" w:space="0" w:color="auto"/>
                        <w:right w:val="none" w:sz="0" w:space="0" w:color="auto"/>
                      </w:divBdr>
                      <w:divsChild>
                        <w:div w:id="1723014565">
                          <w:marLeft w:val="0"/>
                          <w:marRight w:val="0"/>
                          <w:marTop w:val="0"/>
                          <w:marBottom w:val="0"/>
                          <w:divBdr>
                            <w:top w:val="none" w:sz="0" w:space="0" w:color="auto"/>
                            <w:left w:val="none" w:sz="0" w:space="0" w:color="auto"/>
                            <w:bottom w:val="none" w:sz="0" w:space="0" w:color="auto"/>
                            <w:right w:val="none" w:sz="0" w:space="0" w:color="auto"/>
                          </w:divBdr>
                          <w:divsChild>
                            <w:div w:id="1802075171">
                              <w:marLeft w:val="0"/>
                              <w:marRight w:val="0"/>
                              <w:marTop w:val="0"/>
                              <w:marBottom w:val="0"/>
                              <w:divBdr>
                                <w:top w:val="none" w:sz="0" w:space="0" w:color="auto"/>
                                <w:left w:val="none" w:sz="0" w:space="0" w:color="auto"/>
                                <w:bottom w:val="none" w:sz="0" w:space="0" w:color="auto"/>
                                <w:right w:val="none" w:sz="0" w:space="0" w:color="auto"/>
                              </w:divBdr>
                              <w:divsChild>
                                <w:div w:id="765268836">
                                  <w:marLeft w:val="0"/>
                                  <w:marRight w:val="0"/>
                                  <w:marTop w:val="0"/>
                                  <w:marBottom w:val="0"/>
                                  <w:divBdr>
                                    <w:top w:val="none" w:sz="0" w:space="0" w:color="auto"/>
                                    <w:left w:val="none" w:sz="0" w:space="0" w:color="auto"/>
                                    <w:bottom w:val="none" w:sz="0" w:space="0" w:color="auto"/>
                                    <w:right w:val="none" w:sz="0" w:space="0" w:color="auto"/>
                                  </w:divBdr>
                                  <w:divsChild>
                                    <w:div w:id="1699966731">
                                      <w:marLeft w:val="0"/>
                                      <w:marRight w:val="0"/>
                                      <w:marTop w:val="0"/>
                                      <w:marBottom w:val="0"/>
                                      <w:divBdr>
                                        <w:top w:val="none" w:sz="0" w:space="0" w:color="auto"/>
                                        <w:left w:val="none" w:sz="0" w:space="0" w:color="auto"/>
                                        <w:bottom w:val="none" w:sz="0" w:space="0" w:color="auto"/>
                                        <w:right w:val="none" w:sz="0" w:space="0" w:color="auto"/>
                                      </w:divBdr>
                                      <w:divsChild>
                                        <w:div w:id="958679972">
                                          <w:marLeft w:val="0"/>
                                          <w:marRight w:val="0"/>
                                          <w:marTop w:val="15"/>
                                          <w:marBottom w:val="0"/>
                                          <w:divBdr>
                                            <w:top w:val="none" w:sz="0" w:space="0" w:color="auto"/>
                                            <w:left w:val="none" w:sz="0" w:space="0" w:color="auto"/>
                                            <w:bottom w:val="none" w:sz="0" w:space="0" w:color="auto"/>
                                            <w:right w:val="none" w:sz="0" w:space="0" w:color="auto"/>
                                          </w:divBdr>
                                          <w:divsChild>
                                            <w:div w:id="282227068">
                                              <w:marLeft w:val="0"/>
                                              <w:marRight w:val="0"/>
                                              <w:marTop w:val="0"/>
                                              <w:marBottom w:val="0"/>
                                              <w:divBdr>
                                                <w:top w:val="none" w:sz="0" w:space="0" w:color="auto"/>
                                                <w:left w:val="none" w:sz="0" w:space="0" w:color="auto"/>
                                                <w:bottom w:val="none" w:sz="0" w:space="0" w:color="auto"/>
                                                <w:right w:val="none" w:sz="0" w:space="0" w:color="auto"/>
                                              </w:divBdr>
                                              <w:divsChild>
                                                <w:div w:id="597103091">
                                                  <w:marLeft w:val="0"/>
                                                  <w:marRight w:val="0"/>
                                                  <w:marTop w:val="0"/>
                                                  <w:marBottom w:val="0"/>
                                                  <w:divBdr>
                                                    <w:top w:val="none" w:sz="0" w:space="0" w:color="auto"/>
                                                    <w:left w:val="none" w:sz="0" w:space="0" w:color="auto"/>
                                                    <w:bottom w:val="none" w:sz="0" w:space="0" w:color="auto"/>
                                                    <w:right w:val="none" w:sz="0" w:space="0" w:color="auto"/>
                                                  </w:divBdr>
                                                </w:div>
                                                <w:div w:id="836379283">
                                                  <w:marLeft w:val="0"/>
                                                  <w:marRight w:val="0"/>
                                                  <w:marTop w:val="0"/>
                                                  <w:marBottom w:val="0"/>
                                                  <w:divBdr>
                                                    <w:top w:val="none" w:sz="0" w:space="0" w:color="auto"/>
                                                    <w:left w:val="none" w:sz="0" w:space="0" w:color="auto"/>
                                                    <w:bottom w:val="none" w:sz="0" w:space="0" w:color="auto"/>
                                                    <w:right w:val="none" w:sz="0" w:space="0" w:color="auto"/>
                                                  </w:divBdr>
                                                </w:div>
                                                <w:div w:id="1682312913">
                                                  <w:marLeft w:val="0"/>
                                                  <w:marRight w:val="0"/>
                                                  <w:marTop w:val="0"/>
                                                  <w:marBottom w:val="0"/>
                                                  <w:divBdr>
                                                    <w:top w:val="none" w:sz="0" w:space="0" w:color="auto"/>
                                                    <w:left w:val="none" w:sz="0" w:space="0" w:color="auto"/>
                                                    <w:bottom w:val="none" w:sz="0" w:space="0" w:color="auto"/>
                                                    <w:right w:val="none" w:sz="0" w:space="0" w:color="auto"/>
                                                  </w:divBdr>
                                                </w:div>
                                                <w:div w:id="1942568046">
                                                  <w:marLeft w:val="0"/>
                                                  <w:marRight w:val="0"/>
                                                  <w:marTop w:val="0"/>
                                                  <w:marBottom w:val="0"/>
                                                  <w:divBdr>
                                                    <w:top w:val="none" w:sz="0" w:space="0" w:color="auto"/>
                                                    <w:left w:val="none" w:sz="0" w:space="0" w:color="auto"/>
                                                    <w:bottom w:val="none" w:sz="0" w:space="0" w:color="auto"/>
                                                    <w:right w:val="none" w:sz="0" w:space="0" w:color="auto"/>
                                                  </w:divBdr>
                                                </w:div>
                                                <w:div w:id="1476413473">
                                                  <w:marLeft w:val="0"/>
                                                  <w:marRight w:val="0"/>
                                                  <w:marTop w:val="0"/>
                                                  <w:marBottom w:val="0"/>
                                                  <w:divBdr>
                                                    <w:top w:val="none" w:sz="0" w:space="0" w:color="auto"/>
                                                    <w:left w:val="none" w:sz="0" w:space="0" w:color="auto"/>
                                                    <w:bottom w:val="none" w:sz="0" w:space="0" w:color="auto"/>
                                                    <w:right w:val="none" w:sz="0" w:space="0" w:color="auto"/>
                                                  </w:divBdr>
                                                </w:div>
                                                <w:div w:id="764765417">
                                                  <w:marLeft w:val="0"/>
                                                  <w:marRight w:val="0"/>
                                                  <w:marTop w:val="0"/>
                                                  <w:marBottom w:val="0"/>
                                                  <w:divBdr>
                                                    <w:top w:val="none" w:sz="0" w:space="0" w:color="auto"/>
                                                    <w:left w:val="none" w:sz="0" w:space="0" w:color="auto"/>
                                                    <w:bottom w:val="none" w:sz="0" w:space="0" w:color="auto"/>
                                                    <w:right w:val="none" w:sz="0" w:space="0" w:color="auto"/>
                                                  </w:divBdr>
                                                </w:div>
                                                <w:div w:id="1501774727">
                                                  <w:marLeft w:val="0"/>
                                                  <w:marRight w:val="0"/>
                                                  <w:marTop w:val="0"/>
                                                  <w:marBottom w:val="0"/>
                                                  <w:divBdr>
                                                    <w:top w:val="none" w:sz="0" w:space="0" w:color="auto"/>
                                                    <w:left w:val="none" w:sz="0" w:space="0" w:color="auto"/>
                                                    <w:bottom w:val="none" w:sz="0" w:space="0" w:color="auto"/>
                                                    <w:right w:val="none" w:sz="0" w:space="0" w:color="auto"/>
                                                  </w:divBdr>
                                                </w:div>
                                                <w:div w:id="750201991">
                                                  <w:marLeft w:val="0"/>
                                                  <w:marRight w:val="0"/>
                                                  <w:marTop w:val="0"/>
                                                  <w:marBottom w:val="0"/>
                                                  <w:divBdr>
                                                    <w:top w:val="none" w:sz="0" w:space="0" w:color="auto"/>
                                                    <w:left w:val="none" w:sz="0" w:space="0" w:color="auto"/>
                                                    <w:bottom w:val="none" w:sz="0" w:space="0" w:color="auto"/>
                                                    <w:right w:val="none" w:sz="0" w:space="0" w:color="auto"/>
                                                  </w:divBdr>
                                                </w:div>
                                                <w:div w:id="1016886068">
                                                  <w:marLeft w:val="0"/>
                                                  <w:marRight w:val="0"/>
                                                  <w:marTop w:val="0"/>
                                                  <w:marBottom w:val="0"/>
                                                  <w:divBdr>
                                                    <w:top w:val="none" w:sz="0" w:space="0" w:color="auto"/>
                                                    <w:left w:val="none" w:sz="0" w:space="0" w:color="auto"/>
                                                    <w:bottom w:val="none" w:sz="0" w:space="0" w:color="auto"/>
                                                    <w:right w:val="none" w:sz="0" w:space="0" w:color="auto"/>
                                                  </w:divBdr>
                                                </w:div>
                                                <w:div w:id="1159926985">
                                                  <w:marLeft w:val="0"/>
                                                  <w:marRight w:val="0"/>
                                                  <w:marTop w:val="0"/>
                                                  <w:marBottom w:val="0"/>
                                                  <w:divBdr>
                                                    <w:top w:val="none" w:sz="0" w:space="0" w:color="auto"/>
                                                    <w:left w:val="none" w:sz="0" w:space="0" w:color="auto"/>
                                                    <w:bottom w:val="none" w:sz="0" w:space="0" w:color="auto"/>
                                                    <w:right w:val="none" w:sz="0" w:space="0" w:color="auto"/>
                                                  </w:divBdr>
                                                </w:div>
                                                <w:div w:id="1894802843">
                                                  <w:marLeft w:val="0"/>
                                                  <w:marRight w:val="0"/>
                                                  <w:marTop w:val="0"/>
                                                  <w:marBottom w:val="0"/>
                                                  <w:divBdr>
                                                    <w:top w:val="none" w:sz="0" w:space="0" w:color="auto"/>
                                                    <w:left w:val="none" w:sz="0" w:space="0" w:color="auto"/>
                                                    <w:bottom w:val="none" w:sz="0" w:space="0" w:color="auto"/>
                                                    <w:right w:val="none" w:sz="0" w:space="0" w:color="auto"/>
                                                  </w:divBdr>
                                                </w:div>
                                                <w:div w:id="552549389">
                                                  <w:marLeft w:val="0"/>
                                                  <w:marRight w:val="0"/>
                                                  <w:marTop w:val="0"/>
                                                  <w:marBottom w:val="0"/>
                                                  <w:divBdr>
                                                    <w:top w:val="none" w:sz="0" w:space="0" w:color="auto"/>
                                                    <w:left w:val="none" w:sz="0" w:space="0" w:color="auto"/>
                                                    <w:bottom w:val="none" w:sz="0" w:space="0" w:color="auto"/>
                                                    <w:right w:val="none" w:sz="0" w:space="0" w:color="auto"/>
                                                  </w:divBdr>
                                                </w:div>
                                                <w:div w:id="15056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0338699">
      <w:bodyDiv w:val="1"/>
      <w:marLeft w:val="0"/>
      <w:marRight w:val="0"/>
      <w:marTop w:val="0"/>
      <w:marBottom w:val="0"/>
      <w:divBdr>
        <w:top w:val="none" w:sz="0" w:space="0" w:color="auto"/>
        <w:left w:val="none" w:sz="0" w:space="0" w:color="auto"/>
        <w:bottom w:val="none" w:sz="0" w:space="0" w:color="auto"/>
        <w:right w:val="none" w:sz="0" w:space="0" w:color="auto"/>
      </w:divBdr>
    </w:div>
    <w:div w:id="875772692">
      <w:bodyDiv w:val="1"/>
      <w:marLeft w:val="0"/>
      <w:marRight w:val="0"/>
      <w:marTop w:val="0"/>
      <w:marBottom w:val="0"/>
      <w:divBdr>
        <w:top w:val="none" w:sz="0" w:space="0" w:color="auto"/>
        <w:left w:val="none" w:sz="0" w:space="0" w:color="auto"/>
        <w:bottom w:val="none" w:sz="0" w:space="0" w:color="auto"/>
        <w:right w:val="none" w:sz="0" w:space="0" w:color="auto"/>
      </w:divBdr>
    </w:div>
    <w:div w:id="923344909">
      <w:bodyDiv w:val="1"/>
      <w:marLeft w:val="0"/>
      <w:marRight w:val="0"/>
      <w:marTop w:val="0"/>
      <w:marBottom w:val="0"/>
      <w:divBdr>
        <w:top w:val="none" w:sz="0" w:space="0" w:color="auto"/>
        <w:left w:val="none" w:sz="0" w:space="0" w:color="auto"/>
        <w:bottom w:val="none" w:sz="0" w:space="0" w:color="auto"/>
        <w:right w:val="none" w:sz="0" w:space="0" w:color="auto"/>
      </w:divBdr>
    </w:div>
    <w:div w:id="927883710">
      <w:bodyDiv w:val="1"/>
      <w:marLeft w:val="0"/>
      <w:marRight w:val="0"/>
      <w:marTop w:val="0"/>
      <w:marBottom w:val="0"/>
      <w:divBdr>
        <w:top w:val="none" w:sz="0" w:space="0" w:color="auto"/>
        <w:left w:val="none" w:sz="0" w:space="0" w:color="auto"/>
        <w:bottom w:val="none" w:sz="0" w:space="0" w:color="auto"/>
        <w:right w:val="none" w:sz="0" w:space="0" w:color="auto"/>
      </w:divBdr>
    </w:div>
    <w:div w:id="945115132">
      <w:bodyDiv w:val="1"/>
      <w:marLeft w:val="0"/>
      <w:marRight w:val="0"/>
      <w:marTop w:val="0"/>
      <w:marBottom w:val="0"/>
      <w:divBdr>
        <w:top w:val="none" w:sz="0" w:space="0" w:color="auto"/>
        <w:left w:val="none" w:sz="0" w:space="0" w:color="auto"/>
        <w:bottom w:val="none" w:sz="0" w:space="0" w:color="auto"/>
        <w:right w:val="none" w:sz="0" w:space="0" w:color="auto"/>
      </w:divBdr>
    </w:div>
    <w:div w:id="1005741010">
      <w:bodyDiv w:val="1"/>
      <w:marLeft w:val="0"/>
      <w:marRight w:val="0"/>
      <w:marTop w:val="0"/>
      <w:marBottom w:val="0"/>
      <w:divBdr>
        <w:top w:val="none" w:sz="0" w:space="0" w:color="auto"/>
        <w:left w:val="none" w:sz="0" w:space="0" w:color="auto"/>
        <w:bottom w:val="none" w:sz="0" w:space="0" w:color="auto"/>
        <w:right w:val="none" w:sz="0" w:space="0" w:color="auto"/>
      </w:divBdr>
    </w:div>
    <w:div w:id="1005981922">
      <w:bodyDiv w:val="1"/>
      <w:marLeft w:val="0"/>
      <w:marRight w:val="0"/>
      <w:marTop w:val="0"/>
      <w:marBottom w:val="0"/>
      <w:divBdr>
        <w:top w:val="none" w:sz="0" w:space="0" w:color="auto"/>
        <w:left w:val="none" w:sz="0" w:space="0" w:color="auto"/>
        <w:bottom w:val="none" w:sz="0" w:space="0" w:color="auto"/>
        <w:right w:val="none" w:sz="0" w:space="0" w:color="auto"/>
      </w:divBdr>
    </w:div>
    <w:div w:id="1027170668">
      <w:bodyDiv w:val="1"/>
      <w:marLeft w:val="0"/>
      <w:marRight w:val="0"/>
      <w:marTop w:val="0"/>
      <w:marBottom w:val="0"/>
      <w:divBdr>
        <w:top w:val="none" w:sz="0" w:space="0" w:color="auto"/>
        <w:left w:val="none" w:sz="0" w:space="0" w:color="auto"/>
        <w:bottom w:val="none" w:sz="0" w:space="0" w:color="auto"/>
        <w:right w:val="none" w:sz="0" w:space="0" w:color="auto"/>
      </w:divBdr>
    </w:div>
    <w:div w:id="1069041246">
      <w:bodyDiv w:val="1"/>
      <w:marLeft w:val="0"/>
      <w:marRight w:val="0"/>
      <w:marTop w:val="0"/>
      <w:marBottom w:val="0"/>
      <w:divBdr>
        <w:top w:val="none" w:sz="0" w:space="0" w:color="auto"/>
        <w:left w:val="none" w:sz="0" w:space="0" w:color="auto"/>
        <w:bottom w:val="none" w:sz="0" w:space="0" w:color="auto"/>
        <w:right w:val="none" w:sz="0" w:space="0" w:color="auto"/>
      </w:divBdr>
      <w:divsChild>
        <w:div w:id="1413620063">
          <w:marLeft w:val="0"/>
          <w:marRight w:val="0"/>
          <w:marTop w:val="0"/>
          <w:marBottom w:val="0"/>
          <w:divBdr>
            <w:top w:val="none" w:sz="0" w:space="0" w:color="auto"/>
            <w:left w:val="none" w:sz="0" w:space="0" w:color="auto"/>
            <w:bottom w:val="none" w:sz="0" w:space="0" w:color="auto"/>
            <w:right w:val="none" w:sz="0" w:space="0" w:color="auto"/>
          </w:divBdr>
          <w:divsChild>
            <w:div w:id="1205682233">
              <w:marLeft w:val="0"/>
              <w:marRight w:val="0"/>
              <w:marTop w:val="900"/>
              <w:marBottom w:val="0"/>
              <w:divBdr>
                <w:top w:val="none" w:sz="0" w:space="0" w:color="auto"/>
                <w:left w:val="none" w:sz="0" w:space="0" w:color="auto"/>
                <w:bottom w:val="none" w:sz="0" w:space="0" w:color="auto"/>
                <w:right w:val="none" w:sz="0" w:space="0" w:color="auto"/>
              </w:divBdr>
              <w:divsChild>
                <w:div w:id="2132434579">
                  <w:marLeft w:val="0"/>
                  <w:marRight w:val="0"/>
                  <w:marTop w:val="0"/>
                  <w:marBottom w:val="0"/>
                  <w:divBdr>
                    <w:top w:val="none" w:sz="0" w:space="0" w:color="auto"/>
                    <w:left w:val="none" w:sz="0" w:space="0" w:color="auto"/>
                    <w:bottom w:val="none" w:sz="0" w:space="0" w:color="auto"/>
                    <w:right w:val="none" w:sz="0" w:space="0" w:color="auto"/>
                  </w:divBdr>
                  <w:divsChild>
                    <w:div w:id="2036808031">
                      <w:marLeft w:val="0"/>
                      <w:marRight w:val="0"/>
                      <w:marTop w:val="0"/>
                      <w:marBottom w:val="0"/>
                      <w:divBdr>
                        <w:top w:val="none" w:sz="0" w:space="0" w:color="auto"/>
                        <w:left w:val="none" w:sz="0" w:space="0" w:color="auto"/>
                        <w:bottom w:val="none" w:sz="0" w:space="0" w:color="auto"/>
                        <w:right w:val="none" w:sz="0" w:space="0" w:color="auto"/>
                      </w:divBdr>
                      <w:divsChild>
                        <w:div w:id="1360201818">
                          <w:marLeft w:val="0"/>
                          <w:marRight w:val="0"/>
                          <w:marTop w:val="0"/>
                          <w:marBottom w:val="0"/>
                          <w:divBdr>
                            <w:top w:val="none" w:sz="0" w:space="0" w:color="auto"/>
                            <w:left w:val="none" w:sz="0" w:space="0" w:color="auto"/>
                            <w:bottom w:val="none" w:sz="0" w:space="0" w:color="auto"/>
                            <w:right w:val="none" w:sz="0" w:space="0" w:color="auto"/>
                          </w:divBdr>
                          <w:divsChild>
                            <w:div w:id="1482429323">
                              <w:marLeft w:val="0"/>
                              <w:marRight w:val="0"/>
                              <w:marTop w:val="0"/>
                              <w:marBottom w:val="0"/>
                              <w:divBdr>
                                <w:top w:val="none" w:sz="0" w:space="0" w:color="auto"/>
                                <w:left w:val="none" w:sz="0" w:space="0" w:color="auto"/>
                                <w:bottom w:val="none" w:sz="0" w:space="0" w:color="auto"/>
                                <w:right w:val="none" w:sz="0" w:space="0" w:color="auto"/>
                              </w:divBdr>
                              <w:divsChild>
                                <w:div w:id="79181623">
                                  <w:marLeft w:val="0"/>
                                  <w:marRight w:val="0"/>
                                  <w:marTop w:val="0"/>
                                  <w:marBottom w:val="0"/>
                                  <w:divBdr>
                                    <w:top w:val="none" w:sz="0" w:space="0" w:color="auto"/>
                                    <w:left w:val="none" w:sz="0" w:space="0" w:color="auto"/>
                                    <w:bottom w:val="none" w:sz="0" w:space="0" w:color="auto"/>
                                    <w:right w:val="none" w:sz="0" w:space="0" w:color="auto"/>
                                  </w:divBdr>
                                  <w:divsChild>
                                    <w:div w:id="621036469">
                                      <w:marLeft w:val="0"/>
                                      <w:marRight w:val="0"/>
                                      <w:marTop w:val="0"/>
                                      <w:marBottom w:val="0"/>
                                      <w:divBdr>
                                        <w:top w:val="none" w:sz="0" w:space="0" w:color="auto"/>
                                        <w:left w:val="none" w:sz="0" w:space="0" w:color="auto"/>
                                        <w:bottom w:val="none" w:sz="0" w:space="0" w:color="auto"/>
                                        <w:right w:val="none" w:sz="0" w:space="0" w:color="auto"/>
                                      </w:divBdr>
                                      <w:divsChild>
                                        <w:div w:id="958797059">
                                          <w:marLeft w:val="0"/>
                                          <w:marRight w:val="0"/>
                                          <w:marTop w:val="15"/>
                                          <w:marBottom w:val="0"/>
                                          <w:divBdr>
                                            <w:top w:val="none" w:sz="0" w:space="0" w:color="auto"/>
                                            <w:left w:val="none" w:sz="0" w:space="0" w:color="auto"/>
                                            <w:bottom w:val="none" w:sz="0" w:space="0" w:color="auto"/>
                                            <w:right w:val="none" w:sz="0" w:space="0" w:color="auto"/>
                                          </w:divBdr>
                                          <w:divsChild>
                                            <w:div w:id="1052996164">
                                              <w:marLeft w:val="0"/>
                                              <w:marRight w:val="0"/>
                                              <w:marTop w:val="0"/>
                                              <w:marBottom w:val="0"/>
                                              <w:divBdr>
                                                <w:top w:val="none" w:sz="0" w:space="0" w:color="auto"/>
                                                <w:left w:val="none" w:sz="0" w:space="0" w:color="auto"/>
                                                <w:bottom w:val="none" w:sz="0" w:space="0" w:color="auto"/>
                                                <w:right w:val="none" w:sz="0" w:space="0" w:color="auto"/>
                                              </w:divBdr>
                                              <w:divsChild>
                                                <w:div w:id="1237783371">
                                                  <w:marLeft w:val="0"/>
                                                  <w:marRight w:val="0"/>
                                                  <w:marTop w:val="0"/>
                                                  <w:marBottom w:val="0"/>
                                                  <w:divBdr>
                                                    <w:top w:val="none" w:sz="0" w:space="0" w:color="auto"/>
                                                    <w:left w:val="none" w:sz="0" w:space="0" w:color="auto"/>
                                                    <w:bottom w:val="none" w:sz="0" w:space="0" w:color="auto"/>
                                                    <w:right w:val="none" w:sz="0" w:space="0" w:color="auto"/>
                                                  </w:divBdr>
                                                </w:div>
                                                <w:div w:id="750659321">
                                                  <w:marLeft w:val="0"/>
                                                  <w:marRight w:val="0"/>
                                                  <w:marTop w:val="0"/>
                                                  <w:marBottom w:val="0"/>
                                                  <w:divBdr>
                                                    <w:top w:val="none" w:sz="0" w:space="0" w:color="auto"/>
                                                    <w:left w:val="none" w:sz="0" w:space="0" w:color="auto"/>
                                                    <w:bottom w:val="none" w:sz="0" w:space="0" w:color="auto"/>
                                                    <w:right w:val="none" w:sz="0" w:space="0" w:color="auto"/>
                                                  </w:divBdr>
                                                </w:div>
                                                <w:div w:id="923223718">
                                                  <w:marLeft w:val="0"/>
                                                  <w:marRight w:val="0"/>
                                                  <w:marTop w:val="0"/>
                                                  <w:marBottom w:val="0"/>
                                                  <w:divBdr>
                                                    <w:top w:val="none" w:sz="0" w:space="0" w:color="auto"/>
                                                    <w:left w:val="none" w:sz="0" w:space="0" w:color="auto"/>
                                                    <w:bottom w:val="none" w:sz="0" w:space="0" w:color="auto"/>
                                                    <w:right w:val="none" w:sz="0" w:space="0" w:color="auto"/>
                                                  </w:divBdr>
                                                </w:div>
                                                <w:div w:id="15247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1629539">
      <w:bodyDiv w:val="1"/>
      <w:marLeft w:val="0"/>
      <w:marRight w:val="0"/>
      <w:marTop w:val="0"/>
      <w:marBottom w:val="0"/>
      <w:divBdr>
        <w:top w:val="none" w:sz="0" w:space="0" w:color="auto"/>
        <w:left w:val="none" w:sz="0" w:space="0" w:color="auto"/>
        <w:bottom w:val="none" w:sz="0" w:space="0" w:color="auto"/>
        <w:right w:val="none" w:sz="0" w:space="0" w:color="auto"/>
      </w:divBdr>
    </w:div>
    <w:div w:id="1125192954">
      <w:bodyDiv w:val="1"/>
      <w:marLeft w:val="0"/>
      <w:marRight w:val="0"/>
      <w:marTop w:val="0"/>
      <w:marBottom w:val="0"/>
      <w:divBdr>
        <w:top w:val="none" w:sz="0" w:space="0" w:color="auto"/>
        <w:left w:val="none" w:sz="0" w:space="0" w:color="auto"/>
        <w:bottom w:val="none" w:sz="0" w:space="0" w:color="auto"/>
        <w:right w:val="none" w:sz="0" w:space="0" w:color="auto"/>
      </w:divBdr>
    </w:div>
    <w:div w:id="1139803846">
      <w:bodyDiv w:val="1"/>
      <w:marLeft w:val="0"/>
      <w:marRight w:val="0"/>
      <w:marTop w:val="0"/>
      <w:marBottom w:val="0"/>
      <w:divBdr>
        <w:top w:val="none" w:sz="0" w:space="0" w:color="auto"/>
        <w:left w:val="none" w:sz="0" w:space="0" w:color="auto"/>
        <w:bottom w:val="none" w:sz="0" w:space="0" w:color="auto"/>
        <w:right w:val="none" w:sz="0" w:space="0" w:color="auto"/>
      </w:divBdr>
    </w:div>
    <w:div w:id="1142233966">
      <w:bodyDiv w:val="1"/>
      <w:marLeft w:val="0"/>
      <w:marRight w:val="0"/>
      <w:marTop w:val="0"/>
      <w:marBottom w:val="0"/>
      <w:divBdr>
        <w:top w:val="none" w:sz="0" w:space="0" w:color="auto"/>
        <w:left w:val="none" w:sz="0" w:space="0" w:color="auto"/>
        <w:bottom w:val="none" w:sz="0" w:space="0" w:color="auto"/>
        <w:right w:val="none" w:sz="0" w:space="0" w:color="auto"/>
      </w:divBdr>
    </w:div>
    <w:div w:id="1143619228">
      <w:bodyDiv w:val="1"/>
      <w:marLeft w:val="0"/>
      <w:marRight w:val="0"/>
      <w:marTop w:val="0"/>
      <w:marBottom w:val="0"/>
      <w:divBdr>
        <w:top w:val="none" w:sz="0" w:space="0" w:color="auto"/>
        <w:left w:val="none" w:sz="0" w:space="0" w:color="auto"/>
        <w:bottom w:val="none" w:sz="0" w:space="0" w:color="auto"/>
        <w:right w:val="none" w:sz="0" w:space="0" w:color="auto"/>
      </w:divBdr>
    </w:div>
    <w:div w:id="1160273510">
      <w:bodyDiv w:val="1"/>
      <w:marLeft w:val="0"/>
      <w:marRight w:val="0"/>
      <w:marTop w:val="0"/>
      <w:marBottom w:val="0"/>
      <w:divBdr>
        <w:top w:val="none" w:sz="0" w:space="0" w:color="auto"/>
        <w:left w:val="none" w:sz="0" w:space="0" w:color="auto"/>
        <w:bottom w:val="none" w:sz="0" w:space="0" w:color="auto"/>
        <w:right w:val="none" w:sz="0" w:space="0" w:color="auto"/>
      </w:divBdr>
    </w:div>
    <w:div w:id="1172525856">
      <w:bodyDiv w:val="1"/>
      <w:marLeft w:val="0"/>
      <w:marRight w:val="0"/>
      <w:marTop w:val="0"/>
      <w:marBottom w:val="0"/>
      <w:divBdr>
        <w:top w:val="none" w:sz="0" w:space="0" w:color="auto"/>
        <w:left w:val="none" w:sz="0" w:space="0" w:color="auto"/>
        <w:bottom w:val="none" w:sz="0" w:space="0" w:color="auto"/>
        <w:right w:val="none" w:sz="0" w:space="0" w:color="auto"/>
      </w:divBdr>
    </w:div>
    <w:div w:id="1179810348">
      <w:bodyDiv w:val="1"/>
      <w:marLeft w:val="0"/>
      <w:marRight w:val="0"/>
      <w:marTop w:val="0"/>
      <w:marBottom w:val="0"/>
      <w:divBdr>
        <w:top w:val="none" w:sz="0" w:space="0" w:color="auto"/>
        <w:left w:val="none" w:sz="0" w:space="0" w:color="auto"/>
        <w:bottom w:val="none" w:sz="0" w:space="0" w:color="auto"/>
        <w:right w:val="none" w:sz="0" w:space="0" w:color="auto"/>
      </w:divBdr>
    </w:div>
    <w:div w:id="1182622853">
      <w:bodyDiv w:val="1"/>
      <w:marLeft w:val="0"/>
      <w:marRight w:val="0"/>
      <w:marTop w:val="0"/>
      <w:marBottom w:val="0"/>
      <w:divBdr>
        <w:top w:val="none" w:sz="0" w:space="0" w:color="auto"/>
        <w:left w:val="none" w:sz="0" w:space="0" w:color="auto"/>
        <w:bottom w:val="none" w:sz="0" w:space="0" w:color="auto"/>
        <w:right w:val="none" w:sz="0" w:space="0" w:color="auto"/>
      </w:divBdr>
    </w:div>
    <w:div w:id="1195773684">
      <w:bodyDiv w:val="1"/>
      <w:marLeft w:val="0"/>
      <w:marRight w:val="0"/>
      <w:marTop w:val="0"/>
      <w:marBottom w:val="0"/>
      <w:divBdr>
        <w:top w:val="none" w:sz="0" w:space="0" w:color="auto"/>
        <w:left w:val="none" w:sz="0" w:space="0" w:color="auto"/>
        <w:bottom w:val="none" w:sz="0" w:space="0" w:color="auto"/>
        <w:right w:val="none" w:sz="0" w:space="0" w:color="auto"/>
      </w:divBdr>
    </w:div>
    <w:div w:id="1216510279">
      <w:bodyDiv w:val="1"/>
      <w:marLeft w:val="0"/>
      <w:marRight w:val="0"/>
      <w:marTop w:val="0"/>
      <w:marBottom w:val="0"/>
      <w:divBdr>
        <w:top w:val="none" w:sz="0" w:space="0" w:color="auto"/>
        <w:left w:val="none" w:sz="0" w:space="0" w:color="auto"/>
        <w:bottom w:val="none" w:sz="0" w:space="0" w:color="auto"/>
        <w:right w:val="none" w:sz="0" w:space="0" w:color="auto"/>
      </w:divBdr>
    </w:div>
    <w:div w:id="1253902828">
      <w:bodyDiv w:val="1"/>
      <w:marLeft w:val="0"/>
      <w:marRight w:val="0"/>
      <w:marTop w:val="0"/>
      <w:marBottom w:val="0"/>
      <w:divBdr>
        <w:top w:val="none" w:sz="0" w:space="0" w:color="auto"/>
        <w:left w:val="none" w:sz="0" w:space="0" w:color="auto"/>
        <w:bottom w:val="none" w:sz="0" w:space="0" w:color="auto"/>
        <w:right w:val="none" w:sz="0" w:space="0" w:color="auto"/>
      </w:divBdr>
    </w:div>
    <w:div w:id="1303198812">
      <w:bodyDiv w:val="1"/>
      <w:marLeft w:val="0"/>
      <w:marRight w:val="0"/>
      <w:marTop w:val="0"/>
      <w:marBottom w:val="0"/>
      <w:divBdr>
        <w:top w:val="none" w:sz="0" w:space="0" w:color="auto"/>
        <w:left w:val="none" w:sz="0" w:space="0" w:color="auto"/>
        <w:bottom w:val="none" w:sz="0" w:space="0" w:color="auto"/>
        <w:right w:val="none" w:sz="0" w:space="0" w:color="auto"/>
      </w:divBdr>
    </w:div>
    <w:div w:id="1309820531">
      <w:bodyDiv w:val="1"/>
      <w:marLeft w:val="0"/>
      <w:marRight w:val="0"/>
      <w:marTop w:val="0"/>
      <w:marBottom w:val="0"/>
      <w:divBdr>
        <w:top w:val="none" w:sz="0" w:space="0" w:color="auto"/>
        <w:left w:val="none" w:sz="0" w:space="0" w:color="auto"/>
        <w:bottom w:val="none" w:sz="0" w:space="0" w:color="auto"/>
        <w:right w:val="none" w:sz="0" w:space="0" w:color="auto"/>
      </w:divBdr>
    </w:div>
    <w:div w:id="1341278630">
      <w:bodyDiv w:val="1"/>
      <w:marLeft w:val="0"/>
      <w:marRight w:val="0"/>
      <w:marTop w:val="0"/>
      <w:marBottom w:val="0"/>
      <w:divBdr>
        <w:top w:val="none" w:sz="0" w:space="0" w:color="auto"/>
        <w:left w:val="none" w:sz="0" w:space="0" w:color="auto"/>
        <w:bottom w:val="none" w:sz="0" w:space="0" w:color="auto"/>
        <w:right w:val="none" w:sz="0" w:space="0" w:color="auto"/>
      </w:divBdr>
    </w:div>
    <w:div w:id="1362198440">
      <w:bodyDiv w:val="1"/>
      <w:marLeft w:val="0"/>
      <w:marRight w:val="0"/>
      <w:marTop w:val="0"/>
      <w:marBottom w:val="0"/>
      <w:divBdr>
        <w:top w:val="none" w:sz="0" w:space="0" w:color="auto"/>
        <w:left w:val="none" w:sz="0" w:space="0" w:color="auto"/>
        <w:bottom w:val="none" w:sz="0" w:space="0" w:color="auto"/>
        <w:right w:val="none" w:sz="0" w:space="0" w:color="auto"/>
      </w:divBdr>
    </w:div>
    <w:div w:id="1363290150">
      <w:bodyDiv w:val="1"/>
      <w:marLeft w:val="0"/>
      <w:marRight w:val="0"/>
      <w:marTop w:val="0"/>
      <w:marBottom w:val="0"/>
      <w:divBdr>
        <w:top w:val="none" w:sz="0" w:space="0" w:color="auto"/>
        <w:left w:val="none" w:sz="0" w:space="0" w:color="auto"/>
        <w:bottom w:val="none" w:sz="0" w:space="0" w:color="auto"/>
        <w:right w:val="none" w:sz="0" w:space="0" w:color="auto"/>
      </w:divBdr>
    </w:div>
    <w:div w:id="1411463796">
      <w:bodyDiv w:val="1"/>
      <w:marLeft w:val="0"/>
      <w:marRight w:val="0"/>
      <w:marTop w:val="0"/>
      <w:marBottom w:val="0"/>
      <w:divBdr>
        <w:top w:val="none" w:sz="0" w:space="0" w:color="auto"/>
        <w:left w:val="none" w:sz="0" w:space="0" w:color="auto"/>
        <w:bottom w:val="none" w:sz="0" w:space="0" w:color="auto"/>
        <w:right w:val="none" w:sz="0" w:space="0" w:color="auto"/>
      </w:divBdr>
    </w:div>
    <w:div w:id="142915771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2142253">
      <w:bodyDiv w:val="1"/>
      <w:marLeft w:val="0"/>
      <w:marRight w:val="0"/>
      <w:marTop w:val="0"/>
      <w:marBottom w:val="0"/>
      <w:divBdr>
        <w:top w:val="none" w:sz="0" w:space="0" w:color="auto"/>
        <w:left w:val="none" w:sz="0" w:space="0" w:color="auto"/>
        <w:bottom w:val="none" w:sz="0" w:space="0" w:color="auto"/>
        <w:right w:val="none" w:sz="0" w:space="0" w:color="auto"/>
      </w:divBdr>
    </w:div>
    <w:div w:id="1463382868">
      <w:bodyDiv w:val="1"/>
      <w:marLeft w:val="0"/>
      <w:marRight w:val="0"/>
      <w:marTop w:val="0"/>
      <w:marBottom w:val="0"/>
      <w:divBdr>
        <w:top w:val="none" w:sz="0" w:space="0" w:color="auto"/>
        <w:left w:val="none" w:sz="0" w:space="0" w:color="auto"/>
        <w:bottom w:val="none" w:sz="0" w:space="0" w:color="auto"/>
        <w:right w:val="none" w:sz="0" w:space="0" w:color="auto"/>
      </w:divBdr>
    </w:div>
    <w:div w:id="1478691481">
      <w:bodyDiv w:val="1"/>
      <w:marLeft w:val="0"/>
      <w:marRight w:val="0"/>
      <w:marTop w:val="0"/>
      <w:marBottom w:val="0"/>
      <w:divBdr>
        <w:top w:val="none" w:sz="0" w:space="0" w:color="auto"/>
        <w:left w:val="none" w:sz="0" w:space="0" w:color="auto"/>
        <w:bottom w:val="none" w:sz="0" w:space="0" w:color="auto"/>
        <w:right w:val="none" w:sz="0" w:space="0" w:color="auto"/>
      </w:divBdr>
    </w:div>
    <w:div w:id="1480804722">
      <w:bodyDiv w:val="1"/>
      <w:marLeft w:val="0"/>
      <w:marRight w:val="0"/>
      <w:marTop w:val="0"/>
      <w:marBottom w:val="0"/>
      <w:divBdr>
        <w:top w:val="none" w:sz="0" w:space="0" w:color="auto"/>
        <w:left w:val="none" w:sz="0" w:space="0" w:color="auto"/>
        <w:bottom w:val="none" w:sz="0" w:space="0" w:color="auto"/>
        <w:right w:val="none" w:sz="0" w:space="0" w:color="auto"/>
      </w:divBdr>
    </w:div>
    <w:div w:id="1481992992">
      <w:bodyDiv w:val="1"/>
      <w:marLeft w:val="0"/>
      <w:marRight w:val="0"/>
      <w:marTop w:val="0"/>
      <w:marBottom w:val="0"/>
      <w:divBdr>
        <w:top w:val="none" w:sz="0" w:space="0" w:color="auto"/>
        <w:left w:val="none" w:sz="0" w:space="0" w:color="auto"/>
        <w:bottom w:val="none" w:sz="0" w:space="0" w:color="auto"/>
        <w:right w:val="none" w:sz="0" w:space="0" w:color="auto"/>
      </w:divBdr>
    </w:div>
    <w:div w:id="1533222090">
      <w:bodyDiv w:val="1"/>
      <w:marLeft w:val="0"/>
      <w:marRight w:val="0"/>
      <w:marTop w:val="0"/>
      <w:marBottom w:val="0"/>
      <w:divBdr>
        <w:top w:val="none" w:sz="0" w:space="0" w:color="auto"/>
        <w:left w:val="none" w:sz="0" w:space="0" w:color="auto"/>
        <w:bottom w:val="none" w:sz="0" w:space="0" w:color="auto"/>
        <w:right w:val="none" w:sz="0" w:space="0" w:color="auto"/>
      </w:divBdr>
    </w:div>
    <w:div w:id="1594165110">
      <w:bodyDiv w:val="1"/>
      <w:marLeft w:val="0"/>
      <w:marRight w:val="0"/>
      <w:marTop w:val="0"/>
      <w:marBottom w:val="0"/>
      <w:divBdr>
        <w:top w:val="none" w:sz="0" w:space="0" w:color="auto"/>
        <w:left w:val="none" w:sz="0" w:space="0" w:color="auto"/>
        <w:bottom w:val="none" w:sz="0" w:space="0" w:color="auto"/>
        <w:right w:val="none" w:sz="0" w:space="0" w:color="auto"/>
      </w:divBdr>
    </w:div>
    <w:div w:id="1629313088">
      <w:bodyDiv w:val="1"/>
      <w:marLeft w:val="0"/>
      <w:marRight w:val="0"/>
      <w:marTop w:val="0"/>
      <w:marBottom w:val="0"/>
      <w:divBdr>
        <w:top w:val="none" w:sz="0" w:space="0" w:color="auto"/>
        <w:left w:val="none" w:sz="0" w:space="0" w:color="auto"/>
        <w:bottom w:val="none" w:sz="0" w:space="0" w:color="auto"/>
        <w:right w:val="none" w:sz="0" w:space="0" w:color="auto"/>
      </w:divBdr>
    </w:div>
    <w:div w:id="1640308430">
      <w:bodyDiv w:val="1"/>
      <w:marLeft w:val="0"/>
      <w:marRight w:val="0"/>
      <w:marTop w:val="0"/>
      <w:marBottom w:val="0"/>
      <w:divBdr>
        <w:top w:val="none" w:sz="0" w:space="0" w:color="auto"/>
        <w:left w:val="none" w:sz="0" w:space="0" w:color="auto"/>
        <w:bottom w:val="none" w:sz="0" w:space="0" w:color="auto"/>
        <w:right w:val="none" w:sz="0" w:space="0" w:color="auto"/>
      </w:divBdr>
    </w:div>
    <w:div w:id="1659922718">
      <w:bodyDiv w:val="1"/>
      <w:marLeft w:val="0"/>
      <w:marRight w:val="0"/>
      <w:marTop w:val="0"/>
      <w:marBottom w:val="0"/>
      <w:divBdr>
        <w:top w:val="none" w:sz="0" w:space="0" w:color="auto"/>
        <w:left w:val="none" w:sz="0" w:space="0" w:color="auto"/>
        <w:bottom w:val="none" w:sz="0" w:space="0" w:color="auto"/>
        <w:right w:val="none" w:sz="0" w:space="0" w:color="auto"/>
      </w:divBdr>
    </w:div>
    <w:div w:id="1695033530">
      <w:bodyDiv w:val="1"/>
      <w:marLeft w:val="0"/>
      <w:marRight w:val="0"/>
      <w:marTop w:val="0"/>
      <w:marBottom w:val="0"/>
      <w:divBdr>
        <w:top w:val="none" w:sz="0" w:space="0" w:color="auto"/>
        <w:left w:val="none" w:sz="0" w:space="0" w:color="auto"/>
        <w:bottom w:val="none" w:sz="0" w:space="0" w:color="auto"/>
        <w:right w:val="none" w:sz="0" w:space="0" w:color="auto"/>
      </w:divBdr>
    </w:div>
    <w:div w:id="1708988415">
      <w:bodyDiv w:val="1"/>
      <w:marLeft w:val="0"/>
      <w:marRight w:val="0"/>
      <w:marTop w:val="0"/>
      <w:marBottom w:val="0"/>
      <w:divBdr>
        <w:top w:val="none" w:sz="0" w:space="0" w:color="auto"/>
        <w:left w:val="none" w:sz="0" w:space="0" w:color="auto"/>
        <w:bottom w:val="none" w:sz="0" w:space="0" w:color="auto"/>
        <w:right w:val="none" w:sz="0" w:space="0" w:color="auto"/>
      </w:divBdr>
    </w:div>
    <w:div w:id="1720475601">
      <w:bodyDiv w:val="1"/>
      <w:marLeft w:val="0"/>
      <w:marRight w:val="0"/>
      <w:marTop w:val="0"/>
      <w:marBottom w:val="0"/>
      <w:divBdr>
        <w:top w:val="none" w:sz="0" w:space="0" w:color="auto"/>
        <w:left w:val="none" w:sz="0" w:space="0" w:color="auto"/>
        <w:bottom w:val="none" w:sz="0" w:space="0" w:color="auto"/>
        <w:right w:val="none" w:sz="0" w:space="0" w:color="auto"/>
      </w:divBdr>
    </w:div>
    <w:div w:id="1731032288">
      <w:bodyDiv w:val="1"/>
      <w:marLeft w:val="0"/>
      <w:marRight w:val="0"/>
      <w:marTop w:val="0"/>
      <w:marBottom w:val="0"/>
      <w:divBdr>
        <w:top w:val="none" w:sz="0" w:space="0" w:color="auto"/>
        <w:left w:val="none" w:sz="0" w:space="0" w:color="auto"/>
        <w:bottom w:val="none" w:sz="0" w:space="0" w:color="auto"/>
        <w:right w:val="none" w:sz="0" w:space="0" w:color="auto"/>
      </w:divBdr>
    </w:div>
    <w:div w:id="1742407694">
      <w:bodyDiv w:val="1"/>
      <w:marLeft w:val="0"/>
      <w:marRight w:val="0"/>
      <w:marTop w:val="0"/>
      <w:marBottom w:val="0"/>
      <w:divBdr>
        <w:top w:val="none" w:sz="0" w:space="0" w:color="auto"/>
        <w:left w:val="none" w:sz="0" w:space="0" w:color="auto"/>
        <w:bottom w:val="none" w:sz="0" w:space="0" w:color="auto"/>
        <w:right w:val="none" w:sz="0" w:space="0" w:color="auto"/>
      </w:divBdr>
    </w:div>
    <w:div w:id="1756198785">
      <w:bodyDiv w:val="1"/>
      <w:marLeft w:val="0"/>
      <w:marRight w:val="0"/>
      <w:marTop w:val="0"/>
      <w:marBottom w:val="0"/>
      <w:divBdr>
        <w:top w:val="none" w:sz="0" w:space="0" w:color="auto"/>
        <w:left w:val="none" w:sz="0" w:space="0" w:color="auto"/>
        <w:bottom w:val="none" w:sz="0" w:space="0" w:color="auto"/>
        <w:right w:val="none" w:sz="0" w:space="0" w:color="auto"/>
      </w:divBdr>
    </w:div>
    <w:div w:id="1757704038">
      <w:bodyDiv w:val="1"/>
      <w:marLeft w:val="0"/>
      <w:marRight w:val="0"/>
      <w:marTop w:val="0"/>
      <w:marBottom w:val="0"/>
      <w:divBdr>
        <w:top w:val="none" w:sz="0" w:space="0" w:color="auto"/>
        <w:left w:val="none" w:sz="0" w:space="0" w:color="auto"/>
        <w:bottom w:val="none" w:sz="0" w:space="0" w:color="auto"/>
        <w:right w:val="none" w:sz="0" w:space="0" w:color="auto"/>
      </w:divBdr>
    </w:div>
    <w:div w:id="1767384675">
      <w:bodyDiv w:val="1"/>
      <w:marLeft w:val="0"/>
      <w:marRight w:val="0"/>
      <w:marTop w:val="0"/>
      <w:marBottom w:val="0"/>
      <w:divBdr>
        <w:top w:val="none" w:sz="0" w:space="0" w:color="auto"/>
        <w:left w:val="none" w:sz="0" w:space="0" w:color="auto"/>
        <w:bottom w:val="none" w:sz="0" w:space="0" w:color="auto"/>
        <w:right w:val="none" w:sz="0" w:space="0" w:color="auto"/>
      </w:divBdr>
    </w:div>
    <w:div w:id="1783111121">
      <w:bodyDiv w:val="1"/>
      <w:marLeft w:val="0"/>
      <w:marRight w:val="0"/>
      <w:marTop w:val="0"/>
      <w:marBottom w:val="0"/>
      <w:divBdr>
        <w:top w:val="none" w:sz="0" w:space="0" w:color="auto"/>
        <w:left w:val="none" w:sz="0" w:space="0" w:color="auto"/>
        <w:bottom w:val="none" w:sz="0" w:space="0" w:color="auto"/>
        <w:right w:val="none" w:sz="0" w:space="0" w:color="auto"/>
      </w:divBdr>
    </w:div>
    <w:div w:id="1787654998">
      <w:bodyDiv w:val="1"/>
      <w:marLeft w:val="0"/>
      <w:marRight w:val="0"/>
      <w:marTop w:val="0"/>
      <w:marBottom w:val="0"/>
      <w:divBdr>
        <w:top w:val="none" w:sz="0" w:space="0" w:color="auto"/>
        <w:left w:val="none" w:sz="0" w:space="0" w:color="auto"/>
        <w:bottom w:val="none" w:sz="0" w:space="0" w:color="auto"/>
        <w:right w:val="none" w:sz="0" w:space="0" w:color="auto"/>
      </w:divBdr>
    </w:div>
    <w:div w:id="1790902509">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12015495">
      <w:bodyDiv w:val="1"/>
      <w:marLeft w:val="0"/>
      <w:marRight w:val="0"/>
      <w:marTop w:val="0"/>
      <w:marBottom w:val="0"/>
      <w:divBdr>
        <w:top w:val="none" w:sz="0" w:space="0" w:color="auto"/>
        <w:left w:val="none" w:sz="0" w:space="0" w:color="auto"/>
        <w:bottom w:val="none" w:sz="0" w:space="0" w:color="auto"/>
        <w:right w:val="none" w:sz="0" w:space="0" w:color="auto"/>
      </w:divBdr>
    </w:div>
    <w:div w:id="1813055773">
      <w:bodyDiv w:val="1"/>
      <w:marLeft w:val="0"/>
      <w:marRight w:val="0"/>
      <w:marTop w:val="0"/>
      <w:marBottom w:val="0"/>
      <w:divBdr>
        <w:top w:val="none" w:sz="0" w:space="0" w:color="auto"/>
        <w:left w:val="none" w:sz="0" w:space="0" w:color="auto"/>
        <w:bottom w:val="none" w:sz="0" w:space="0" w:color="auto"/>
        <w:right w:val="none" w:sz="0" w:space="0" w:color="auto"/>
      </w:divBdr>
    </w:div>
    <w:div w:id="1838185579">
      <w:bodyDiv w:val="1"/>
      <w:marLeft w:val="0"/>
      <w:marRight w:val="0"/>
      <w:marTop w:val="0"/>
      <w:marBottom w:val="0"/>
      <w:divBdr>
        <w:top w:val="none" w:sz="0" w:space="0" w:color="auto"/>
        <w:left w:val="none" w:sz="0" w:space="0" w:color="auto"/>
        <w:bottom w:val="none" w:sz="0" w:space="0" w:color="auto"/>
        <w:right w:val="none" w:sz="0" w:space="0" w:color="auto"/>
      </w:divBdr>
    </w:div>
    <w:div w:id="1860973770">
      <w:bodyDiv w:val="1"/>
      <w:marLeft w:val="0"/>
      <w:marRight w:val="0"/>
      <w:marTop w:val="0"/>
      <w:marBottom w:val="0"/>
      <w:divBdr>
        <w:top w:val="none" w:sz="0" w:space="0" w:color="auto"/>
        <w:left w:val="none" w:sz="0" w:space="0" w:color="auto"/>
        <w:bottom w:val="none" w:sz="0" w:space="0" w:color="auto"/>
        <w:right w:val="none" w:sz="0" w:space="0" w:color="auto"/>
      </w:divBdr>
    </w:div>
    <w:div w:id="1867402410">
      <w:bodyDiv w:val="1"/>
      <w:marLeft w:val="0"/>
      <w:marRight w:val="0"/>
      <w:marTop w:val="0"/>
      <w:marBottom w:val="0"/>
      <w:divBdr>
        <w:top w:val="none" w:sz="0" w:space="0" w:color="auto"/>
        <w:left w:val="none" w:sz="0" w:space="0" w:color="auto"/>
        <w:bottom w:val="none" w:sz="0" w:space="0" w:color="auto"/>
        <w:right w:val="none" w:sz="0" w:space="0" w:color="auto"/>
      </w:divBdr>
    </w:div>
    <w:div w:id="1875968630">
      <w:bodyDiv w:val="1"/>
      <w:marLeft w:val="0"/>
      <w:marRight w:val="0"/>
      <w:marTop w:val="0"/>
      <w:marBottom w:val="0"/>
      <w:divBdr>
        <w:top w:val="none" w:sz="0" w:space="0" w:color="auto"/>
        <w:left w:val="none" w:sz="0" w:space="0" w:color="auto"/>
        <w:bottom w:val="none" w:sz="0" w:space="0" w:color="auto"/>
        <w:right w:val="none" w:sz="0" w:space="0" w:color="auto"/>
      </w:divBdr>
    </w:div>
    <w:div w:id="1888181797">
      <w:bodyDiv w:val="1"/>
      <w:marLeft w:val="0"/>
      <w:marRight w:val="0"/>
      <w:marTop w:val="0"/>
      <w:marBottom w:val="0"/>
      <w:divBdr>
        <w:top w:val="none" w:sz="0" w:space="0" w:color="auto"/>
        <w:left w:val="none" w:sz="0" w:space="0" w:color="auto"/>
        <w:bottom w:val="none" w:sz="0" w:space="0" w:color="auto"/>
        <w:right w:val="none" w:sz="0" w:space="0" w:color="auto"/>
      </w:divBdr>
    </w:div>
    <w:div w:id="1905918049">
      <w:bodyDiv w:val="1"/>
      <w:marLeft w:val="0"/>
      <w:marRight w:val="0"/>
      <w:marTop w:val="0"/>
      <w:marBottom w:val="0"/>
      <w:divBdr>
        <w:top w:val="none" w:sz="0" w:space="0" w:color="auto"/>
        <w:left w:val="none" w:sz="0" w:space="0" w:color="auto"/>
        <w:bottom w:val="none" w:sz="0" w:space="0" w:color="auto"/>
        <w:right w:val="none" w:sz="0" w:space="0" w:color="auto"/>
      </w:divBdr>
    </w:div>
    <w:div w:id="1943219307">
      <w:bodyDiv w:val="1"/>
      <w:marLeft w:val="0"/>
      <w:marRight w:val="0"/>
      <w:marTop w:val="0"/>
      <w:marBottom w:val="0"/>
      <w:divBdr>
        <w:top w:val="none" w:sz="0" w:space="0" w:color="auto"/>
        <w:left w:val="none" w:sz="0" w:space="0" w:color="auto"/>
        <w:bottom w:val="none" w:sz="0" w:space="0" w:color="auto"/>
        <w:right w:val="none" w:sz="0" w:space="0" w:color="auto"/>
      </w:divBdr>
    </w:div>
    <w:div w:id="1984966367">
      <w:bodyDiv w:val="1"/>
      <w:marLeft w:val="0"/>
      <w:marRight w:val="0"/>
      <w:marTop w:val="0"/>
      <w:marBottom w:val="0"/>
      <w:divBdr>
        <w:top w:val="none" w:sz="0" w:space="0" w:color="auto"/>
        <w:left w:val="none" w:sz="0" w:space="0" w:color="auto"/>
        <w:bottom w:val="none" w:sz="0" w:space="0" w:color="auto"/>
        <w:right w:val="none" w:sz="0" w:space="0" w:color="auto"/>
      </w:divBdr>
    </w:div>
    <w:div w:id="1987930161">
      <w:bodyDiv w:val="1"/>
      <w:marLeft w:val="0"/>
      <w:marRight w:val="0"/>
      <w:marTop w:val="0"/>
      <w:marBottom w:val="0"/>
      <w:divBdr>
        <w:top w:val="none" w:sz="0" w:space="0" w:color="auto"/>
        <w:left w:val="none" w:sz="0" w:space="0" w:color="auto"/>
        <w:bottom w:val="none" w:sz="0" w:space="0" w:color="auto"/>
        <w:right w:val="none" w:sz="0" w:space="0" w:color="auto"/>
      </w:divBdr>
    </w:div>
    <w:div w:id="2037533175">
      <w:bodyDiv w:val="1"/>
      <w:marLeft w:val="0"/>
      <w:marRight w:val="0"/>
      <w:marTop w:val="0"/>
      <w:marBottom w:val="0"/>
      <w:divBdr>
        <w:top w:val="none" w:sz="0" w:space="0" w:color="auto"/>
        <w:left w:val="none" w:sz="0" w:space="0" w:color="auto"/>
        <w:bottom w:val="none" w:sz="0" w:space="0" w:color="auto"/>
        <w:right w:val="none" w:sz="0" w:space="0" w:color="auto"/>
      </w:divBdr>
    </w:div>
    <w:div w:id="2039500863">
      <w:bodyDiv w:val="1"/>
      <w:marLeft w:val="0"/>
      <w:marRight w:val="0"/>
      <w:marTop w:val="0"/>
      <w:marBottom w:val="0"/>
      <w:divBdr>
        <w:top w:val="none" w:sz="0" w:space="0" w:color="auto"/>
        <w:left w:val="none" w:sz="0" w:space="0" w:color="auto"/>
        <w:bottom w:val="none" w:sz="0" w:space="0" w:color="auto"/>
        <w:right w:val="none" w:sz="0" w:space="0" w:color="auto"/>
      </w:divBdr>
    </w:div>
    <w:div w:id="2089183775">
      <w:bodyDiv w:val="1"/>
      <w:marLeft w:val="0"/>
      <w:marRight w:val="0"/>
      <w:marTop w:val="0"/>
      <w:marBottom w:val="0"/>
      <w:divBdr>
        <w:top w:val="none" w:sz="0" w:space="0" w:color="auto"/>
        <w:left w:val="none" w:sz="0" w:space="0" w:color="auto"/>
        <w:bottom w:val="none" w:sz="0" w:space="0" w:color="auto"/>
        <w:right w:val="none" w:sz="0" w:space="0" w:color="auto"/>
      </w:divBdr>
    </w:div>
    <w:div w:id="2092585194">
      <w:bodyDiv w:val="1"/>
      <w:marLeft w:val="0"/>
      <w:marRight w:val="0"/>
      <w:marTop w:val="0"/>
      <w:marBottom w:val="0"/>
      <w:divBdr>
        <w:top w:val="none" w:sz="0" w:space="0" w:color="auto"/>
        <w:left w:val="none" w:sz="0" w:space="0" w:color="auto"/>
        <w:bottom w:val="none" w:sz="0" w:space="0" w:color="auto"/>
        <w:right w:val="none" w:sz="0" w:space="0" w:color="auto"/>
      </w:divBdr>
    </w:div>
    <w:div w:id="2117863184">
      <w:bodyDiv w:val="1"/>
      <w:marLeft w:val="0"/>
      <w:marRight w:val="0"/>
      <w:marTop w:val="0"/>
      <w:marBottom w:val="0"/>
      <w:divBdr>
        <w:top w:val="none" w:sz="0" w:space="0" w:color="auto"/>
        <w:left w:val="none" w:sz="0" w:space="0" w:color="auto"/>
        <w:bottom w:val="none" w:sz="0" w:space="0" w:color="auto"/>
        <w:right w:val="none" w:sz="0" w:space="0" w:color="auto"/>
      </w:divBdr>
    </w:div>
    <w:div w:id="2134907744">
      <w:bodyDiv w:val="1"/>
      <w:marLeft w:val="0"/>
      <w:marRight w:val="0"/>
      <w:marTop w:val="0"/>
      <w:marBottom w:val="0"/>
      <w:divBdr>
        <w:top w:val="none" w:sz="0" w:space="0" w:color="auto"/>
        <w:left w:val="none" w:sz="0" w:space="0" w:color="auto"/>
        <w:bottom w:val="none" w:sz="0" w:space="0" w:color="auto"/>
        <w:right w:val="none" w:sz="0" w:space="0" w:color="auto"/>
      </w:divBdr>
    </w:div>
    <w:div w:id="214403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011FE"/>
    <w:rsid w:val="000018AE"/>
    <w:rsid w:val="00015085"/>
    <w:rsid w:val="00021F89"/>
    <w:rsid w:val="0005206B"/>
    <w:rsid w:val="000643D4"/>
    <w:rsid w:val="00127222"/>
    <w:rsid w:val="0017218B"/>
    <w:rsid w:val="001736D7"/>
    <w:rsid w:val="00190AF4"/>
    <w:rsid w:val="001D1829"/>
    <w:rsid w:val="00223FA3"/>
    <w:rsid w:val="00267B9A"/>
    <w:rsid w:val="002A05AA"/>
    <w:rsid w:val="002A288F"/>
    <w:rsid w:val="002C65A7"/>
    <w:rsid w:val="002C7A23"/>
    <w:rsid w:val="002F052A"/>
    <w:rsid w:val="002F56B3"/>
    <w:rsid w:val="00304C58"/>
    <w:rsid w:val="00311D8C"/>
    <w:rsid w:val="0031729A"/>
    <w:rsid w:val="00334022"/>
    <w:rsid w:val="00342B5B"/>
    <w:rsid w:val="00350176"/>
    <w:rsid w:val="003840F0"/>
    <w:rsid w:val="003C7998"/>
    <w:rsid w:val="003F0210"/>
    <w:rsid w:val="00437537"/>
    <w:rsid w:val="004534BE"/>
    <w:rsid w:val="004B1D0D"/>
    <w:rsid w:val="004C625D"/>
    <w:rsid w:val="004D785E"/>
    <w:rsid w:val="00513FC9"/>
    <w:rsid w:val="0052727F"/>
    <w:rsid w:val="0053654E"/>
    <w:rsid w:val="00537C77"/>
    <w:rsid w:val="00571A46"/>
    <w:rsid w:val="00610196"/>
    <w:rsid w:val="006227EF"/>
    <w:rsid w:val="00626453"/>
    <w:rsid w:val="00632A7E"/>
    <w:rsid w:val="00632AB6"/>
    <w:rsid w:val="006627B4"/>
    <w:rsid w:val="00670534"/>
    <w:rsid w:val="006C64AE"/>
    <w:rsid w:val="006D7E3E"/>
    <w:rsid w:val="00730B33"/>
    <w:rsid w:val="0073445C"/>
    <w:rsid w:val="00772B2A"/>
    <w:rsid w:val="007917EF"/>
    <w:rsid w:val="00796ECA"/>
    <w:rsid w:val="007B491F"/>
    <w:rsid w:val="007C672A"/>
    <w:rsid w:val="007D4368"/>
    <w:rsid w:val="00822666"/>
    <w:rsid w:val="0082293C"/>
    <w:rsid w:val="00823DB0"/>
    <w:rsid w:val="00823ECC"/>
    <w:rsid w:val="00826796"/>
    <w:rsid w:val="00853DF9"/>
    <w:rsid w:val="00866C97"/>
    <w:rsid w:val="009017AE"/>
    <w:rsid w:val="009203C1"/>
    <w:rsid w:val="0094469D"/>
    <w:rsid w:val="0095059E"/>
    <w:rsid w:val="009A647D"/>
    <w:rsid w:val="009C0752"/>
    <w:rsid w:val="009C542D"/>
    <w:rsid w:val="009D56DB"/>
    <w:rsid w:val="009E4C44"/>
    <w:rsid w:val="00A01A18"/>
    <w:rsid w:val="00A54D29"/>
    <w:rsid w:val="00A90B27"/>
    <w:rsid w:val="00A920A5"/>
    <w:rsid w:val="00A95183"/>
    <w:rsid w:val="00AB4AF7"/>
    <w:rsid w:val="00AC0173"/>
    <w:rsid w:val="00AD7C4F"/>
    <w:rsid w:val="00AE61CC"/>
    <w:rsid w:val="00B002C8"/>
    <w:rsid w:val="00B05858"/>
    <w:rsid w:val="00B23D1E"/>
    <w:rsid w:val="00B445F5"/>
    <w:rsid w:val="00B805A3"/>
    <w:rsid w:val="00BD40CB"/>
    <w:rsid w:val="00BE0911"/>
    <w:rsid w:val="00BF5966"/>
    <w:rsid w:val="00C1583A"/>
    <w:rsid w:val="00C17572"/>
    <w:rsid w:val="00C362A2"/>
    <w:rsid w:val="00C40D3A"/>
    <w:rsid w:val="00C616FF"/>
    <w:rsid w:val="00C65D1E"/>
    <w:rsid w:val="00C763C1"/>
    <w:rsid w:val="00C90121"/>
    <w:rsid w:val="00C96E73"/>
    <w:rsid w:val="00CA1FE8"/>
    <w:rsid w:val="00CA344F"/>
    <w:rsid w:val="00CA660C"/>
    <w:rsid w:val="00CA6C81"/>
    <w:rsid w:val="00CB6FE9"/>
    <w:rsid w:val="00D138D2"/>
    <w:rsid w:val="00D15BBF"/>
    <w:rsid w:val="00D1676E"/>
    <w:rsid w:val="00D84D36"/>
    <w:rsid w:val="00DC0246"/>
    <w:rsid w:val="00DC30DC"/>
    <w:rsid w:val="00E145F9"/>
    <w:rsid w:val="00E26949"/>
    <w:rsid w:val="00E470CE"/>
    <w:rsid w:val="00E6518A"/>
    <w:rsid w:val="00E84AFF"/>
    <w:rsid w:val="00E855A5"/>
    <w:rsid w:val="00E907BE"/>
    <w:rsid w:val="00F378EE"/>
    <w:rsid w:val="00F540AB"/>
    <w:rsid w:val="00F65A8A"/>
    <w:rsid w:val="00F915BA"/>
    <w:rsid w:val="00FE40A4"/>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64EF3613-CD20-45DC-9664-02AF64799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7478</Words>
  <Characters>42628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Rodriguez, Fior</dc:creator>
  <cp:lastModifiedBy>Glennon, Sarah-Grace</cp:lastModifiedBy>
  <cp:revision>7</cp:revision>
  <cp:lastPrinted>2018-11-20T13:52:00Z</cp:lastPrinted>
  <dcterms:created xsi:type="dcterms:W3CDTF">2019-01-24T20:31:00Z</dcterms:created>
  <dcterms:modified xsi:type="dcterms:W3CDTF">2019-01-24T21:27:00Z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