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33CB8B42"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p>
    <w:p w14:paraId="55B8DA2D" w14:textId="77777777" w:rsidR="00496AF8" w:rsidRPr="00496AF8" w:rsidRDefault="00496AF8" w:rsidP="002E2177">
      <w:pPr>
        <w:ind w:left="0" w:firstLine="0"/>
        <w:rPr>
          <w:noProof/>
        </w:rPr>
      </w:pPr>
    </w:p>
    <w:p w14:paraId="55B8DA2E" w14:textId="4B93608E"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6153D0">
            <w:rPr>
              <w:rStyle w:val="Style1"/>
            </w:rPr>
            <w:t>N/A</w:t>
          </w:r>
        </w:sdtContent>
      </w:sdt>
    </w:p>
    <w:p w14:paraId="55B8DA2F" w14:textId="716EF2CD"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1930FA">
            <w:rPr>
              <w:rStyle w:val="Style1"/>
            </w:rPr>
            <w:t xml:space="preserve">Hospital Harm - </w:t>
          </w:r>
          <w:r w:rsidR="006153D0">
            <w:rPr>
              <w:rStyle w:val="Style1"/>
            </w:rPr>
            <w:t>Opioid-Related Adverse Event</w:t>
          </w:r>
          <w:r w:rsidR="00E05FB5">
            <w:rPr>
              <w:rStyle w:val="Style1"/>
            </w:rPr>
            <w:t>s</w:t>
          </w:r>
        </w:sdtContent>
      </w:sdt>
    </w:p>
    <w:p w14:paraId="55B8DA30" w14:textId="130C5C4C" w:rsidR="00114848" w:rsidRPr="003B1CC5" w:rsidRDefault="00024526" w:rsidP="002E2177">
      <w:pPr>
        <w:ind w:left="0" w:firstLine="0"/>
        <w:rPr>
          <w:b/>
          <w:noProof/>
        </w:rPr>
      </w:pPr>
      <w:r w:rsidRPr="003B1CC5">
        <w:rPr>
          <w:b/>
          <w:noProof/>
        </w:rPr>
        <w:t xml:space="preserve">IF </w:t>
      </w:r>
      <w:r w:rsidR="00176E60" w:rsidRPr="003B1CC5">
        <w:rPr>
          <w:b/>
          <w:noProof/>
        </w:rPr>
        <w:t xml:space="preserve">the measure is </w:t>
      </w:r>
      <w:r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00E97E59" w:rsidRPr="003B1CC5">
        <w:rPr>
          <w:b/>
          <w:noProof/>
        </w:rPr>
        <w:t>Compo</w:t>
      </w:r>
      <w:r w:rsidR="00736E0F" w:rsidRPr="003B1CC5">
        <w:rPr>
          <w:b/>
          <w:noProof/>
        </w:rPr>
        <w:t>site</w:t>
      </w:r>
      <w:r w:rsidR="00E97E59" w:rsidRPr="003B1CC5">
        <w:rPr>
          <w:b/>
          <w:noProof/>
        </w:rPr>
        <w:t xml:space="preserve"> Measure </w:t>
      </w:r>
      <w:r w:rsidR="00114848" w:rsidRPr="003B1CC5">
        <w:rPr>
          <w:b/>
          <w:noProof/>
        </w:rPr>
        <w:t>here</w:t>
      </w:r>
      <w:r w:rsidR="00E97E59" w:rsidRPr="003B1CC5">
        <w:rPr>
          <w:b/>
          <w:noProof/>
        </w:rPr>
        <w:t>:</w:t>
      </w:r>
      <w:r w:rsidR="00E97E59"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6153D0">
            <w:rPr>
              <w:rStyle w:val="Style1"/>
            </w:rPr>
            <w:t>N/A</w:t>
          </w:r>
        </w:sdtContent>
      </w:sdt>
    </w:p>
    <w:p w14:paraId="55B8DA31" w14:textId="63689A4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1-04-02T00:00:00Z">
            <w:dateFormat w:val="M/d/yyyy"/>
            <w:lid w:val="en-US"/>
            <w:storeMappedDataAs w:val="dateTime"/>
            <w:calendar w:val="gregorian"/>
          </w:date>
        </w:sdtPr>
        <w:sdtEndPr>
          <w:rPr>
            <w:rStyle w:val="DefaultParagraphFont"/>
            <w:noProof/>
            <w:color w:val="auto"/>
            <w:u w:val="none"/>
          </w:rPr>
        </w:sdtEndPr>
        <w:sdtContent>
          <w:r w:rsidR="00895BF0">
            <w:rPr>
              <w:rStyle w:val="Style2"/>
            </w:rPr>
            <w:t>4/2/2021</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5C3D9B49" w:rsidR="00496AF8" w:rsidRPr="003B1CC5" w:rsidRDefault="00EF588F"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6153D0">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F219D5">
            <w:rPr>
              <w:rStyle w:val="Style2"/>
              <w:rFonts w:cstheme="minorHAnsi"/>
            </w:rPr>
            <w:t>Opioid-Related Adverse E</w:t>
          </w:r>
          <w:r w:rsidR="006153D0">
            <w:rPr>
              <w:rStyle w:val="Style2"/>
              <w:rFonts w:cstheme="minorHAnsi"/>
            </w:rPr>
            <w:t>vent</w:t>
          </w:r>
        </w:sdtContent>
      </w:sdt>
    </w:p>
    <w:p w14:paraId="55B8DA52" w14:textId="77777777" w:rsidR="00236F87" w:rsidRPr="003B1CC5" w:rsidRDefault="00EF588F"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EF588F"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EF588F"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EF588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EF588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00E53A99" w14:textId="6D1D7E7D" w:rsidR="00071A5F" w:rsidRPr="004950E5" w:rsidRDefault="00676BD4" w:rsidP="00D27C40">
      <w:pPr>
        <w:ind w:left="432" w:hanging="432"/>
        <w:rPr>
          <w:b/>
          <w:iCs/>
        </w:rPr>
      </w:pPr>
      <w:r w:rsidRPr="004950E5">
        <w:rPr>
          <w:b/>
          <w:bCs/>
          <w:color w:val="0000FF"/>
        </w:rPr>
        <w:t>1a.</w:t>
      </w:r>
      <w:r w:rsidR="00C41794" w:rsidRPr="004950E5">
        <w:rPr>
          <w:b/>
          <w:bCs/>
          <w:color w:val="0000FF"/>
        </w:rPr>
        <w:t>2</w:t>
      </w:r>
      <w:r w:rsidR="002B06BD" w:rsidRPr="004950E5">
        <w:rPr>
          <w:b/>
          <w:bCs/>
        </w:rPr>
        <w:t xml:space="preserve"> </w:t>
      </w:r>
      <w:r w:rsidRPr="004950E5">
        <w:rPr>
          <w:b/>
          <w:bCs/>
        </w:rPr>
        <w:t xml:space="preserve">LOGIC MODEL </w:t>
      </w:r>
      <w:r w:rsidRPr="004950E5">
        <w:rPr>
          <w:b/>
          <w:iCs/>
        </w:rPr>
        <w:t>Diagram or briefly describe</w:t>
      </w:r>
      <w:r w:rsidR="002B06BD" w:rsidRPr="004950E5">
        <w:rPr>
          <w:b/>
          <w:iCs/>
        </w:rPr>
        <w:t xml:space="preserve"> the </w:t>
      </w:r>
      <w:r w:rsidRPr="004950E5">
        <w:rPr>
          <w:b/>
          <w:iCs/>
        </w:rPr>
        <w:t>steps</w:t>
      </w:r>
      <w:r w:rsidR="00236F87" w:rsidRPr="004950E5">
        <w:rPr>
          <w:b/>
          <w:iCs/>
        </w:rPr>
        <w:t xml:space="preserve"> </w:t>
      </w:r>
      <w:r w:rsidR="002B06BD" w:rsidRPr="004950E5">
        <w:rPr>
          <w:b/>
          <w:iCs/>
        </w:rPr>
        <w:t xml:space="preserve">between </w:t>
      </w:r>
      <w:r w:rsidR="00CB06C9" w:rsidRPr="004950E5">
        <w:rPr>
          <w:b/>
          <w:iCs/>
        </w:rPr>
        <w:t>the</w:t>
      </w:r>
      <w:r w:rsidR="002B06BD" w:rsidRPr="004950E5">
        <w:rPr>
          <w:b/>
          <w:iCs/>
        </w:rPr>
        <w:t xml:space="preserve"> healthcare structure</w:t>
      </w:r>
      <w:r w:rsidR="00CB06C9" w:rsidRPr="004950E5">
        <w:rPr>
          <w:b/>
          <w:iCs/>
        </w:rPr>
        <w:t>s</w:t>
      </w:r>
      <w:r w:rsidR="00F90F82" w:rsidRPr="004950E5">
        <w:rPr>
          <w:b/>
          <w:iCs/>
        </w:rPr>
        <w:t xml:space="preserve"> and</w:t>
      </w:r>
      <w:r w:rsidR="002B06BD" w:rsidRPr="004950E5">
        <w:rPr>
          <w:b/>
          <w:iCs/>
        </w:rPr>
        <w:t xml:space="preserve"> process</w:t>
      </w:r>
      <w:r w:rsidR="00CB06C9" w:rsidRPr="004950E5">
        <w:rPr>
          <w:b/>
          <w:iCs/>
        </w:rPr>
        <w:t>es</w:t>
      </w:r>
      <w:r w:rsidRPr="004950E5">
        <w:rPr>
          <w:b/>
          <w:iCs/>
        </w:rPr>
        <w:t xml:space="preserve"> (e.g.,</w:t>
      </w:r>
      <w:r w:rsidR="002B06BD" w:rsidRPr="004950E5">
        <w:rPr>
          <w:b/>
          <w:iCs/>
        </w:rPr>
        <w:t xml:space="preserve"> intervention</w:t>
      </w:r>
      <w:r w:rsidR="00CB06C9" w:rsidRPr="004950E5">
        <w:rPr>
          <w:b/>
          <w:iCs/>
        </w:rPr>
        <w:t>s</w:t>
      </w:r>
      <w:r w:rsidR="002B06BD" w:rsidRPr="004950E5">
        <w:rPr>
          <w:b/>
          <w:iCs/>
        </w:rPr>
        <w:t>, or service</w:t>
      </w:r>
      <w:r w:rsidR="00CB06C9" w:rsidRPr="004950E5">
        <w:rPr>
          <w:b/>
          <w:iCs/>
        </w:rPr>
        <w:t>s</w:t>
      </w:r>
      <w:r w:rsidRPr="004950E5">
        <w:rPr>
          <w:b/>
          <w:iCs/>
        </w:rPr>
        <w:t>)</w:t>
      </w:r>
      <w:r w:rsidR="00CB06C9" w:rsidRPr="004950E5">
        <w:rPr>
          <w:b/>
          <w:iCs/>
        </w:rPr>
        <w:t xml:space="preserve"> </w:t>
      </w:r>
      <w:r w:rsidRPr="004950E5">
        <w:rPr>
          <w:b/>
          <w:iCs/>
        </w:rPr>
        <w:t>and the patient’s health outcome</w:t>
      </w:r>
      <w:r w:rsidR="00F90F82" w:rsidRPr="004950E5">
        <w:rPr>
          <w:b/>
          <w:iCs/>
        </w:rPr>
        <w:t>(s)</w:t>
      </w:r>
      <w:r w:rsidRPr="004950E5">
        <w:rPr>
          <w:b/>
          <w:iCs/>
        </w:rPr>
        <w:t xml:space="preserve">. The relationships in the diagram should be easily understood by general, non-technical audiences. Indicate the </w:t>
      </w:r>
      <w:r w:rsidR="00F90F82" w:rsidRPr="004950E5">
        <w:rPr>
          <w:b/>
          <w:iCs/>
        </w:rPr>
        <w:t xml:space="preserve">structure, </w:t>
      </w:r>
      <w:r w:rsidRPr="004950E5">
        <w:rPr>
          <w:b/>
          <w:iCs/>
        </w:rPr>
        <w:t>process or outcome being measured.</w:t>
      </w:r>
    </w:p>
    <w:p w14:paraId="0CC8DA83" w14:textId="69BE74AF" w:rsidR="00C6740C" w:rsidRPr="00AB0423" w:rsidRDefault="00F0303E" w:rsidP="00D71F69">
      <w:pPr>
        <w:spacing w:before="120"/>
        <w:ind w:left="0" w:firstLine="0"/>
      </w:pPr>
      <w:r w:rsidRPr="004950E5">
        <w:rPr>
          <w:color w:val="000000" w:themeColor="text1"/>
        </w:rPr>
        <w:t xml:space="preserve">The goal of </w:t>
      </w:r>
      <w:r w:rsidR="0078483D">
        <w:rPr>
          <w:color w:val="000000" w:themeColor="text1"/>
        </w:rPr>
        <w:t>the Opioid-Related Adverse Events</w:t>
      </w:r>
      <w:r w:rsidR="0078483D" w:rsidRPr="004950E5">
        <w:rPr>
          <w:color w:val="000000" w:themeColor="text1"/>
        </w:rPr>
        <w:t xml:space="preserve"> </w:t>
      </w:r>
      <w:r w:rsidR="0078483D">
        <w:rPr>
          <w:color w:val="000000" w:themeColor="text1"/>
        </w:rPr>
        <w:t>electronic clinical quality measure (eCQM)</w:t>
      </w:r>
      <w:r w:rsidR="0078483D" w:rsidRPr="004950E5">
        <w:rPr>
          <w:color w:val="000000" w:themeColor="text1"/>
        </w:rPr>
        <w:t xml:space="preserve"> </w:t>
      </w:r>
      <w:r w:rsidRPr="004950E5">
        <w:rPr>
          <w:color w:val="000000" w:themeColor="text1"/>
        </w:rPr>
        <w:t xml:space="preserve">is to improve safety </w:t>
      </w:r>
      <w:r w:rsidR="00BF124A" w:rsidRPr="004950E5">
        <w:rPr>
          <w:color w:val="000000" w:themeColor="text1"/>
        </w:rPr>
        <w:t xml:space="preserve">for patients who receive opioids during </w:t>
      </w:r>
      <w:r w:rsidR="006A6D26">
        <w:rPr>
          <w:color w:val="000000" w:themeColor="text1"/>
        </w:rPr>
        <w:t xml:space="preserve">their </w:t>
      </w:r>
      <w:r w:rsidR="00BF124A" w:rsidRPr="004950E5">
        <w:rPr>
          <w:color w:val="000000" w:themeColor="text1"/>
        </w:rPr>
        <w:t xml:space="preserve">hospitalization. </w:t>
      </w:r>
      <w:r w:rsidR="00FB043B">
        <w:t xml:space="preserve">Patients who receive </w:t>
      </w:r>
      <w:r w:rsidR="0024532B">
        <w:t>excessive doses of</w:t>
      </w:r>
      <w:r w:rsidR="00FB043B">
        <w:t xml:space="preserve"> opioids (overdose) in the hospital experience confusion, altered consciousness, delirium, respiratory depression, anoxia</w:t>
      </w:r>
      <w:r w:rsidR="003076FE">
        <w:t>,</w:t>
      </w:r>
      <w:r w:rsidR="00FB043B">
        <w:t xml:space="preserve"> anoxic organ damage, and</w:t>
      </w:r>
      <w:r w:rsidR="00E265CF">
        <w:t xml:space="preserve"> even</w:t>
      </w:r>
      <w:r w:rsidR="00FB043B">
        <w:t xml:space="preserve"> death as a result</w:t>
      </w:r>
      <w:r w:rsidR="00F219D5">
        <w:rPr>
          <w:color w:val="000000" w:themeColor="text1"/>
        </w:rPr>
        <w:t>.</w:t>
      </w:r>
      <w:r w:rsidR="00BF124A" w:rsidRPr="004950E5">
        <w:rPr>
          <w:color w:val="000000" w:themeColor="text1"/>
          <w:vertAlign w:val="superscript"/>
        </w:rPr>
        <w:t>1</w:t>
      </w:r>
      <w:r w:rsidR="001946D1">
        <w:rPr>
          <w:color w:val="000000" w:themeColor="text1"/>
          <w:vertAlign w:val="superscript"/>
        </w:rPr>
        <w:t>-4</w:t>
      </w:r>
      <w:r w:rsidR="00BF124A" w:rsidRPr="004950E5">
        <w:rPr>
          <w:color w:val="000000" w:themeColor="text1"/>
        </w:rPr>
        <w:t xml:space="preserve"> </w:t>
      </w:r>
      <w:r w:rsidR="00171CF3">
        <w:t xml:space="preserve">The reversal of opioid overdose using an antagonist like </w:t>
      </w:r>
      <w:r w:rsidR="00894CD6">
        <w:t>n</w:t>
      </w:r>
      <w:r w:rsidR="00171CF3">
        <w:t>aloxone, while necessary to avoid severe effects,</w:t>
      </w:r>
      <w:r w:rsidR="00E265CF">
        <w:t xml:space="preserve"> in</w:t>
      </w:r>
      <w:r w:rsidR="00171CF3">
        <w:t xml:space="preserve"> itself causes patients to experience symptoms such as sudden and severe return of pain, </w:t>
      </w:r>
      <w:r w:rsidR="007125D1">
        <w:t>nausea, vomiting, tachycardia, seizures, and even cardiac arrest.</w:t>
      </w:r>
      <w:r w:rsidR="007125D1">
        <w:rPr>
          <w:vertAlign w:val="superscript"/>
        </w:rPr>
        <w:t>5</w:t>
      </w:r>
      <w:r w:rsidR="00171CF3" w:rsidRPr="00171CF3">
        <w:t xml:space="preserve"> </w:t>
      </w:r>
      <w:r w:rsidR="00171CF3">
        <w:t>For these reasons, opioid</w:t>
      </w:r>
      <w:r w:rsidR="005F7E9E">
        <w:t xml:space="preserve">-related adverse events </w:t>
      </w:r>
      <w:r w:rsidR="00171CF3">
        <w:t xml:space="preserve">resulting from </w:t>
      </w:r>
      <w:r w:rsidR="000C1D9D">
        <w:t xml:space="preserve">opioids </w:t>
      </w:r>
      <w:r w:rsidR="00171CF3">
        <w:t xml:space="preserve">administered in the hospital by clinicians </w:t>
      </w:r>
      <w:r w:rsidR="00894CD6">
        <w:t>are</w:t>
      </w:r>
      <w:r w:rsidR="00171CF3">
        <w:t xml:space="preserve"> outcome</w:t>
      </w:r>
      <w:r w:rsidR="00894CD6">
        <w:t>s</w:t>
      </w:r>
      <w:r w:rsidR="00171CF3">
        <w:t xml:space="preserve"> that should be avoided</w:t>
      </w:r>
      <w:r w:rsidR="00491E36">
        <w:rPr>
          <w:color w:val="000000" w:themeColor="text1"/>
        </w:rPr>
        <w:t xml:space="preserve">. </w:t>
      </w:r>
      <w:r w:rsidR="0024532B">
        <w:rPr>
          <w:color w:val="000000" w:themeColor="text1"/>
        </w:rPr>
        <w:t>M</w:t>
      </w:r>
      <w:r w:rsidR="00BF124A" w:rsidRPr="004950E5">
        <w:rPr>
          <w:color w:val="000000" w:themeColor="text1"/>
        </w:rPr>
        <w:t xml:space="preserve">ost opioid-related adverse events are preventable with appropriate dosing, </w:t>
      </w:r>
      <w:r w:rsidR="00D66771">
        <w:rPr>
          <w:color w:val="000000" w:themeColor="text1"/>
        </w:rPr>
        <w:t xml:space="preserve">patient </w:t>
      </w:r>
      <w:r w:rsidR="00BF124A" w:rsidRPr="004950E5">
        <w:rPr>
          <w:color w:val="000000" w:themeColor="text1"/>
        </w:rPr>
        <w:t>monitoring, and early response</w:t>
      </w:r>
      <w:r w:rsidR="00491E36">
        <w:rPr>
          <w:color w:val="000000" w:themeColor="text1"/>
        </w:rPr>
        <w:t xml:space="preserve"> </w:t>
      </w:r>
      <w:r w:rsidR="00491E36">
        <w:t xml:space="preserve">which allows clinicians to reduce opioid </w:t>
      </w:r>
      <w:r w:rsidR="005705E0">
        <w:t xml:space="preserve">dosage </w:t>
      </w:r>
      <w:r w:rsidR="00491E36">
        <w:t>before antagonist reversal is necessary</w:t>
      </w:r>
      <w:r w:rsidR="00BF124A" w:rsidRPr="004950E5">
        <w:rPr>
          <w:color w:val="000000" w:themeColor="text1"/>
        </w:rPr>
        <w:t>.</w:t>
      </w:r>
      <w:r w:rsidR="007125D1">
        <w:rPr>
          <w:color w:val="000000" w:themeColor="text1"/>
          <w:vertAlign w:val="superscript"/>
        </w:rPr>
        <w:t>6</w:t>
      </w:r>
    </w:p>
    <w:p w14:paraId="2F6C1C27" w14:textId="0D1F834D" w:rsidR="00E901D7" w:rsidRPr="004172E2" w:rsidRDefault="000C1D9D" w:rsidP="00D71F69">
      <w:pPr>
        <w:spacing w:before="120"/>
        <w:ind w:left="0" w:firstLine="0"/>
        <w:rPr>
          <w:color w:val="000000" w:themeColor="text1"/>
          <w:vertAlign w:val="superscript"/>
        </w:rPr>
      </w:pPr>
      <w:r>
        <w:rPr>
          <w:color w:val="000000" w:themeColor="text1"/>
        </w:rPr>
        <w:t>This eCQM captures the</w:t>
      </w:r>
      <w:r w:rsidR="006F1421" w:rsidRPr="004950E5">
        <w:rPr>
          <w:color w:val="000000" w:themeColor="text1"/>
        </w:rPr>
        <w:t xml:space="preserve"> proportion of</w:t>
      </w:r>
      <w:r w:rsidR="005B7351" w:rsidRPr="004950E5">
        <w:rPr>
          <w:color w:val="000000" w:themeColor="text1"/>
        </w:rPr>
        <w:t xml:space="preserve"> hospitalized patients </w:t>
      </w:r>
      <w:r w:rsidR="00EF588F" w:rsidRPr="004950E5">
        <w:rPr>
          <w:color w:val="000000" w:themeColor="text1"/>
        </w:rPr>
        <w:t>aged</w:t>
      </w:r>
      <w:r w:rsidR="005B7351" w:rsidRPr="004950E5">
        <w:rPr>
          <w:color w:val="000000" w:themeColor="text1"/>
        </w:rPr>
        <w:t xml:space="preserve"> 18 </w:t>
      </w:r>
      <w:r w:rsidR="00071A5F" w:rsidRPr="004950E5">
        <w:rPr>
          <w:color w:val="000000" w:themeColor="text1"/>
        </w:rPr>
        <w:t>years</w:t>
      </w:r>
      <w:r w:rsidR="005B7351" w:rsidRPr="004950E5">
        <w:rPr>
          <w:color w:val="000000" w:themeColor="text1"/>
        </w:rPr>
        <w:t xml:space="preserve"> and older who suffer the harm of an opioid-related adverse event, defined as receiving a narcotic antagonist (naloxone)</w:t>
      </w:r>
      <w:r w:rsidR="00C65913">
        <w:rPr>
          <w:color w:val="000000" w:themeColor="text1"/>
        </w:rPr>
        <w:t>,</w:t>
      </w:r>
      <w:r w:rsidR="005B7351" w:rsidRPr="004950E5">
        <w:rPr>
          <w:color w:val="000000" w:themeColor="text1"/>
        </w:rPr>
        <w:t xml:space="preserve"> with evidence of hospital administration of opioids prior to </w:t>
      </w:r>
      <w:r w:rsidR="00894CD6">
        <w:rPr>
          <w:color w:val="000000" w:themeColor="text1"/>
        </w:rPr>
        <w:t xml:space="preserve">administration of </w:t>
      </w:r>
      <w:r w:rsidR="005B7351" w:rsidRPr="004950E5">
        <w:rPr>
          <w:color w:val="000000" w:themeColor="text1"/>
        </w:rPr>
        <w:t xml:space="preserve">naloxone. </w:t>
      </w:r>
      <w:r w:rsidR="00C65913" w:rsidRPr="00C65913">
        <w:rPr>
          <w:rFonts w:cstheme="minorHAnsi"/>
        </w:rPr>
        <w:t xml:space="preserve"> </w:t>
      </w:r>
      <w:r w:rsidR="00C65913" w:rsidRPr="00960FB4">
        <w:rPr>
          <w:rFonts w:cstheme="minorHAnsi"/>
        </w:rPr>
        <w:t xml:space="preserve">Naloxone administration has been used in studies </w:t>
      </w:r>
      <w:r w:rsidR="00552EC4">
        <w:rPr>
          <w:rFonts w:cstheme="minorHAnsi"/>
        </w:rPr>
        <w:t xml:space="preserve">of computerized adverse drug event surveillance </w:t>
      </w:r>
      <w:r w:rsidR="00C65913" w:rsidRPr="00960FB4">
        <w:rPr>
          <w:rFonts w:cstheme="minorHAnsi"/>
        </w:rPr>
        <w:t xml:space="preserve">as an indicator of </w:t>
      </w:r>
      <w:r w:rsidR="00C65913">
        <w:rPr>
          <w:rFonts w:cstheme="minorHAnsi"/>
        </w:rPr>
        <w:t xml:space="preserve">severe </w:t>
      </w:r>
      <w:r w:rsidR="00C65913" w:rsidRPr="00960FB4">
        <w:rPr>
          <w:rFonts w:cstheme="minorHAnsi"/>
        </w:rPr>
        <w:t>opioid-related adverse events</w:t>
      </w:r>
      <w:r w:rsidR="00C65913">
        <w:rPr>
          <w:rFonts w:cstheme="minorHAnsi"/>
        </w:rPr>
        <w:t>.</w:t>
      </w:r>
      <w:r w:rsidR="00E46048">
        <w:rPr>
          <w:rFonts w:cstheme="minorHAnsi"/>
          <w:vertAlign w:val="superscript"/>
        </w:rPr>
        <w:t>7</w:t>
      </w:r>
      <w:r w:rsidR="00C65913">
        <w:rPr>
          <w:rFonts w:cstheme="minorHAnsi"/>
          <w:vertAlign w:val="superscript"/>
        </w:rPr>
        <w:t>,</w:t>
      </w:r>
      <w:r w:rsidR="00E46048">
        <w:rPr>
          <w:rFonts w:cstheme="minorHAnsi"/>
          <w:vertAlign w:val="superscript"/>
        </w:rPr>
        <w:t>8</w:t>
      </w:r>
      <w:r w:rsidR="00C65913">
        <w:rPr>
          <w:rFonts w:cstheme="minorHAnsi"/>
          <w:vertAlign w:val="superscript"/>
        </w:rPr>
        <w:t xml:space="preserve"> </w:t>
      </w:r>
      <w:r w:rsidR="000354BB" w:rsidRPr="004950E5">
        <w:rPr>
          <w:color w:val="000000" w:themeColor="text1"/>
        </w:rPr>
        <w:t xml:space="preserve">By encouraging hospitals to implement evidence-based practices </w:t>
      </w:r>
      <w:r w:rsidR="001D2520">
        <w:rPr>
          <w:color w:val="000000" w:themeColor="text1"/>
        </w:rPr>
        <w:t>such as routine</w:t>
      </w:r>
      <w:r w:rsidR="001D2520" w:rsidRPr="004950E5">
        <w:rPr>
          <w:color w:val="000000" w:themeColor="text1"/>
        </w:rPr>
        <w:t xml:space="preserve"> </w:t>
      </w:r>
      <w:r w:rsidR="000354BB" w:rsidRPr="004950E5">
        <w:rPr>
          <w:color w:val="000000" w:themeColor="text1"/>
        </w:rPr>
        <w:t>patient monitoring</w:t>
      </w:r>
      <w:r w:rsidR="001D2520">
        <w:rPr>
          <w:color w:val="000000" w:themeColor="text1"/>
        </w:rPr>
        <w:t xml:space="preserve"> for potential adverse effects of opioids</w:t>
      </w:r>
      <w:r w:rsidR="000354BB" w:rsidRPr="004950E5">
        <w:rPr>
          <w:color w:val="000000" w:themeColor="text1"/>
        </w:rPr>
        <w:t>,</w:t>
      </w:r>
      <w:r w:rsidR="00E97CCF" w:rsidRPr="004950E5">
        <w:rPr>
          <w:color w:val="000000" w:themeColor="text1"/>
        </w:rPr>
        <w:t xml:space="preserve"> this </w:t>
      </w:r>
      <w:r w:rsidR="0078483D">
        <w:rPr>
          <w:color w:val="000000" w:themeColor="text1"/>
        </w:rPr>
        <w:t>eCQM</w:t>
      </w:r>
      <w:r w:rsidR="0078483D" w:rsidRPr="004950E5">
        <w:rPr>
          <w:color w:val="000000" w:themeColor="text1"/>
        </w:rPr>
        <w:t xml:space="preserve"> </w:t>
      </w:r>
      <w:r w:rsidR="00E97CCF" w:rsidRPr="004950E5">
        <w:rPr>
          <w:color w:val="000000" w:themeColor="text1"/>
        </w:rPr>
        <w:t xml:space="preserve">can lead to better quality of care associated with </w:t>
      </w:r>
      <w:r w:rsidR="00C7252A">
        <w:rPr>
          <w:color w:val="000000" w:themeColor="text1"/>
        </w:rPr>
        <w:t>excessive</w:t>
      </w:r>
      <w:r w:rsidR="00491E36">
        <w:rPr>
          <w:color w:val="000000" w:themeColor="text1"/>
        </w:rPr>
        <w:t xml:space="preserve"> </w:t>
      </w:r>
      <w:r w:rsidR="00E97CCF" w:rsidRPr="004950E5">
        <w:rPr>
          <w:color w:val="000000" w:themeColor="text1"/>
        </w:rPr>
        <w:t>opioid administration</w:t>
      </w:r>
      <w:r w:rsidR="00812E30">
        <w:rPr>
          <w:color w:val="000000" w:themeColor="text1"/>
        </w:rPr>
        <w:t xml:space="preserve"> in the hospital setting</w:t>
      </w:r>
      <w:r w:rsidR="00491E36">
        <w:rPr>
          <w:color w:val="000000" w:themeColor="text1"/>
        </w:rPr>
        <w:t>.</w:t>
      </w:r>
      <w:r w:rsidR="00E46048">
        <w:rPr>
          <w:color w:val="000000" w:themeColor="text1"/>
          <w:vertAlign w:val="superscript"/>
        </w:rPr>
        <w:t>9</w:t>
      </w:r>
      <w:r w:rsidR="004172E2">
        <w:rPr>
          <w:color w:val="000000" w:themeColor="text1"/>
          <w:vertAlign w:val="superscript"/>
        </w:rPr>
        <w:t>,</w:t>
      </w:r>
      <w:r w:rsidR="00E46048">
        <w:rPr>
          <w:color w:val="000000" w:themeColor="text1"/>
          <w:vertAlign w:val="superscript"/>
        </w:rPr>
        <w:t>10</w:t>
      </w:r>
    </w:p>
    <w:p w14:paraId="6180D59D" w14:textId="5CF04344" w:rsidR="00E901D7" w:rsidRDefault="00E901D7" w:rsidP="00E901D7">
      <w:pPr>
        <w:ind w:left="0" w:firstLine="0"/>
      </w:pPr>
      <w:r>
        <w:rPr>
          <w:noProof/>
        </w:rPr>
        <w:lastRenderedPageBreak/>
        <mc:AlternateContent>
          <mc:Choice Requires="wps">
            <w:drawing>
              <wp:anchor distT="45720" distB="45720" distL="114300" distR="114300" simplePos="0" relativeHeight="251659264" behindDoc="0" locked="0" layoutInCell="1" allowOverlap="1" wp14:anchorId="268FD2E3" wp14:editId="2D082887">
                <wp:simplePos x="0" y="0"/>
                <wp:positionH relativeFrom="column">
                  <wp:posOffset>60325</wp:posOffset>
                </wp:positionH>
                <wp:positionV relativeFrom="paragraph">
                  <wp:posOffset>0</wp:posOffset>
                </wp:positionV>
                <wp:extent cx="3187700" cy="162115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1621155"/>
                        </a:xfrm>
                        <a:prstGeom prst="rect">
                          <a:avLst/>
                        </a:prstGeom>
                        <a:solidFill>
                          <a:srgbClr val="FFFFFF"/>
                        </a:solidFill>
                        <a:ln w="9525">
                          <a:solidFill>
                            <a:srgbClr val="000000"/>
                          </a:solidFill>
                          <a:miter lim="800000"/>
                          <a:headEnd/>
                          <a:tailEnd/>
                        </a:ln>
                      </wps:spPr>
                      <wps:txbx>
                        <w:txbxContent>
                          <w:p w14:paraId="33E37617" w14:textId="09710AE1" w:rsidR="00E901D7" w:rsidRPr="0090566B" w:rsidRDefault="00E901D7" w:rsidP="00E901D7">
                            <w:pPr>
                              <w:pStyle w:val="ListParagraph"/>
                              <w:numPr>
                                <w:ilvl w:val="0"/>
                                <w:numId w:val="17"/>
                              </w:numPr>
                              <w:spacing w:after="0" w:line="259" w:lineRule="auto"/>
                              <w:ind w:left="360"/>
                              <w:rPr>
                                <w:sz w:val="20"/>
                              </w:rPr>
                            </w:pPr>
                            <w:r>
                              <w:rPr>
                                <w:sz w:val="20"/>
                              </w:rPr>
                              <w:t>Assess patient</w:t>
                            </w:r>
                            <w:r w:rsidR="00812E30">
                              <w:rPr>
                                <w:sz w:val="20"/>
                              </w:rPr>
                              <w:t>s</w:t>
                            </w:r>
                            <w:r>
                              <w:rPr>
                                <w:sz w:val="20"/>
                              </w:rPr>
                              <w:t xml:space="preserve"> for </w:t>
                            </w:r>
                            <w:r w:rsidR="00E265CF">
                              <w:rPr>
                                <w:sz w:val="20"/>
                              </w:rPr>
                              <w:t>o</w:t>
                            </w:r>
                            <w:r w:rsidRPr="0090566B">
                              <w:rPr>
                                <w:sz w:val="20"/>
                              </w:rPr>
                              <w:t>pioid-</w:t>
                            </w:r>
                            <w:r w:rsidR="00E265CF">
                              <w:rPr>
                                <w:sz w:val="20"/>
                              </w:rPr>
                              <w:t>i</w:t>
                            </w:r>
                            <w:r w:rsidRPr="0090566B">
                              <w:rPr>
                                <w:sz w:val="20"/>
                              </w:rPr>
                              <w:t xml:space="preserve">nduced </w:t>
                            </w:r>
                            <w:r w:rsidR="00E265CF">
                              <w:rPr>
                                <w:sz w:val="20"/>
                              </w:rPr>
                              <w:t>r</w:t>
                            </w:r>
                            <w:r w:rsidRPr="0090566B">
                              <w:rPr>
                                <w:sz w:val="20"/>
                              </w:rPr>
                              <w:t xml:space="preserve">espiratory </w:t>
                            </w:r>
                            <w:r w:rsidR="00E265CF">
                              <w:rPr>
                                <w:sz w:val="20"/>
                              </w:rPr>
                              <w:t>d</w:t>
                            </w:r>
                            <w:r w:rsidRPr="0090566B">
                              <w:rPr>
                                <w:sz w:val="20"/>
                              </w:rPr>
                              <w:t>epression</w:t>
                            </w:r>
                            <w:r w:rsidR="00812E30">
                              <w:rPr>
                                <w:sz w:val="20"/>
                              </w:rPr>
                              <w:t xml:space="preserve"> risk factors</w:t>
                            </w:r>
                            <w:r>
                              <w:rPr>
                                <w:sz w:val="20"/>
                              </w:rPr>
                              <w:t>, such as age, pulmonary disease, or sleep disordered breathing</w:t>
                            </w:r>
                            <w:r w:rsidR="00342F77">
                              <w:rPr>
                                <w:sz w:val="20"/>
                                <w:vertAlign w:val="superscript"/>
                              </w:rPr>
                              <w:t>2,</w:t>
                            </w:r>
                            <w:r w:rsidR="00E46048">
                              <w:rPr>
                                <w:sz w:val="20"/>
                                <w:vertAlign w:val="superscript"/>
                              </w:rPr>
                              <w:t>9</w:t>
                            </w:r>
                          </w:p>
                          <w:p w14:paraId="38362F4A" w14:textId="32FB2DA5" w:rsidR="00E901D7" w:rsidRPr="00594CFE" w:rsidRDefault="00E901D7" w:rsidP="00E901D7">
                            <w:pPr>
                              <w:pStyle w:val="ListParagraph"/>
                              <w:numPr>
                                <w:ilvl w:val="0"/>
                                <w:numId w:val="17"/>
                              </w:numPr>
                              <w:spacing w:after="0" w:line="259" w:lineRule="auto"/>
                              <w:ind w:left="360"/>
                              <w:rPr>
                                <w:sz w:val="20"/>
                              </w:rPr>
                            </w:pPr>
                            <w:r w:rsidRPr="00594CFE">
                              <w:rPr>
                                <w:sz w:val="20"/>
                              </w:rPr>
                              <w:t>Proper dosing of opioids</w:t>
                            </w:r>
                            <w:r>
                              <w:rPr>
                                <w:sz w:val="20"/>
                              </w:rPr>
                              <w:t xml:space="preserve"> and proper drug selection</w:t>
                            </w:r>
                            <w:r w:rsidR="00E46048">
                              <w:rPr>
                                <w:sz w:val="20"/>
                                <w:vertAlign w:val="superscript"/>
                              </w:rPr>
                              <w:t>9</w:t>
                            </w:r>
                          </w:p>
                          <w:p w14:paraId="11C1090B" w14:textId="1114E8E1" w:rsidR="00E901D7" w:rsidRPr="00594CFE" w:rsidRDefault="00E901D7" w:rsidP="00E901D7">
                            <w:pPr>
                              <w:pStyle w:val="ListParagraph"/>
                              <w:numPr>
                                <w:ilvl w:val="0"/>
                                <w:numId w:val="17"/>
                              </w:numPr>
                              <w:spacing w:after="0" w:line="259" w:lineRule="auto"/>
                              <w:ind w:left="360"/>
                              <w:rPr>
                                <w:rFonts w:cstheme="minorHAnsi"/>
                                <w:sz w:val="18"/>
                              </w:rPr>
                            </w:pPr>
                            <w:r w:rsidRPr="00594CFE">
                              <w:rPr>
                                <w:rFonts w:cstheme="minorHAnsi"/>
                                <w:sz w:val="20"/>
                                <w:lang w:val="en"/>
                              </w:rPr>
                              <w:t>Monitor patients for adequacy of ventilation (</w:t>
                            </w:r>
                            <w:r w:rsidRPr="00FE571F">
                              <w:rPr>
                                <w:rStyle w:val="Emphasis"/>
                                <w:rFonts w:cstheme="minorHAnsi"/>
                                <w:i w:val="0"/>
                                <w:sz w:val="20"/>
                                <w:lang w:val="en"/>
                              </w:rPr>
                              <w:t>such as</w:t>
                            </w:r>
                            <w:r w:rsidRPr="00594CFE">
                              <w:rPr>
                                <w:rStyle w:val="Emphasis"/>
                                <w:rFonts w:cstheme="minorHAnsi"/>
                                <w:sz w:val="20"/>
                                <w:lang w:val="en"/>
                              </w:rPr>
                              <w:t xml:space="preserve"> </w:t>
                            </w:r>
                            <w:r w:rsidRPr="00594CFE">
                              <w:rPr>
                                <w:rFonts w:cstheme="minorHAnsi"/>
                                <w:sz w:val="20"/>
                                <w:lang w:val="en"/>
                              </w:rPr>
                              <w:t>respiratory rate</w:t>
                            </w:r>
                            <w:r w:rsidR="00E265CF">
                              <w:rPr>
                                <w:rFonts w:cstheme="minorHAnsi"/>
                                <w:sz w:val="20"/>
                                <w:lang w:val="en"/>
                              </w:rPr>
                              <w:t xml:space="preserve"> and</w:t>
                            </w:r>
                            <w:r w:rsidRPr="00594CFE">
                              <w:rPr>
                                <w:rFonts w:cstheme="minorHAnsi"/>
                                <w:sz w:val="20"/>
                                <w:lang w:val="en"/>
                              </w:rPr>
                              <w:t xml:space="preserve"> depth of respiration), oxygenation</w:t>
                            </w:r>
                            <w:r w:rsidR="003076FE">
                              <w:rPr>
                                <w:rFonts w:cstheme="minorHAnsi"/>
                                <w:sz w:val="20"/>
                                <w:lang w:val="en"/>
                              </w:rPr>
                              <w:t>,</w:t>
                            </w:r>
                            <w:r w:rsidRPr="00594CFE">
                              <w:rPr>
                                <w:rFonts w:cstheme="minorHAnsi"/>
                                <w:sz w:val="20"/>
                                <w:lang w:val="en"/>
                              </w:rPr>
                              <w:t xml:space="preserve"> and level of consciousness</w:t>
                            </w:r>
                            <w:r w:rsidR="00E46048">
                              <w:rPr>
                                <w:sz w:val="20"/>
                                <w:vertAlign w:val="superscript"/>
                              </w:rPr>
                              <w:t>9</w:t>
                            </w:r>
                          </w:p>
                          <w:p w14:paraId="3584B8B3" w14:textId="1FCAC652" w:rsidR="00E901D7" w:rsidRPr="00594CFE" w:rsidRDefault="00E901D7" w:rsidP="00E901D7">
                            <w:pPr>
                              <w:pStyle w:val="ListParagraph"/>
                              <w:numPr>
                                <w:ilvl w:val="0"/>
                                <w:numId w:val="17"/>
                              </w:numPr>
                              <w:spacing w:after="0" w:line="259" w:lineRule="auto"/>
                              <w:ind w:left="360"/>
                              <w:rPr>
                                <w:rFonts w:cstheme="minorHAnsi"/>
                                <w:sz w:val="18"/>
                              </w:rPr>
                            </w:pPr>
                            <w:r w:rsidRPr="00594CFE">
                              <w:rPr>
                                <w:rFonts w:cstheme="minorHAnsi"/>
                                <w:sz w:val="20"/>
                                <w:lang w:val="en"/>
                              </w:rPr>
                              <w:t>Frequent and continuous monitoring of patients receiving opioids as indicated by type of opiate</w:t>
                            </w:r>
                            <w:r w:rsidR="00342F77">
                              <w:rPr>
                                <w:rFonts w:cstheme="minorHAnsi"/>
                                <w:sz w:val="20"/>
                                <w:vertAlign w:val="superscript"/>
                                <w:lang w:val="en"/>
                              </w:rPr>
                              <w:t>2,</w:t>
                            </w:r>
                            <w:r w:rsidR="00E46048">
                              <w:rPr>
                                <w:rFonts w:cstheme="minorHAnsi"/>
                                <w:sz w:val="20"/>
                                <w:vertAlign w:val="superscript"/>
                                <w:lang w:val="en"/>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8FD2E3" id="_x0000_t202" coordsize="21600,21600" o:spt="202" path="m,l,21600r21600,l21600,xe">
                <v:stroke joinstyle="miter"/>
                <v:path gradientshapeok="t" o:connecttype="rect"/>
              </v:shapetype>
              <v:shape id="Text Box 2" o:spid="_x0000_s1026" type="#_x0000_t202" style="position:absolute;margin-left:4.75pt;margin-top:0;width:251pt;height:127.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">
                <v:textbox>
                  <w:txbxContent>
                    <w:p w14:paraId="33E37617" w14:textId="09710AE1" w:rsidR="00E901D7" w:rsidRPr="0090566B" w:rsidRDefault="00E901D7" w:rsidP="00E901D7">
                      <w:pPr>
                        <w:pStyle w:val="ListParagraph"/>
                        <w:numPr>
                          <w:ilvl w:val="0"/>
                          <w:numId w:val="17"/>
                        </w:numPr>
                        <w:spacing w:after="0" w:line="259" w:lineRule="auto"/>
                        <w:ind w:left="360"/>
                        <w:rPr>
                          <w:sz w:val="20"/>
                        </w:rPr>
                      </w:pPr>
                      <w:r>
                        <w:rPr>
                          <w:sz w:val="20"/>
                        </w:rPr>
                        <w:t>Assess patient</w:t>
                      </w:r>
                      <w:r w:rsidR="00812E30">
                        <w:rPr>
                          <w:sz w:val="20"/>
                        </w:rPr>
                        <w:t>s</w:t>
                      </w:r>
                      <w:r>
                        <w:rPr>
                          <w:sz w:val="20"/>
                        </w:rPr>
                        <w:t xml:space="preserve"> for </w:t>
                      </w:r>
                      <w:r w:rsidR="00E265CF">
                        <w:rPr>
                          <w:sz w:val="20"/>
                        </w:rPr>
                        <w:t>o</w:t>
                      </w:r>
                      <w:r w:rsidRPr="0090566B">
                        <w:rPr>
                          <w:sz w:val="20"/>
                        </w:rPr>
                        <w:t>pioid-</w:t>
                      </w:r>
                      <w:r w:rsidR="00E265CF">
                        <w:rPr>
                          <w:sz w:val="20"/>
                        </w:rPr>
                        <w:t>i</w:t>
                      </w:r>
                      <w:r w:rsidRPr="0090566B">
                        <w:rPr>
                          <w:sz w:val="20"/>
                        </w:rPr>
                        <w:t xml:space="preserve">nduced </w:t>
                      </w:r>
                      <w:r w:rsidR="00E265CF">
                        <w:rPr>
                          <w:sz w:val="20"/>
                        </w:rPr>
                        <w:t>r</w:t>
                      </w:r>
                      <w:r w:rsidRPr="0090566B">
                        <w:rPr>
                          <w:sz w:val="20"/>
                        </w:rPr>
                        <w:t xml:space="preserve">espiratory </w:t>
                      </w:r>
                      <w:r w:rsidR="00E265CF">
                        <w:rPr>
                          <w:sz w:val="20"/>
                        </w:rPr>
                        <w:t>d</w:t>
                      </w:r>
                      <w:r w:rsidRPr="0090566B">
                        <w:rPr>
                          <w:sz w:val="20"/>
                        </w:rPr>
                        <w:t>epression</w:t>
                      </w:r>
                      <w:r w:rsidR="00812E30">
                        <w:rPr>
                          <w:sz w:val="20"/>
                        </w:rPr>
                        <w:t xml:space="preserve"> risk factors</w:t>
                      </w:r>
                      <w:r>
                        <w:rPr>
                          <w:sz w:val="20"/>
                        </w:rPr>
                        <w:t>, such as age, pulmonary disease, or sleep disordered breathing</w:t>
                      </w:r>
                      <w:r w:rsidR="00342F77">
                        <w:rPr>
                          <w:sz w:val="20"/>
                          <w:vertAlign w:val="superscript"/>
                        </w:rPr>
                        <w:t>2,</w:t>
                      </w:r>
                      <w:r w:rsidR="00E46048">
                        <w:rPr>
                          <w:sz w:val="20"/>
                          <w:vertAlign w:val="superscript"/>
                        </w:rPr>
                        <w:t>9</w:t>
                      </w:r>
                    </w:p>
                    <w:p w14:paraId="38362F4A" w14:textId="32FB2DA5" w:rsidR="00E901D7" w:rsidRPr="00594CFE" w:rsidRDefault="00E901D7" w:rsidP="00E901D7">
                      <w:pPr>
                        <w:pStyle w:val="ListParagraph"/>
                        <w:numPr>
                          <w:ilvl w:val="0"/>
                          <w:numId w:val="17"/>
                        </w:numPr>
                        <w:spacing w:after="0" w:line="259" w:lineRule="auto"/>
                        <w:ind w:left="360"/>
                        <w:rPr>
                          <w:sz w:val="20"/>
                        </w:rPr>
                      </w:pPr>
                      <w:r w:rsidRPr="00594CFE">
                        <w:rPr>
                          <w:sz w:val="20"/>
                        </w:rPr>
                        <w:t>Proper dosing of opioids</w:t>
                      </w:r>
                      <w:r>
                        <w:rPr>
                          <w:sz w:val="20"/>
                        </w:rPr>
                        <w:t xml:space="preserve"> and proper drug selection</w:t>
                      </w:r>
                      <w:r w:rsidR="00E46048">
                        <w:rPr>
                          <w:sz w:val="20"/>
                          <w:vertAlign w:val="superscript"/>
                        </w:rPr>
                        <w:t>9</w:t>
                      </w:r>
                    </w:p>
                    <w:p w14:paraId="11C1090B" w14:textId="1114E8E1" w:rsidR="00E901D7" w:rsidRPr="00594CFE" w:rsidRDefault="00E901D7" w:rsidP="00E901D7">
                      <w:pPr>
                        <w:pStyle w:val="ListParagraph"/>
                        <w:numPr>
                          <w:ilvl w:val="0"/>
                          <w:numId w:val="17"/>
                        </w:numPr>
                        <w:spacing w:after="0" w:line="259" w:lineRule="auto"/>
                        <w:ind w:left="360"/>
                        <w:rPr>
                          <w:rFonts w:cstheme="minorHAnsi"/>
                          <w:sz w:val="18"/>
                        </w:rPr>
                      </w:pPr>
                      <w:r w:rsidRPr="00594CFE">
                        <w:rPr>
                          <w:rFonts w:cstheme="minorHAnsi"/>
                          <w:sz w:val="20"/>
                          <w:lang w:val="en"/>
                        </w:rPr>
                        <w:t>Monitor patients for adequacy of ventilation (</w:t>
                      </w:r>
                      <w:r w:rsidRPr="00FE571F">
                        <w:rPr>
                          <w:rStyle w:val="Emphasis"/>
                          <w:rFonts w:cstheme="minorHAnsi"/>
                          <w:i w:val="0"/>
                          <w:sz w:val="20"/>
                          <w:lang w:val="en"/>
                        </w:rPr>
                        <w:t>such as</w:t>
                      </w:r>
                      <w:r w:rsidRPr="00594CFE">
                        <w:rPr>
                          <w:rStyle w:val="Emphasis"/>
                          <w:rFonts w:cstheme="minorHAnsi"/>
                          <w:sz w:val="20"/>
                          <w:lang w:val="en"/>
                        </w:rPr>
                        <w:t xml:space="preserve"> </w:t>
                      </w:r>
                      <w:r w:rsidRPr="00594CFE">
                        <w:rPr>
                          <w:rFonts w:cstheme="minorHAnsi"/>
                          <w:sz w:val="20"/>
                          <w:lang w:val="en"/>
                        </w:rPr>
                        <w:t>respiratory rate</w:t>
                      </w:r>
                      <w:r w:rsidR="00E265CF">
                        <w:rPr>
                          <w:rFonts w:cstheme="minorHAnsi"/>
                          <w:sz w:val="20"/>
                          <w:lang w:val="en"/>
                        </w:rPr>
                        <w:t xml:space="preserve"> and</w:t>
                      </w:r>
                      <w:r w:rsidRPr="00594CFE">
                        <w:rPr>
                          <w:rFonts w:cstheme="minorHAnsi"/>
                          <w:sz w:val="20"/>
                          <w:lang w:val="en"/>
                        </w:rPr>
                        <w:t xml:space="preserve"> depth of respiration), oxygenation</w:t>
                      </w:r>
                      <w:r w:rsidR="003076FE">
                        <w:rPr>
                          <w:rFonts w:cstheme="minorHAnsi"/>
                          <w:sz w:val="20"/>
                          <w:lang w:val="en"/>
                        </w:rPr>
                        <w:t>,</w:t>
                      </w:r>
                      <w:r w:rsidRPr="00594CFE">
                        <w:rPr>
                          <w:rFonts w:cstheme="minorHAnsi"/>
                          <w:sz w:val="20"/>
                          <w:lang w:val="en"/>
                        </w:rPr>
                        <w:t xml:space="preserve"> and level of consciousness</w:t>
                      </w:r>
                      <w:r w:rsidR="00E46048">
                        <w:rPr>
                          <w:sz w:val="20"/>
                          <w:vertAlign w:val="superscript"/>
                        </w:rPr>
                        <w:t>9</w:t>
                      </w:r>
                    </w:p>
                    <w:p w14:paraId="3584B8B3" w14:textId="1FCAC652" w:rsidR="00E901D7" w:rsidRPr="00594CFE" w:rsidRDefault="00E901D7" w:rsidP="00E901D7">
                      <w:pPr>
                        <w:pStyle w:val="ListParagraph"/>
                        <w:numPr>
                          <w:ilvl w:val="0"/>
                          <w:numId w:val="17"/>
                        </w:numPr>
                        <w:spacing w:after="0" w:line="259" w:lineRule="auto"/>
                        <w:ind w:left="360"/>
                        <w:rPr>
                          <w:rFonts w:cstheme="minorHAnsi"/>
                          <w:sz w:val="18"/>
                        </w:rPr>
                      </w:pPr>
                      <w:r w:rsidRPr="00594CFE">
                        <w:rPr>
                          <w:rFonts w:cstheme="minorHAnsi"/>
                          <w:sz w:val="20"/>
                          <w:lang w:val="en"/>
                        </w:rPr>
                        <w:t>Frequent and continuous monitoring of patients receiving opioids as indicated by type of opiate</w:t>
                      </w:r>
                      <w:r w:rsidR="00342F77">
                        <w:rPr>
                          <w:rFonts w:cstheme="minorHAnsi"/>
                          <w:sz w:val="20"/>
                          <w:vertAlign w:val="superscript"/>
                          <w:lang w:val="en"/>
                        </w:rPr>
                        <w:t>2,</w:t>
                      </w:r>
                      <w:r w:rsidR="00E46048">
                        <w:rPr>
                          <w:rFonts w:cstheme="minorHAnsi"/>
                          <w:sz w:val="20"/>
                          <w:vertAlign w:val="superscript"/>
                          <w:lang w:val="en"/>
                        </w:rPr>
                        <w:t>9</w:t>
                      </w:r>
                    </w:p>
                  </w:txbxContent>
                </v:textbox>
                <w10:wrap type="square"/>
              </v:shape>
            </w:pict>
          </mc:Fallback>
        </mc:AlternateContent>
      </w:r>
    </w:p>
    <w:p w14:paraId="66E8F6DD" w14:textId="60FDCFCA" w:rsidR="007C70F0" w:rsidRDefault="00E05FB5" w:rsidP="002E2177">
      <w:pPr>
        <w:ind w:left="432" w:hanging="432"/>
        <w:rPr>
          <w:color w:val="0000FF"/>
        </w:rPr>
      </w:pPr>
      <w:r>
        <w:rPr>
          <w:noProof/>
        </w:rPr>
        <mc:AlternateContent>
          <mc:Choice Requires="wps">
            <w:drawing>
              <wp:anchor distT="45720" distB="45720" distL="114300" distR="114300" simplePos="0" relativeHeight="251660288" behindDoc="0" locked="0" layoutInCell="1" allowOverlap="1" wp14:anchorId="1A295A43" wp14:editId="6C5FFDD3">
                <wp:simplePos x="0" y="0"/>
                <wp:positionH relativeFrom="column">
                  <wp:posOffset>4131310</wp:posOffset>
                </wp:positionH>
                <wp:positionV relativeFrom="paragraph">
                  <wp:posOffset>98425</wp:posOffset>
                </wp:positionV>
                <wp:extent cx="2190750" cy="1112520"/>
                <wp:effectExtent l="0" t="0" r="19050" b="114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1112520"/>
                        </a:xfrm>
                        <a:prstGeom prst="rect">
                          <a:avLst/>
                        </a:prstGeom>
                        <a:solidFill>
                          <a:srgbClr val="FFFFFF"/>
                        </a:solidFill>
                        <a:ln w="9525">
                          <a:solidFill>
                            <a:srgbClr val="000000"/>
                          </a:solidFill>
                          <a:miter lim="800000"/>
                          <a:headEnd/>
                          <a:tailEnd/>
                        </a:ln>
                      </wps:spPr>
                      <wps:txbx>
                        <w:txbxContent>
                          <w:p w14:paraId="2535F551" w14:textId="341EC24C" w:rsidR="00E901D7" w:rsidRDefault="00E05FB5" w:rsidP="00E901D7">
                            <w:pPr>
                              <w:pStyle w:val="ListParagraph"/>
                              <w:numPr>
                                <w:ilvl w:val="0"/>
                                <w:numId w:val="17"/>
                              </w:numPr>
                              <w:spacing w:after="0" w:line="259" w:lineRule="auto"/>
                              <w:ind w:left="360"/>
                              <w:rPr>
                                <w:sz w:val="20"/>
                              </w:rPr>
                            </w:pPr>
                            <w:r>
                              <w:rPr>
                                <w:sz w:val="20"/>
                              </w:rPr>
                              <w:t>Fewer</w:t>
                            </w:r>
                            <w:r w:rsidR="00E901D7">
                              <w:rPr>
                                <w:sz w:val="20"/>
                              </w:rPr>
                              <w:t xml:space="preserve"> opioid-related adverse events</w:t>
                            </w:r>
                          </w:p>
                          <w:p w14:paraId="2180149D" w14:textId="4E72CD2C" w:rsidR="00E901D7" w:rsidRPr="00960271" w:rsidRDefault="00E901D7" w:rsidP="00E901D7">
                            <w:pPr>
                              <w:pStyle w:val="ListParagraph"/>
                              <w:numPr>
                                <w:ilvl w:val="0"/>
                                <w:numId w:val="17"/>
                              </w:numPr>
                              <w:spacing w:after="0" w:line="259" w:lineRule="auto"/>
                              <w:ind w:left="360"/>
                              <w:rPr>
                                <w:sz w:val="20"/>
                              </w:rPr>
                            </w:pPr>
                            <w:r w:rsidRPr="00960271">
                              <w:rPr>
                                <w:sz w:val="20"/>
                              </w:rPr>
                              <w:t>Reduced need to administer naloxone to patients with respiratory depression and oversedation related to opioids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295A43" id="_x0000_s1027" type="#_x0000_t202" style="position:absolute;left:0;text-align:left;margin-left:325.3pt;margin-top:7.75pt;width:172.5pt;height:8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">
                <v:textbox>
                  <w:txbxContent>
                    <w:p w14:paraId="2535F551" w14:textId="341EC24C" w:rsidR="00E901D7" w:rsidRDefault="00E05FB5" w:rsidP="00E901D7">
                      <w:pPr>
                        <w:pStyle w:val="ListParagraph"/>
                        <w:numPr>
                          <w:ilvl w:val="0"/>
                          <w:numId w:val="17"/>
                        </w:numPr>
                        <w:spacing w:after="0" w:line="259" w:lineRule="auto"/>
                        <w:ind w:left="360"/>
                        <w:rPr>
                          <w:sz w:val="20"/>
                        </w:rPr>
                      </w:pPr>
                      <w:r>
                        <w:rPr>
                          <w:sz w:val="20"/>
                        </w:rPr>
                        <w:t>Fewer</w:t>
                      </w:r>
                      <w:r w:rsidR="00E901D7">
                        <w:rPr>
                          <w:sz w:val="20"/>
                        </w:rPr>
                        <w:t xml:space="preserve"> opioid-related adverse events</w:t>
                      </w:r>
                    </w:p>
                    <w:p w14:paraId="2180149D" w14:textId="4E72CD2C" w:rsidR="00E901D7" w:rsidRPr="00960271" w:rsidRDefault="00E901D7" w:rsidP="00E901D7">
                      <w:pPr>
                        <w:pStyle w:val="ListParagraph"/>
                        <w:numPr>
                          <w:ilvl w:val="0"/>
                          <w:numId w:val="17"/>
                        </w:numPr>
                        <w:spacing w:after="0" w:line="259" w:lineRule="auto"/>
                        <w:ind w:left="360"/>
                        <w:rPr>
                          <w:sz w:val="20"/>
                        </w:rPr>
                      </w:pPr>
                      <w:r w:rsidRPr="00960271">
                        <w:rPr>
                          <w:sz w:val="20"/>
                        </w:rPr>
                        <w:t>Reduced need to administer naloxone to patients with respiratory depression and oversedation related to opioids</w:t>
                      </w:r>
                    </w:p>
                  </w:txbxContent>
                </v:textbox>
                <w10:wrap type="square"/>
              </v:shape>
            </w:pict>
          </mc:Fallback>
        </mc:AlternateContent>
      </w:r>
    </w:p>
    <w:p w14:paraId="562F96BE" w14:textId="4AEF7F92" w:rsidR="007C70F0" w:rsidRDefault="007C70F0" w:rsidP="004950E5">
      <w:pPr>
        <w:rPr>
          <w:noProof/>
        </w:rPr>
      </w:pPr>
    </w:p>
    <w:p w14:paraId="74F5ECBE" w14:textId="6CEE4841" w:rsidR="00E901D7" w:rsidRDefault="00E901D7" w:rsidP="00E901D7">
      <w:pPr>
        <w:ind w:firstLine="0"/>
        <w:rPr>
          <w:noProof/>
        </w:rPr>
      </w:pPr>
    </w:p>
    <w:p w14:paraId="3CE2C02F" w14:textId="36407297" w:rsidR="00E901D7" w:rsidRDefault="00FE571F" w:rsidP="00E901D7">
      <w:pPr>
        <w:ind w:firstLine="0"/>
        <w:rPr>
          <w:noProof/>
        </w:rPr>
      </w:pPr>
      <w:r>
        <w:rPr>
          <w:noProof/>
        </w:rPr>
        <mc:AlternateContent>
          <mc:Choice Requires="wps">
            <w:drawing>
              <wp:anchor distT="0" distB="0" distL="114300" distR="114300" simplePos="0" relativeHeight="251662336" behindDoc="0" locked="0" layoutInCell="1" allowOverlap="1" wp14:anchorId="7F51AF55" wp14:editId="43FBE0AD">
                <wp:simplePos x="0" y="0"/>
                <wp:positionH relativeFrom="column">
                  <wp:posOffset>3393009</wp:posOffset>
                </wp:positionH>
                <wp:positionV relativeFrom="paragraph">
                  <wp:posOffset>147320</wp:posOffset>
                </wp:positionV>
                <wp:extent cx="548640" cy="0"/>
                <wp:effectExtent l="0" t="76200" r="22860" b="95250"/>
                <wp:wrapNone/>
                <wp:docPr id="4" name="Straight Arrow Connector 4"/>
                <wp:cNvGraphicFramePr/>
                <a:graphic xmlns:a="http://schemas.openxmlformats.org/drawingml/2006/main">
                  <a:graphicData uri="http://schemas.microsoft.com/office/word/2010/wordprocessingShape">
                    <wps:wsp>
                      <wps:cNvCnPr/>
                      <wps:spPr>
                        <a:xfrm>
                          <a:off x="0" y="0"/>
                          <a:ext cx="54864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7CA4F89" id="_x0000_t32" coordsize="21600,21600" o:spt="32" o:oned="t" path="m,l21600,21600e" filled="f">
                <v:path arrowok="t" fillok="f" o:connecttype="none"/>
                <o:lock v:ext="edit" shapetype="t"/>
              </v:shapetype>
              <v:shape id="Straight Arrow Connector 4" o:spid="_x0000_s1026" type="#_x0000_t32" style="position:absolute;margin-left:267.15pt;margin-top:11.6pt;width:43.2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" strokecolor="black [3213]" strokeweight="1.5pt">
                <v:stroke endarrow="block"/>
              </v:shape>
            </w:pict>
          </mc:Fallback>
        </mc:AlternateContent>
      </w:r>
    </w:p>
    <w:p w14:paraId="454610E8" w14:textId="40B44CE4" w:rsidR="00E901D7" w:rsidRDefault="00E901D7" w:rsidP="00E901D7">
      <w:pPr>
        <w:ind w:firstLine="0"/>
        <w:rPr>
          <w:noProof/>
        </w:rPr>
      </w:pPr>
    </w:p>
    <w:p w14:paraId="1040BFBC" w14:textId="3F623963" w:rsidR="00E901D7" w:rsidRDefault="00E901D7" w:rsidP="00E901D7">
      <w:pPr>
        <w:ind w:firstLine="0"/>
        <w:rPr>
          <w:noProof/>
        </w:rPr>
      </w:pPr>
    </w:p>
    <w:p w14:paraId="62022AF8" w14:textId="77777777" w:rsidR="00E901D7" w:rsidRDefault="00E901D7" w:rsidP="00E901D7">
      <w:pPr>
        <w:ind w:firstLine="0"/>
        <w:rPr>
          <w:noProof/>
        </w:rPr>
      </w:pPr>
    </w:p>
    <w:p w14:paraId="1A5D088A" w14:textId="77777777" w:rsidR="00E901D7" w:rsidRDefault="00E901D7" w:rsidP="00E901D7">
      <w:pPr>
        <w:pStyle w:val="ListParagraph"/>
        <w:ind w:firstLine="0"/>
        <w:rPr>
          <w:noProof/>
        </w:rPr>
      </w:pPr>
    </w:p>
    <w:p w14:paraId="2EE2494B" w14:textId="77777777" w:rsidR="00E901D7" w:rsidRDefault="00E901D7" w:rsidP="00E05FB5">
      <w:pPr>
        <w:ind w:left="0" w:firstLine="0"/>
        <w:rPr>
          <w:noProof/>
        </w:rPr>
      </w:pPr>
    </w:p>
    <w:p w14:paraId="67533C29" w14:textId="59B26A81" w:rsidR="00FE571F" w:rsidRPr="00FE571F" w:rsidRDefault="00FE571F" w:rsidP="00FE571F">
      <w:pPr>
        <w:pStyle w:val="EndNoteBibliography"/>
        <w:numPr>
          <w:ilvl w:val="0"/>
          <w:numId w:val="0"/>
        </w:numPr>
        <w:ind w:left="720" w:hanging="360"/>
        <w:rPr>
          <w:u w:val="single"/>
        </w:rPr>
      </w:pPr>
      <w:r>
        <w:rPr>
          <w:u w:val="single"/>
        </w:rPr>
        <w:t>R</w:t>
      </w:r>
      <w:r w:rsidRPr="00FE571F">
        <w:rPr>
          <w:u w:val="single"/>
        </w:rPr>
        <w:t>eferences:</w:t>
      </w:r>
    </w:p>
    <w:p w14:paraId="75E5C544" w14:textId="127D2DD0" w:rsidR="001946D1" w:rsidRDefault="007C70F0" w:rsidP="00E05FB5">
      <w:pPr>
        <w:pStyle w:val="EndNoteBibliography"/>
      </w:pPr>
      <w:r w:rsidRPr="00A8046A">
        <w:t xml:space="preserve">Kessler ER, Shah M, Gruschkus SK, Raju A. Cost and quality implications of opioid-based postsurgical pain control using administrative claims data from a large health system: opioid-related adverse events and their impact on clinical and economic outcomes. </w:t>
      </w:r>
      <w:r w:rsidRPr="00FE571F">
        <w:rPr>
          <w:i/>
        </w:rPr>
        <w:t xml:space="preserve">Pharmacotherapy. </w:t>
      </w:r>
      <w:r w:rsidRPr="00A8046A">
        <w:t>2013;33(4):383-391.</w:t>
      </w:r>
    </w:p>
    <w:p w14:paraId="2723D798" w14:textId="30A73C8D" w:rsidR="001946D1" w:rsidRDefault="002A2506" w:rsidP="00E05FB5">
      <w:pPr>
        <w:pStyle w:val="ListParagraph"/>
        <w:numPr>
          <w:ilvl w:val="0"/>
          <w:numId w:val="12"/>
        </w:numPr>
        <w:spacing w:after="0" w:line="240" w:lineRule="auto"/>
        <w:rPr>
          <w:noProof/>
        </w:rPr>
      </w:pPr>
      <w:r w:rsidRPr="002A2506">
        <w:rPr>
          <w:lang w:val="es-US"/>
        </w:rPr>
        <w:t xml:space="preserve">Jungquist CR, Quinlan-Colwell A, Vallerand A, </w:t>
      </w:r>
      <w:r>
        <w:rPr>
          <w:lang w:val="es-US"/>
        </w:rPr>
        <w:t>et al</w:t>
      </w:r>
      <w:r w:rsidRPr="002A2506">
        <w:rPr>
          <w:lang w:val="es-US"/>
        </w:rPr>
        <w:t xml:space="preserve">. American Society for Pain Management Nursing Guidelines on Monitoring for Opioid-Induced Advancing Sedation and Respiratory Depression: Revisions. Pain Manag Nurs. 2020 Feb;21(1):7-25. </w:t>
      </w:r>
      <w:proofErr w:type="spellStart"/>
      <w:r w:rsidRPr="002A2506">
        <w:rPr>
          <w:lang w:val="es-US"/>
        </w:rPr>
        <w:t>Epub</w:t>
      </w:r>
      <w:proofErr w:type="spellEnd"/>
      <w:r w:rsidRPr="002A2506">
        <w:rPr>
          <w:lang w:val="es-US"/>
        </w:rPr>
        <w:t xml:space="preserve"> 2019 Jul 31.</w:t>
      </w:r>
    </w:p>
    <w:p w14:paraId="658BFF50" w14:textId="77777777" w:rsidR="001946D1" w:rsidRDefault="001946D1" w:rsidP="00E05FB5">
      <w:pPr>
        <w:pStyle w:val="ListParagraph"/>
        <w:numPr>
          <w:ilvl w:val="0"/>
          <w:numId w:val="12"/>
        </w:numPr>
        <w:spacing w:after="0" w:line="240" w:lineRule="auto"/>
        <w:rPr>
          <w:noProof/>
        </w:rPr>
      </w:pPr>
      <w:r w:rsidRPr="001946D1">
        <w:t xml:space="preserve">Ramachandran SK, Haider N, Saran KA, et al. Life-threatening critical respiratory events: a retrospective study of postoperative patients found unresponsive during analgesic therapy. </w:t>
      </w:r>
      <w:r w:rsidRPr="001946D1">
        <w:rPr>
          <w:i/>
        </w:rPr>
        <w:t>Journal of Clinical Anesthesia.</w:t>
      </w:r>
      <w:r w:rsidRPr="001946D1">
        <w:t xml:space="preserve"> 2011;23(3):207-213.</w:t>
      </w:r>
    </w:p>
    <w:p w14:paraId="7E34BCAA" w14:textId="77777777" w:rsidR="001946D1" w:rsidRDefault="001946D1" w:rsidP="00E05FB5">
      <w:pPr>
        <w:pStyle w:val="ListParagraph"/>
        <w:numPr>
          <w:ilvl w:val="0"/>
          <w:numId w:val="12"/>
        </w:numPr>
        <w:spacing w:after="0" w:line="240" w:lineRule="auto"/>
        <w:rPr>
          <w:noProof/>
        </w:rPr>
      </w:pPr>
      <w:r w:rsidRPr="001946D1">
        <w:t xml:space="preserve">Dahan A, Aarts L, Smith TW. Incidence, Reversal, and Prevention of Opioid-induced Respiratory Depression. </w:t>
      </w:r>
      <w:r w:rsidRPr="001946D1">
        <w:rPr>
          <w:i/>
        </w:rPr>
        <w:t>Anesthesiology</w:t>
      </w:r>
      <w:r>
        <w:t>. 2010;112(1):226-238.</w:t>
      </w:r>
    </w:p>
    <w:p w14:paraId="0ACCEC2E" w14:textId="73C0AADC" w:rsidR="007125D1" w:rsidRDefault="007F6FDA" w:rsidP="00E05FB5">
      <w:pPr>
        <w:pStyle w:val="ListParagraph"/>
        <w:numPr>
          <w:ilvl w:val="0"/>
          <w:numId w:val="12"/>
        </w:numPr>
        <w:spacing w:after="0" w:line="240" w:lineRule="auto"/>
        <w:rPr>
          <w:noProof/>
        </w:rPr>
      </w:pPr>
      <w:r w:rsidRPr="007125D1">
        <w:rPr>
          <w:noProof/>
        </w:rPr>
        <w:t xml:space="preserve">Wermeling DP. Review of naloxone safety for opioid overdose: practical considerations for new technology and expanded public access. </w:t>
      </w:r>
      <w:r w:rsidRPr="007125D1">
        <w:rPr>
          <w:i/>
          <w:noProof/>
        </w:rPr>
        <w:t xml:space="preserve">Ther Adv Drug Saf. </w:t>
      </w:r>
      <w:r w:rsidRPr="007125D1">
        <w:rPr>
          <w:noProof/>
        </w:rPr>
        <w:t>2015;6(1):20-31.</w:t>
      </w:r>
    </w:p>
    <w:p w14:paraId="663D9AC8" w14:textId="4FDF1ED4" w:rsidR="00E97CCF" w:rsidRDefault="00E97CCF" w:rsidP="00E05FB5">
      <w:pPr>
        <w:pStyle w:val="ListParagraph"/>
        <w:numPr>
          <w:ilvl w:val="0"/>
          <w:numId w:val="12"/>
        </w:numPr>
        <w:spacing w:after="0" w:line="240" w:lineRule="auto"/>
        <w:rPr>
          <w:noProof/>
        </w:rPr>
      </w:pPr>
      <w:r w:rsidRPr="00E97CCF">
        <w:rPr>
          <w:noProof/>
        </w:rPr>
        <w:t>Lee, L. A., Caplan, R. A., Stephens, L. S., Posner, K. L., Terman, G. W., Voepel-L</w:t>
      </w:r>
      <w:r w:rsidR="00A86E0C">
        <w:rPr>
          <w:noProof/>
        </w:rPr>
        <w:t>ewis, T., &amp; Domino, K. B</w:t>
      </w:r>
      <w:r w:rsidRPr="00E97CCF">
        <w:rPr>
          <w:noProof/>
        </w:rPr>
        <w:t xml:space="preserve">. Postoperative opioid-induced respiratory depression: a closed claims analysis. </w:t>
      </w:r>
      <w:r w:rsidRPr="001946D1">
        <w:rPr>
          <w:i/>
          <w:noProof/>
        </w:rPr>
        <w:t>Anesthesiology</w:t>
      </w:r>
      <w:r w:rsidR="00A86E0C">
        <w:rPr>
          <w:noProof/>
        </w:rPr>
        <w:t>.</w:t>
      </w:r>
      <w:r w:rsidRPr="00E97CCF">
        <w:rPr>
          <w:noProof/>
        </w:rPr>
        <w:t xml:space="preserve"> </w:t>
      </w:r>
      <w:r w:rsidR="00A86E0C">
        <w:rPr>
          <w:noProof/>
        </w:rPr>
        <w:t>2015;</w:t>
      </w:r>
      <w:r w:rsidRPr="00E97CCF">
        <w:rPr>
          <w:noProof/>
        </w:rPr>
        <w:t>122(3), 659-665.</w:t>
      </w:r>
    </w:p>
    <w:p w14:paraId="7DA9A37F" w14:textId="77777777" w:rsidR="00E46048" w:rsidRDefault="00E46048" w:rsidP="00E46048">
      <w:pPr>
        <w:pStyle w:val="EndNoteBibliography"/>
      </w:pPr>
      <w:r>
        <w:t xml:space="preserve">Nwulu, U., Nirantharakumar, K., Odesanya, R., McDowell, S. E., &amp; Coleman, J. J. Improvement in the detection of adverse drug events by the use of electronic health and prescription records: an evaluation of two trigger tools. </w:t>
      </w:r>
      <w:r w:rsidRPr="00A86E0C">
        <w:rPr>
          <w:i/>
        </w:rPr>
        <w:t>Eur J Clin Pharmacol</w:t>
      </w:r>
      <w:r>
        <w:t>. 2013;69(2), 255-259.</w:t>
      </w:r>
    </w:p>
    <w:p w14:paraId="3DAE9AF5" w14:textId="267440D6" w:rsidR="00E46048" w:rsidRDefault="00E46048" w:rsidP="000A2F33">
      <w:pPr>
        <w:pStyle w:val="EndNoteBibliography"/>
      </w:pPr>
      <w:r>
        <w:t xml:space="preserve">Eckstrand, J. A., Habib, A. S., Williamson, A., Horvath, M. M., Gattis, K. G., Cozart, H., &amp; Ferranti, J. Computerized surveillance of opioid-related adverse drug events in perioperative care: a cross-sectional study. </w:t>
      </w:r>
      <w:r w:rsidRPr="00A86E0C">
        <w:rPr>
          <w:i/>
        </w:rPr>
        <w:t>Patient Saf Surg</w:t>
      </w:r>
      <w:r>
        <w:t>. 2009;3(1), 18.</w:t>
      </w:r>
    </w:p>
    <w:p w14:paraId="21726D6D" w14:textId="184F95A7" w:rsidR="00342F77" w:rsidRPr="004172E2" w:rsidRDefault="002A2506" w:rsidP="00E05FB5">
      <w:pPr>
        <w:pStyle w:val="EndNoteBibliography"/>
      </w:pPr>
      <w:r w:rsidRPr="002A2506">
        <w:rPr>
          <w:rFonts w:asciiTheme="minorHAnsi" w:eastAsiaTheme="minorEastAsia" w:hAnsiTheme="minorHAnsi" w:cstheme="minorBidi"/>
        </w:rPr>
        <w:t>Practice Guidelines for the Prevention, Detection, and Management of Respiratory Depression Associated with Neuraxial Opioid Administration: An Updated Report by the American Society of Anesthesiologists Task Force on Neuraxial Opioids and the American Society of Regional Anesthesia and Pain Medicine. Anesthesiology. 2016 Mar;124(3):535-52. </w:t>
      </w:r>
      <w:r w:rsidR="00342F77" w:rsidRPr="00342F77">
        <w:rPr>
          <w:rFonts w:asciiTheme="minorHAnsi" w:eastAsiaTheme="minorEastAsia" w:hAnsiTheme="minorHAnsi" w:cstheme="minorBidi"/>
        </w:rPr>
        <w:t>.</w:t>
      </w:r>
    </w:p>
    <w:p w14:paraId="16C0C8DD" w14:textId="77777777" w:rsidR="004172E2" w:rsidRPr="004172E2" w:rsidRDefault="004172E2" w:rsidP="004172E2">
      <w:pPr>
        <w:pStyle w:val="EndNoteBibliography"/>
      </w:pPr>
      <w:r w:rsidRPr="004172E2">
        <w:t>Lee LA, Caplan RA, Stephens LS, et al. Postoperative opioid-induced respiratory depression: a closed claims analysis. Anesthesiology. 2015;122(3):659-665.</w:t>
      </w:r>
    </w:p>
    <w:p w14:paraId="2842206B" w14:textId="77777777" w:rsidR="00E05FB5" w:rsidRPr="00342F77" w:rsidRDefault="00E05FB5" w:rsidP="00E05FB5">
      <w:pPr>
        <w:pStyle w:val="EndNoteBibliography"/>
        <w:numPr>
          <w:ilvl w:val="0"/>
          <w:numId w:val="0"/>
        </w:numPr>
        <w:ind w:left="720"/>
      </w:pPr>
    </w:p>
    <w:p w14:paraId="33C7741B" w14:textId="4993289B" w:rsidR="004922E4" w:rsidRPr="00E05FB5" w:rsidRDefault="004922E4" w:rsidP="000918AD">
      <w:pPr>
        <w:ind w:left="0" w:right="140" w:firstLine="0"/>
        <w:rPr>
          <w:b/>
          <w:iCs/>
          <w:color w:val="808080" w:themeColor="background1" w:themeShade="80"/>
        </w:rPr>
      </w:pPr>
      <w:r w:rsidRPr="00E05FB5">
        <w:rPr>
          <w:b/>
          <w:bCs/>
          <w:color w:val="808080" w:themeColor="background1" w:themeShade="80"/>
        </w:rPr>
        <w:t>1a.3</w:t>
      </w:r>
      <w:r w:rsidRPr="00E05FB5">
        <w:rPr>
          <w:bCs/>
          <w:color w:val="808080" w:themeColor="background1" w:themeShade="80"/>
        </w:rPr>
        <w:t xml:space="preserve"> </w:t>
      </w:r>
      <w:r w:rsidRPr="00E05FB5">
        <w:rPr>
          <w:b/>
          <w:bCs/>
          <w:color w:val="808080" w:themeColor="background1" w:themeShade="80"/>
        </w:rPr>
        <w:t xml:space="preserve">Value and Meaningfulness:  </w:t>
      </w:r>
      <w:r w:rsidRPr="00E05FB5">
        <w:rPr>
          <w:bCs/>
          <w:color w:val="808080" w:themeColor="background1" w:themeShade="80"/>
        </w:rPr>
        <w:t xml:space="preserve"> </w:t>
      </w:r>
      <w:r w:rsidRPr="00E05FB5">
        <w:rPr>
          <w:b/>
          <w:iCs/>
          <w:color w:val="808080" w:themeColor="background1" w:themeShade="80"/>
        </w:rPr>
        <w:t xml:space="preserve">IF </w:t>
      </w:r>
      <w:r w:rsidRPr="00E05FB5">
        <w:rPr>
          <w:iCs/>
          <w:color w:val="808080" w:themeColor="background1" w:themeShade="80"/>
        </w:rPr>
        <w:t xml:space="preserve">this measure is derived from patient report, provide evidence that the target population values the measured </w:t>
      </w:r>
      <w:r w:rsidRPr="00E05FB5">
        <w:rPr>
          <w:b/>
          <w:i/>
          <w:iCs/>
          <w:color w:val="808080" w:themeColor="background1" w:themeShade="80"/>
        </w:rPr>
        <w:t>outcome, process, or structure</w:t>
      </w:r>
      <w:r w:rsidRPr="00E05FB5">
        <w:rPr>
          <w:iCs/>
          <w:color w:val="808080" w:themeColor="background1" w:themeShade="80"/>
        </w:rPr>
        <w:t xml:space="preserve"> and finds it meaningful. (Describe how and from whom their input was obtained.)</w:t>
      </w:r>
    </w:p>
    <w:p w14:paraId="55B8DA60" w14:textId="77777777" w:rsidR="00676BD4" w:rsidRDefault="00676BD4" w:rsidP="00610634">
      <w:pPr>
        <w:ind w:left="0" w:firstLine="0"/>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7562168" w14:textId="6D4EB630" w:rsidR="003D6539" w:rsidRDefault="00ED6894" w:rsidP="00ED6894">
      <w:pPr>
        <w:spacing w:before="120"/>
        <w:ind w:left="0" w:firstLine="0"/>
        <w:rPr>
          <w:iCs/>
        </w:rPr>
      </w:pPr>
      <w:r>
        <w:rPr>
          <w:iCs/>
        </w:rPr>
        <w:t xml:space="preserve">Best practices to prevent </w:t>
      </w:r>
      <w:r w:rsidR="00177192" w:rsidRPr="00177192">
        <w:rPr>
          <w:iCs/>
        </w:rPr>
        <w:t xml:space="preserve">opioid-related adverse events </w:t>
      </w:r>
      <w:r w:rsidRPr="00ED6894">
        <w:rPr>
          <w:iCs/>
        </w:rPr>
        <w:t>in</w:t>
      </w:r>
      <w:r>
        <w:rPr>
          <w:iCs/>
        </w:rPr>
        <w:t xml:space="preserve"> </w:t>
      </w:r>
      <w:r w:rsidRPr="00ED6894">
        <w:rPr>
          <w:iCs/>
        </w:rPr>
        <w:t xml:space="preserve">hospitals </w:t>
      </w:r>
      <w:r w:rsidR="0055203F">
        <w:rPr>
          <w:iCs/>
        </w:rPr>
        <w:t>have</w:t>
      </w:r>
      <w:r w:rsidRPr="00ED6894">
        <w:rPr>
          <w:iCs/>
        </w:rPr>
        <w:t xml:space="preserve"> been a</w:t>
      </w:r>
      <w:r>
        <w:rPr>
          <w:iCs/>
        </w:rPr>
        <w:t xml:space="preserve"> </w:t>
      </w:r>
      <w:r w:rsidRPr="00ED6894">
        <w:rPr>
          <w:iCs/>
        </w:rPr>
        <w:t>major focus by The Joint Commission (TJC), the</w:t>
      </w:r>
      <w:r>
        <w:rPr>
          <w:iCs/>
        </w:rPr>
        <w:t xml:space="preserve"> </w:t>
      </w:r>
      <w:r w:rsidRPr="00ED6894">
        <w:rPr>
          <w:iCs/>
        </w:rPr>
        <w:t xml:space="preserve">Institute for Healthcare Improvement (IHI), and </w:t>
      </w:r>
      <w:r>
        <w:rPr>
          <w:iCs/>
        </w:rPr>
        <w:t xml:space="preserve">the </w:t>
      </w:r>
      <w:r w:rsidRPr="00ED6894">
        <w:rPr>
          <w:iCs/>
        </w:rPr>
        <w:t>Centers for</w:t>
      </w:r>
      <w:r>
        <w:rPr>
          <w:iCs/>
        </w:rPr>
        <w:t xml:space="preserve"> </w:t>
      </w:r>
      <w:r w:rsidRPr="00ED6894">
        <w:rPr>
          <w:iCs/>
        </w:rPr>
        <w:t>Medicaid and Medicare Services (CMS)</w:t>
      </w:r>
      <w:r w:rsidR="00177192" w:rsidRPr="00177192">
        <w:rPr>
          <w:iCs/>
        </w:rPr>
        <w:t>.</w:t>
      </w:r>
      <w:r w:rsidR="00291B7D" w:rsidRPr="004B0EE3">
        <w:rPr>
          <w:iCs/>
          <w:vertAlign w:val="superscript"/>
        </w:rPr>
        <w:t>1-3</w:t>
      </w:r>
      <w:r w:rsidR="00177192" w:rsidRPr="00177192">
        <w:rPr>
          <w:iCs/>
        </w:rPr>
        <w:t xml:space="preserve"> Of the </w:t>
      </w:r>
      <w:r w:rsidR="002334AD">
        <w:rPr>
          <w:iCs/>
        </w:rPr>
        <w:t xml:space="preserve">opioid-related </w:t>
      </w:r>
      <w:r w:rsidR="00177192" w:rsidRPr="00177192">
        <w:rPr>
          <w:iCs/>
        </w:rPr>
        <w:t>adverse drug events reported to the Joint Commission’s Sentinel Event database, 47% were due to a wrong medication dose, 29% to improper monitoring, and 11% to other causes (</w:t>
      </w:r>
      <w:r w:rsidR="00E265CF">
        <w:rPr>
          <w:iCs/>
        </w:rPr>
        <w:t>for example</w:t>
      </w:r>
      <w:r w:rsidR="00177192" w:rsidRPr="00177192">
        <w:rPr>
          <w:iCs/>
        </w:rPr>
        <w:t>, medication interactions</w:t>
      </w:r>
      <w:r w:rsidR="00E265CF">
        <w:rPr>
          <w:iCs/>
        </w:rPr>
        <w:t xml:space="preserve"> and</w:t>
      </w:r>
      <w:r w:rsidR="00177192" w:rsidRPr="00177192">
        <w:rPr>
          <w:iCs/>
        </w:rPr>
        <w:t xml:space="preserve"> drug reactions).</w:t>
      </w:r>
      <w:r w:rsidR="00291B7D">
        <w:rPr>
          <w:iCs/>
          <w:vertAlign w:val="superscript"/>
        </w:rPr>
        <w:t>6</w:t>
      </w:r>
      <w:r w:rsidR="00291B7D" w:rsidRPr="00951476">
        <w:rPr>
          <w:iCs/>
          <w:vertAlign w:val="superscript"/>
        </w:rPr>
        <w:t xml:space="preserve"> </w:t>
      </w:r>
      <w:r w:rsidR="00177192" w:rsidRPr="00177192">
        <w:rPr>
          <w:iCs/>
        </w:rPr>
        <w:t xml:space="preserve">Additionally, in a closed-claims analysis, 97% of adverse events were judged preventable with </w:t>
      </w:r>
      <w:r w:rsidR="00177192">
        <w:rPr>
          <w:iCs/>
        </w:rPr>
        <w:t>better monitoring and response</w:t>
      </w:r>
      <w:r w:rsidR="00177192" w:rsidRPr="00177192">
        <w:rPr>
          <w:iCs/>
        </w:rPr>
        <w:t>.</w:t>
      </w:r>
      <w:r w:rsidR="00291B7D">
        <w:rPr>
          <w:iCs/>
          <w:vertAlign w:val="superscript"/>
        </w:rPr>
        <w:t>7</w:t>
      </w:r>
      <w:r w:rsidR="00291B7D" w:rsidRPr="00177192">
        <w:rPr>
          <w:iCs/>
        </w:rPr>
        <w:t xml:space="preserve"> </w:t>
      </w:r>
      <w:r w:rsidR="0055203F">
        <w:rPr>
          <w:iCs/>
        </w:rPr>
        <w:t xml:space="preserve">Clinical practice guidelines </w:t>
      </w:r>
      <w:r w:rsidR="00291B7D">
        <w:rPr>
          <w:iCs/>
        </w:rPr>
        <w:t>recommend</w:t>
      </w:r>
      <w:r w:rsidR="00E265CF">
        <w:rPr>
          <w:iCs/>
        </w:rPr>
        <w:t xml:space="preserve"> </w:t>
      </w:r>
      <w:r w:rsidR="00EA4AC6">
        <w:rPr>
          <w:iCs/>
        </w:rPr>
        <w:t xml:space="preserve">better patient monitoring </w:t>
      </w:r>
      <w:r w:rsidR="00291B7D">
        <w:rPr>
          <w:iCs/>
        </w:rPr>
        <w:t>to</w:t>
      </w:r>
      <w:r w:rsidR="00EA4AC6" w:rsidRPr="00EA4AC6">
        <w:rPr>
          <w:iCs/>
        </w:rPr>
        <w:t xml:space="preserve"> </w:t>
      </w:r>
      <w:r w:rsidR="00EA4AC6">
        <w:rPr>
          <w:iCs/>
        </w:rPr>
        <w:t>improve the measure outcome and reduce the number of opioid-related adverse events.</w:t>
      </w:r>
    </w:p>
    <w:p w14:paraId="55B8DA64" w14:textId="7CFBC436" w:rsidR="00D14F0B" w:rsidRDefault="00177192" w:rsidP="00D71F69">
      <w:pPr>
        <w:spacing w:before="120"/>
        <w:ind w:left="0" w:firstLine="0"/>
        <w:rPr>
          <w:iCs/>
        </w:rPr>
      </w:pPr>
      <w:r w:rsidRPr="00177192">
        <w:rPr>
          <w:iCs/>
        </w:rPr>
        <w:t>While monitoring is key to</w:t>
      </w:r>
      <w:r w:rsidR="002A49E1">
        <w:rPr>
          <w:iCs/>
        </w:rPr>
        <w:t xml:space="preserve"> the</w:t>
      </w:r>
      <w:r w:rsidRPr="00177192">
        <w:rPr>
          <w:iCs/>
        </w:rPr>
        <w:t xml:space="preserve"> prevention of opioid-related adverse events, there is considerable variability in </w:t>
      </w:r>
      <w:r w:rsidR="00021BD7">
        <w:rPr>
          <w:iCs/>
        </w:rPr>
        <w:t xml:space="preserve">hospital </w:t>
      </w:r>
      <w:r w:rsidRPr="00177192">
        <w:rPr>
          <w:iCs/>
        </w:rPr>
        <w:t>monitoring practices. A 2013 study surveyed nurses from 90 institutions in the U.S. and found that pulse oximetry monitoring was more common</w:t>
      </w:r>
      <w:r>
        <w:rPr>
          <w:iCs/>
        </w:rPr>
        <w:t xml:space="preserve"> than other monitoring methods</w:t>
      </w:r>
      <w:r w:rsidR="00EA4AC6">
        <w:rPr>
          <w:iCs/>
        </w:rPr>
        <w:t xml:space="preserve"> for opioid-induced sedation and respiratory depression</w:t>
      </w:r>
      <w:r w:rsidRPr="00177192">
        <w:rPr>
          <w:iCs/>
        </w:rPr>
        <w:t>.</w:t>
      </w:r>
      <w:r w:rsidR="00291B7D">
        <w:rPr>
          <w:iCs/>
          <w:vertAlign w:val="superscript"/>
        </w:rPr>
        <w:t>8</w:t>
      </w:r>
      <w:r w:rsidR="00291B7D" w:rsidRPr="00177192">
        <w:rPr>
          <w:iCs/>
        </w:rPr>
        <w:t xml:space="preserve"> </w:t>
      </w:r>
      <w:r w:rsidRPr="00177192">
        <w:rPr>
          <w:iCs/>
        </w:rPr>
        <w:t>Nonetheless</w:t>
      </w:r>
      <w:r w:rsidR="000354BB">
        <w:rPr>
          <w:iCs/>
        </w:rPr>
        <w:t>,</w:t>
      </w:r>
      <w:r w:rsidRPr="00177192">
        <w:rPr>
          <w:iCs/>
        </w:rPr>
        <w:t xml:space="preserve"> only about 58% reported using intermittent pulse oximetry and only 25% used continuous monitoring for </w:t>
      </w:r>
      <w:r w:rsidR="00D848CA">
        <w:rPr>
          <w:iCs/>
        </w:rPr>
        <w:t>p</w:t>
      </w:r>
      <w:r w:rsidRPr="00177192">
        <w:rPr>
          <w:iCs/>
        </w:rPr>
        <w:t xml:space="preserve">atient </w:t>
      </w:r>
      <w:r w:rsidR="00D848CA">
        <w:rPr>
          <w:iCs/>
        </w:rPr>
        <w:t>c</w:t>
      </w:r>
      <w:r w:rsidRPr="00177192">
        <w:rPr>
          <w:iCs/>
        </w:rPr>
        <w:t xml:space="preserve">ontrolled </w:t>
      </w:r>
      <w:r w:rsidR="00D848CA">
        <w:rPr>
          <w:iCs/>
        </w:rPr>
        <w:t>a</w:t>
      </w:r>
      <w:r w:rsidRPr="00177192">
        <w:rPr>
          <w:iCs/>
        </w:rPr>
        <w:t>nalgesia (PCA). End-tidal carbon dioxide (ETCO2) monitoring was only used for 2.2% of patients on epidural therapy and 1.5% for PCA patients.</w:t>
      </w:r>
      <w:r w:rsidR="00291B7D">
        <w:rPr>
          <w:iCs/>
          <w:vertAlign w:val="superscript"/>
        </w:rPr>
        <w:t>8</w:t>
      </w:r>
      <w:r w:rsidR="00291B7D">
        <w:rPr>
          <w:iCs/>
        </w:rPr>
        <w:t xml:space="preserve"> </w:t>
      </w:r>
      <w:r w:rsidR="0006045A">
        <w:rPr>
          <w:iCs/>
        </w:rPr>
        <w:t>One hospital</w:t>
      </w:r>
      <w:r w:rsidR="0006045A" w:rsidRPr="0006045A">
        <w:rPr>
          <w:iCs/>
        </w:rPr>
        <w:t xml:space="preserve"> </w:t>
      </w:r>
      <w:r w:rsidR="0006045A">
        <w:rPr>
          <w:iCs/>
        </w:rPr>
        <w:t xml:space="preserve">found a </w:t>
      </w:r>
      <w:r w:rsidR="00FE4E98">
        <w:rPr>
          <w:iCs/>
        </w:rPr>
        <w:t>five</w:t>
      </w:r>
      <w:r w:rsidR="0006045A">
        <w:rPr>
          <w:iCs/>
        </w:rPr>
        <w:t xml:space="preserve">fold reduction in </w:t>
      </w:r>
      <w:r w:rsidR="0006045A" w:rsidRPr="0006045A">
        <w:rPr>
          <w:iCs/>
        </w:rPr>
        <w:t>opioid-induced over</w:t>
      </w:r>
      <w:r w:rsidR="00FD06EC">
        <w:rPr>
          <w:iCs/>
        </w:rPr>
        <w:t xml:space="preserve"> </w:t>
      </w:r>
      <w:r w:rsidR="0006045A" w:rsidRPr="0006045A">
        <w:rPr>
          <w:iCs/>
        </w:rPr>
        <w:t>sedation and respiratory depression</w:t>
      </w:r>
      <w:r w:rsidR="0006045A">
        <w:rPr>
          <w:iCs/>
        </w:rPr>
        <w:t xml:space="preserve"> cases after implementing </w:t>
      </w:r>
      <w:r w:rsidR="00FE4E98">
        <w:rPr>
          <w:iCs/>
        </w:rPr>
        <w:t xml:space="preserve">targeted interventions such as </w:t>
      </w:r>
      <w:r w:rsidR="0006045A" w:rsidRPr="0006045A">
        <w:rPr>
          <w:iCs/>
        </w:rPr>
        <w:t xml:space="preserve">enhanced monitoring for sedation, improved clinical decision support in the </w:t>
      </w:r>
      <w:r w:rsidR="00D848CA">
        <w:rPr>
          <w:iCs/>
        </w:rPr>
        <w:t>electronic medical record (</w:t>
      </w:r>
      <w:r w:rsidR="0006045A" w:rsidRPr="0006045A">
        <w:rPr>
          <w:iCs/>
        </w:rPr>
        <w:t>EMR</w:t>
      </w:r>
      <w:r w:rsidR="00D848CA">
        <w:rPr>
          <w:iCs/>
        </w:rPr>
        <w:t>)</w:t>
      </w:r>
      <w:r w:rsidR="0006045A" w:rsidRPr="0006045A">
        <w:rPr>
          <w:iCs/>
        </w:rPr>
        <w:t>, and various adjustments to dosing for high-risk patients</w:t>
      </w:r>
      <w:r w:rsidR="0006045A">
        <w:rPr>
          <w:iCs/>
        </w:rPr>
        <w:t xml:space="preserve"> that included clinician education.</w:t>
      </w:r>
      <w:r w:rsidR="00291B7D">
        <w:rPr>
          <w:iCs/>
          <w:vertAlign w:val="superscript"/>
        </w:rPr>
        <w:t>9</w:t>
      </w:r>
      <w:r w:rsidR="00291B7D">
        <w:rPr>
          <w:iCs/>
        </w:rPr>
        <w:t xml:space="preserve"> </w:t>
      </w:r>
      <w:r w:rsidR="0032444E">
        <w:rPr>
          <w:iCs/>
        </w:rPr>
        <w:t xml:space="preserve">Thus, </w:t>
      </w:r>
      <w:r w:rsidR="00EA4AC6">
        <w:rPr>
          <w:iCs/>
        </w:rPr>
        <w:t xml:space="preserve">there </w:t>
      </w:r>
      <w:r w:rsidR="00ED7865">
        <w:rPr>
          <w:iCs/>
        </w:rPr>
        <w:t>is</w:t>
      </w:r>
      <w:r w:rsidR="00EA4AC6">
        <w:rPr>
          <w:iCs/>
        </w:rPr>
        <w:t xml:space="preserve"> room for improvement</w:t>
      </w:r>
      <w:r w:rsidR="00AF0590">
        <w:rPr>
          <w:iCs/>
        </w:rPr>
        <w:t xml:space="preserve"> in</w:t>
      </w:r>
      <w:r w:rsidR="00F87DDC">
        <w:rPr>
          <w:iCs/>
        </w:rPr>
        <w:t xml:space="preserve"> </w:t>
      </w:r>
      <w:r w:rsidR="007C7AF9">
        <w:rPr>
          <w:iCs/>
        </w:rPr>
        <w:t>monitoring</w:t>
      </w:r>
      <w:r w:rsidR="00E46048">
        <w:rPr>
          <w:iCs/>
        </w:rPr>
        <w:t xml:space="preserve"> </w:t>
      </w:r>
      <w:r w:rsidR="007C7AF9">
        <w:rPr>
          <w:iCs/>
        </w:rPr>
        <w:t>hospitalized patients taking opioids</w:t>
      </w:r>
      <w:r w:rsidR="00D8614E">
        <w:rPr>
          <w:iCs/>
        </w:rPr>
        <w:t xml:space="preserve"> to avoid</w:t>
      </w:r>
      <w:r w:rsidR="007C7AF9">
        <w:rPr>
          <w:iCs/>
        </w:rPr>
        <w:t xml:space="preserve"> </w:t>
      </w:r>
      <w:r w:rsidR="00F87DDC">
        <w:rPr>
          <w:iCs/>
        </w:rPr>
        <w:t xml:space="preserve">unintended </w:t>
      </w:r>
      <w:r w:rsidR="0024532B">
        <w:rPr>
          <w:iCs/>
        </w:rPr>
        <w:t xml:space="preserve">over </w:t>
      </w:r>
      <w:r w:rsidR="007C7AF9">
        <w:rPr>
          <w:iCs/>
        </w:rPr>
        <w:t>sedation</w:t>
      </w:r>
      <w:r w:rsidR="00C65913">
        <w:rPr>
          <w:iCs/>
        </w:rPr>
        <w:t xml:space="preserve"> </w:t>
      </w:r>
      <w:r w:rsidR="00D8614E">
        <w:rPr>
          <w:iCs/>
        </w:rPr>
        <w:t>and</w:t>
      </w:r>
      <w:r w:rsidR="007C7AF9">
        <w:rPr>
          <w:iCs/>
        </w:rPr>
        <w:t xml:space="preserve"> </w:t>
      </w:r>
      <w:r w:rsidR="00E72301">
        <w:rPr>
          <w:iCs/>
        </w:rPr>
        <w:t xml:space="preserve">possible </w:t>
      </w:r>
      <w:r w:rsidR="00AF0590">
        <w:rPr>
          <w:iCs/>
        </w:rPr>
        <w:t>opioid-related</w:t>
      </w:r>
      <w:r w:rsidR="0032444E">
        <w:rPr>
          <w:iCs/>
        </w:rPr>
        <w:t xml:space="preserve"> adverse events</w:t>
      </w:r>
      <w:r w:rsidR="00E03E0C">
        <w:rPr>
          <w:iCs/>
        </w:rPr>
        <w:t>.</w:t>
      </w:r>
    </w:p>
    <w:p w14:paraId="345AC4CC" w14:textId="3C3628FB" w:rsidR="00461F35" w:rsidRDefault="0068110B" w:rsidP="00D71F69">
      <w:pPr>
        <w:spacing w:before="120"/>
        <w:ind w:left="0" w:firstLine="0"/>
        <w:rPr>
          <w:rFonts w:cstheme="minorHAnsi"/>
        </w:rPr>
      </w:pPr>
      <w:r>
        <w:rPr>
          <w:rFonts w:cstheme="minorHAnsi"/>
        </w:rPr>
        <w:t>One study evaluated monitoring practices for patients receiving</w:t>
      </w:r>
      <w:r w:rsidR="00D848CA">
        <w:rPr>
          <w:rFonts w:cstheme="minorHAnsi"/>
        </w:rPr>
        <w:t xml:space="preserve"> intravenous</w:t>
      </w:r>
      <w:r>
        <w:rPr>
          <w:rFonts w:cstheme="minorHAnsi"/>
        </w:rPr>
        <w:t xml:space="preserve"> </w:t>
      </w:r>
      <w:r w:rsidR="00D848CA">
        <w:rPr>
          <w:rFonts w:cstheme="minorHAnsi"/>
        </w:rPr>
        <w:t>(</w:t>
      </w:r>
      <w:r>
        <w:rPr>
          <w:rFonts w:cstheme="minorHAnsi"/>
        </w:rPr>
        <w:t>IV</w:t>
      </w:r>
      <w:r w:rsidR="00D848CA">
        <w:rPr>
          <w:rFonts w:cstheme="minorHAnsi"/>
        </w:rPr>
        <w:t>)</w:t>
      </w:r>
      <w:r>
        <w:rPr>
          <w:rFonts w:cstheme="minorHAnsi"/>
        </w:rPr>
        <w:t xml:space="preserve"> opioids via PCA and found that none of the patients monitored frequently (</w:t>
      </w:r>
      <w:r w:rsidR="00461F35">
        <w:rPr>
          <w:rFonts w:cstheme="minorHAnsi"/>
        </w:rPr>
        <w:t xml:space="preserve">at least </w:t>
      </w:r>
      <w:r>
        <w:rPr>
          <w:rFonts w:cstheme="minorHAnsi"/>
        </w:rPr>
        <w:t>every 2.5 hours) received naloxone in the hospital.</w:t>
      </w:r>
      <w:r w:rsidR="004909AD">
        <w:rPr>
          <w:rFonts w:cstheme="minorHAnsi"/>
          <w:vertAlign w:val="superscript"/>
        </w:rPr>
        <w:t xml:space="preserve">10 </w:t>
      </w:r>
      <w:r w:rsidR="00461F35">
        <w:rPr>
          <w:rFonts w:cstheme="minorHAnsi"/>
        </w:rPr>
        <w:t xml:space="preserve">Thus, better patient monitoring and response is </w:t>
      </w:r>
      <w:r w:rsidR="00E46048">
        <w:rPr>
          <w:rFonts w:cstheme="minorHAnsi"/>
        </w:rPr>
        <w:t xml:space="preserve">linked </w:t>
      </w:r>
      <w:r w:rsidR="00461F35">
        <w:rPr>
          <w:rFonts w:cstheme="minorHAnsi"/>
        </w:rPr>
        <w:t>to reduc</w:t>
      </w:r>
      <w:r w:rsidR="00E46048">
        <w:rPr>
          <w:rFonts w:cstheme="minorHAnsi"/>
        </w:rPr>
        <w:t>ed</w:t>
      </w:r>
      <w:r w:rsidR="00461F35">
        <w:rPr>
          <w:rFonts w:cstheme="minorHAnsi"/>
        </w:rPr>
        <w:t xml:space="preserve"> naloxone administration</w:t>
      </w:r>
      <w:r w:rsidR="006A0F0D">
        <w:rPr>
          <w:rFonts w:cstheme="minorHAnsi"/>
        </w:rPr>
        <w:t>, signaling</w:t>
      </w:r>
      <w:r w:rsidR="00A53380">
        <w:rPr>
          <w:rFonts w:cstheme="minorHAnsi"/>
        </w:rPr>
        <w:t xml:space="preserve"> avoid</w:t>
      </w:r>
      <w:r w:rsidR="00E46048">
        <w:rPr>
          <w:rFonts w:cstheme="minorHAnsi"/>
        </w:rPr>
        <w:t>ance of</w:t>
      </w:r>
      <w:r w:rsidR="00A53380">
        <w:rPr>
          <w:rFonts w:cstheme="minorHAnsi"/>
        </w:rPr>
        <w:t xml:space="preserve"> </w:t>
      </w:r>
      <w:r w:rsidR="00461F35">
        <w:rPr>
          <w:rFonts w:cstheme="minorHAnsi"/>
        </w:rPr>
        <w:t>opioid-related adverse events</w:t>
      </w:r>
      <w:r w:rsidR="00A53380">
        <w:rPr>
          <w:rFonts w:cstheme="minorHAnsi"/>
        </w:rPr>
        <w:t xml:space="preserve"> in the hospital</w:t>
      </w:r>
      <w:r w:rsidR="00461F35">
        <w:rPr>
          <w:rFonts w:cstheme="minorHAnsi"/>
        </w:rPr>
        <w:t>.</w:t>
      </w:r>
    </w:p>
    <w:p w14:paraId="047EAFC7" w14:textId="58288B11" w:rsidR="00951476" w:rsidRPr="00951476" w:rsidRDefault="00951476" w:rsidP="00951476">
      <w:pPr>
        <w:spacing w:before="200"/>
        <w:ind w:left="0" w:firstLine="0"/>
        <w:rPr>
          <w:rFonts w:cstheme="minorHAnsi"/>
          <w:u w:val="single"/>
        </w:rPr>
      </w:pPr>
      <w:r w:rsidRPr="00951476">
        <w:rPr>
          <w:rFonts w:cstheme="minorHAnsi"/>
          <w:u w:val="single"/>
        </w:rPr>
        <w:t>References:</w:t>
      </w:r>
    </w:p>
    <w:p w14:paraId="5329C2D5" w14:textId="49AEF86C" w:rsidR="0055203F" w:rsidRDefault="0055203F" w:rsidP="0055203F">
      <w:pPr>
        <w:pStyle w:val="EndNoteBibliography"/>
        <w:numPr>
          <w:ilvl w:val="0"/>
          <w:numId w:val="21"/>
        </w:numPr>
      </w:pPr>
      <w:r>
        <w:t xml:space="preserve">The Joint Commission. Joint Commission enhances pain assessment and management requirements for accredited hospitals. 2017;37 (7) 1-4. </w:t>
      </w:r>
    </w:p>
    <w:p w14:paraId="7E914DE4" w14:textId="59ADE40F" w:rsidR="0055203F" w:rsidRDefault="0055203F" w:rsidP="004B0EE3">
      <w:pPr>
        <w:pStyle w:val="EndNoteBibliography"/>
        <w:numPr>
          <w:ilvl w:val="0"/>
          <w:numId w:val="0"/>
        </w:numPr>
        <w:ind w:left="720"/>
      </w:pPr>
      <w:r w:rsidRPr="0055203F">
        <w:t>https://www.jointcommission.org/-/media/tjc/documents/standards/jc-requirements/2018-requirements/joint_commission_enhances_pain_assessment_and_management_requirements_for_accredited_hospitals1.pdf?db=web&amp;hash=1DFAA78F3C6EDD8AA2A1A152D18D4409</w:t>
      </w:r>
    </w:p>
    <w:p w14:paraId="4DCF6479" w14:textId="042445AA" w:rsidR="00ED6894" w:rsidRDefault="00ED6894" w:rsidP="00ED6894">
      <w:pPr>
        <w:pStyle w:val="EndNoteBibliography"/>
        <w:numPr>
          <w:ilvl w:val="0"/>
          <w:numId w:val="21"/>
        </w:numPr>
      </w:pPr>
      <w:r>
        <w:t xml:space="preserve">Institute for Healthcare Improvement. (2012). How to guide: Prevent harm from high alert medications. Cambridge, MA. </w:t>
      </w:r>
      <w:hyperlink r:id="rId15" w:history="1">
        <w:r w:rsidRPr="00B02F3D">
          <w:rPr>
            <w:rStyle w:val="Hyperlink"/>
          </w:rPr>
          <w:t>http://www.ihi.org/resources/Pages/Tools/HowtoGuidePreventHarmfromHighAlertMedications.aspx</w:t>
        </w:r>
      </w:hyperlink>
      <w:r>
        <w:t xml:space="preserve"> </w:t>
      </w:r>
    </w:p>
    <w:p w14:paraId="61575576" w14:textId="21E7494A" w:rsidR="00ED6894" w:rsidRDefault="00ED6894" w:rsidP="00ED6894">
      <w:pPr>
        <w:pStyle w:val="EndNoteBibliography"/>
        <w:numPr>
          <w:ilvl w:val="0"/>
          <w:numId w:val="21"/>
        </w:numPr>
      </w:pPr>
      <w:r>
        <w:t>Centers for Medicare and Medicaid Services. (2014). Requirements for hospital medication administration, particularly intravenous (IV) medications and postoperative care of patients receiving IV opioids. Baltimore, MD.</w:t>
      </w:r>
      <w:r w:rsidRPr="00951476">
        <w:t xml:space="preserve"> </w:t>
      </w:r>
      <w:hyperlink r:id="rId16" w:history="1">
        <w:r w:rsidR="00291B7D" w:rsidRPr="00B02F3D">
          <w:rPr>
            <w:rStyle w:val="Hyperlink"/>
          </w:rPr>
          <w:t>https://www.cms.gov/Medicare/Provider-Enrollment-and-Certification/SurveyCertificationGenInfo/Downloads/Survey-and-Cert-Letter-14-15.pdf</w:t>
        </w:r>
      </w:hyperlink>
    </w:p>
    <w:p w14:paraId="7577A094" w14:textId="5250BFF7" w:rsidR="00291B7D" w:rsidRDefault="00291B7D" w:rsidP="00ED6894">
      <w:pPr>
        <w:pStyle w:val="EndNoteBibliography"/>
        <w:numPr>
          <w:ilvl w:val="0"/>
          <w:numId w:val="21"/>
        </w:numPr>
      </w:pPr>
      <w:r w:rsidRPr="00291B7D">
        <w:t>Jungquist CR, Quinlan-Colwell A, Vallerand A, et al. American Society for Pain Management Nursing Guidelines on Monitoring for Opioid-Induced Advancing Sedation and Respiratory Depression: Revisions. Pain Manag Nurs. 2020 Feb;21(1):7-25. Epub 2019 Jul 31.</w:t>
      </w:r>
    </w:p>
    <w:p w14:paraId="7EE13BEC" w14:textId="65E3CDFE" w:rsidR="00291B7D" w:rsidRDefault="00291B7D" w:rsidP="00ED6894">
      <w:pPr>
        <w:pStyle w:val="EndNoteBibliography"/>
        <w:numPr>
          <w:ilvl w:val="0"/>
          <w:numId w:val="21"/>
        </w:numPr>
      </w:pPr>
      <w:r w:rsidRPr="00291B7D">
        <w:t xml:space="preserve">Practice Guidelines for the Prevention, Detection, and Management of Respiratory Depression Associated with Neuraxial Opioid Administration: An Updated Report by the American Society of </w:t>
      </w:r>
      <w:r w:rsidRPr="00291B7D">
        <w:lastRenderedPageBreak/>
        <w:t>Anesthesiologists Task Force on Neuraxial Opioids and the American Society of Regional Anesthesia and Pain Medicine. Anesthesiology. 2016 Mar;124(3):535-52</w:t>
      </w:r>
    </w:p>
    <w:p w14:paraId="7FBEAB3D" w14:textId="163F5D04" w:rsidR="00951476" w:rsidRDefault="00951476" w:rsidP="00ED6894">
      <w:pPr>
        <w:pStyle w:val="EndNoteBibliography"/>
        <w:numPr>
          <w:ilvl w:val="0"/>
          <w:numId w:val="21"/>
        </w:numPr>
      </w:pPr>
      <w:r w:rsidRPr="00951476">
        <w:t>The Joint Commission. Safe use of opioids in hospitals. Sentinel Event Alert. 2012(49):1-5.</w:t>
      </w:r>
    </w:p>
    <w:p w14:paraId="630EF95F" w14:textId="0A638A3D" w:rsidR="00951476" w:rsidRDefault="00951476" w:rsidP="00951476">
      <w:pPr>
        <w:pStyle w:val="EndNoteBibliography"/>
      </w:pPr>
      <w:r w:rsidRPr="00E05FB5">
        <w:rPr>
          <w:lang w:val="es-US"/>
        </w:rPr>
        <w:t xml:space="preserve">Lee LA, Caplan RA, Stephens LS, et al. </w:t>
      </w:r>
      <w:r w:rsidRPr="00951476">
        <w:t xml:space="preserve">Postoperative opioid-induced respiratory depression: a closed claims analysis. </w:t>
      </w:r>
      <w:r w:rsidRPr="00A86E0C">
        <w:rPr>
          <w:i/>
        </w:rPr>
        <w:t>Anesthesiology</w:t>
      </w:r>
      <w:r w:rsidRPr="00951476">
        <w:t>. 2015;122(3):659-665</w:t>
      </w:r>
      <w:r w:rsidR="00236E9D">
        <w:t>.</w:t>
      </w:r>
    </w:p>
    <w:p w14:paraId="27BB07A6" w14:textId="2122ED97" w:rsidR="00236E9D" w:rsidRDefault="00236E9D" w:rsidP="00236E9D">
      <w:pPr>
        <w:pStyle w:val="EndNoteBibliography"/>
      </w:pPr>
      <w:r w:rsidRPr="00236E9D">
        <w:t xml:space="preserve">Willens JS, Jungquist CR, Cohen A, Polomano R. ASPMN survey--nurses' practice patterns related to monitoring and preventing respiratory depression. </w:t>
      </w:r>
      <w:r w:rsidRPr="00A86E0C">
        <w:rPr>
          <w:i/>
        </w:rPr>
        <w:t>Pain Manag</w:t>
      </w:r>
      <w:r w:rsidR="00A86E0C">
        <w:rPr>
          <w:i/>
        </w:rPr>
        <w:t>ement</w:t>
      </w:r>
      <w:r w:rsidRPr="00A86E0C">
        <w:rPr>
          <w:i/>
        </w:rPr>
        <w:t xml:space="preserve"> Nurs</w:t>
      </w:r>
      <w:r w:rsidR="00A86E0C">
        <w:rPr>
          <w:i/>
        </w:rPr>
        <w:t>ing</w:t>
      </w:r>
      <w:r w:rsidRPr="00A86E0C">
        <w:rPr>
          <w:i/>
        </w:rPr>
        <w:t>.</w:t>
      </w:r>
      <w:r w:rsidRPr="00236E9D">
        <w:t xml:space="preserve"> 2013;14(1):60-65.</w:t>
      </w:r>
    </w:p>
    <w:p w14:paraId="7F404AEE" w14:textId="646F09D2" w:rsidR="003C53FD" w:rsidRDefault="003C53FD" w:rsidP="003C53FD">
      <w:pPr>
        <w:pStyle w:val="EndNoteBibliography"/>
      </w:pPr>
      <w:r w:rsidRPr="003C53FD">
        <w:t>Meisenberg B, Ness J, Rao S, Rhule J, Ley C. Implementation of solutions to reduce opioid-induced oversedation and respiratory depression. Am J Health Syst Pharm. 2017;74:162-169.</w:t>
      </w:r>
    </w:p>
    <w:p w14:paraId="13D3B902" w14:textId="59895C7C" w:rsidR="00461F35" w:rsidRPr="00AB0423" w:rsidRDefault="007F6FDA" w:rsidP="00951476">
      <w:pPr>
        <w:pStyle w:val="EndNoteBibliography"/>
      </w:pPr>
      <w:r w:rsidRPr="0078483D">
        <w:rPr>
          <w:lang w:val="es-US"/>
        </w:rPr>
        <w:t xml:space="preserve">Jungquist CR, Correll DJ, Fleisher LA, et al. </w:t>
      </w:r>
      <w:r w:rsidRPr="00461F35">
        <w:t xml:space="preserve">Avoiding Adverse Events Secondary to Opioid-Induced Respiratory Depression: Implications for Nurse Executives and Patient Safety. </w:t>
      </w:r>
      <w:r w:rsidRPr="00461F35">
        <w:rPr>
          <w:i/>
        </w:rPr>
        <w:t xml:space="preserve">Journal of Nursing Administration. </w:t>
      </w:r>
      <w:r w:rsidRPr="00461F35">
        <w:t>2016;46(2):87-94</w:t>
      </w:r>
      <w:r w:rsidR="00A86E0C">
        <w:t>.</w:t>
      </w:r>
    </w:p>
    <w:p w14:paraId="77F386E0" w14:textId="77777777" w:rsidR="0068110B" w:rsidRDefault="0068110B" w:rsidP="002E2177">
      <w:pPr>
        <w:ind w:left="0" w:firstLine="0"/>
        <w:rPr>
          <w:i/>
          <w:iCs/>
          <w:highlight w:val="green"/>
          <w:u w:val="single"/>
        </w:rPr>
      </w:pPr>
    </w:p>
    <w:p w14:paraId="55B8DA66" w14:textId="725FE95F" w:rsidR="00C41794" w:rsidRPr="00E05FB5" w:rsidRDefault="002B06BD" w:rsidP="00C41794">
      <w:pPr>
        <w:ind w:left="0" w:firstLine="0"/>
        <w:rPr>
          <w:b/>
          <w:iCs/>
          <w:color w:val="808080" w:themeColor="background1" w:themeShade="80"/>
        </w:rPr>
      </w:pPr>
      <w:bookmarkStart w:id="5" w:name="Section1a3"/>
      <w:bookmarkEnd w:id="5"/>
      <w:r w:rsidRPr="00E05FB5">
        <w:rPr>
          <w:b/>
          <w:iCs/>
          <w:color w:val="808080" w:themeColor="background1" w:themeShade="80"/>
        </w:rPr>
        <w:t>1a.3.</w:t>
      </w:r>
      <w:r w:rsidRPr="00E05FB5">
        <w:rPr>
          <w:i/>
          <w:iCs/>
          <w:color w:val="808080" w:themeColor="background1" w:themeShade="80"/>
        </w:rPr>
        <w:t xml:space="preserve"> </w:t>
      </w:r>
      <w:r w:rsidR="00C41794" w:rsidRPr="00E05FB5">
        <w:rPr>
          <w:b/>
          <w:iCs/>
          <w:color w:val="808080" w:themeColor="background1" w:themeShade="80"/>
        </w:rPr>
        <w:t>SYSTEMATIC REVIEW</w:t>
      </w:r>
      <w:r w:rsidR="00AB4ECE" w:rsidRPr="00E05FB5">
        <w:rPr>
          <w:b/>
          <w:iCs/>
          <w:color w:val="808080" w:themeColor="background1" w:themeShade="80"/>
        </w:rPr>
        <w:t>(SR)</w:t>
      </w:r>
      <w:r w:rsidR="00C41794" w:rsidRPr="00E05FB5">
        <w:rPr>
          <w:b/>
          <w:iCs/>
          <w:color w:val="808080" w:themeColor="background1" w:themeShade="80"/>
        </w:rPr>
        <w:t xml:space="preserve"> OF THE EVIDENCE (for</w:t>
      </w:r>
      <w:r w:rsidR="00C41794" w:rsidRPr="00E05FB5">
        <w:rPr>
          <w:b/>
          <w:iCs/>
          <w:caps/>
          <w:color w:val="808080" w:themeColor="background1" w:themeShade="80"/>
        </w:rPr>
        <w:t xml:space="preserve">  intermediate outcome, PROCESS, or STRUCTURE PERFORMANCE measures</w:t>
      </w:r>
      <w:r w:rsidR="003D6721" w:rsidRPr="00E05FB5">
        <w:rPr>
          <w:b/>
          <w:iCs/>
          <w:caps/>
          <w:color w:val="808080" w:themeColor="background1" w:themeShade="80"/>
        </w:rPr>
        <w:t>, including those that are instrument-based</w:t>
      </w:r>
      <w:r w:rsidR="00C41794" w:rsidRPr="00E05FB5">
        <w:rPr>
          <w:b/>
          <w:iCs/>
          <w:caps/>
          <w:color w:val="808080" w:themeColor="background1" w:themeShade="80"/>
        </w:rPr>
        <w:t>)</w:t>
      </w:r>
      <w:r w:rsidR="00C41794" w:rsidRPr="00E05FB5">
        <w:rPr>
          <w:b/>
          <w:iCs/>
          <w:color w:val="808080" w:themeColor="background1" w:themeShade="80"/>
        </w:rPr>
        <w:t xml:space="preserve"> If the evidence is not based on a system</w:t>
      </w:r>
      <w:r w:rsidR="00AB4ECE" w:rsidRPr="00E05FB5">
        <w:rPr>
          <w:b/>
          <w:iCs/>
          <w:color w:val="808080" w:themeColor="background1" w:themeShade="80"/>
        </w:rPr>
        <w:t>a</w:t>
      </w:r>
      <w:r w:rsidR="00C41794" w:rsidRPr="00E05FB5">
        <w:rPr>
          <w:b/>
          <w:iCs/>
          <w:color w:val="808080" w:themeColor="background1" w:themeShade="80"/>
        </w:rPr>
        <w:t>tic review go to section 1a.4)</w:t>
      </w:r>
      <w:r w:rsidR="00AB4ECE" w:rsidRPr="00E05FB5">
        <w:rPr>
          <w:b/>
          <w:iCs/>
          <w:color w:val="808080" w:themeColor="background1" w:themeShade="80"/>
        </w:rPr>
        <w:t xml:space="preserve"> If you wish to include more than one systematic review, add </w:t>
      </w:r>
      <w:r w:rsidR="000F4A7F" w:rsidRPr="00E05FB5">
        <w:rPr>
          <w:b/>
          <w:iCs/>
          <w:color w:val="808080" w:themeColor="background1" w:themeShade="80"/>
        </w:rPr>
        <w:t>additional tables.</w:t>
      </w:r>
      <w:r w:rsidR="00AB4ECE" w:rsidRPr="00E05FB5">
        <w:rPr>
          <w:b/>
          <w:iCs/>
          <w:color w:val="808080" w:themeColor="background1" w:themeShade="80"/>
        </w:rPr>
        <w:t xml:space="preserve"> </w:t>
      </w:r>
    </w:p>
    <w:p w14:paraId="55B8DA67" w14:textId="77777777" w:rsidR="00496AF8" w:rsidRPr="00E05FB5" w:rsidRDefault="00496AF8" w:rsidP="002E2177">
      <w:pPr>
        <w:ind w:left="0" w:firstLine="0"/>
        <w:rPr>
          <w:i/>
          <w:iCs/>
          <w:color w:val="808080" w:themeColor="background1" w:themeShade="80"/>
        </w:rPr>
      </w:pPr>
    </w:p>
    <w:p w14:paraId="55B8DA68" w14:textId="77777777" w:rsidR="00A9011D" w:rsidRPr="00E05FB5" w:rsidRDefault="00A9011D" w:rsidP="00A9011D">
      <w:pPr>
        <w:ind w:left="0" w:firstLine="0"/>
        <w:rPr>
          <w:rFonts w:ascii="Calibri" w:eastAsia="Calibri" w:hAnsi="Calibri" w:cs="Times New Roman"/>
          <w:b/>
          <w:color w:val="808080" w:themeColor="background1" w:themeShade="80"/>
        </w:rPr>
      </w:pPr>
      <w:r w:rsidRPr="00E05FB5">
        <w:rPr>
          <w:rFonts w:ascii="Calibri" w:eastAsia="Calibri" w:hAnsi="Calibri" w:cs="Times New Roman"/>
          <w:b/>
          <w:color w:val="808080" w:themeColor="background1" w:themeShade="80"/>
        </w:rPr>
        <w:t xml:space="preserve">What is the source of the </w:t>
      </w:r>
      <w:r w:rsidRPr="00E05FB5">
        <w:rPr>
          <w:rFonts w:ascii="Calibri" w:eastAsia="Calibri" w:hAnsi="Calibri" w:cs="Times New Roman"/>
          <w:b/>
          <w:color w:val="808080" w:themeColor="background1" w:themeShade="80"/>
          <w:u w:val="single"/>
        </w:rPr>
        <w:t>systematic review of the body of evidence</w:t>
      </w:r>
      <w:r w:rsidRPr="00E05FB5">
        <w:rPr>
          <w:rFonts w:ascii="Calibri" w:eastAsia="Calibri" w:hAnsi="Calibri" w:cs="Times New Roman"/>
          <w:b/>
          <w:color w:val="808080" w:themeColor="background1" w:themeShade="80"/>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E05FB5" w:rsidRDefault="00EC1225" w:rsidP="00A9011D">
      <w:pPr>
        <w:ind w:left="0" w:firstLine="0"/>
        <w:rPr>
          <w:rFonts w:ascii="Calibri" w:eastAsia="Calibri" w:hAnsi="Calibri" w:cs="Times New Roman"/>
          <w:color w:val="808080" w:themeColor="background1" w:themeShade="80"/>
        </w:rPr>
      </w:pPr>
      <w:r w:rsidRPr="00E05FB5">
        <w:rPr>
          <w:rFonts w:ascii="Times New Roman" w:eastAsia="Arial Unicode MS" w:hAnsi="Times New Roman" w:cs="Mangal" w:hint="eastAsia"/>
          <w:color w:val="808080" w:themeColor="background1" w:themeShade="80"/>
          <w:kern w:val="1"/>
          <w:sz w:val="24"/>
          <w:szCs w:val="24"/>
          <w:lang w:eastAsia="hi-IN" w:bidi="hi-IN"/>
        </w:rPr>
        <w:t>☐</w:t>
      </w:r>
      <w:r w:rsidRPr="00E05FB5">
        <w:rPr>
          <w:rFonts w:ascii="Times New Roman" w:eastAsia="Arial Unicode MS" w:hAnsi="Times New Roman" w:cs="Mangal"/>
          <w:color w:val="808080" w:themeColor="background1" w:themeShade="80"/>
          <w:kern w:val="1"/>
          <w:sz w:val="24"/>
          <w:szCs w:val="24"/>
          <w:lang w:eastAsia="hi-IN" w:bidi="hi-IN"/>
        </w:rPr>
        <w:t xml:space="preserve"> </w:t>
      </w:r>
      <w:r w:rsidR="00A9011D" w:rsidRPr="00E05FB5">
        <w:rPr>
          <w:rFonts w:ascii="Calibri" w:eastAsia="Calibri" w:hAnsi="Calibri" w:cs="Times New Roman"/>
          <w:color w:val="808080" w:themeColor="background1" w:themeShade="80"/>
        </w:rPr>
        <w:t xml:space="preserve">Clinical Practice Guideline recommendation </w:t>
      </w:r>
      <w:r w:rsidRPr="00E05FB5">
        <w:rPr>
          <w:rFonts w:ascii="Calibri" w:eastAsia="Calibri" w:hAnsi="Calibri" w:cs="Times New Roman"/>
          <w:color w:val="808080" w:themeColor="background1" w:themeShade="80"/>
        </w:rPr>
        <w:t xml:space="preserve"> (with evidence review)</w:t>
      </w:r>
    </w:p>
    <w:p w14:paraId="55B8DA6A" w14:textId="77777777" w:rsidR="00A9011D" w:rsidRPr="00E05FB5" w:rsidRDefault="00A9011D" w:rsidP="00A9011D">
      <w:pPr>
        <w:ind w:left="0" w:firstLine="0"/>
        <w:rPr>
          <w:rFonts w:ascii="Calibri" w:eastAsia="Calibri" w:hAnsi="Calibri" w:cs="Times New Roman"/>
          <w:b/>
          <w:i/>
          <w:color w:val="808080" w:themeColor="background1" w:themeShade="80"/>
        </w:rPr>
      </w:pPr>
      <w:r w:rsidRPr="00E05FB5">
        <w:rPr>
          <w:rFonts w:ascii="Times New Roman" w:eastAsia="Arial Unicode MS" w:hAnsi="Times New Roman" w:cs="Mangal" w:hint="eastAsia"/>
          <w:color w:val="808080" w:themeColor="background1" w:themeShade="80"/>
          <w:kern w:val="1"/>
          <w:sz w:val="24"/>
          <w:szCs w:val="24"/>
          <w:lang w:eastAsia="hi-IN" w:bidi="hi-IN"/>
        </w:rPr>
        <w:t>☐</w:t>
      </w:r>
      <w:r w:rsidRPr="00E05FB5">
        <w:rPr>
          <w:rFonts w:ascii="Calibri" w:eastAsia="Calibri" w:hAnsi="Calibri" w:cs="Times New Roman"/>
          <w:color w:val="808080" w:themeColor="background1" w:themeShade="80"/>
        </w:rPr>
        <w:t xml:space="preserve"> US Preventive Services Task Force Recommendation</w:t>
      </w:r>
    </w:p>
    <w:p w14:paraId="55B8DA6B" w14:textId="77777777" w:rsidR="00A9011D" w:rsidRPr="00E05FB5" w:rsidRDefault="00A9011D" w:rsidP="00A9011D">
      <w:pPr>
        <w:ind w:left="0" w:firstLine="0"/>
        <w:rPr>
          <w:rFonts w:ascii="Calibri" w:eastAsia="Calibri" w:hAnsi="Calibri" w:cs="Times New Roman"/>
          <w:color w:val="808080" w:themeColor="background1" w:themeShade="80"/>
        </w:rPr>
      </w:pPr>
      <w:r w:rsidRPr="00E05FB5">
        <w:rPr>
          <w:rFonts w:ascii="Times New Roman" w:eastAsia="Arial Unicode MS" w:hAnsi="Times New Roman" w:cs="Mangal" w:hint="eastAsia"/>
          <w:color w:val="808080" w:themeColor="background1" w:themeShade="80"/>
          <w:kern w:val="1"/>
          <w:sz w:val="24"/>
          <w:szCs w:val="24"/>
          <w:lang w:eastAsia="hi-IN" w:bidi="hi-IN"/>
        </w:rPr>
        <w:t>☐</w:t>
      </w:r>
      <w:r w:rsidRPr="00E05FB5">
        <w:rPr>
          <w:rFonts w:ascii="Calibri" w:eastAsia="Calibri" w:hAnsi="Calibri" w:cs="Times New Roman"/>
          <w:color w:val="808080" w:themeColor="background1" w:themeShade="80"/>
        </w:rPr>
        <w:t xml:space="preserve"> Other systematic review and grading of the body of evidence (</w:t>
      </w:r>
      <w:r w:rsidRPr="00E05FB5">
        <w:rPr>
          <w:rFonts w:ascii="Calibri" w:eastAsia="Calibri" w:hAnsi="Calibri" w:cs="Times New Roman"/>
          <w:i/>
          <w:color w:val="808080" w:themeColor="background1" w:themeShade="80"/>
        </w:rPr>
        <w:t>e.g., Cochrane Collaboration, AHRQ Evidence Practice Center</w:t>
      </w:r>
      <w:r w:rsidRPr="00E05FB5">
        <w:rPr>
          <w:rFonts w:ascii="Calibri" w:eastAsia="Calibri" w:hAnsi="Calibri" w:cs="Times New Roman"/>
          <w:color w:val="808080" w:themeColor="background1" w:themeShade="80"/>
        </w:rPr>
        <w:t xml:space="preserve">) </w:t>
      </w:r>
    </w:p>
    <w:p w14:paraId="55B8DA6E" w14:textId="5DA50032" w:rsidR="004E7215" w:rsidRPr="00512C8B" w:rsidRDefault="00A9011D" w:rsidP="002E2177">
      <w:pPr>
        <w:ind w:left="0" w:firstLine="0"/>
        <w:rPr>
          <w:rFonts w:ascii="Calibri" w:eastAsia="Calibri" w:hAnsi="Calibri" w:cs="Times New Roman"/>
          <w:color w:val="808080" w:themeColor="background1" w:themeShade="80"/>
        </w:rPr>
      </w:pPr>
      <w:r w:rsidRPr="00E05FB5">
        <w:rPr>
          <w:rFonts w:ascii="Times New Roman" w:eastAsia="Arial Unicode MS" w:hAnsi="Times New Roman" w:cs="Mangal" w:hint="eastAsia"/>
          <w:color w:val="808080" w:themeColor="background1" w:themeShade="80"/>
          <w:kern w:val="1"/>
          <w:sz w:val="24"/>
          <w:szCs w:val="24"/>
          <w:lang w:eastAsia="hi-IN" w:bidi="hi-IN"/>
        </w:rPr>
        <w:t>☐</w:t>
      </w:r>
      <w:r w:rsidRPr="00E05FB5">
        <w:rPr>
          <w:rFonts w:ascii="Calibri" w:eastAsia="Calibri" w:hAnsi="Calibri" w:cs="Times New Roman"/>
          <w:color w:val="808080" w:themeColor="background1" w:themeShade="80"/>
        </w:rPr>
        <w:t xml:space="preserve"> Other </w:t>
      </w:r>
    </w:p>
    <w:tbl>
      <w:tblPr>
        <w:tblStyle w:val="TableGrid"/>
        <w:tblW w:w="0" w:type="auto"/>
        <w:tblLook w:val="04A0" w:firstRow="1" w:lastRow="0" w:firstColumn="1" w:lastColumn="0" w:noHBand="0" w:noVBand="1"/>
      </w:tblPr>
      <w:tblGrid>
        <w:gridCol w:w="4068"/>
        <w:gridCol w:w="5130"/>
      </w:tblGrid>
      <w:tr w:rsidR="00E05FB5" w:rsidRPr="00E05FB5" w14:paraId="55B8DA76" w14:textId="77777777" w:rsidTr="00F90F82">
        <w:tc>
          <w:tcPr>
            <w:tcW w:w="4068" w:type="dxa"/>
          </w:tcPr>
          <w:p w14:paraId="55B8DA6F" w14:textId="77777777" w:rsidR="00AB4ECE" w:rsidRPr="00E05FB5" w:rsidRDefault="00AB4ECE" w:rsidP="002E2177">
            <w:pPr>
              <w:ind w:left="0" w:firstLine="0"/>
              <w:rPr>
                <w:b/>
                <w:color w:val="808080" w:themeColor="background1" w:themeShade="80"/>
              </w:rPr>
            </w:pPr>
            <w:r w:rsidRPr="00E05FB5">
              <w:rPr>
                <w:b/>
                <w:color w:val="808080" w:themeColor="background1" w:themeShade="80"/>
              </w:rPr>
              <w:t>Source of Systematic Review:</w:t>
            </w:r>
          </w:p>
          <w:p w14:paraId="55B8DA70" w14:textId="77777777" w:rsidR="00AB4ECE" w:rsidRPr="00E05FB5" w:rsidRDefault="00AB4ECE" w:rsidP="00AB4ECE">
            <w:pPr>
              <w:pStyle w:val="ListParagraph"/>
              <w:numPr>
                <w:ilvl w:val="0"/>
                <w:numId w:val="9"/>
              </w:numPr>
              <w:rPr>
                <w:b/>
                <w:color w:val="808080" w:themeColor="background1" w:themeShade="80"/>
              </w:rPr>
            </w:pPr>
            <w:r w:rsidRPr="00E05FB5">
              <w:rPr>
                <w:b/>
                <w:color w:val="808080" w:themeColor="background1" w:themeShade="80"/>
              </w:rPr>
              <w:t>Title</w:t>
            </w:r>
          </w:p>
          <w:p w14:paraId="55B8DA71" w14:textId="77777777" w:rsidR="00AB4ECE" w:rsidRPr="00E05FB5" w:rsidRDefault="00AB4ECE" w:rsidP="00AB4ECE">
            <w:pPr>
              <w:pStyle w:val="ListParagraph"/>
              <w:numPr>
                <w:ilvl w:val="0"/>
                <w:numId w:val="9"/>
              </w:numPr>
              <w:rPr>
                <w:b/>
                <w:color w:val="808080" w:themeColor="background1" w:themeShade="80"/>
              </w:rPr>
            </w:pPr>
            <w:r w:rsidRPr="00E05FB5">
              <w:rPr>
                <w:b/>
                <w:color w:val="808080" w:themeColor="background1" w:themeShade="80"/>
              </w:rPr>
              <w:t>Author</w:t>
            </w:r>
          </w:p>
          <w:p w14:paraId="55B8DA72" w14:textId="77777777" w:rsidR="00AB4ECE" w:rsidRPr="00E05FB5" w:rsidRDefault="00AB4ECE" w:rsidP="00AB4ECE">
            <w:pPr>
              <w:pStyle w:val="ListParagraph"/>
              <w:numPr>
                <w:ilvl w:val="0"/>
                <w:numId w:val="9"/>
              </w:numPr>
              <w:rPr>
                <w:b/>
                <w:color w:val="808080" w:themeColor="background1" w:themeShade="80"/>
              </w:rPr>
            </w:pPr>
            <w:r w:rsidRPr="00E05FB5">
              <w:rPr>
                <w:b/>
                <w:color w:val="808080" w:themeColor="background1" w:themeShade="80"/>
              </w:rPr>
              <w:t>Date</w:t>
            </w:r>
          </w:p>
          <w:p w14:paraId="55B8DA73" w14:textId="77777777" w:rsidR="00AB4ECE" w:rsidRPr="00E05FB5" w:rsidRDefault="00AB4ECE" w:rsidP="00AB4ECE">
            <w:pPr>
              <w:pStyle w:val="ListParagraph"/>
              <w:numPr>
                <w:ilvl w:val="0"/>
                <w:numId w:val="9"/>
              </w:numPr>
              <w:rPr>
                <w:b/>
                <w:color w:val="808080" w:themeColor="background1" w:themeShade="80"/>
              </w:rPr>
            </w:pPr>
            <w:r w:rsidRPr="00E05FB5">
              <w:rPr>
                <w:b/>
                <w:color w:val="808080" w:themeColor="background1" w:themeShade="80"/>
              </w:rPr>
              <w:t>Citation, including page number</w:t>
            </w:r>
          </w:p>
          <w:p w14:paraId="55B8DA74" w14:textId="77777777" w:rsidR="00AB4ECE" w:rsidRPr="00E05FB5" w:rsidRDefault="00AB4ECE" w:rsidP="00AB4ECE">
            <w:pPr>
              <w:pStyle w:val="ListParagraph"/>
              <w:numPr>
                <w:ilvl w:val="0"/>
                <w:numId w:val="9"/>
              </w:numPr>
              <w:rPr>
                <w:b/>
                <w:color w:val="808080" w:themeColor="background1" w:themeShade="80"/>
              </w:rPr>
            </w:pPr>
            <w:r w:rsidRPr="00E05FB5">
              <w:rPr>
                <w:b/>
                <w:color w:val="808080" w:themeColor="background1" w:themeShade="80"/>
              </w:rPr>
              <w:t>URL</w:t>
            </w:r>
          </w:p>
        </w:tc>
        <w:tc>
          <w:tcPr>
            <w:tcW w:w="5130" w:type="dxa"/>
          </w:tcPr>
          <w:p w14:paraId="55B8DA75" w14:textId="77777777" w:rsidR="00AB4ECE" w:rsidRPr="00E05FB5" w:rsidRDefault="00AB4ECE" w:rsidP="002E2177">
            <w:pPr>
              <w:ind w:left="0" w:firstLine="0"/>
              <w:rPr>
                <w:b/>
                <w:color w:val="808080" w:themeColor="background1" w:themeShade="80"/>
              </w:rPr>
            </w:pPr>
          </w:p>
        </w:tc>
      </w:tr>
      <w:tr w:rsidR="00E05FB5" w:rsidRPr="00E05FB5" w14:paraId="55B8DA79" w14:textId="77777777" w:rsidTr="00F90F82">
        <w:tc>
          <w:tcPr>
            <w:tcW w:w="4068" w:type="dxa"/>
          </w:tcPr>
          <w:p w14:paraId="55B8DA77" w14:textId="77777777" w:rsidR="00AB4ECE" w:rsidRPr="00E05FB5" w:rsidRDefault="00AB4ECE" w:rsidP="002E2177">
            <w:pPr>
              <w:ind w:left="0" w:firstLine="0"/>
              <w:rPr>
                <w:color w:val="808080" w:themeColor="background1" w:themeShade="80"/>
              </w:rPr>
            </w:pPr>
            <w:r w:rsidRPr="00E05FB5">
              <w:rPr>
                <w:color w:val="808080" w:themeColor="background1" w:themeShade="80"/>
              </w:rPr>
              <w:t>Quote the guideline or recommendation verbatim about the process, structure or intermediate outcome being measured.</w:t>
            </w:r>
            <w:r w:rsidR="000E5C93" w:rsidRPr="00E05FB5">
              <w:rPr>
                <w:color w:val="808080" w:themeColor="background1" w:themeShade="80"/>
              </w:rPr>
              <w:t xml:space="preserve"> If not a guideline, summarize the conclusions from the SR.</w:t>
            </w:r>
          </w:p>
        </w:tc>
        <w:tc>
          <w:tcPr>
            <w:tcW w:w="5130" w:type="dxa"/>
          </w:tcPr>
          <w:p w14:paraId="55B8DA78" w14:textId="77777777" w:rsidR="00AB4ECE" w:rsidRPr="00E05FB5" w:rsidRDefault="00AB4ECE" w:rsidP="002E2177">
            <w:pPr>
              <w:ind w:left="0" w:firstLine="0"/>
              <w:rPr>
                <w:color w:val="808080" w:themeColor="background1" w:themeShade="80"/>
              </w:rPr>
            </w:pPr>
          </w:p>
        </w:tc>
      </w:tr>
      <w:tr w:rsidR="00E05FB5" w:rsidRPr="00E05FB5" w14:paraId="55B8DA7C" w14:textId="77777777" w:rsidTr="00F90F82">
        <w:tc>
          <w:tcPr>
            <w:tcW w:w="4068" w:type="dxa"/>
          </w:tcPr>
          <w:p w14:paraId="55B8DA7A" w14:textId="77777777" w:rsidR="00AB4ECE" w:rsidRPr="00E05FB5" w:rsidRDefault="00AB4ECE" w:rsidP="00E42FAA">
            <w:pPr>
              <w:ind w:left="0" w:firstLine="0"/>
              <w:rPr>
                <w:color w:val="808080" w:themeColor="background1" w:themeShade="80"/>
              </w:rPr>
            </w:pPr>
            <w:r w:rsidRPr="00E05FB5">
              <w:rPr>
                <w:color w:val="808080" w:themeColor="background1" w:themeShade="80"/>
              </w:rPr>
              <w:t xml:space="preserve">Grade assigned to the </w:t>
            </w:r>
            <w:r w:rsidRPr="00E05FB5">
              <w:rPr>
                <w:b/>
                <w:color w:val="808080" w:themeColor="background1" w:themeShade="80"/>
              </w:rPr>
              <w:t>evidence</w:t>
            </w:r>
            <w:r w:rsidRPr="00E05FB5">
              <w:rPr>
                <w:color w:val="808080" w:themeColor="background1" w:themeShade="80"/>
              </w:rPr>
              <w:t xml:space="preserve"> associated with the recommendation with the definition of the grade</w:t>
            </w:r>
          </w:p>
        </w:tc>
        <w:tc>
          <w:tcPr>
            <w:tcW w:w="5130" w:type="dxa"/>
          </w:tcPr>
          <w:p w14:paraId="55B8DA7B" w14:textId="77777777" w:rsidR="00AB4ECE" w:rsidRPr="00E05FB5" w:rsidRDefault="00AB4ECE" w:rsidP="002E2177">
            <w:pPr>
              <w:ind w:left="0" w:firstLine="0"/>
              <w:rPr>
                <w:color w:val="808080" w:themeColor="background1" w:themeShade="80"/>
              </w:rPr>
            </w:pPr>
          </w:p>
        </w:tc>
      </w:tr>
      <w:tr w:rsidR="00E05FB5" w:rsidRPr="00E05FB5" w14:paraId="55B8DA7F" w14:textId="77777777" w:rsidTr="00F90F82">
        <w:tc>
          <w:tcPr>
            <w:tcW w:w="4068" w:type="dxa"/>
          </w:tcPr>
          <w:p w14:paraId="55B8DA7D" w14:textId="77777777" w:rsidR="00AB4ECE" w:rsidRPr="00E05FB5" w:rsidRDefault="00AB4ECE" w:rsidP="00E42FAA">
            <w:pPr>
              <w:ind w:left="0" w:firstLine="0"/>
              <w:rPr>
                <w:color w:val="808080" w:themeColor="background1" w:themeShade="80"/>
              </w:rPr>
            </w:pPr>
            <w:r w:rsidRPr="00E05FB5">
              <w:rPr>
                <w:color w:val="808080" w:themeColor="background1" w:themeShade="80"/>
              </w:rPr>
              <w:t>Provide all other grades and definitions from the evidence grading system</w:t>
            </w:r>
          </w:p>
        </w:tc>
        <w:tc>
          <w:tcPr>
            <w:tcW w:w="5130" w:type="dxa"/>
          </w:tcPr>
          <w:p w14:paraId="55B8DA7E" w14:textId="77777777" w:rsidR="00AB4ECE" w:rsidRPr="00E05FB5" w:rsidRDefault="00AB4ECE" w:rsidP="002E2177">
            <w:pPr>
              <w:ind w:left="0" w:firstLine="0"/>
              <w:rPr>
                <w:color w:val="808080" w:themeColor="background1" w:themeShade="80"/>
              </w:rPr>
            </w:pPr>
          </w:p>
        </w:tc>
      </w:tr>
      <w:tr w:rsidR="00E05FB5" w:rsidRPr="00E05FB5" w14:paraId="55B8DA82" w14:textId="77777777" w:rsidTr="00F90F82">
        <w:tc>
          <w:tcPr>
            <w:tcW w:w="4068" w:type="dxa"/>
          </w:tcPr>
          <w:p w14:paraId="55B8DA80" w14:textId="77777777" w:rsidR="00AB4ECE" w:rsidRPr="00E05FB5" w:rsidRDefault="00AB4ECE" w:rsidP="00E42FAA">
            <w:pPr>
              <w:ind w:left="0" w:firstLine="0"/>
              <w:rPr>
                <w:color w:val="808080" w:themeColor="background1" w:themeShade="80"/>
              </w:rPr>
            </w:pPr>
            <w:r w:rsidRPr="00E05FB5">
              <w:rPr>
                <w:color w:val="808080" w:themeColor="background1" w:themeShade="80"/>
              </w:rPr>
              <w:lastRenderedPageBreak/>
              <w:t xml:space="preserve">Grade assigned to the </w:t>
            </w:r>
            <w:r w:rsidRPr="00E05FB5">
              <w:rPr>
                <w:b/>
                <w:color w:val="808080" w:themeColor="background1" w:themeShade="80"/>
              </w:rPr>
              <w:t>recommendation</w:t>
            </w:r>
            <w:r w:rsidRPr="00E05FB5">
              <w:rPr>
                <w:color w:val="808080" w:themeColor="background1" w:themeShade="80"/>
              </w:rPr>
              <w:t xml:space="preserve"> with definition of the grade</w:t>
            </w:r>
          </w:p>
        </w:tc>
        <w:tc>
          <w:tcPr>
            <w:tcW w:w="5130" w:type="dxa"/>
          </w:tcPr>
          <w:p w14:paraId="55B8DA81" w14:textId="77777777" w:rsidR="00AB4ECE" w:rsidRPr="00E05FB5" w:rsidRDefault="00AB4ECE" w:rsidP="002E2177">
            <w:pPr>
              <w:ind w:left="0" w:firstLine="0"/>
              <w:rPr>
                <w:color w:val="808080" w:themeColor="background1" w:themeShade="80"/>
              </w:rPr>
            </w:pPr>
          </w:p>
        </w:tc>
      </w:tr>
      <w:tr w:rsidR="00E05FB5" w:rsidRPr="00E05FB5" w14:paraId="55B8DA85" w14:textId="77777777" w:rsidTr="00F90F82">
        <w:tc>
          <w:tcPr>
            <w:tcW w:w="4068" w:type="dxa"/>
          </w:tcPr>
          <w:p w14:paraId="55B8DA83" w14:textId="77777777" w:rsidR="00AB4ECE" w:rsidRPr="00E05FB5" w:rsidRDefault="00AB4ECE" w:rsidP="00E42FAA">
            <w:pPr>
              <w:ind w:left="0" w:firstLine="0"/>
              <w:rPr>
                <w:color w:val="808080" w:themeColor="background1" w:themeShade="80"/>
              </w:rPr>
            </w:pPr>
            <w:r w:rsidRPr="00E05FB5">
              <w:rPr>
                <w:color w:val="808080" w:themeColor="background1" w:themeShade="80"/>
              </w:rPr>
              <w:t>Provide all other grades and definitions from the recommendation grading system</w:t>
            </w:r>
          </w:p>
        </w:tc>
        <w:tc>
          <w:tcPr>
            <w:tcW w:w="5130" w:type="dxa"/>
          </w:tcPr>
          <w:p w14:paraId="55B8DA84" w14:textId="77777777" w:rsidR="00AB4ECE" w:rsidRPr="00E05FB5" w:rsidRDefault="00AB4ECE" w:rsidP="002E2177">
            <w:pPr>
              <w:ind w:left="0" w:firstLine="0"/>
              <w:rPr>
                <w:color w:val="808080" w:themeColor="background1" w:themeShade="80"/>
              </w:rPr>
            </w:pPr>
          </w:p>
        </w:tc>
      </w:tr>
      <w:tr w:rsidR="00E05FB5" w:rsidRPr="00E05FB5" w14:paraId="55B8DA8A" w14:textId="77777777" w:rsidTr="00F90F82">
        <w:tc>
          <w:tcPr>
            <w:tcW w:w="4068" w:type="dxa"/>
          </w:tcPr>
          <w:p w14:paraId="55B8DA86" w14:textId="77777777" w:rsidR="00AB4ECE" w:rsidRPr="00E05FB5" w:rsidRDefault="000E5C93" w:rsidP="002E2177">
            <w:pPr>
              <w:ind w:left="0" w:firstLine="0"/>
              <w:rPr>
                <w:color w:val="808080" w:themeColor="background1" w:themeShade="80"/>
              </w:rPr>
            </w:pPr>
            <w:r w:rsidRPr="00E05FB5">
              <w:rPr>
                <w:color w:val="808080" w:themeColor="background1" w:themeShade="80"/>
              </w:rPr>
              <w:t>Body of evidence:</w:t>
            </w:r>
          </w:p>
          <w:p w14:paraId="55B8DA87" w14:textId="77777777" w:rsidR="000E5C93" w:rsidRPr="00E05FB5" w:rsidRDefault="000E5C93" w:rsidP="000E5C93">
            <w:pPr>
              <w:pStyle w:val="ListParagraph"/>
              <w:numPr>
                <w:ilvl w:val="0"/>
                <w:numId w:val="10"/>
              </w:numPr>
              <w:rPr>
                <w:color w:val="808080" w:themeColor="background1" w:themeShade="80"/>
              </w:rPr>
            </w:pPr>
            <w:r w:rsidRPr="00E05FB5">
              <w:rPr>
                <w:color w:val="808080" w:themeColor="background1" w:themeShade="80"/>
              </w:rPr>
              <w:t>Quantity – how many studies?</w:t>
            </w:r>
          </w:p>
          <w:p w14:paraId="55B8DA88" w14:textId="77777777" w:rsidR="000E5C93" w:rsidRPr="00E05FB5" w:rsidRDefault="000E5C93" w:rsidP="000E5C93">
            <w:pPr>
              <w:pStyle w:val="ListParagraph"/>
              <w:numPr>
                <w:ilvl w:val="0"/>
                <w:numId w:val="10"/>
              </w:numPr>
              <w:rPr>
                <w:color w:val="808080" w:themeColor="background1" w:themeShade="80"/>
              </w:rPr>
            </w:pPr>
            <w:r w:rsidRPr="00E05FB5">
              <w:rPr>
                <w:color w:val="808080" w:themeColor="background1" w:themeShade="80"/>
              </w:rPr>
              <w:t>Quality – what type of studies?</w:t>
            </w:r>
          </w:p>
        </w:tc>
        <w:tc>
          <w:tcPr>
            <w:tcW w:w="5130" w:type="dxa"/>
          </w:tcPr>
          <w:p w14:paraId="55B8DA89" w14:textId="77777777" w:rsidR="00AB4ECE" w:rsidRPr="00E05FB5" w:rsidRDefault="00AB4ECE" w:rsidP="002E2177">
            <w:pPr>
              <w:ind w:left="0" w:firstLine="0"/>
              <w:rPr>
                <w:color w:val="808080" w:themeColor="background1" w:themeShade="80"/>
              </w:rPr>
            </w:pPr>
          </w:p>
        </w:tc>
      </w:tr>
      <w:tr w:rsidR="00E05FB5" w:rsidRPr="00E05FB5" w14:paraId="55B8DA8D" w14:textId="77777777" w:rsidTr="00F90F82">
        <w:tc>
          <w:tcPr>
            <w:tcW w:w="4068" w:type="dxa"/>
          </w:tcPr>
          <w:p w14:paraId="55B8DA8B" w14:textId="77777777" w:rsidR="00AB4ECE" w:rsidRPr="00E05FB5" w:rsidRDefault="000E5C93" w:rsidP="002E2177">
            <w:pPr>
              <w:ind w:left="0" w:firstLine="0"/>
              <w:rPr>
                <w:color w:val="808080" w:themeColor="background1" w:themeShade="80"/>
              </w:rPr>
            </w:pPr>
            <w:r w:rsidRPr="00E05FB5">
              <w:rPr>
                <w:color w:val="808080" w:themeColor="background1" w:themeShade="80"/>
              </w:rPr>
              <w:t xml:space="preserve">Estimates of benefit and consistency across studies </w:t>
            </w:r>
          </w:p>
        </w:tc>
        <w:tc>
          <w:tcPr>
            <w:tcW w:w="5130" w:type="dxa"/>
          </w:tcPr>
          <w:p w14:paraId="55B8DA8C" w14:textId="77777777" w:rsidR="00AB4ECE" w:rsidRPr="00E05FB5" w:rsidRDefault="00AB4ECE" w:rsidP="002E2177">
            <w:pPr>
              <w:ind w:left="0" w:firstLine="0"/>
              <w:rPr>
                <w:color w:val="808080" w:themeColor="background1" w:themeShade="80"/>
              </w:rPr>
            </w:pPr>
          </w:p>
        </w:tc>
      </w:tr>
      <w:tr w:rsidR="00E05FB5" w:rsidRPr="00E05FB5" w14:paraId="55B8DA90" w14:textId="77777777" w:rsidTr="00F90F82">
        <w:tc>
          <w:tcPr>
            <w:tcW w:w="4068" w:type="dxa"/>
          </w:tcPr>
          <w:p w14:paraId="55B8DA8E" w14:textId="77777777" w:rsidR="000E5C93" w:rsidRPr="00E05FB5" w:rsidRDefault="000E5C93" w:rsidP="002E2177">
            <w:pPr>
              <w:ind w:left="0" w:firstLine="0"/>
              <w:rPr>
                <w:color w:val="808080" w:themeColor="background1" w:themeShade="80"/>
              </w:rPr>
            </w:pPr>
            <w:r w:rsidRPr="00E05FB5">
              <w:rPr>
                <w:color w:val="808080" w:themeColor="background1" w:themeShade="80"/>
              </w:rPr>
              <w:t>What harms were identified?</w:t>
            </w:r>
          </w:p>
        </w:tc>
        <w:tc>
          <w:tcPr>
            <w:tcW w:w="5130" w:type="dxa"/>
          </w:tcPr>
          <w:p w14:paraId="55B8DA8F" w14:textId="77777777" w:rsidR="000E5C93" w:rsidRPr="00E05FB5" w:rsidRDefault="000E5C93" w:rsidP="002E2177">
            <w:pPr>
              <w:ind w:left="0" w:firstLine="0"/>
              <w:rPr>
                <w:color w:val="808080" w:themeColor="background1" w:themeShade="80"/>
              </w:rPr>
            </w:pPr>
          </w:p>
        </w:tc>
      </w:tr>
      <w:tr w:rsidR="000E5C93" w:rsidRPr="00E05FB5" w14:paraId="55B8DA93" w14:textId="77777777" w:rsidTr="00F90F82">
        <w:tc>
          <w:tcPr>
            <w:tcW w:w="4068" w:type="dxa"/>
          </w:tcPr>
          <w:p w14:paraId="55B8DA91" w14:textId="77777777" w:rsidR="000E5C93" w:rsidRPr="00E05FB5" w:rsidRDefault="000E5C93" w:rsidP="000E5C93">
            <w:pPr>
              <w:ind w:left="0" w:firstLine="0"/>
              <w:rPr>
                <w:color w:val="808080" w:themeColor="background1" w:themeShade="80"/>
              </w:rPr>
            </w:pPr>
            <w:r w:rsidRPr="00E05FB5">
              <w:rPr>
                <w:color w:val="808080" w:themeColor="background1" w:themeShade="80"/>
              </w:rPr>
              <w:t>Identify any new studies conducted since the SR. Do the new studies change the conclusions from the SR?</w:t>
            </w:r>
          </w:p>
        </w:tc>
        <w:tc>
          <w:tcPr>
            <w:tcW w:w="5130" w:type="dxa"/>
          </w:tcPr>
          <w:p w14:paraId="55B8DA92" w14:textId="77777777" w:rsidR="000E5C93" w:rsidRPr="00E05FB5" w:rsidRDefault="000E5C93" w:rsidP="002E2177">
            <w:pPr>
              <w:ind w:left="0" w:firstLine="0"/>
              <w:rPr>
                <w:color w:val="808080" w:themeColor="background1" w:themeShade="80"/>
              </w:rPr>
            </w:pPr>
          </w:p>
        </w:tc>
      </w:tr>
    </w:tbl>
    <w:p w14:paraId="55B8DA94" w14:textId="77777777" w:rsidR="007C1887" w:rsidRPr="00E05FB5" w:rsidRDefault="007C1887" w:rsidP="002E2177">
      <w:pPr>
        <w:ind w:left="0" w:firstLine="0"/>
        <w:rPr>
          <w:color w:val="808080" w:themeColor="background1" w:themeShade="80"/>
        </w:rPr>
      </w:pPr>
    </w:p>
    <w:p w14:paraId="55B8DA95" w14:textId="77777777" w:rsidR="0094689F" w:rsidRPr="00E05FB5" w:rsidRDefault="00925F11" w:rsidP="002E2177">
      <w:pPr>
        <w:ind w:left="0" w:firstLine="0"/>
        <w:rPr>
          <w:b/>
          <w:color w:val="808080" w:themeColor="background1" w:themeShade="80"/>
        </w:rPr>
      </w:pPr>
      <w:r w:rsidRPr="00E05FB5">
        <w:rPr>
          <w:b/>
          <w:iCs/>
          <w:caps/>
          <w:color w:val="808080" w:themeColor="background1" w:themeShade="80"/>
        </w:rPr>
        <w:t>________________________</w:t>
      </w:r>
    </w:p>
    <w:p w14:paraId="55B8DA96" w14:textId="77777777" w:rsidR="00837121" w:rsidRPr="00E05FB5" w:rsidRDefault="000E5C93" w:rsidP="002E2177">
      <w:pPr>
        <w:ind w:left="0" w:firstLine="0"/>
        <w:rPr>
          <w:b/>
          <w:color w:val="808080" w:themeColor="background1" w:themeShade="80"/>
        </w:rPr>
      </w:pPr>
      <w:bookmarkStart w:id="6" w:name="Section1a8"/>
      <w:bookmarkEnd w:id="6"/>
      <w:r w:rsidRPr="00E05FB5">
        <w:rPr>
          <w:b/>
          <w:color w:val="808080" w:themeColor="background1" w:themeShade="80"/>
        </w:rPr>
        <w:t>1a.4</w:t>
      </w:r>
      <w:r w:rsidR="00837121" w:rsidRPr="00E05FB5">
        <w:rPr>
          <w:b/>
          <w:color w:val="808080" w:themeColor="background1" w:themeShade="80"/>
        </w:rPr>
        <w:t xml:space="preserve"> OTHER SOURCE OF EVIDENCE</w:t>
      </w:r>
    </w:p>
    <w:p w14:paraId="55B8DA97" w14:textId="77777777" w:rsidR="00837121" w:rsidRPr="00E05FB5" w:rsidRDefault="00837121" w:rsidP="002E2177">
      <w:pPr>
        <w:ind w:left="0" w:firstLine="0"/>
        <w:rPr>
          <w:i/>
          <w:color w:val="808080" w:themeColor="background1" w:themeShade="80"/>
        </w:rPr>
      </w:pPr>
      <w:r w:rsidRPr="00E05FB5">
        <w:rPr>
          <w:i/>
          <w:color w:val="808080" w:themeColor="background1" w:themeShade="80"/>
        </w:rPr>
        <w:t xml:space="preserve">If source of evidence is </w:t>
      </w:r>
      <w:r w:rsidR="002B06BD" w:rsidRPr="00E05FB5">
        <w:rPr>
          <w:i/>
          <w:color w:val="808080" w:themeColor="background1" w:themeShade="80"/>
        </w:rPr>
        <w:t xml:space="preserve">NOT </w:t>
      </w:r>
      <w:r w:rsidRPr="00E05FB5">
        <w:rPr>
          <w:i/>
          <w:color w:val="808080" w:themeColor="background1" w:themeShade="80"/>
        </w:rPr>
        <w:t xml:space="preserve">from a clinical practice guideline, USPSTF, or systematic review, please describe the evidence on which you are basing </w:t>
      </w:r>
      <w:r w:rsidR="00EE1F87" w:rsidRPr="00E05FB5">
        <w:rPr>
          <w:i/>
          <w:color w:val="808080" w:themeColor="background1" w:themeShade="80"/>
        </w:rPr>
        <w:t xml:space="preserve">the </w:t>
      </w:r>
      <w:r w:rsidRPr="00E05FB5">
        <w:rPr>
          <w:i/>
          <w:color w:val="808080" w:themeColor="background1" w:themeShade="80"/>
        </w:rPr>
        <w:t>performance measure.</w:t>
      </w:r>
    </w:p>
    <w:p w14:paraId="55B8DA98" w14:textId="77777777" w:rsidR="00837121" w:rsidRPr="00E05FB5" w:rsidRDefault="00837121" w:rsidP="002E2177">
      <w:pPr>
        <w:ind w:left="0" w:firstLine="0"/>
        <w:rPr>
          <w:color w:val="808080" w:themeColor="background1" w:themeShade="80"/>
        </w:rPr>
      </w:pPr>
    </w:p>
    <w:p w14:paraId="55B8DA99" w14:textId="77777777" w:rsidR="000E5C93" w:rsidRPr="00E05FB5" w:rsidRDefault="000E5C93" w:rsidP="002E2177">
      <w:pPr>
        <w:ind w:left="0" w:firstLine="0"/>
        <w:rPr>
          <w:color w:val="808080" w:themeColor="background1" w:themeShade="80"/>
        </w:rPr>
      </w:pPr>
      <w:r w:rsidRPr="00E05FB5">
        <w:rPr>
          <w:b/>
          <w:color w:val="808080" w:themeColor="background1" w:themeShade="80"/>
        </w:rPr>
        <w:t>1a.4</w:t>
      </w:r>
      <w:r w:rsidR="00837121" w:rsidRPr="00E05FB5">
        <w:rPr>
          <w:b/>
          <w:color w:val="808080" w:themeColor="background1" w:themeShade="80"/>
        </w:rPr>
        <w:t>.1</w:t>
      </w:r>
      <w:r w:rsidR="00837121" w:rsidRPr="00E05FB5">
        <w:rPr>
          <w:color w:val="808080" w:themeColor="background1" w:themeShade="80"/>
        </w:rPr>
        <w:t xml:space="preserve"> </w:t>
      </w:r>
      <w:r w:rsidRPr="00E05FB5">
        <w:rPr>
          <w:b/>
          <w:color w:val="808080" w:themeColor="background1" w:themeShade="80"/>
        </w:rPr>
        <w:t xml:space="preserve">Briefly </w:t>
      </w:r>
      <w:r w:rsidR="00E42FAA" w:rsidRPr="00E05FB5">
        <w:rPr>
          <w:b/>
          <w:color w:val="808080" w:themeColor="background1" w:themeShade="80"/>
        </w:rPr>
        <w:t xml:space="preserve">SYNTHESIZE </w:t>
      </w:r>
      <w:r w:rsidRPr="00E05FB5">
        <w:rPr>
          <w:b/>
          <w:color w:val="808080" w:themeColor="background1" w:themeShade="80"/>
        </w:rPr>
        <w:t xml:space="preserve">the evidence that supports the measure. </w:t>
      </w:r>
      <w:r w:rsidRPr="00E05FB5">
        <w:rPr>
          <w:color w:val="808080" w:themeColor="background1" w:themeShade="80"/>
        </w:rPr>
        <w:t>A list of references without a summary is not acceptable.</w:t>
      </w:r>
    </w:p>
    <w:p w14:paraId="55B8DA9A" w14:textId="77777777" w:rsidR="000E5C93" w:rsidRPr="00E05FB5" w:rsidRDefault="000E5C93" w:rsidP="002E2177">
      <w:pPr>
        <w:ind w:left="0" w:firstLine="0"/>
        <w:rPr>
          <w:b/>
          <w:color w:val="808080" w:themeColor="background1" w:themeShade="80"/>
        </w:rPr>
      </w:pPr>
    </w:p>
    <w:p w14:paraId="55B8DA9B" w14:textId="77777777" w:rsidR="00837121" w:rsidRPr="00E05FB5" w:rsidRDefault="000E5C93" w:rsidP="002E2177">
      <w:pPr>
        <w:ind w:left="0" w:firstLine="0"/>
        <w:rPr>
          <w:color w:val="808080" w:themeColor="background1" w:themeShade="80"/>
        </w:rPr>
      </w:pPr>
      <w:r w:rsidRPr="00E05FB5">
        <w:rPr>
          <w:b/>
          <w:color w:val="808080" w:themeColor="background1" w:themeShade="80"/>
        </w:rPr>
        <w:t xml:space="preserve">1a.4.2 </w:t>
      </w:r>
      <w:r w:rsidR="00837121" w:rsidRPr="00E05FB5">
        <w:rPr>
          <w:b/>
          <w:color w:val="808080" w:themeColor="background1" w:themeShade="80"/>
        </w:rPr>
        <w:t>What process was used to identify the evidence?</w:t>
      </w:r>
    </w:p>
    <w:p w14:paraId="55B8DA9C" w14:textId="77777777" w:rsidR="00837121" w:rsidRPr="00E05FB5" w:rsidRDefault="00837121" w:rsidP="002E2177">
      <w:pPr>
        <w:ind w:left="0" w:firstLine="0"/>
        <w:rPr>
          <w:color w:val="808080" w:themeColor="background1" w:themeShade="80"/>
        </w:rPr>
      </w:pPr>
    </w:p>
    <w:p w14:paraId="55B8DA9D" w14:textId="20E21029" w:rsidR="00837121" w:rsidRPr="00E05FB5" w:rsidRDefault="000E5C93" w:rsidP="00E05FB5">
      <w:pPr>
        <w:ind w:left="0" w:firstLine="0"/>
        <w:rPr>
          <w:b/>
          <w:color w:val="808080" w:themeColor="background1" w:themeShade="80"/>
        </w:rPr>
      </w:pPr>
      <w:r w:rsidRPr="00E05FB5">
        <w:rPr>
          <w:b/>
          <w:color w:val="808080" w:themeColor="background1" w:themeShade="80"/>
        </w:rPr>
        <w:t>1a.4.3</w:t>
      </w:r>
      <w:r w:rsidR="00837121" w:rsidRPr="00E05FB5">
        <w:rPr>
          <w:b/>
          <w:color w:val="808080" w:themeColor="background1" w:themeShade="80"/>
        </w:rPr>
        <w:t>.</w:t>
      </w:r>
      <w:r w:rsidR="00837121" w:rsidRPr="00E05FB5">
        <w:rPr>
          <w:color w:val="808080" w:themeColor="background1" w:themeShade="80"/>
        </w:rPr>
        <w:t xml:space="preserve"> </w:t>
      </w:r>
      <w:r w:rsidR="006C7F30" w:rsidRPr="00E05FB5">
        <w:rPr>
          <w:b/>
          <w:color w:val="808080" w:themeColor="background1" w:themeShade="80"/>
        </w:rPr>
        <w:t>Provide the citation</w:t>
      </w:r>
      <w:r w:rsidRPr="00E05FB5">
        <w:rPr>
          <w:b/>
          <w:color w:val="808080" w:themeColor="background1" w:themeShade="80"/>
        </w:rPr>
        <w:t>(s)</w:t>
      </w:r>
      <w:r w:rsidR="009E6B86" w:rsidRPr="00E05FB5">
        <w:rPr>
          <w:b/>
          <w:color w:val="808080" w:themeColor="background1" w:themeShade="80"/>
        </w:rPr>
        <w:t xml:space="preserve"> </w:t>
      </w:r>
      <w:r w:rsidRPr="00E05FB5">
        <w:rPr>
          <w:b/>
          <w:color w:val="808080" w:themeColor="background1" w:themeShade="80"/>
        </w:rPr>
        <w:t>for the</w:t>
      </w:r>
      <w:r w:rsidR="006C7F30" w:rsidRPr="00E05FB5">
        <w:rPr>
          <w:b/>
          <w:color w:val="808080" w:themeColor="background1" w:themeShade="80"/>
        </w:rPr>
        <w:t xml:space="preserve"> evidence.</w:t>
      </w:r>
      <w:r w:rsidR="00A73537" w:rsidRPr="00E05FB5">
        <w:rPr>
          <w:color w:val="808080" w:themeColor="background1" w:themeShade="80"/>
        </w:rPr>
        <w:fldChar w:fldCharType="begin"/>
      </w:r>
      <w:r w:rsidR="00A73537" w:rsidRPr="00E05FB5">
        <w:rPr>
          <w:color w:val="808080" w:themeColor="background1" w:themeShade="80"/>
        </w:rPr>
        <w:instrText xml:space="preserve"> ADDIN EN.REFLIST </w:instrText>
      </w:r>
      <w:r w:rsidR="00A73537" w:rsidRPr="00E05FB5">
        <w:rPr>
          <w:color w:val="808080" w:themeColor="background1" w:themeShade="80"/>
        </w:rPr>
        <w:fldChar w:fldCharType="end"/>
      </w:r>
    </w:p>
    <w:sectPr w:rsidR="00837121" w:rsidRPr="00E05FB5">
      <w:headerReference w:type="even" r:id="rId17"/>
      <w:headerReference w:type="default" r:id="rId18"/>
      <w:footerReference w:type="default" r:id="rId19"/>
      <w:head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24D9" w14:textId="77777777" w:rsidR="00E03797" w:rsidRDefault="00E03797" w:rsidP="007E37A5">
      <w:r>
        <w:separator/>
      </w:r>
    </w:p>
  </w:endnote>
  <w:endnote w:type="continuationSeparator" w:id="0">
    <w:p w14:paraId="5A592343" w14:textId="77777777" w:rsidR="00E03797" w:rsidRDefault="00E0379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062FCC70" w:rsidR="00A42F0E" w:rsidRDefault="00A42F0E">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677">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5F0D83" w14:textId="77777777" w:rsidR="00E03797" w:rsidRDefault="00E03797" w:rsidP="007E37A5">
      <w:r>
        <w:separator/>
      </w:r>
    </w:p>
  </w:footnote>
  <w:footnote w:type="continuationSeparator" w:id="0">
    <w:p w14:paraId="0E3A910C" w14:textId="77777777" w:rsidR="00E03797" w:rsidRDefault="00E03797"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CF766" w14:textId="1457A30E" w:rsidR="00E6373C" w:rsidRDefault="00E637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01170630" w:rsidR="00A42F0E" w:rsidRDefault="00A42F0E" w:rsidP="007E37A5">
    <w:pPr>
      <w:pStyle w:val="Header"/>
      <w:ind w:left="0"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E663C" w14:textId="4653B51B" w:rsidR="00E6373C" w:rsidRDefault="00E637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587D71"/>
    <w:multiLevelType w:val="hybridMultilevel"/>
    <w:tmpl w:val="6A20DA60"/>
    <w:lvl w:ilvl="0" w:tplc="4F2A79A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FB5D25"/>
    <w:multiLevelType w:val="hybridMultilevel"/>
    <w:tmpl w:val="01BA7580"/>
    <w:lvl w:ilvl="0" w:tplc="9E7EF5D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65410F"/>
    <w:multiLevelType w:val="hybridMultilevel"/>
    <w:tmpl w:val="FD204B34"/>
    <w:lvl w:ilvl="0" w:tplc="DEB44A90">
      <w:start w:val="7"/>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40EF47B2"/>
    <w:multiLevelType w:val="hybridMultilevel"/>
    <w:tmpl w:val="2A182288"/>
    <w:lvl w:ilvl="0" w:tplc="2A7E8032">
      <w:start w:val="1"/>
      <w:numFmt w:val="decimal"/>
      <w:pStyle w:val="EndNoteBibliography"/>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B95054"/>
    <w:multiLevelType w:val="hybridMultilevel"/>
    <w:tmpl w:val="AAF4F816"/>
    <w:lvl w:ilvl="0" w:tplc="00E845E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F3F61F7"/>
    <w:multiLevelType w:val="hybridMultilevel"/>
    <w:tmpl w:val="B31EF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F5618B"/>
    <w:multiLevelType w:val="hybridMultilevel"/>
    <w:tmpl w:val="6044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02754C"/>
    <w:multiLevelType w:val="hybridMultilevel"/>
    <w:tmpl w:val="4EEE6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5"/>
  </w:num>
  <w:num w:numId="6">
    <w:abstractNumId w:val="4"/>
  </w:num>
  <w:num w:numId="7">
    <w:abstractNumId w:val="16"/>
  </w:num>
  <w:num w:numId="8">
    <w:abstractNumId w:val="15"/>
  </w:num>
  <w:num w:numId="9">
    <w:abstractNumId w:val="17"/>
  </w:num>
  <w:num w:numId="10">
    <w:abstractNumId w:val="1"/>
  </w:num>
  <w:num w:numId="11">
    <w:abstractNumId w:val="11"/>
  </w:num>
  <w:num w:numId="12">
    <w:abstractNumId w:val="9"/>
  </w:num>
  <w:num w:numId="13">
    <w:abstractNumId w:val="0"/>
  </w:num>
  <w:num w:numId="14">
    <w:abstractNumId w:val="10"/>
  </w:num>
  <w:num w:numId="15">
    <w:abstractNumId w:val="7"/>
  </w:num>
  <w:num w:numId="16">
    <w:abstractNumId w:val="8"/>
  </w:num>
  <w:num w:numId="17">
    <w:abstractNumId w:val="14"/>
  </w:num>
  <w:num w:numId="18">
    <w:abstractNumId w:val="12"/>
  </w:num>
  <w:num w:numId="19">
    <w:abstractNumId w:val="18"/>
  </w:num>
  <w:num w:numId="20">
    <w:abstractNumId w:val="9"/>
    <w:lvlOverride w:ilvl="0">
      <w:startOverride w:val="1"/>
    </w:lvlOverride>
  </w:num>
  <w:num w:numId="2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U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s-US" w:vendorID="64" w:dllVersion="0" w:nlCheck="1" w:checkStyle="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sest2xsjd2at6ep9tavzdskfz0ertz9szzw&quot;&gt;Hospital Harm-Opioid&lt;record-ids&gt;&lt;item&gt;150&lt;/item&gt;&lt;/record-ids&gt;&lt;/item&gt;&lt;/Libraries&gt;"/>
  </w:docVars>
  <w:rsids>
    <w:rsidRoot w:val="00496AF8"/>
    <w:rsid w:val="00005FAF"/>
    <w:rsid w:val="00015986"/>
    <w:rsid w:val="000160E6"/>
    <w:rsid w:val="00021BD7"/>
    <w:rsid w:val="00024526"/>
    <w:rsid w:val="00030F43"/>
    <w:rsid w:val="000354BB"/>
    <w:rsid w:val="00040DCF"/>
    <w:rsid w:val="000426CA"/>
    <w:rsid w:val="00052C0B"/>
    <w:rsid w:val="00055A72"/>
    <w:rsid w:val="0006045A"/>
    <w:rsid w:val="00061CF3"/>
    <w:rsid w:val="00063601"/>
    <w:rsid w:val="00071A5F"/>
    <w:rsid w:val="00073079"/>
    <w:rsid w:val="000739D1"/>
    <w:rsid w:val="0007593F"/>
    <w:rsid w:val="00085726"/>
    <w:rsid w:val="000918AD"/>
    <w:rsid w:val="00095EC9"/>
    <w:rsid w:val="00096A37"/>
    <w:rsid w:val="000A0810"/>
    <w:rsid w:val="000A2F33"/>
    <w:rsid w:val="000B06C5"/>
    <w:rsid w:val="000B13AD"/>
    <w:rsid w:val="000B627F"/>
    <w:rsid w:val="000C1D9D"/>
    <w:rsid w:val="000C6B46"/>
    <w:rsid w:val="000C7167"/>
    <w:rsid w:val="000D649E"/>
    <w:rsid w:val="000D6D06"/>
    <w:rsid w:val="000E5C93"/>
    <w:rsid w:val="000F4A7F"/>
    <w:rsid w:val="001135A2"/>
    <w:rsid w:val="00114848"/>
    <w:rsid w:val="00120934"/>
    <w:rsid w:val="001228B2"/>
    <w:rsid w:val="001309A0"/>
    <w:rsid w:val="00132070"/>
    <w:rsid w:val="00141875"/>
    <w:rsid w:val="0014347E"/>
    <w:rsid w:val="00154438"/>
    <w:rsid w:val="001551F6"/>
    <w:rsid w:val="0015535B"/>
    <w:rsid w:val="00162036"/>
    <w:rsid w:val="001632DD"/>
    <w:rsid w:val="00167EE0"/>
    <w:rsid w:val="00171CF3"/>
    <w:rsid w:val="00176E60"/>
    <w:rsid w:val="00177192"/>
    <w:rsid w:val="001930FA"/>
    <w:rsid w:val="00194677"/>
    <w:rsid w:val="001946D1"/>
    <w:rsid w:val="00194913"/>
    <w:rsid w:val="00194D9A"/>
    <w:rsid w:val="001A196B"/>
    <w:rsid w:val="001A6D05"/>
    <w:rsid w:val="001B38BF"/>
    <w:rsid w:val="001B5789"/>
    <w:rsid w:val="001B772D"/>
    <w:rsid w:val="001C5894"/>
    <w:rsid w:val="001D2520"/>
    <w:rsid w:val="001D5B5D"/>
    <w:rsid w:val="001E4BF2"/>
    <w:rsid w:val="001E6153"/>
    <w:rsid w:val="001F51A0"/>
    <w:rsid w:val="0020066A"/>
    <w:rsid w:val="00201FF9"/>
    <w:rsid w:val="002049C7"/>
    <w:rsid w:val="00205857"/>
    <w:rsid w:val="0021610D"/>
    <w:rsid w:val="002334AD"/>
    <w:rsid w:val="00235ADC"/>
    <w:rsid w:val="00236E9D"/>
    <w:rsid w:val="00236F87"/>
    <w:rsid w:val="0024532B"/>
    <w:rsid w:val="00261BAD"/>
    <w:rsid w:val="00265702"/>
    <w:rsid w:val="00265E8F"/>
    <w:rsid w:val="002662B2"/>
    <w:rsid w:val="002717C7"/>
    <w:rsid w:val="002875E9"/>
    <w:rsid w:val="00287EB3"/>
    <w:rsid w:val="0029195C"/>
    <w:rsid w:val="00291B7D"/>
    <w:rsid w:val="002A2506"/>
    <w:rsid w:val="002A47BA"/>
    <w:rsid w:val="002A49E1"/>
    <w:rsid w:val="002A56E9"/>
    <w:rsid w:val="002A6777"/>
    <w:rsid w:val="002B06BD"/>
    <w:rsid w:val="002C0E48"/>
    <w:rsid w:val="002C6F04"/>
    <w:rsid w:val="002E2177"/>
    <w:rsid w:val="002E2E41"/>
    <w:rsid w:val="002E78CD"/>
    <w:rsid w:val="002F20A7"/>
    <w:rsid w:val="002F2ADD"/>
    <w:rsid w:val="002F51D9"/>
    <w:rsid w:val="003008F4"/>
    <w:rsid w:val="0030179A"/>
    <w:rsid w:val="00301C4B"/>
    <w:rsid w:val="00302B1D"/>
    <w:rsid w:val="003076FE"/>
    <w:rsid w:val="00307FA5"/>
    <w:rsid w:val="00314403"/>
    <w:rsid w:val="00314573"/>
    <w:rsid w:val="0032444E"/>
    <w:rsid w:val="00324D64"/>
    <w:rsid w:val="00325FE9"/>
    <w:rsid w:val="003378E8"/>
    <w:rsid w:val="00342B37"/>
    <w:rsid w:val="00342F77"/>
    <w:rsid w:val="00343563"/>
    <w:rsid w:val="00352B52"/>
    <w:rsid w:val="0035760D"/>
    <w:rsid w:val="00363ECC"/>
    <w:rsid w:val="00385B9D"/>
    <w:rsid w:val="0039020B"/>
    <w:rsid w:val="00391C20"/>
    <w:rsid w:val="00395263"/>
    <w:rsid w:val="003956E0"/>
    <w:rsid w:val="00395A72"/>
    <w:rsid w:val="0039609A"/>
    <w:rsid w:val="00397500"/>
    <w:rsid w:val="003B1CC5"/>
    <w:rsid w:val="003B65CE"/>
    <w:rsid w:val="003C5310"/>
    <w:rsid w:val="003C53FD"/>
    <w:rsid w:val="003D6539"/>
    <w:rsid w:val="003D6721"/>
    <w:rsid w:val="003E039E"/>
    <w:rsid w:val="003F0706"/>
    <w:rsid w:val="003F639A"/>
    <w:rsid w:val="0040230E"/>
    <w:rsid w:val="0041228B"/>
    <w:rsid w:val="00415F4A"/>
    <w:rsid w:val="0041662F"/>
    <w:rsid w:val="004172E2"/>
    <w:rsid w:val="0041766D"/>
    <w:rsid w:val="00422917"/>
    <w:rsid w:val="00440687"/>
    <w:rsid w:val="0044131D"/>
    <w:rsid w:val="00441ADA"/>
    <w:rsid w:val="0044540B"/>
    <w:rsid w:val="00457E46"/>
    <w:rsid w:val="00461F35"/>
    <w:rsid w:val="00466C9B"/>
    <w:rsid w:val="004909AD"/>
    <w:rsid w:val="00491E36"/>
    <w:rsid w:val="004922E4"/>
    <w:rsid w:val="004950E5"/>
    <w:rsid w:val="00496AF8"/>
    <w:rsid w:val="004A35C8"/>
    <w:rsid w:val="004A575D"/>
    <w:rsid w:val="004B0EE3"/>
    <w:rsid w:val="004B65C6"/>
    <w:rsid w:val="004C5E7C"/>
    <w:rsid w:val="004D1DC7"/>
    <w:rsid w:val="004E7215"/>
    <w:rsid w:val="004F7D7E"/>
    <w:rsid w:val="00500B0C"/>
    <w:rsid w:val="00512C8B"/>
    <w:rsid w:val="005176A9"/>
    <w:rsid w:val="00532A40"/>
    <w:rsid w:val="00537150"/>
    <w:rsid w:val="00540984"/>
    <w:rsid w:val="00543851"/>
    <w:rsid w:val="0055203F"/>
    <w:rsid w:val="00552EC4"/>
    <w:rsid w:val="00553D78"/>
    <w:rsid w:val="0055559D"/>
    <w:rsid w:val="005569AE"/>
    <w:rsid w:val="005705E0"/>
    <w:rsid w:val="005857F8"/>
    <w:rsid w:val="00586C46"/>
    <w:rsid w:val="005B0D18"/>
    <w:rsid w:val="005B12C3"/>
    <w:rsid w:val="005B409D"/>
    <w:rsid w:val="005B7351"/>
    <w:rsid w:val="005C64A9"/>
    <w:rsid w:val="005D0FDB"/>
    <w:rsid w:val="005D25E9"/>
    <w:rsid w:val="005D3D48"/>
    <w:rsid w:val="005D6D59"/>
    <w:rsid w:val="005F7E9E"/>
    <w:rsid w:val="00610634"/>
    <w:rsid w:val="00612BAA"/>
    <w:rsid w:val="0061327A"/>
    <w:rsid w:val="006153D0"/>
    <w:rsid w:val="00617390"/>
    <w:rsid w:val="00623420"/>
    <w:rsid w:val="006250DD"/>
    <w:rsid w:val="00632EC8"/>
    <w:rsid w:val="00633706"/>
    <w:rsid w:val="00634768"/>
    <w:rsid w:val="0063596F"/>
    <w:rsid w:val="006559D0"/>
    <w:rsid w:val="00665529"/>
    <w:rsid w:val="00667397"/>
    <w:rsid w:val="006709EB"/>
    <w:rsid w:val="00672824"/>
    <w:rsid w:val="00676BD4"/>
    <w:rsid w:val="0068110B"/>
    <w:rsid w:val="0068184A"/>
    <w:rsid w:val="006A0249"/>
    <w:rsid w:val="006A0F0D"/>
    <w:rsid w:val="006A6D26"/>
    <w:rsid w:val="006B4A43"/>
    <w:rsid w:val="006B5C51"/>
    <w:rsid w:val="006C7F30"/>
    <w:rsid w:val="006D09B8"/>
    <w:rsid w:val="006D43FF"/>
    <w:rsid w:val="006E10B0"/>
    <w:rsid w:val="006E6FDD"/>
    <w:rsid w:val="006F1421"/>
    <w:rsid w:val="006F4B7F"/>
    <w:rsid w:val="006F760B"/>
    <w:rsid w:val="00701CC3"/>
    <w:rsid w:val="00702DB6"/>
    <w:rsid w:val="007125D1"/>
    <w:rsid w:val="0071319F"/>
    <w:rsid w:val="00714B68"/>
    <w:rsid w:val="00724801"/>
    <w:rsid w:val="00725978"/>
    <w:rsid w:val="00734949"/>
    <w:rsid w:val="00736AEC"/>
    <w:rsid w:val="00736E0F"/>
    <w:rsid w:val="007434FA"/>
    <w:rsid w:val="00754FD7"/>
    <w:rsid w:val="007573F0"/>
    <w:rsid w:val="00762CA0"/>
    <w:rsid w:val="0076455F"/>
    <w:rsid w:val="00765156"/>
    <w:rsid w:val="00767669"/>
    <w:rsid w:val="00773485"/>
    <w:rsid w:val="00776E8F"/>
    <w:rsid w:val="00776F6D"/>
    <w:rsid w:val="0078483D"/>
    <w:rsid w:val="00790E84"/>
    <w:rsid w:val="007951DB"/>
    <w:rsid w:val="007C0297"/>
    <w:rsid w:val="007C1887"/>
    <w:rsid w:val="007C70F0"/>
    <w:rsid w:val="007C7AF9"/>
    <w:rsid w:val="007D4775"/>
    <w:rsid w:val="007D5462"/>
    <w:rsid w:val="007D5DC6"/>
    <w:rsid w:val="007E37A5"/>
    <w:rsid w:val="007E68D4"/>
    <w:rsid w:val="007F49D8"/>
    <w:rsid w:val="007F6FDA"/>
    <w:rsid w:val="00805940"/>
    <w:rsid w:val="00812E30"/>
    <w:rsid w:val="0081599C"/>
    <w:rsid w:val="008258A7"/>
    <w:rsid w:val="00837121"/>
    <w:rsid w:val="008471E5"/>
    <w:rsid w:val="00850C35"/>
    <w:rsid w:val="00851466"/>
    <w:rsid w:val="008606C1"/>
    <w:rsid w:val="00862117"/>
    <w:rsid w:val="00863E43"/>
    <w:rsid w:val="008647C3"/>
    <w:rsid w:val="008650C7"/>
    <w:rsid w:val="008659ED"/>
    <w:rsid w:val="00865AE6"/>
    <w:rsid w:val="008708DC"/>
    <w:rsid w:val="00870987"/>
    <w:rsid w:val="0087564A"/>
    <w:rsid w:val="00875D96"/>
    <w:rsid w:val="00881160"/>
    <w:rsid w:val="0088371C"/>
    <w:rsid w:val="00894CD6"/>
    <w:rsid w:val="00895BF0"/>
    <w:rsid w:val="00897821"/>
    <w:rsid w:val="008A1C29"/>
    <w:rsid w:val="008A45F3"/>
    <w:rsid w:val="008B0743"/>
    <w:rsid w:val="008B51D9"/>
    <w:rsid w:val="008B652E"/>
    <w:rsid w:val="008C1B8E"/>
    <w:rsid w:val="008C7BF2"/>
    <w:rsid w:val="008D05B7"/>
    <w:rsid w:val="008F0F64"/>
    <w:rsid w:val="008F1DC6"/>
    <w:rsid w:val="008F3FA2"/>
    <w:rsid w:val="008F6F51"/>
    <w:rsid w:val="0090262C"/>
    <w:rsid w:val="00905C5B"/>
    <w:rsid w:val="00911D3B"/>
    <w:rsid w:val="00923295"/>
    <w:rsid w:val="00925F11"/>
    <w:rsid w:val="00935265"/>
    <w:rsid w:val="0094689F"/>
    <w:rsid w:val="009477D6"/>
    <w:rsid w:val="00951476"/>
    <w:rsid w:val="009531D9"/>
    <w:rsid w:val="00953ED3"/>
    <w:rsid w:val="00964FB3"/>
    <w:rsid w:val="00965FF6"/>
    <w:rsid w:val="00972B97"/>
    <w:rsid w:val="009846D6"/>
    <w:rsid w:val="0098657F"/>
    <w:rsid w:val="009A3236"/>
    <w:rsid w:val="009B5A93"/>
    <w:rsid w:val="009B5BEA"/>
    <w:rsid w:val="009B7ED5"/>
    <w:rsid w:val="009C291F"/>
    <w:rsid w:val="009C367A"/>
    <w:rsid w:val="009E37BD"/>
    <w:rsid w:val="009E6B86"/>
    <w:rsid w:val="00A03301"/>
    <w:rsid w:val="00A12762"/>
    <w:rsid w:val="00A13867"/>
    <w:rsid w:val="00A20172"/>
    <w:rsid w:val="00A26FED"/>
    <w:rsid w:val="00A31747"/>
    <w:rsid w:val="00A421D4"/>
    <w:rsid w:val="00A42F0E"/>
    <w:rsid w:val="00A44886"/>
    <w:rsid w:val="00A44FF0"/>
    <w:rsid w:val="00A5080A"/>
    <w:rsid w:val="00A50E55"/>
    <w:rsid w:val="00A53380"/>
    <w:rsid w:val="00A56F8E"/>
    <w:rsid w:val="00A57F71"/>
    <w:rsid w:val="00A67EB1"/>
    <w:rsid w:val="00A7239D"/>
    <w:rsid w:val="00A73537"/>
    <w:rsid w:val="00A8166B"/>
    <w:rsid w:val="00A85B80"/>
    <w:rsid w:val="00A86E0C"/>
    <w:rsid w:val="00A9011D"/>
    <w:rsid w:val="00A908F3"/>
    <w:rsid w:val="00A91A47"/>
    <w:rsid w:val="00A92B1C"/>
    <w:rsid w:val="00A95D2B"/>
    <w:rsid w:val="00AA40E0"/>
    <w:rsid w:val="00AA5587"/>
    <w:rsid w:val="00AB0423"/>
    <w:rsid w:val="00AB4ECE"/>
    <w:rsid w:val="00AC1E53"/>
    <w:rsid w:val="00AD79C8"/>
    <w:rsid w:val="00AE6CE0"/>
    <w:rsid w:val="00AF0590"/>
    <w:rsid w:val="00AF181E"/>
    <w:rsid w:val="00B058A6"/>
    <w:rsid w:val="00B117D0"/>
    <w:rsid w:val="00B11A16"/>
    <w:rsid w:val="00B11CF8"/>
    <w:rsid w:val="00B13998"/>
    <w:rsid w:val="00B2339C"/>
    <w:rsid w:val="00B33BFE"/>
    <w:rsid w:val="00B35C5F"/>
    <w:rsid w:val="00B40D0D"/>
    <w:rsid w:val="00B439DD"/>
    <w:rsid w:val="00B52E0F"/>
    <w:rsid w:val="00B5637D"/>
    <w:rsid w:val="00B63042"/>
    <w:rsid w:val="00B74629"/>
    <w:rsid w:val="00B91F58"/>
    <w:rsid w:val="00BA579E"/>
    <w:rsid w:val="00BB0539"/>
    <w:rsid w:val="00BD3CEC"/>
    <w:rsid w:val="00BE2295"/>
    <w:rsid w:val="00BE6373"/>
    <w:rsid w:val="00BF124A"/>
    <w:rsid w:val="00BF533A"/>
    <w:rsid w:val="00C136A9"/>
    <w:rsid w:val="00C173B0"/>
    <w:rsid w:val="00C41794"/>
    <w:rsid w:val="00C42707"/>
    <w:rsid w:val="00C46677"/>
    <w:rsid w:val="00C50607"/>
    <w:rsid w:val="00C5180E"/>
    <w:rsid w:val="00C54E40"/>
    <w:rsid w:val="00C55F56"/>
    <w:rsid w:val="00C57BA4"/>
    <w:rsid w:val="00C613EB"/>
    <w:rsid w:val="00C65913"/>
    <w:rsid w:val="00C6740C"/>
    <w:rsid w:val="00C67F7D"/>
    <w:rsid w:val="00C71C1A"/>
    <w:rsid w:val="00C7252A"/>
    <w:rsid w:val="00C84623"/>
    <w:rsid w:val="00CA07BD"/>
    <w:rsid w:val="00CB06C9"/>
    <w:rsid w:val="00CB1E41"/>
    <w:rsid w:val="00CB271C"/>
    <w:rsid w:val="00CC0F87"/>
    <w:rsid w:val="00CE4F96"/>
    <w:rsid w:val="00CF08C8"/>
    <w:rsid w:val="00CF0AB1"/>
    <w:rsid w:val="00CF4B9B"/>
    <w:rsid w:val="00CF4D09"/>
    <w:rsid w:val="00CF55E6"/>
    <w:rsid w:val="00CF772F"/>
    <w:rsid w:val="00D048DB"/>
    <w:rsid w:val="00D14F0B"/>
    <w:rsid w:val="00D178CA"/>
    <w:rsid w:val="00D27C40"/>
    <w:rsid w:val="00D3311C"/>
    <w:rsid w:val="00D51050"/>
    <w:rsid w:val="00D53405"/>
    <w:rsid w:val="00D538CC"/>
    <w:rsid w:val="00D5457B"/>
    <w:rsid w:val="00D66771"/>
    <w:rsid w:val="00D71F69"/>
    <w:rsid w:val="00D72995"/>
    <w:rsid w:val="00D73685"/>
    <w:rsid w:val="00D848CA"/>
    <w:rsid w:val="00D8614E"/>
    <w:rsid w:val="00D9178F"/>
    <w:rsid w:val="00D94D5A"/>
    <w:rsid w:val="00DA3F1D"/>
    <w:rsid w:val="00DA7FA2"/>
    <w:rsid w:val="00DC2D8D"/>
    <w:rsid w:val="00DC7F67"/>
    <w:rsid w:val="00DE0114"/>
    <w:rsid w:val="00DE1F5D"/>
    <w:rsid w:val="00DE3F9D"/>
    <w:rsid w:val="00DE50D8"/>
    <w:rsid w:val="00DF278A"/>
    <w:rsid w:val="00DF293B"/>
    <w:rsid w:val="00DF511F"/>
    <w:rsid w:val="00DF66FC"/>
    <w:rsid w:val="00E03797"/>
    <w:rsid w:val="00E03E0C"/>
    <w:rsid w:val="00E05FB5"/>
    <w:rsid w:val="00E12B74"/>
    <w:rsid w:val="00E1664B"/>
    <w:rsid w:val="00E25E44"/>
    <w:rsid w:val="00E265CF"/>
    <w:rsid w:val="00E30D12"/>
    <w:rsid w:val="00E3394E"/>
    <w:rsid w:val="00E35241"/>
    <w:rsid w:val="00E41417"/>
    <w:rsid w:val="00E42FAA"/>
    <w:rsid w:val="00E46048"/>
    <w:rsid w:val="00E520B0"/>
    <w:rsid w:val="00E52632"/>
    <w:rsid w:val="00E536D3"/>
    <w:rsid w:val="00E57BE2"/>
    <w:rsid w:val="00E62A95"/>
    <w:rsid w:val="00E6373C"/>
    <w:rsid w:val="00E667E0"/>
    <w:rsid w:val="00E72301"/>
    <w:rsid w:val="00E746A2"/>
    <w:rsid w:val="00E901D7"/>
    <w:rsid w:val="00E90D06"/>
    <w:rsid w:val="00E97CCF"/>
    <w:rsid w:val="00E97E59"/>
    <w:rsid w:val="00EA4AC6"/>
    <w:rsid w:val="00EA79C9"/>
    <w:rsid w:val="00EB0B17"/>
    <w:rsid w:val="00EB66AC"/>
    <w:rsid w:val="00EC1225"/>
    <w:rsid w:val="00EC2247"/>
    <w:rsid w:val="00ED45D4"/>
    <w:rsid w:val="00ED6894"/>
    <w:rsid w:val="00ED6F94"/>
    <w:rsid w:val="00ED7865"/>
    <w:rsid w:val="00EE1F87"/>
    <w:rsid w:val="00EE3931"/>
    <w:rsid w:val="00EE5AF6"/>
    <w:rsid w:val="00EF2CEF"/>
    <w:rsid w:val="00EF588F"/>
    <w:rsid w:val="00F0303E"/>
    <w:rsid w:val="00F1092D"/>
    <w:rsid w:val="00F219D5"/>
    <w:rsid w:val="00F42C20"/>
    <w:rsid w:val="00F431D8"/>
    <w:rsid w:val="00F627FE"/>
    <w:rsid w:val="00F63E8D"/>
    <w:rsid w:val="00F671B4"/>
    <w:rsid w:val="00F67706"/>
    <w:rsid w:val="00F81FE3"/>
    <w:rsid w:val="00F867D8"/>
    <w:rsid w:val="00F87DDC"/>
    <w:rsid w:val="00F90F82"/>
    <w:rsid w:val="00F92D75"/>
    <w:rsid w:val="00F97327"/>
    <w:rsid w:val="00FA296F"/>
    <w:rsid w:val="00FA7323"/>
    <w:rsid w:val="00FB043B"/>
    <w:rsid w:val="00FB1299"/>
    <w:rsid w:val="00FB572D"/>
    <w:rsid w:val="00FC32D3"/>
    <w:rsid w:val="00FD06EC"/>
    <w:rsid w:val="00FD4D82"/>
    <w:rsid w:val="00FD6509"/>
    <w:rsid w:val="00FE4E98"/>
    <w:rsid w:val="00FE571F"/>
    <w:rsid w:val="00FE57AE"/>
    <w:rsid w:val="1AEA1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D9178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ibliography">
    <w:name w:val="Bibliography"/>
    <w:basedOn w:val="Normal"/>
    <w:next w:val="Normal"/>
    <w:uiPriority w:val="37"/>
    <w:unhideWhenUsed/>
    <w:rsid w:val="00665529"/>
    <w:pPr>
      <w:spacing w:line="480" w:lineRule="auto"/>
      <w:ind w:left="0" w:firstLine="432"/>
    </w:pPr>
    <w:rPr>
      <w:rFonts w:ascii="Times New Roman" w:eastAsia="Times New Roman" w:hAnsi="Times New Roman" w:cs="Times New Roman"/>
      <w:sz w:val="24"/>
      <w:szCs w:val="20"/>
    </w:rPr>
  </w:style>
  <w:style w:type="character" w:styleId="EndnoteReference">
    <w:name w:val="endnote reference"/>
    <w:basedOn w:val="DefaultParagraphFont"/>
    <w:uiPriority w:val="99"/>
    <w:unhideWhenUsed/>
    <w:rsid w:val="00665529"/>
    <w:rPr>
      <w:vertAlign w:val="superscript"/>
    </w:rPr>
  </w:style>
  <w:style w:type="character" w:customStyle="1" w:styleId="UnresolvedMention1">
    <w:name w:val="Unresolved Mention1"/>
    <w:basedOn w:val="DefaultParagraphFont"/>
    <w:uiPriority w:val="99"/>
    <w:semiHidden/>
    <w:unhideWhenUsed/>
    <w:rsid w:val="00A5080A"/>
    <w:rPr>
      <w:color w:val="808080"/>
      <w:shd w:val="clear" w:color="auto" w:fill="E6E6E6"/>
    </w:rPr>
  </w:style>
  <w:style w:type="character" w:styleId="Emphasis">
    <w:name w:val="Emphasis"/>
    <w:basedOn w:val="DefaultParagraphFont"/>
    <w:uiPriority w:val="20"/>
    <w:qFormat/>
    <w:rsid w:val="00E901D7"/>
    <w:rPr>
      <w:i/>
      <w:iCs/>
    </w:rPr>
  </w:style>
  <w:style w:type="character" w:customStyle="1" w:styleId="Heading1Char">
    <w:name w:val="Heading 1 Char"/>
    <w:basedOn w:val="DefaultParagraphFont"/>
    <w:link w:val="Heading1"/>
    <w:uiPriority w:val="9"/>
    <w:rsid w:val="00D9178F"/>
    <w:rPr>
      <w:rFonts w:asciiTheme="majorHAnsi" w:eastAsiaTheme="majorEastAsia" w:hAnsiTheme="majorHAnsi" w:cstheme="majorBidi"/>
      <w:color w:val="365F91" w:themeColor="accent1" w:themeShade="BF"/>
      <w:sz w:val="32"/>
      <w:szCs w:val="32"/>
    </w:rPr>
  </w:style>
  <w:style w:type="character" w:customStyle="1" w:styleId="title-text">
    <w:name w:val="title-text"/>
    <w:basedOn w:val="DefaultParagraphFont"/>
    <w:rsid w:val="00D9178F"/>
  </w:style>
  <w:style w:type="paragraph" w:customStyle="1" w:styleId="EndNoteBibliographyTitle">
    <w:name w:val="EndNote Bibliography Title"/>
    <w:basedOn w:val="Normal"/>
    <w:link w:val="EndNoteBibliographyTitleChar"/>
    <w:rsid w:val="00A73537"/>
    <w:pPr>
      <w:jc w:val="center"/>
    </w:pPr>
    <w:rPr>
      <w:rFonts w:ascii="Calibri" w:hAnsi="Calibri" w:cs="Calibri"/>
      <w:noProof/>
    </w:rPr>
  </w:style>
  <w:style w:type="character" w:customStyle="1" w:styleId="EndNoteBibliographyTitleChar">
    <w:name w:val="EndNote Bibliography Title Char"/>
    <w:basedOn w:val="ListParagraphChar"/>
    <w:link w:val="EndNoteBibliographyTitle"/>
    <w:rsid w:val="00A73537"/>
    <w:rPr>
      <w:rFonts w:ascii="Calibri" w:eastAsiaTheme="minorEastAsia" w:hAnsi="Calibri" w:cs="Calibri"/>
      <w:noProof/>
    </w:rPr>
  </w:style>
  <w:style w:type="paragraph" w:customStyle="1" w:styleId="EndNoteBibliography">
    <w:name w:val="EndNote Bibliography"/>
    <w:basedOn w:val="Normal"/>
    <w:link w:val="EndNoteBibliographyChar"/>
    <w:rsid w:val="00A73537"/>
    <w:pPr>
      <w:numPr>
        <w:numId w:val="12"/>
      </w:numPr>
    </w:pPr>
    <w:rPr>
      <w:rFonts w:ascii="Calibri" w:hAnsi="Calibri" w:cs="Calibri"/>
      <w:noProof/>
    </w:rPr>
  </w:style>
  <w:style w:type="character" w:customStyle="1" w:styleId="EndNoteBibliographyChar">
    <w:name w:val="EndNote Bibliography Char"/>
    <w:basedOn w:val="ListParagraphChar"/>
    <w:link w:val="EndNoteBibliography"/>
    <w:rsid w:val="00A73537"/>
    <w:rPr>
      <w:rFonts w:ascii="Calibri" w:eastAsiaTheme="minorEastAsia" w:hAnsi="Calibri" w:cs="Calibri"/>
      <w:noProof/>
    </w:rPr>
  </w:style>
  <w:style w:type="character" w:customStyle="1" w:styleId="UnresolvedMention2">
    <w:name w:val="Unresolved Mention2"/>
    <w:basedOn w:val="DefaultParagraphFont"/>
    <w:uiPriority w:val="99"/>
    <w:semiHidden/>
    <w:unhideWhenUsed/>
    <w:rsid w:val="001C5894"/>
    <w:rPr>
      <w:color w:val="808080"/>
      <w:shd w:val="clear" w:color="auto" w:fill="E6E6E6"/>
    </w:rPr>
  </w:style>
  <w:style w:type="character" w:styleId="UnresolvedMention">
    <w:name w:val="Unresolved Mention"/>
    <w:basedOn w:val="DefaultParagraphFont"/>
    <w:uiPriority w:val="99"/>
    <w:semiHidden/>
    <w:unhideWhenUsed/>
    <w:rsid w:val="00ED6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721858">
      <w:bodyDiv w:val="1"/>
      <w:marLeft w:val="0"/>
      <w:marRight w:val="0"/>
      <w:marTop w:val="0"/>
      <w:marBottom w:val="0"/>
      <w:divBdr>
        <w:top w:val="none" w:sz="0" w:space="0" w:color="auto"/>
        <w:left w:val="none" w:sz="0" w:space="0" w:color="auto"/>
        <w:bottom w:val="none" w:sz="0" w:space="0" w:color="auto"/>
        <w:right w:val="none" w:sz="0" w:space="0" w:color="auto"/>
      </w:divBdr>
    </w:div>
    <w:div w:id="120228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ms.gov/Medicare/Provider-Enrollment-and-Certification/SurveyCertificationGenInfo/Downloads/Survey-and-Cert-Letter-14-15.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ihi.org/resources/Pages/Tools/HowtoGuidePreventHarmfromHighAlertMedications.asp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A33EF"/>
    <w:rsid w:val="00160241"/>
    <w:rsid w:val="001F47A0"/>
    <w:rsid w:val="00220DD3"/>
    <w:rsid w:val="00234568"/>
    <w:rsid w:val="002B5F47"/>
    <w:rsid w:val="002E4B00"/>
    <w:rsid w:val="00311138"/>
    <w:rsid w:val="003A1E4B"/>
    <w:rsid w:val="0042219A"/>
    <w:rsid w:val="00455EB5"/>
    <w:rsid w:val="00461C1C"/>
    <w:rsid w:val="004D333A"/>
    <w:rsid w:val="004E2027"/>
    <w:rsid w:val="00514081"/>
    <w:rsid w:val="00515258"/>
    <w:rsid w:val="005F21F3"/>
    <w:rsid w:val="006B7B8E"/>
    <w:rsid w:val="006D7AB2"/>
    <w:rsid w:val="006E322E"/>
    <w:rsid w:val="007C5B87"/>
    <w:rsid w:val="007C7485"/>
    <w:rsid w:val="00885DD9"/>
    <w:rsid w:val="008F6A9B"/>
    <w:rsid w:val="009321E7"/>
    <w:rsid w:val="009F7F4F"/>
    <w:rsid w:val="00A36C93"/>
    <w:rsid w:val="00A77B15"/>
    <w:rsid w:val="00B04720"/>
    <w:rsid w:val="00BE0F2D"/>
    <w:rsid w:val="00C03643"/>
    <w:rsid w:val="00C2797F"/>
    <w:rsid w:val="00C80225"/>
    <w:rsid w:val="00C96D75"/>
    <w:rsid w:val="00D228C9"/>
    <w:rsid w:val="00D22CBE"/>
    <w:rsid w:val="00D2552B"/>
    <w:rsid w:val="00D75B64"/>
    <w:rsid w:val="00DB5324"/>
    <w:rsid w:val="00E97654"/>
    <w:rsid w:val="00EA555A"/>
    <w:rsid w:val="00F0280B"/>
    <w:rsid w:val="00F37985"/>
    <w:rsid w:val="00F77CE4"/>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68998FC033B194987EF95EF3DA8E2B5" ma:contentTypeVersion="4" ma:contentTypeDescription="Create a new document." ma:contentTypeScope="" ma:versionID="4a68e8511b4d19a23d52a2ee86db3591">
  <xsd:schema xmlns:xsd="http://www.w3.org/2001/XMLSchema" xmlns:xs="http://www.w3.org/2001/XMLSchema" xmlns:p="http://schemas.microsoft.com/office/2006/metadata/properties" xmlns:ns2="7f902d32-42e3-4ad9-a434-debda0c1ef44" targetNamespace="http://schemas.microsoft.com/office/2006/metadata/properties" ma:root="true" ma:fieldsID="20b22de5a888a0f302fe0c357ab8ae7b" ns2:_="">
    <xsd:import namespace="7f902d32-42e3-4ad9-a434-debda0c1ef4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02d32-42e3-4ad9-a434-debda0c1ef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2CDBE7-7F08-4F52-B308-EE351D989842}">
  <ds:schemaRefs>
    <ds:schemaRef ds:uri="http://purl.org/dc/elements/1.1/"/>
    <ds:schemaRef ds:uri="http://purl.org/dc/dcmitype/"/>
    <ds:schemaRef ds:uri="http://schemas.microsoft.com/office/infopath/2007/PartnerControls"/>
    <ds:schemaRef ds:uri="7f902d32-42e3-4ad9-a434-debda0c1ef44"/>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34980CED-6665-4B8B-A5B0-2A0E95995676}">
  <ds:schemaRefs>
    <ds:schemaRef ds:uri="http://schemas.openxmlformats.org/officeDocument/2006/bibliography"/>
  </ds:schemaRefs>
</ds:datastoreItem>
</file>

<file path=customXml/itemProps4.xml><?xml version="1.0" encoding="utf-8"?>
<ds:datastoreItem xmlns:ds="http://schemas.openxmlformats.org/officeDocument/2006/customXml" ds:itemID="{C6C60E92-6EFF-4072-9FB0-EA2D165B4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02d32-42e3-4ad9-a434-debda0c1ef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2615</Words>
  <Characters>14911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Stacie Schilling</cp:lastModifiedBy>
  <cp:revision>3</cp:revision>
  <dcterms:created xsi:type="dcterms:W3CDTF">2021-04-01T17:59:00Z</dcterms:created>
  <dcterms:modified xsi:type="dcterms:W3CDTF">2021-04-01T18:01:00Z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0x010100568998FC033B194987EF95EF3DA8E2B5</vt:lpwstr>
  </property>
  <property fmtid="{D5CDD505-2E9C-101B-9397-08002B2CF9AE}" pid="3" name="_dlc_DocIdItemGuid">
    <vt:lpwstr>788dd678-7011-458e-9033-e1efd4d086a0</vt:lpwstr>
  </property>
  <property fmtid="{D5CDD505-2E9C-101B-9397-08002B2CF9AE}" pid="4" name="Order">
    <vt:r8>29800</vt:r8>
  </property>
</Properties>
</file>