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2E87BFE3"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327EDA">
            <w:rPr>
              <w:rStyle w:val="Style1"/>
            </w:rPr>
            <w:t>2634</w:t>
          </w:r>
        </w:sdtContent>
      </w:sdt>
    </w:p>
    <w:p w14:paraId="0CABCF56" w14:textId="4392E5AC"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highlight w:val="yellow"/>
              </w:rPr>
              <w:id w:val="-926188360"/>
              <w:placeholder>
                <w:docPart w:val="BAD4651A73934A0DA7A3795D04725C31"/>
              </w:placeholder>
            </w:sdtPr>
            <w:sdtEndPr>
              <w:rPr>
                <w:rStyle w:val="DefaultParagraphFont"/>
                <w:noProof/>
                <w:color w:val="auto"/>
                <w:highlight w:val="none"/>
              </w:rPr>
            </w:sdtEndPr>
            <w:sdtContent>
              <w:r w:rsidR="00327EDA" w:rsidRPr="00673F1F">
                <w:rPr>
                  <w:rFonts w:cstheme="minorHAnsi"/>
                  <w:color w:val="0000FF"/>
                </w:rPr>
                <w:t xml:space="preserve">Inpatient Rehabilitation Facility (IRF) Functional Outcome Measure: Change in </w:t>
              </w:r>
              <w:r w:rsidR="00327EDA">
                <w:rPr>
                  <w:rFonts w:cstheme="minorHAnsi"/>
                  <w:color w:val="0000FF"/>
                </w:rPr>
                <w:t xml:space="preserve">Mobility </w:t>
              </w:r>
              <w:r w:rsidR="00327EDA" w:rsidRPr="00673F1F">
                <w:rPr>
                  <w:rFonts w:cstheme="minorHAnsi"/>
                  <w:color w:val="0000FF"/>
                </w:rPr>
                <w:t>Score for Medical Rehabilitation Patients</w:t>
              </w:r>
            </w:sdtContent>
          </w:sdt>
        </w:sdtContent>
      </w:sdt>
    </w:p>
    <w:p w14:paraId="0CABCF57" w14:textId="146EADDF" w:rsidR="005C73CA" w:rsidRPr="00450C58" w:rsidRDefault="00105D8B" w:rsidP="009E1846">
      <w:pPr>
        <w:spacing w:after="0"/>
        <w:rPr>
          <w:rStyle w:val="Style2"/>
          <w:rFonts w:cstheme="minorHAnsi"/>
        </w:rPr>
      </w:pPr>
      <w:r w:rsidRPr="00450C58">
        <w:rPr>
          <w:rFonts w:cstheme="minorHAnsi"/>
          <w:b/>
          <w:noProof/>
        </w:rPr>
        <w:t>Date of Submission</w:t>
      </w:r>
      <w:r w:rsidRPr="00367AFE">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D7261C" w:rsidRPr="00367AFE">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1151F9E7" w:rsidR="000B7D57" w:rsidRPr="00C775CE" w:rsidRDefault="00DF56AE"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327EDA">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DF56AE"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DF56AE"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DF56AE"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DF56AE"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DF56AE"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DF56A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46B61712" w:rsidR="00145149" w:rsidRPr="000F034A" w:rsidRDefault="00145149" w:rsidP="00145149">
            <w:pPr>
              <w:rPr>
                <w:rFonts w:cstheme="minorHAnsi"/>
              </w:rPr>
            </w:pPr>
            <w:r w:rsidRPr="000F034A">
              <w:rPr>
                <w:rFonts w:cstheme="minorHAnsi"/>
                <w:b/>
                <w:bCs/>
              </w:rPr>
              <w:lastRenderedPageBreak/>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w:t>
            </w:r>
            <w:r w:rsidR="00145149" w:rsidRPr="00A831B4">
              <w:rPr>
                <w:rFonts w:cstheme="minorHAnsi"/>
                <w:sz w:val="20"/>
                <w:szCs w:val="20"/>
              </w:rPr>
              <w:lastRenderedPageBreak/>
              <w:t>$5,025)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DF56AE"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DF56AE"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DF56AE"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DF56AE"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DF56AE"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DF56AE"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DF56AE"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DF56AE"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DF56A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DF56A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6E1189F5" w:rsidR="00A01494" w:rsidRPr="000F1B7A" w:rsidRDefault="00DF56AE"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5C684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834251992"/>
                <w:text/>
              </w:sdtPr>
              <w:sdtEndPr/>
              <w:sdtContent>
                <w:r w:rsidR="005C6843" w:rsidRPr="005C6843">
                  <w:rPr>
                    <w:rFonts w:cs="Calibri"/>
                    <w:color w:val="0000FF"/>
                  </w:rPr>
                  <w:t>Inpatient Rehabilitation Facility Patient Assessment Instrument (IRF-PAI)</w:t>
                </w:r>
              </w:sdtContent>
            </w:sdt>
          </w:p>
        </w:tc>
        <w:tc>
          <w:tcPr>
            <w:tcW w:w="4847" w:type="dxa"/>
          </w:tcPr>
          <w:p w14:paraId="0CABCFAB" w14:textId="00235639" w:rsidR="00A01494" w:rsidRPr="000F1B7A" w:rsidRDefault="00DF56AE"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sidR="005C684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Fonts w:cs="Calibri"/>
                  <w:color w:val="0000FF"/>
                </w:rPr>
                <w:id w:val="1976178076"/>
                <w:text/>
              </w:sdtPr>
              <w:sdtEndPr/>
              <w:sdtContent>
                <w:r w:rsidR="005C6843" w:rsidRPr="005C6843">
                  <w:rPr>
                    <w:rFonts w:cs="Calibri"/>
                    <w:color w:val="0000FF"/>
                  </w:rPr>
                  <w:t>Inpatient Rehabilitation Facility Patient Assessment Instrument (IRF-PAI)</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13AD27A5" w:rsidR="009E1846" w:rsidRDefault="009E1846" w:rsidP="00DB3627">
      <w:pPr>
        <w:autoSpaceDE w:val="0"/>
        <w:autoSpaceDN w:val="0"/>
        <w:adjustRightInd w:val="0"/>
        <w:spacing w:after="0" w:line="240" w:lineRule="auto"/>
        <w:rPr>
          <w:rFonts w:cstheme="minorHAnsi"/>
          <w:b/>
        </w:rPr>
      </w:pPr>
    </w:p>
    <w:p w14:paraId="1B963FB8" w14:textId="0C1A2296" w:rsidR="005C6843" w:rsidRDefault="005C6843" w:rsidP="005C6843">
      <w:pPr>
        <w:autoSpaceDE w:val="0"/>
        <w:autoSpaceDN w:val="0"/>
        <w:adjustRightInd w:val="0"/>
        <w:spacing w:after="0" w:line="240" w:lineRule="auto"/>
        <w:rPr>
          <w:rStyle w:val="Hyperlink"/>
        </w:rPr>
      </w:pPr>
      <w:r w:rsidRPr="000C18E4">
        <w:rPr>
          <w:rFonts w:ascii="Calibri" w:eastAsia="Calibri" w:hAnsi="Calibri" w:cs="Times New Roman"/>
          <w:color w:val="0000FF"/>
        </w:rPr>
        <w:t>T</w:t>
      </w:r>
      <w:r>
        <w:rPr>
          <w:rFonts w:ascii="Calibri" w:eastAsia="Calibri" w:hAnsi="Calibri" w:cs="Times New Roman"/>
          <w:color w:val="0000FF"/>
        </w:rPr>
        <w:t>h</w:t>
      </w:r>
      <w:r w:rsidRPr="000C18E4">
        <w:rPr>
          <w:rFonts w:ascii="Calibri" w:eastAsia="Calibri" w:hAnsi="Calibri" w:cs="Times New Roman"/>
          <w:color w:val="0000FF"/>
        </w:rPr>
        <w:t xml:space="preserve">e </w:t>
      </w:r>
      <w:r>
        <w:rPr>
          <w:rFonts w:ascii="Calibri" w:eastAsia="Calibri" w:hAnsi="Calibri" w:cs="Times New Roman"/>
          <w:color w:val="0000FF"/>
        </w:rPr>
        <w:t xml:space="preserve">primary </w:t>
      </w:r>
      <w:r w:rsidRPr="000C18E4">
        <w:rPr>
          <w:rFonts w:ascii="Calibri" w:eastAsia="Calibri" w:hAnsi="Calibri" w:cs="Times New Roman"/>
          <w:color w:val="0000FF"/>
        </w:rPr>
        <w:t xml:space="preserve">dataset used for </w:t>
      </w:r>
      <w:r w:rsidR="007C31DB">
        <w:rPr>
          <w:rFonts w:ascii="Calibri" w:eastAsia="Calibri" w:hAnsi="Calibri" w:cs="Times New Roman"/>
          <w:color w:val="0000FF"/>
        </w:rPr>
        <w:t xml:space="preserve">calculating </w:t>
      </w:r>
      <w:r w:rsidRPr="000C18E4">
        <w:rPr>
          <w:rFonts w:ascii="Calibri" w:eastAsia="Calibri" w:hAnsi="Calibri" w:cs="Times New Roman"/>
          <w:color w:val="0000FF"/>
        </w:rPr>
        <w:t xml:space="preserve">this </w:t>
      </w:r>
      <w:r w:rsidR="0093624C">
        <w:rPr>
          <w:rFonts w:ascii="Calibri" w:eastAsia="Calibri" w:hAnsi="Calibri" w:cs="Times New Roman"/>
          <w:color w:val="0000FF"/>
        </w:rPr>
        <w:t>performance</w:t>
      </w:r>
      <w:r w:rsidRPr="000C18E4">
        <w:rPr>
          <w:rFonts w:ascii="Calibri" w:eastAsia="Calibri" w:hAnsi="Calibri" w:cs="Times New Roman"/>
          <w:color w:val="0000FF"/>
        </w:rPr>
        <w:t xml:space="preserve"> measure </w:t>
      </w:r>
      <w:r>
        <w:rPr>
          <w:rFonts w:ascii="Calibri" w:eastAsia="Calibri" w:hAnsi="Calibri" w:cs="Times New Roman"/>
          <w:color w:val="0000FF"/>
        </w:rPr>
        <w:t>was the</w:t>
      </w:r>
      <w:r w:rsidRPr="00C73AB2">
        <w:rPr>
          <w:rFonts w:ascii="Calibri" w:eastAsia="Calibri" w:hAnsi="Calibri" w:cs="Times New Roman"/>
          <w:color w:val="0000FF"/>
        </w:rPr>
        <w:t xml:space="preserve"> National </w:t>
      </w:r>
      <w:r w:rsidR="00D258A7" w:rsidRPr="005C6843">
        <w:rPr>
          <w:rFonts w:cs="Calibri"/>
          <w:color w:val="0000FF"/>
        </w:rPr>
        <w:t xml:space="preserve">Inpatient Rehabilitation Facility Patient Assessment Instrument </w:t>
      </w:r>
      <w:r w:rsidR="00D258A7">
        <w:rPr>
          <w:rFonts w:cs="Calibri"/>
          <w:color w:val="0000FF"/>
        </w:rPr>
        <w:t>(</w:t>
      </w:r>
      <w:r w:rsidRPr="00C73AB2">
        <w:rPr>
          <w:rFonts w:ascii="Calibri" w:eastAsia="Calibri" w:hAnsi="Calibri" w:cs="Times New Roman"/>
          <w:color w:val="0000FF"/>
        </w:rPr>
        <w:t>IRF-PAI</w:t>
      </w:r>
      <w:r w:rsidR="00D258A7">
        <w:rPr>
          <w:rFonts w:ascii="Calibri" w:eastAsia="Calibri" w:hAnsi="Calibri" w:cs="Times New Roman"/>
          <w:color w:val="0000FF"/>
        </w:rPr>
        <w:t>)</w:t>
      </w:r>
      <w:r w:rsidRPr="00C73AB2">
        <w:rPr>
          <w:rFonts w:ascii="Calibri" w:eastAsia="Calibri" w:hAnsi="Calibri" w:cs="Times New Roman"/>
          <w:color w:val="0000FF"/>
        </w:rPr>
        <w:t xml:space="preserve"> data</w:t>
      </w:r>
      <w:r>
        <w:rPr>
          <w:rFonts w:ascii="Calibri" w:eastAsia="Calibri" w:hAnsi="Calibri" w:cs="Times New Roman"/>
          <w:color w:val="0000FF"/>
        </w:rPr>
        <w:t xml:space="preserve">. A copy of the IRF-PAI can be found on the following website: </w:t>
      </w:r>
      <w:hyperlink r:id="rId13" w:history="1">
        <w:r w:rsidRPr="00C73AB2">
          <w:rPr>
            <w:rStyle w:val="Hyperlink"/>
          </w:rPr>
          <w:t>https://www.cms.gov/Medicare/Quality-Initiatives-Patient-Assessment-Instruments/IRF-Quality-Reporting/IRF-PAI-and-IRF-QRP-Manual.html</w:t>
        </w:r>
      </w:hyperlink>
    </w:p>
    <w:p w14:paraId="74D6AAFF" w14:textId="46952F27" w:rsidR="005C6843" w:rsidRDefault="005C6843" w:rsidP="00DB3627">
      <w:pPr>
        <w:autoSpaceDE w:val="0"/>
        <w:autoSpaceDN w:val="0"/>
        <w:adjustRightInd w:val="0"/>
        <w:spacing w:after="0" w:line="240" w:lineRule="auto"/>
        <w:rPr>
          <w:rFonts w:cstheme="minorHAnsi"/>
          <w:b/>
        </w:rPr>
      </w:pPr>
    </w:p>
    <w:p w14:paraId="792C0654" w14:textId="77777777" w:rsidR="007C31DB" w:rsidRPr="00DD208F" w:rsidRDefault="007C31DB" w:rsidP="00696559">
      <w:pPr>
        <w:autoSpaceDE w:val="0"/>
        <w:autoSpaceDN w:val="0"/>
        <w:adjustRightInd w:val="0"/>
        <w:spacing w:after="0" w:line="240" w:lineRule="auto"/>
        <w:rPr>
          <w:rFonts w:cstheme="minorHAnsi"/>
          <w:color w:val="0000FF"/>
        </w:rPr>
      </w:pPr>
      <w:r w:rsidRPr="00DD208F">
        <w:rPr>
          <w:rFonts w:cstheme="minorHAnsi"/>
          <w:color w:val="0000FF"/>
        </w:rPr>
        <w:t xml:space="preserve">We used two additional data sources for measure testing only to provide facility and patient-level characteristics not available in the IRF-PAI. These sources are not used for quality measure calculation: </w:t>
      </w:r>
    </w:p>
    <w:p w14:paraId="5AF65859" w14:textId="77777777" w:rsidR="007C31DB" w:rsidRDefault="007C31DB" w:rsidP="00696559">
      <w:pPr>
        <w:autoSpaceDE w:val="0"/>
        <w:autoSpaceDN w:val="0"/>
        <w:adjustRightInd w:val="0"/>
        <w:spacing w:after="0" w:line="240" w:lineRule="auto"/>
        <w:rPr>
          <w:color w:val="0000FF"/>
        </w:rPr>
      </w:pPr>
    </w:p>
    <w:p w14:paraId="5635999D" w14:textId="0BEC5B64" w:rsidR="00696559" w:rsidRDefault="00696559" w:rsidP="00696559">
      <w:pPr>
        <w:autoSpaceDE w:val="0"/>
        <w:autoSpaceDN w:val="0"/>
        <w:adjustRightInd w:val="0"/>
        <w:spacing w:after="0" w:line="240" w:lineRule="auto"/>
        <w:rPr>
          <w:rFonts w:eastAsia="Calibri" w:cstheme="minorHAnsi"/>
          <w:color w:val="0000FF"/>
        </w:rPr>
      </w:pPr>
      <w:r>
        <w:rPr>
          <w:color w:val="0000FF"/>
        </w:rPr>
        <w:t>For analyses that involved facility characteristics, we used the Provider of Service file</w:t>
      </w:r>
      <w:r w:rsidRPr="00CC0D5F">
        <w:rPr>
          <w:rFonts w:eastAsia="Calibri" w:cstheme="minorHAnsi"/>
          <w:color w:val="0000FF"/>
        </w:rPr>
        <w:t>.</w:t>
      </w:r>
    </w:p>
    <w:p w14:paraId="2C4A6C2A" w14:textId="37A841DF" w:rsidR="00FD6236" w:rsidRPr="007C31DB" w:rsidRDefault="00FD6236" w:rsidP="00FD6236">
      <w:pPr>
        <w:numPr>
          <w:ilvl w:val="0"/>
          <w:numId w:val="35"/>
        </w:numPr>
        <w:autoSpaceDE w:val="0"/>
        <w:autoSpaceDN w:val="0"/>
        <w:adjustRightInd w:val="0"/>
        <w:spacing w:before="80" w:after="80" w:line="280" w:lineRule="atLeast"/>
        <w:rPr>
          <w:color w:val="0000FF"/>
        </w:rPr>
      </w:pPr>
      <w:bookmarkStart w:id="11" w:name="_Hlk520805728"/>
      <w:r w:rsidRPr="00294D20">
        <w:rPr>
          <w:b/>
          <w:color w:val="0000FF"/>
        </w:rPr>
        <w:t xml:space="preserve">Provider of Services Current Files (POS File): </w:t>
      </w:r>
      <w:r w:rsidRPr="00294D20">
        <w:rPr>
          <w:color w:val="0000FF"/>
        </w:rPr>
        <w:t xml:space="preserve">We used the POS file to describe the characteristics of IRFs, such as census region, ownership type, and rurality, reported in </w:t>
      </w:r>
      <w:r w:rsidRPr="00294D20">
        <w:rPr>
          <w:b/>
          <w:bCs/>
          <w:color w:val="0000FF"/>
        </w:rPr>
        <w:t>Table 1</w:t>
      </w:r>
      <w:r w:rsidRPr="00294D20">
        <w:rPr>
          <w:color w:val="0000FF"/>
        </w:rPr>
        <w:t xml:space="preserve">. The POS file contains data on characteristics of hospitals and other types of healthcare facilities, including the name and address of the facility and the type of Medicare services the facility provides, among other information. The data are collected through the CMS Regional Offices. General information about the POS Files is available at:  </w:t>
      </w:r>
      <w:hyperlink r:id="rId14" w:history="1">
        <w:r w:rsidRPr="00294D20">
          <w:rPr>
            <w:rStyle w:val="Hyperlink"/>
            <w:color w:val="0000FF"/>
          </w:rPr>
          <w:t>https://www.cms.gov/Research-Statistics-Data-and-Systems/Downloadable-Public-Use-Files/Provider-of-Services/index.html</w:t>
        </w:r>
      </w:hyperlink>
      <w:bookmarkEnd w:id="11"/>
      <w:r w:rsidRPr="00294D20">
        <w:rPr>
          <w:rFonts w:cstheme="minorHAnsi"/>
          <w:bCs/>
          <w:color w:val="0000FF"/>
        </w:rPr>
        <w:t>.</w:t>
      </w:r>
    </w:p>
    <w:p w14:paraId="4CF3E54C" w14:textId="77777777" w:rsidR="007C31DB" w:rsidRPr="00294D20" w:rsidRDefault="007C31DB" w:rsidP="00DD208F">
      <w:pPr>
        <w:autoSpaceDE w:val="0"/>
        <w:autoSpaceDN w:val="0"/>
        <w:adjustRightInd w:val="0"/>
        <w:spacing w:before="80" w:after="80" w:line="280" w:lineRule="atLeast"/>
        <w:ind w:left="360"/>
        <w:rPr>
          <w:color w:val="0000FF"/>
        </w:rPr>
      </w:pPr>
    </w:p>
    <w:p w14:paraId="595692C1" w14:textId="43B073EB" w:rsidR="0064525F" w:rsidRPr="00DD208F" w:rsidRDefault="0064525F" w:rsidP="00DD208F">
      <w:pPr>
        <w:autoSpaceDE w:val="0"/>
        <w:autoSpaceDN w:val="0"/>
        <w:adjustRightInd w:val="0"/>
        <w:spacing w:before="80" w:after="80" w:line="280" w:lineRule="atLeast"/>
        <w:rPr>
          <w:rFonts w:cstheme="minorHAnsi"/>
        </w:rPr>
      </w:pPr>
      <w:r w:rsidRPr="00DD208F">
        <w:rPr>
          <w:color w:val="0000FF"/>
        </w:rPr>
        <w:t xml:space="preserve">As described in more detail below in section 2b3.4b., this performance measure does not adjust for social risk factors. However, we have conducted testing of social risk factors, and for this testing, we </w:t>
      </w:r>
      <w:r w:rsidRPr="00DD208F">
        <w:rPr>
          <w:color w:val="0000FF"/>
        </w:rPr>
        <w:lastRenderedPageBreak/>
        <w:t xml:space="preserve">used data from the </w:t>
      </w:r>
      <w:r w:rsidRPr="00DD208F">
        <w:rPr>
          <w:rFonts w:eastAsia="Calibri" w:cstheme="minorHAnsi"/>
          <w:color w:val="0000FF"/>
        </w:rPr>
        <w:t xml:space="preserve">Integrated Data Repository (IDR) file to capture patients’ dual eligibility status. We extracted dual eligibility data from the IDR and added this variable to our primary dataset, the IRF-PAI: </w:t>
      </w:r>
    </w:p>
    <w:p w14:paraId="3DDB51A1" w14:textId="3EA9491C" w:rsidR="0064525F" w:rsidRPr="00DD208F" w:rsidRDefault="00FD6236" w:rsidP="00FD6236">
      <w:pPr>
        <w:numPr>
          <w:ilvl w:val="0"/>
          <w:numId w:val="35"/>
        </w:numPr>
        <w:autoSpaceDE w:val="0"/>
        <w:autoSpaceDN w:val="0"/>
        <w:adjustRightInd w:val="0"/>
        <w:spacing w:before="80" w:after="80" w:line="280" w:lineRule="atLeast"/>
        <w:rPr>
          <w:rFonts w:cstheme="minorHAnsi"/>
          <w:color w:val="0000FF"/>
        </w:rPr>
      </w:pPr>
      <w:r w:rsidRPr="00DD208F">
        <w:rPr>
          <w:rFonts w:cstheme="minorHAnsi"/>
          <w:b/>
          <w:color w:val="0000FF"/>
        </w:rPr>
        <w:t xml:space="preserve">Beneficiary Fact table (V2_MDCR_BENE_FCT) from the Integrated Data Repository (IDR): </w:t>
      </w:r>
      <w:r w:rsidR="0064525F" w:rsidRPr="00DD208F">
        <w:rPr>
          <w:rFonts w:cstheme="minorHAnsi"/>
          <w:color w:val="0000FF"/>
        </w:rPr>
        <w:t>CMS maintains the Integrated Data Repository (IDR), a high-volume data warehouse integrating Parts A, B, C, D, and DME claims, beneficiary and provider data sources, along with ancillary data such as contract information and risk scores.</w:t>
      </w:r>
    </w:p>
    <w:p w14:paraId="3E244C91" w14:textId="59EEB97E" w:rsidR="00FD6236" w:rsidRPr="00DD208F" w:rsidRDefault="00FD6236" w:rsidP="00FD6236">
      <w:pPr>
        <w:numPr>
          <w:ilvl w:val="0"/>
          <w:numId w:val="35"/>
        </w:numPr>
        <w:autoSpaceDE w:val="0"/>
        <w:autoSpaceDN w:val="0"/>
        <w:adjustRightInd w:val="0"/>
        <w:spacing w:before="80" w:after="80" w:line="280" w:lineRule="atLeast"/>
        <w:rPr>
          <w:rFonts w:cstheme="minorHAnsi"/>
          <w:color w:val="0000FF"/>
        </w:rPr>
      </w:pPr>
      <w:r w:rsidRPr="00DD208F">
        <w:rPr>
          <w:rFonts w:cstheme="minorHAnsi"/>
          <w:color w:val="0000FF"/>
        </w:rPr>
        <w:t xml:space="preserve">We used the IDR file to extract information on beneficiary dual eligibility status for social risk factor testing. </w:t>
      </w:r>
      <w:bookmarkStart w:id="12" w:name="_Hlk520883605"/>
      <w:r w:rsidRPr="00DD208F">
        <w:rPr>
          <w:rFonts w:cstheme="minorHAnsi"/>
          <w:color w:val="0000FF"/>
        </w:rPr>
        <w:t>These data are</w:t>
      </w:r>
      <w:bookmarkEnd w:id="12"/>
      <w:r w:rsidRPr="00DD208F">
        <w:rPr>
          <w:rFonts w:cstheme="minorHAnsi"/>
          <w:color w:val="0000FF"/>
        </w:rPr>
        <w:t xml:space="preserve"> submitted by states to CMS and provide a monthly snapshot representing beneficiary characteristics as of set points in time. We used the BENE_DUAL_STUS_CD (Beneficiary Point of Sale Dual Status Code) that identifies the entitlement status for the dual eligible beneficiary. </w:t>
      </w:r>
      <w:r w:rsidR="0064525F" w:rsidRPr="00DD208F">
        <w:rPr>
          <w:rFonts w:cstheme="minorHAnsi"/>
          <w:color w:val="0000FF"/>
        </w:rPr>
        <w:t xml:space="preserve">Missing data is rare and if it is missing for one month’s data then the months before and after can be used. In this analysis, missing data for dual eligibility occurred for &lt; 11 patient stays. </w:t>
      </w:r>
      <w:r w:rsidRPr="00DD208F">
        <w:rPr>
          <w:rFonts w:cstheme="minorHAnsi"/>
          <w:color w:val="0000FF"/>
        </w:rPr>
        <w:t xml:space="preserve">General information about the IDR is available at: </w:t>
      </w:r>
      <w:hyperlink r:id="rId15" w:history="1">
        <w:r w:rsidRPr="00DD208F">
          <w:rPr>
            <w:rStyle w:val="Hyperlink"/>
            <w:color w:val="0000FF"/>
          </w:rPr>
          <w:t>https://www.cms.gov/Research-Statistics-Data-and-Systems/Computer-Data-and-Systems/IDR/</w:t>
        </w:r>
      </w:hyperlink>
      <w:r w:rsidRPr="00DD208F">
        <w:rPr>
          <w:rFonts w:cstheme="minorHAnsi"/>
          <w:color w:val="0000FF"/>
        </w:rPr>
        <w:t>.</w:t>
      </w:r>
    </w:p>
    <w:p w14:paraId="643EBF16" w14:textId="77777777" w:rsidR="00696559" w:rsidRPr="00DD208F" w:rsidRDefault="00696559" w:rsidP="00DB3627">
      <w:pPr>
        <w:autoSpaceDE w:val="0"/>
        <w:autoSpaceDN w:val="0"/>
        <w:adjustRightInd w:val="0"/>
        <w:spacing w:after="0" w:line="240" w:lineRule="auto"/>
        <w:rPr>
          <w:rFonts w:cstheme="minorHAnsi"/>
          <w:b/>
          <w:color w:val="0000FF"/>
        </w:rPr>
      </w:pPr>
    </w:p>
    <w:p w14:paraId="470BF809" w14:textId="77777777" w:rsidR="00D258A7" w:rsidRDefault="002B5016" w:rsidP="00696559">
      <w:pPr>
        <w:autoSpaceDE w:val="0"/>
        <w:autoSpaceDN w:val="0"/>
        <w:adjustRightInd w:val="0"/>
        <w:spacing w:after="0" w:line="240" w:lineRule="auto"/>
        <w:rPr>
          <w:rFonts w:cstheme="minorHAnsi"/>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p>
    <w:p w14:paraId="2F8BB6E4" w14:textId="77777777" w:rsidR="00D258A7" w:rsidRDefault="00D258A7" w:rsidP="00696559">
      <w:pPr>
        <w:autoSpaceDE w:val="0"/>
        <w:autoSpaceDN w:val="0"/>
        <w:adjustRightInd w:val="0"/>
        <w:spacing w:after="0" w:line="240" w:lineRule="auto"/>
        <w:rPr>
          <w:rFonts w:cstheme="minorHAnsi"/>
        </w:rPr>
      </w:pPr>
    </w:p>
    <w:p w14:paraId="02D1AD0B" w14:textId="37CF03B8" w:rsidR="00696559" w:rsidRPr="00A25024" w:rsidRDefault="00DF56AE" w:rsidP="00696559">
      <w:pPr>
        <w:autoSpaceDE w:val="0"/>
        <w:autoSpaceDN w:val="0"/>
        <w:adjustRightInd w:val="0"/>
        <w:spacing w:after="0" w:line="240" w:lineRule="auto"/>
        <w:rPr>
          <w:rFonts w:cstheme="minorHAnsi"/>
          <w:bCs/>
        </w:rPr>
      </w:pPr>
      <w:sdt>
        <w:sdtPr>
          <w:rPr>
            <w:color w:val="0000FF"/>
          </w:rPr>
          <w:id w:val="950514773"/>
          <w:text/>
        </w:sdtPr>
        <w:sdtEndPr/>
        <w:sdtContent>
          <w:r w:rsidR="003A3D0F" w:rsidRPr="003A3D0F">
            <w:rPr>
              <w:color w:val="0000FF"/>
            </w:rPr>
            <w:t>For most testing reported in this document, we analyzed the records of patients discharged in calendar year 2017 (January 1, 2017 through December 31, 2017; 12 Months). For the Rasch analysis</w:t>
          </w:r>
          <w:r w:rsidR="006C5C5D">
            <w:rPr>
              <w:color w:val="0000FF"/>
            </w:rPr>
            <w:t xml:space="preserve"> and internal consistency testing</w:t>
          </w:r>
          <w:r w:rsidR="003A3D0F" w:rsidRPr="003A3D0F">
            <w:rPr>
              <w:color w:val="0000FF"/>
            </w:rPr>
            <w:t>, we analyzed the records of patients discharged in fiscal year 2017 (October 1, 2016 through September 30, 2017; 12 Months).</w:t>
          </w:r>
        </w:sdtContent>
      </w:sdt>
    </w:p>
    <w:p w14:paraId="6CA89950" w14:textId="77777777" w:rsidR="00696559" w:rsidRDefault="00696559"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44B997DB" w:rsidR="000414E8" w:rsidRPr="00A01494" w:rsidRDefault="00DF56AE"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69655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4593375" w:rsidR="000414E8" w:rsidRPr="00A01494" w:rsidRDefault="00DF56AE"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69655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DF56A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4C96155" w14:textId="77777777" w:rsidR="00696559" w:rsidRPr="00673F1F" w:rsidRDefault="00696559" w:rsidP="00696559">
      <w:pPr>
        <w:spacing w:before="240" w:after="0" w:line="240" w:lineRule="auto"/>
        <w:rPr>
          <w:rFonts w:ascii="Calibri" w:eastAsia="Calibri" w:hAnsi="Calibri" w:cs="Times New Roman"/>
          <w:b/>
          <w:color w:val="0000FF"/>
        </w:rPr>
      </w:pPr>
      <w:bookmarkStart w:id="13" w:name="_Hlk533587290"/>
      <w:r w:rsidRPr="00673F1F">
        <w:rPr>
          <w:rFonts w:ascii="Calibri" w:eastAsia="Calibri" w:hAnsi="Calibri" w:cs="Times New Roman"/>
          <w:b/>
          <w:color w:val="0000FF"/>
        </w:rPr>
        <w:t xml:space="preserve">Inpatient Rehabilitation Facilities Included in the National IRF-PAI Data </w:t>
      </w:r>
      <w:r>
        <w:rPr>
          <w:rFonts w:ascii="Calibri" w:eastAsia="Calibri" w:hAnsi="Calibri" w:cs="Times New Roman"/>
          <w:b/>
          <w:color w:val="0000FF"/>
        </w:rPr>
        <w:t>- Calendar Year 2017 Data</w:t>
      </w:r>
    </w:p>
    <w:p w14:paraId="1CA7D84B" w14:textId="161FCE91" w:rsidR="00696559" w:rsidRPr="00D77E49" w:rsidRDefault="00696559" w:rsidP="00696559">
      <w:pPr>
        <w:spacing w:before="240" w:after="240" w:line="240" w:lineRule="auto"/>
        <w:rPr>
          <w:rFonts w:ascii="Calibri" w:eastAsia="Calibri" w:hAnsi="Calibri" w:cs="Times New Roman"/>
          <w:bCs/>
          <w:color w:val="0000FF"/>
        </w:rPr>
      </w:pPr>
      <w:r w:rsidRPr="00462454">
        <w:rPr>
          <w:rFonts w:ascii="Calibri" w:eastAsia="Calibri" w:hAnsi="Calibri" w:cs="Times New Roman"/>
          <w:bCs/>
          <w:color w:val="0000FF"/>
        </w:rPr>
        <w:t xml:space="preserve">Testing for this </w:t>
      </w:r>
      <w:r w:rsidR="0093624C">
        <w:rPr>
          <w:rFonts w:ascii="Calibri" w:eastAsia="Calibri" w:hAnsi="Calibri" w:cs="Times New Roman"/>
          <w:bCs/>
          <w:color w:val="0000FF"/>
        </w:rPr>
        <w:t>performance</w:t>
      </w:r>
      <w:r w:rsidRPr="00462454">
        <w:rPr>
          <w:rFonts w:ascii="Calibri" w:eastAsia="Calibri" w:hAnsi="Calibri" w:cs="Times New Roman"/>
          <w:bCs/>
          <w:color w:val="0000FF"/>
        </w:rPr>
        <w:t xml:space="preserve"> measure involved several types of </w:t>
      </w:r>
      <w:r w:rsidR="00D7261C">
        <w:rPr>
          <w:rFonts w:ascii="Calibri" w:eastAsia="Calibri" w:hAnsi="Calibri" w:cs="Times New Roman"/>
          <w:bCs/>
          <w:color w:val="0000FF"/>
        </w:rPr>
        <w:t>data element</w:t>
      </w:r>
      <w:r w:rsidR="00B84DA9">
        <w:rPr>
          <w:rFonts w:ascii="Calibri" w:eastAsia="Calibri" w:hAnsi="Calibri" w:cs="Times New Roman"/>
          <w:bCs/>
          <w:color w:val="0000FF"/>
        </w:rPr>
        <w:t>,</w:t>
      </w:r>
      <w:r w:rsidRPr="00462454">
        <w:rPr>
          <w:rFonts w:ascii="Calibri" w:eastAsia="Calibri" w:hAnsi="Calibri" w:cs="Times New Roman"/>
          <w:bCs/>
          <w:color w:val="0000FF"/>
        </w:rPr>
        <w:t xml:space="preserve"> scale</w:t>
      </w:r>
      <w:r w:rsidR="00B84DA9">
        <w:rPr>
          <w:rFonts w:ascii="Calibri" w:eastAsia="Calibri" w:hAnsi="Calibri" w:cs="Times New Roman"/>
          <w:bCs/>
          <w:color w:val="0000FF"/>
        </w:rPr>
        <w:t xml:space="preserve">/instrument and </w:t>
      </w:r>
      <w:r w:rsidR="00D7261C">
        <w:rPr>
          <w:rFonts w:ascii="Calibri" w:eastAsia="Calibri" w:hAnsi="Calibri" w:cs="Times New Roman"/>
          <w:bCs/>
          <w:color w:val="0000FF"/>
        </w:rPr>
        <w:t xml:space="preserve">computed performance </w:t>
      </w:r>
      <w:r w:rsidR="00D258A7">
        <w:rPr>
          <w:rFonts w:ascii="Calibri" w:eastAsia="Calibri" w:hAnsi="Calibri" w:cs="Times New Roman"/>
          <w:bCs/>
          <w:color w:val="0000FF"/>
        </w:rPr>
        <w:t xml:space="preserve">measure </w:t>
      </w:r>
      <w:r w:rsidR="00D7261C">
        <w:rPr>
          <w:rFonts w:ascii="Calibri" w:eastAsia="Calibri" w:hAnsi="Calibri" w:cs="Times New Roman"/>
          <w:bCs/>
          <w:color w:val="0000FF"/>
        </w:rPr>
        <w:t>score</w:t>
      </w:r>
      <w:r w:rsidRPr="00462454">
        <w:rPr>
          <w:rFonts w:ascii="Calibri" w:eastAsia="Calibri" w:hAnsi="Calibri" w:cs="Times New Roman"/>
          <w:bCs/>
          <w:color w:val="0000FF"/>
        </w:rPr>
        <w:t xml:space="preserve"> reliability and validity analyses, </w:t>
      </w:r>
      <w:r w:rsidR="00D7261C">
        <w:rPr>
          <w:rFonts w:ascii="Calibri" w:eastAsia="Calibri" w:hAnsi="Calibri" w:cs="Times New Roman"/>
          <w:bCs/>
          <w:color w:val="0000FF"/>
        </w:rPr>
        <w:t>performance</w:t>
      </w:r>
      <w:r w:rsidR="00B84DA9">
        <w:rPr>
          <w:rFonts w:ascii="Calibri" w:eastAsia="Calibri" w:hAnsi="Calibri" w:cs="Times New Roman"/>
          <w:bCs/>
          <w:color w:val="0000FF"/>
        </w:rPr>
        <w:t xml:space="preserve"> </w:t>
      </w:r>
      <w:r w:rsidRPr="00462454">
        <w:rPr>
          <w:rFonts w:ascii="Calibri" w:eastAsia="Calibri" w:hAnsi="Calibri" w:cs="Times New Roman"/>
          <w:bCs/>
          <w:color w:val="0000FF"/>
        </w:rPr>
        <w:t>measure variability</w:t>
      </w:r>
      <w:r>
        <w:rPr>
          <w:rFonts w:ascii="Calibri" w:eastAsia="Calibri" w:hAnsi="Calibri" w:cs="Times New Roman"/>
          <w:bCs/>
          <w:color w:val="0000FF"/>
        </w:rPr>
        <w:t xml:space="preserve"> analyses,</w:t>
      </w:r>
      <w:r w:rsidRPr="00462454">
        <w:rPr>
          <w:rFonts w:ascii="Calibri" w:eastAsia="Calibri" w:hAnsi="Calibri" w:cs="Times New Roman"/>
          <w:bCs/>
          <w:color w:val="0000FF"/>
        </w:rPr>
        <w:t xml:space="preserve"> and </w:t>
      </w:r>
      <w:r>
        <w:rPr>
          <w:rFonts w:ascii="Calibri" w:eastAsia="Calibri" w:hAnsi="Calibri" w:cs="Times New Roman"/>
          <w:bCs/>
          <w:color w:val="0000FF"/>
        </w:rPr>
        <w:t>social risk factor</w:t>
      </w:r>
      <w:r w:rsidRPr="00462454">
        <w:rPr>
          <w:rFonts w:ascii="Calibri" w:eastAsia="Calibri" w:hAnsi="Calibri" w:cs="Times New Roman"/>
          <w:bCs/>
          <w:color w:val="0000FF"/>
        </w:rPr>
        <w:t xml:space="preserve"> analysis</w:t>
      </w:r>
      <w:r w:rsidRPr="00D77E49">
        <w:rPr>
          <w:rFonts w:ascii="Calibri" w:eastAsia="Calibri" w:hAnsi="Calibri" w:cs="Times New Roman"/>
          <w:bCs/>
          <w:color w:val="0000FF"/>
        </w:rPr>
        <w:t xml:space="preserve">. </w:t>
      </w:r>
      <w:r w:rsidR="00B84DA9" w:rsidRPr="00D77E49">
        <w:rPr>
          <w:rFonts w:ascii="Calibri" w:eastAsia="Calibri" w:hAnsi="Calibri" w:cs="Times New Roman"/>
          <w:bCs/>
          <w:color w:val="0000FF"/>
        </w:rPr>
        <w:t xml:space="preserve">The unit of analysis for the </w:t>
      </w:r>
      <w:r w:rsidR="00D7261C" w:rsidRPr="00D77E49">
        <w:rPr>
          <w:rFonts w:ascii="Calibri" w:eastAsia="Calibri" w:hAnsi="Calibri" w:cs="Times New Roman"/>
          <w:bCs/>
          <w:color w:val="0000FF"/>
        </w:rPr>
        <w:t>data element and</w:t>
      </w:r>
      <w:r w:rsidR="00B84DA9" w:rsidRPr="00D77E49">
        <w:rPr>
          <w:rFonts w:ascii="Calibri" w:eastAsia="Calibri" w:hAnsi="Calibri" w:cs="Times New Roman"/>
          <w:bCs/>
          <w:color w:val="0000FF"/>
        </w:rPr>
        <w:t xml:space="preserve"> scale/instrument analyses is patient </w:t>
      </w:r>
      <w:r w:rsidR="00E740F3" w:rsidRPr="00D77E49">
        <w:rPr>
          <w:rFonts w:ascii="Calibri" w:eastAsia="Calibri" w:hAnsi="Calibri" w:cs="Times New Roman"/>
          <w:bCs/>
          <w:color w:val="0000FF"/>
        </w:rPr>
        <w:t xml:space="preserve">assessments or patient </w:t>
      </w:r>
      <w:r w:rsidR="00B84DA9" w:rsidRPr="00D77E49">
        <w:rPr>
          <w:rFonts w:ascii="Calibri" w:eastAsia="Calibri" w:hAnsi="Calibri" w:cs="Times New Roman"/>
          <w:bCs/>
          <w:color w:val="0000FF"/>
        </w:rPr>
        <w:t xml:space="preserve">stays, and the unit of analysis for the </w:t>
      </w:r>
      <w:r w:rsidR="00D7261C" w:rsidRPr="00D77E49">
        <w:rPr>
          <w:rFonts w:ascii="Calibri" w:eastAsia="Calibri" w:hAnsi="Calibri" w:cs="Times New Roman"/>
          <w:bCs/>
          <w:color w:val="0000FF"/>
        </w:rPr>
        <w:t>computed performance</w:t>
      </w:r>
      <w:r w:rsidR="00B84DA9" w:rsidRPr="00D77E49">
        <w:rPr>
          <w:rFonts w:ascii="Calibri" w:eastAsia="Calibri" w:hAnsi="Calibri" w:cs="Times New Roman"/>
          <w:bCs/>
          <w:color w:val="0000FF"/>
        </w:rPr>
        <w:t xml:space="preserve"> measure </w:t>
      </w:r>
      <w:r w:rsidR="00D7261C" w:rsidRPr="00D77E49">
        <w:rPr>
          <w:rFonts w:ascii="Calibri" w:eastAsia="Calibri" w:hAnsi="Calibri" w:cs="Times New Roman"/>
          <w:bCs/>
          <w:color w:val="0000FF"/>
        </w:rPr>
        <w:t xml:space="preserve">score </w:t>
      </w:r>
      <w:r w:rsidR="00B84DA9" w:rsidRPr="00D77E49">
        <w:rPr>
          <w:rFonts w:ascii="Calibri" w:eastAsia="Calibri" w:hAnsi="Calibri" w:cs="Times New Roman"/>
          <w:bCs/>
          <w:color w:val="0000FF"/>
        </w:rPr>
        <w:t>analyses is providers (i.e., IRF</w:t>
      </w:r>
      <w:r w:rsidR="00D71D22" w:rsidRPr="00D77E49">
        <w:rPr>
          <w:rFonts w:ascii="Calibri" w:eastAsia="Calibri" w:hAnsi="Calibri" w:cs="Times New Roman"/>
          <w:bCs/>
          <w:color w:val="0000FF"/>
        </w:rPr>
        <w:t>s</w:t>
      </w:r>
      <w:r w:rsidR="00B84DA9" w:rsidRPr="00D77E49">
        <w:rPr>
          <w:rFonts w:ascii="Calibri" w:eastAsia="Calibri" w:hAnsi="Calibri" w:cs="Times New Roman"/>
          <w:bCs/>
          <w:color w:val="0000FF"/>
        </w:rPr>
        <w:t xml:space="preserve">). </w:t>
      </w:r>
      <w:r w:rsidRPr="00D77E49">
        <w:rPr>
          <w:rFonts w:ascii="Calibri" w:eastAsia="Calibri" w:hAnsi="Calibri" w:cs="Times New Roman"/>
          <w:bCs/>
          <w:color w:val="0000FF"/>
        </w:rPr>
        <w:t xml:space="preserve">National data collection for the change in </w:t>
      </w:r>
      <w:r w:rsidR="003A3D0F" w:rsidRPr="00D77E49">
        <w:rPr>
          <w:rFonts w:ascii="Calibri" w:eastAsia="Calibri" w:hAnsi="Calibri" w:cs="Times New Roman"/>
          <w:bCs/>
          <w:color w:val="0000FF"/>
        </w:rPr>
        <w:t>mobility</w:t>
      </w:r>
      <w:r w:rsidRPr="00D77E49">
        <w:rPr>
          <w:rFonts w:ascii="Calibri" w:eastAsia="Calibri" w:hAnsi="Calibri" w:cs="Times New Roman"/>
          <w:bCs/>
          <w:color w:val="0000FF"/>
        </w:rPr>
        <w:t xml:space="preserve"> </w:t>
      </w:r>
      <w:r w:rsidR="00960A98" w:rsidRPr="00A54157">
        <w:rPr>
          <w:rFonts w:ascii="Calibri" w:eastAsia="Calibri" w:hAnsi="Calibri" w:cs="Times New Roman"/>
          <w:bCs/>
          <w:color w:val="0000FF"/>
        </w:rPr>
        <w:lastRenderedPageBreak/>
        <w:t>functional statu</w:t>
      </w:r>
      <w:r w:rsidR="00960A98">
        <w:rPr>
          <w:rFonts w:ascii="Calibri" w:eastAsia="Calibri" w:hAnsi="Calibri" w:cs="Times New Roman"/>
          <w:bCs/>
          <w:color w:val="0000FF"/>
        </w:rPr>
        <w:t>s</w:t>
      </w:r>
      <w:r w:rsidR="00960A98" w:rsidRPr="00D77E49">
        <w:rPr>
          <w:rFonts w:ascii="Calibri" w:eastAsia="Calibri" w:hAnsi="Calibri" w:cs="Times New Roman"/>
          <w:bCs/>
          <w:color w:val="0000FF"/>
        </w:rPr>
        <w:t xml:space="preserve"> </w:t>
      </w:r>
      <w:r w:rsidRPr="00D77E49">
        <w:rPr>
          <w:rFonts w:ascii="Calibri" w:eastAsia="Calibri" w:hAnsi="Calibri" w:cs="Times New Roman"/>
          <w:bCs/>
          <w:color w:val="0000FF"/>
        </w:rPr>
        <w:t xml:space="preserve">outcome measure began October 1, 2016 with the 2016 release (Version 1.4) of </w:t>
      </w:r>
      <w:r w:rsidR="00960A98" w:rsidRPr="00A54157">
        <w:rPr>
          <w:rFonts w:ascii="Calibri" w:eastAsia="Calibri" w:hAnsi="Calibri" w:cs="Times New Roman"/>
          <w:bCs/>
          <w:color w:val="0000FF"/>
        </w:rPr>
        <w:t>the IRF–Patient Assessment Instrument (IRF-PAI).</w:t>
      </w:r>
    </w:p>
    <w:p w14:paraId="6E2163A0" w14:textId="6AFC5A22" w:rsidR="00696559" w:rsidRDefault="00696559" w:rsidP="00696559">
      <w:pPr>
        <w:spacing w:before="240" w:after="240" w:line="240" w:lineRule="auto"/>
        <w:rPr>
          <w:rFonts w:ascii="Calibri" w:eastAsia="Calibri" w:hAnsi="Calibri" w:cs="Times New Roman"/>
          <w:bCs/>
          <w:color w:val="0000FF"/>
        </w:rPr>
      </w:pPr>
      <w:r w:rsidRPr="00D77E49">
        <w:rPr>
          <w:rFonts w:ascii="Calibri" w:eastAsia="Calibri" w:hAnsi="Calibri" w:cs="Times New Roman"/>
          <w:bCs/>
          <w:color w:val="0000FF"/>
        </w:rPr>
        <w:t xml:space="preserve">A total of 1,129 IRFs submitted IRF-PAI records during the testing period, January – December 2017. </w:t>
      </w:r>
      <w:r w:rsidR="002620F7" w:rsidRPr="00D77E49">
        <w:rPr>
          <w:rFonts w:ascii="Calibri" w:eastAsia="Calibri" w:hAnsi="Calibri" w:cs="Times New Roman"/>
          <w:bCs/>
          <w:color w:val="0000FF"/>
        </w:rPr>
        <w:t>This represents 100% of this type of provider as defined by the Centers for Medicare and Medicaid Services.</w:t>
      </w:r>
    </w:p>
    <w:p w14:paraId="11F7DBAD" w14:textId="51B939A0" w:rsidR="00696559" w:rsidRDefault="00696559" w:rsidP="00696559">
      <w:pPr>
        <w:spacing w:before="240" w:after="240" w:line="240" w:lineRule="auto"/>
        <w:rPr>
          <w:rFonts w:ascii="Calibri" w:eastAsia="Calibri" w:hAnsi="Calibri" w:cs="Times New Roman"/>
          <w:bCs/>
          <w:color w:val="0000FF"/>
        </w:rPr>
      </w:pPr>
      <w:r w:rsidRPr="00762D99">
        <w:rPr>
          <w:rFonts w:ascii="Calibri" w:eastAsia="Calibri" w:hAnsi="Calibri" w:cs="Times New Roman"/>
          <w:b/>
          <w:bCs/>
          <w:color w:val="0000FF"/>
        </w:rPr>
        <w:t>Table 1</w:t>
      </w:r>
      <w:r w:rsidRPr="00A54157">
        <w:rPr>
          <w:rFonts w:ascii="Calibri" w:eastAsia="Calibri" w:hAnsi="Calibri" w:cs="Times New Roman"/>
          <w:bCs/>
          <w:color w:val="0000FF"/>
        </w:rPr>
        <w:t xml:space="preserve"> </w:t>
      </w:r>
      <w:r>
        <w:rPr>
          <w:rFonts w:ascii="Calibri" w:eastAsia="Calibri" w:hAnsi="Calibri" w:cs="Times New Roman"/>
          <w:bCs/>
          <w:color w:val="0000FF"/>
        </w:rPr>
        <w:t>displays</w:t>
      </w:r>
      <w:r w:rsidRPr="00A54157">
        <w:rPr>
          <w:rFonts w:ascii="Calibri" w:eastAsia="Calibri" w:hAnsi="Calibri" w:cs="Times New Roman"/>
          <w:bCs/>
          <w:color w:val="0000FF"/>
        </w:rPr>
        <w:t xml:space="preserve"> the geographical </w:t>
      </w:r>
      <w:r>
        <w:rPr>
          <w:rFonts w:ascii="Calibri" w:eastAsia="Calibri" w:hAnsi="Calibri" w:cs="Times New Roman"/>
          <w:bCs/>
          <w:color w:val="0000FF"/>
        </w:rPr>
        <w:t xml:space="preserve">location </w:t>
      </w:r>
      <w:r w:rsidRPr="00A54157">
        <w:rPr>
          <w:rFonts w:ascii="Calibri" w:eastAsia="Calibri" w:hAnsi="Calibri" w:cs="Times New Roman"/>
          <w:bCs/>
          <w:color w:val="0000FF"/>
        </w:rPr>
        <w:t>and facility characteristics of IRFs that reported IRF-PAI data for th</w:t>
      </w:r>
      <w:r>
        <w:rPr>
          <w:rFonts w:ascii="Calibri" w:eastAsia="Calibri" w:hAnsi="Calibri" w:cs="Times New Roman"/>
          <w:bCs/>
          <w:color w:val="0000FF"/>
        </w:rPr>
        <w:t xml:space="preserve">is </w:t>
      </w:r>
      <w:r w:rsidR="00745539">
        <w:rPr>
          <w:rFonts w:ascii="Calibri" w:eastAsia="Calibri" w:hAnsi="Calibri" w:cs="Times New Roman"/>
          <w:bCs/>
          <w:color w:val="0000FF"/>
        </w:rPr>
        <w:t>performance measure</w:t>
      </w:r>
      <w:r w:rsidRPr="00A54157">
        <w:rPr>
          <w:rFonts w:ascii="Calibri" w:eastAsia="Calibri" w:hAnsi="Calibri" w:cs="Times New Roman"/>
          <w:bCs/>
          <w:color w:val="0000FF"/>
        </w:rPr>
        <w:t>. The majority of these IRFs</w:t>
      </w:r>
      <w:r w:rsidRPr="00665837">
        <w:t xml:space="preserve"> </w:t>
      </w:r>
      <w:r w:rsidRPr="00665837">
        <w:rPr>
          <w:rFonts w:ascii="Calibri" w:eastAsia="Calibri" w:hAnsi="Calibri" w:cs="Times New Roman"/>
          <w:bCs/>
          <w:color w:val="0000FF"/>
        </w:rPr>
        <w:t>are located in the southern United States (</w:t>
      </w:r>
      <w:r>
        <w:rPr>
          <w:rFonts w:ascii="Calibri" w:eastAsia="Calibri" w:hAnsi="Calibri" w:cs="Times New Roman"/>
          <w:bCs/>
          <w:color w:val="0000FF"/>
        </w:rPr>
        <w:t xml:space="preserve">CMS </w:t>
      </w:r>
      <w:r w:rsidRPr="00665837">
        <w:rPr>
          <w:rFonts w:ascii="Calibri" w:eastAsia="Calibri" w:hAnsi="Calibri" w:cs="Times New Roman"/>
          <w:bCs/>
          <w:color w:val="0000FF"/>
        </w:rPr>
        <w:t>Regions 4, 5, and 6) with over 20 percent in Region 6 (TX, LA, AR, OK, NM). The majority of IRFs are</w:t>
      </w:r>
      <w:r>
        <w:rPr>
          <w:rFonts w:ascii="Calibri" w:eastAsia="Calibri" w:hAnsi="Calibri" w:cs="Times New Roman"/>
          <w:bCs/>
          <w:color w:val="0000FF"/>
        </w:rPr>
        <w:t xml:space="preserve"> in urban settings </w:t>
      </w:r>
      <w:r w:rsidRPr="001B243E">
        <w:rPr>
          <w:rFonts w:ascii="Calibri" w:eastAsia="Calibri" w:hAnsi="Calibri" w:cs="Times New Roman"/>
          <w:bCs/>
          <w:color w:val="0000FF"/>
        </w:rPr>
        <w:t>(86.4%) and under private ownership (56.7%).</w:t>
      </w:r>
      <w:r w:rsidRPr="00665837">
        <w:rPr>
          <w:rFonts w:ascii="Calibri" w:eastAsia="Calibri" w:hAnsi="Calibri" w:cs="Times New Roman"/>
          <w:bCs/>
          <w:color w:val="0000FF"/>
        </w:rPr>
        <w:t xml:space="preserve"> </w:t>
      </w:r>
      <w:r w:rsidRPr="00556C77">
        <w:rPr>
          <w:rFonts w:ascii="Calibri" w:eastAsia="Calibri" w:hAnsi="Calibri" w:cs="Times New Roman"/>
          <w:bCs/>
          <w:color w:val="0000FF"/>
        </w:rPr>
        <w:t xml:space="preserve">About 25 percent of IRFs are </w:t>
      </w:r>
      <w:r>
        <w:rPr>
          <w:rFonts w:ascii="Calibri" w:eastAsia="Calibri" w:hAnsi="Calibri" w:cs="Times New Roman"/>
          <w:bCs/>
          <w:color w:val="0000FF"/>
        </w:rPr>
        <w:t>rehabilitation hospital</w:t>
      </w:r>
      <w:r w:rsidRPr="00556C77">
        <w:rPr>
          <w:rFonts w:ascii="Calibri" w:eastAsia="Calibri" w:hAnsi="Calibri" w:cs="Times New Roman"/>
          <w:bCs/>
          <w:color w:val="0000FF"/>
        </w:rPr>
        <w:t xml:space="preserve">s; </w:t>
      </w:r>
      <w:r>
        <w:rPr>
          <w:rFonts w:ascii="Calibri" w:eastAsia="Calibri" w:hAnsi="Calibri" w:cs="Times New Roman"/>
          <w:bCs/>
          <w:color w:val="0000FF"/>
        </w:rPr>
        <w:t xml:space="preserve">most IRFs are units. Few </w:t>
      </w:r>
      <w:r w:rsidRPr="00556C77">
        <w:rPr>
          <w:rFonts w:ascii="Calibri" w:eastAsia="Calibri" w:hAnsi="Calibri" w:cs="Times New Roman"/>
          <w:bCs/>
          <w:color w:val="0000FF"/>
        </w:rPr>
        <w:t>IRFs are teaching facilities (</w:t>
      </w:r>
      <w:r>
        <w:rPr>
          <w:rFonts w:ascii="Calibri" w:eastAsia="Calibri" w:hAnsi="Calibri" w:cs="Times New Roman"/>
          <w:bCs/>
          <w:color w:val="0000FF"/>
        </w:rPr>
        <w:t>12.1</w:t>
      </w:r>
      <w:r w:rsidRPr="00556C77">
        <w:rPr>
          <w:rFonts w:ascii="Calibri" w:eastAsia="Calibri" w:hAnsi="Calibri" w:cs="Times New Roman"/>
          <w:bCs/>
          <w:color w:val="0000FF"/>
        </w:rPr>
        <w:t xml:space="preserve">%). Facility size is </w:t>
      </w:r>
      <w:r>
        <w:rPr>
          <w:rFonts w:ascii="Calibri" w:eastAsia="Calibri" w:hAnsi="Calibri" w:cs="Times New Roman"/>
          <w:bCs/>
          <w:color w:val="0000FF"/>
        </w:rPr>
        <w:t>presented based on</w:t>
      </w:r>
      <w:r w:rsidRPr="00556C77">
        <w:rPr>
          <w:rFonts w:ascii="Calibri" w:eastAsia="Calibri" w:hAnsi="Calibri" w:cs="Times New Roman"/>
          <w:bCs/>
          <w:color w:val="0000FF"/>
        </w:rPr>
        <w:t xml:space="preserve"> the number of </w:t>
      </w:r>
      <w:r>
        <w:rPr>
          <w:rFonts w:ascii="Calibri" w:eastAsia="Calibri" w:hAnsi="Calibri" w:cs="Times New Roman"/>
          <w:bCs/>
          <w:color w:val="0000FF"/>
        </w:rPr>
        <w:t xml:space="preserve">patient </w:t>
      </w:r>
      <w:r w:rsidRPr="00556C77">
        <w:rPr>
          <w:rFonts w:ascii="Calibri" w:eastAsia="Calibri" w:hAnsi="Calibri" w:cs="Times New Roman"/>
          <w:bCs/>
          <w:color w:val="0000FF"/>
        </w:rPr>
        <w:t>stays. A</w:t>
      </w:r>
      <w:r>
        <w:rPr>
          <w:rFonts w:ascii="Calibri" w:eastAsia="Calibri" w:hAnsi="Calibri" w:cs="Times New Roman"/>
          <w:bCs/>
          <w:color w:val="0000FF"/>
        </w:rPr>
        <w:t>pproximately</w:t>
      </w:r>
      <w:r w:rsidRPr="00556C77">
        <w:rPr>
          <w:rFonts w:ascii="Calibri" w:eastAsia="Calibri" w:hAnsi="Calibri" w:cs="Times New Roman"/>
          <w:bCs/>
          <w:color w:val="0000FF"/>
        </w:rPr>
        <w:t xml:space="preserve"> 50 percent of facilities </w:t>
      </w:r>
      <w:r>
        <w:rPr>
          <w:rFonts w:ascii="Calibri" w:eastAsia="Calibri" w:hAnsi="Calibri" w:cs="Times New Roman"/>
          <w:bCs/>
          <w:color w:val="0000FF"/>
        </w:rPr>
        <w:t>treated</w:t>
      </w:r>
      <w:r w:rsidRPr="00556C77">
        <w:rPr>
          <w:rFonts w:ascii="Calibri" w:eastAsia="Calibri" w:hAnsi="Calibri" w:cs="Times New Roman"/>
          <w:bCs/>
          <w:color w:val="0000FF"/>
        </w:rPr>
        <w:t xml:space="preserve"> </w:t>
      </w:r>
      <w:r>
        <w:rPr>
          <w:rFonts w:ascii="Calibri" w:eastAsia="Calibri" w:hAnsi="Calibri" w:cs="Times New Roman"/>
          <w:bCs/>
          <w:color w:val="0000FF"/>
        </w:rPr>
        <w:t>296</w:t>
      </w:r>
      <w:r w:rsidRPr="00556C77">
        <w:rPr>
          <w:rFonts w:ascii="Calibri" w:eastAsia="Calibri" w:hAnsi="Calibri" w:cs="Times New Roman"/>
          <w:bCs/>
          <w:color w:val="0000FF"/>
        </w:rPr>
        <w:t xml:space="preserve"> or fewer </w:t>
      </w:r>
      <w:r>
        <w:rPr>
          <w:rFonts w:ascii="Calibri" w:eastAsia="Calibri" w:hAnsi="Calibri" w:cs="Times New Roman"/>
          <w:bCs/>
          <w:color w:val="0000FF"/>
        </w:rPr>
        <w:t>patients who were discharged in 2017</w:t>
      </w:r>
      <w:r w:rsidRPr="00556C77">
        <w:rPr>
          <w:rFonts w:ascii="Calibri" w:eastAsia="Calibri" w:hAnsi="Calibri" w:cs="Times New Roman"/>
          <w:bCs/>
          <w:color w:val="0000FF"/>
        </w:rPr>
        <w:t xml:space="preserve">, and the range was one stay to </w:t>
      </w:r>
      <w:r>
        <w:rPr>
          <w:rFonts w:ascii="Calibri" w:eastAsia="Calibri" w:hAnsi="Calibri" w:cs="Times New Roman"/>
          <w:bCs/>
          <w:color w:val="0000FF"/>
        </w:rPr>
        <w:t>4,416</w:t>
      </w:r>
      <w:r w:rsidRPr="00556C77">
        <w:rPr>
          <w:rFonts w:ascii="Calibri" w:eastAsia="Calibri" w:hAnsi="Calibri" w:cs="Times New Roman"/>
          <w:bCs/>
          <w:color w:val="0000FF"/>
        </w:rPr>
        <w:t xml:space="preserve"> </w:t>
      </w:r>
      <w:r>
        <w:rPr>
          <w:rFonts w:ascii="Calibri" w:eastAsia="Calibri" w:hAnsi="Calibri" w:cs="Times New Roman"/>
          <w:bCs/>
          <w:color w:val="0000FF"/>
        </w:rPr>
        <w:t xml:space="preserve">patient </w:t>
      </w:r>
      <w:r w:rsidRPr="00556C77">
        <w:rPr>
          <w:rFonts w:ascii="Calibri" w:eastAsia="Calibri" w:hAnsi="Calibri" w:cs="Times New Roman"/>
          <w:bCs/>
          <w:color w:val="0000FF"/>
        </w:rPr>
        <w:t>stays.</w:t>
      </w:r>
      <w:r>
        <w:rPr>
          <w:rFonts w:ascii="Calibri" w:eastAsia="Calibri" w:hAnsi="Calibri" w:cs="Times New Roman"/>
          <w:bCs/>
          <w:color w:val="0000FF"/>
        </w:rPr>
        <w:t xml:space="preserve"> Note that providers with less than 20 stays during the 12-month testing period are excluded from facility-level analyses presented below.</w:t>
      </w:r>
    </w:p>
    <w:p w14:paraId="6CB33AB6" w14:textId="77777777" w:rsidR="00696559" w:rsidRPr="00E0226D" w:rsidRDefault="00696559" w:rsidP="00696559">
      <w:pPr>
        <w:pStyle w:val="Caption"/>
        <w:ind w:left="360"/>
        <w:rPr>
          <w:rFonts w:asciiTheme="minorHAnsi" w:hAnsiTheme="minorHAnsi" w:cstheme="minorHAnsi"/>
          <w:color w:val="0000FF"/>
        </w:rPr>
      </w:pPr>
      <w:bookmarkStart w:id="14" w:name="_Toc495990976"/>
      <w:r w:rsidRPr="00E0226D">
        <w:rPr>
          <w:rFonts w:asciiTheme="minorHAnsi" w:hAnsiTheme="minorHAnsi" w:cstheme="minorHAnsi"/>
          <w:color w:val="0000FF"/>
        </w:rPr>
        <w:t>Table 1. Number of IRFs Reporting by Facility Characteristics</w:t>
      </w:r>
      <w:r>
        <w:rPr>
          <w:rFonts w:asciiTheme="minorHAnsi" w:hAnsiTheme="minorHAnsi" w:cstheme="minorHAnsi"/>
          <w:color w:val="0000FF"/>
        </w:rPr>
        <w:t>, Calendar Year 2017</w:t>
      </w:r>
      <w:r w:rsidRPr="00E0226D">
        <w:rPr>
          <w:rFonts w:asciiTheme="minorHAnsi" w:hAnsiTheme="minorHAnsi" w:cstheme="minorHAnsi"/>
          <w:color w:val="0000FF"/>
        </w:rPr>
        <w:t xml:space="preserve"> (N=1,129)</w:t>
      </w:r>
      <w:bookmarkEnd w:id="14"/>
    </w:p>
    <w:p w14:paraId="32E0412B" w14:textId="77777777" w:rsidR="00696559" w:rsidRPr="00CE0D1F" w:rsidRDefault="00696559" w:rsidP="00696559">
      <w:pPr>
        <w:spacing w:after="0"/>
        <w:rPr>
          <w:rFonts w:cstheme="minorHAnsi"/>
        </w:rPr>
      </w:pPr>
    </w:p>
    <w:tbl>
      <w:tblPr>
        <w:tblW w:w="7920" w:type="dxa"/>
        <w:jc w:val="center"/>
        <w:tblCellMar>
          <w:left w:w="72" w:type="dxa"/>
          <w:right w:w="72" w:type="dxa"/>
        </w:tblCellMar>
        <w:tblLook w:val="04A0" w:firstRow="1" w:lastRow="0" w:firstColumn="1" w:lastColumn="0" w:noHBand="0" w:noVBand="1"/>
      </w:tblPr>
      <w:tblGrid>
        <w:gridCol w:w="5040"/>
        <w:gridCol w:w="2880"/>
      </w:tblGrid>
      <w:tr w:rsidR="00696559" w:rsidRPr="00CE0D1F" w14:paraId="1E950A55" w14:textId="77777777" w:rsidTr="008959CB">
        <w:trPr>
          <w:trHeight w:val="215"/>
          <w:tblHeader/>
          <w:jc w:val="center"/>
        </w:trPr>
        <w:tc>
          <w:tcPr>
            <w:tcW w:w="5040" w:type="dxa"/>
            <w:tcBorders>
              <w:top w:val="single" w:sz="12" w:space="0" w:color="auto"/>
              <w:left w:val="nil"/>
              <w:bottom w:val="single" w:sz="4" w:space="0" w:color="auto"/>
              <w:right w:val="nil"/>
            </w:tcBorders>
            <w:vAlign w:val="center"/>
            <w:hideMark/>
          </w:tcPr>
          <w:p w14:paraId="6030DB92" w14:textId="77777777" w:rsidR="00696559" w:rsidRPr="00CE0D1F" w:rsidRDefault="00696559" w:rsidP="008959CB">
            <w:pPr>
              <w:autoSpaceDE w:val="0"/>
              <w:autoSpaceDN w:val="0"/>
              <w:spacing w:after="0"/>
              <w:rPr>
                <w:rFonts w:cstheme="minorHAnsi"/>
                <w:b/>
                <w:color w:val="0000FF"/>
              </w:rPr>
            </w:pPr>
            <w:r w:rsidRPr="00CE0D1F">
              <w:rPr>
                <w:rFonts w:cstheme="minorHAnsi"/>
                <w:b/>
                <w:color w:val="0000FF"/>
              </w:rPr>
              <w:t>Characteristic</w:t>
            </w:r>
          </w:p>
        </w:tc>
        <w:tc>
          <w:tcPr>
            <w:tcW w:w="2880" w:type="dxa"/>
            <w:tcBorders>
              <w:top w:val="single" w:sz="12" w:space="0" w:color="auto"/>
              <w:left w:val="nil"/>
              <w:bottom w:val="single" w:sz="4" w:space="0" w:color="auto"/>
              <w:right w:val="nil"/>
            </w:tcBorders>
            <w:vAlign w:val="center"/>
            <w:hideMark/>
          </w:tcPr>
          <w:p w14:paraId="4D645EC8" w14:textId="77777777" w:rsidR="00696559" w:rsidRPr="00CE0D1F" w:rsidRDefault="00696559" w:rsidP="008959CB">
            <w:pPr>
              <w:autoSpaceDE w:val="0"/>
              <w:autoSpaceDN w:val="0"/>
              <w:spacing w:after="0"/>
              <w:jc w:val="center"/>
              <w:rPr>
                <w:rFonts w:cstheme="minorHAnsi"/>
                <w:b/>
                <w:color w:val="0000FF"/>
              </w:rPr>
            </w:pPr>
            <w:r>
              <w:rPr>
                <w:rFonts w:cstheme="minorHAnsi"/>
                <w:b/>
                <w:color w:val="0000FF"/>
              </w:rPr>
              <w:t>Number (Percent)</w:t>
            </w:r>
          </w:p>
        </w:tc>
      </w:tr>
      <w:tr w:rsidR="00696559" w:rsidRPr="00CE0D1F" w14:paraId="26D8DE57" w14:textId="77777777" w:rsidTr="008959CB">
        <w:trPr>
          <w:trHeight w:val="215"/>
          <w:jc w:val="center"/>
        </w:trPr>
        <w:tc>
          <w:tcPr>
            <w:tcW w:w="5040" w:type="dxa"/>
            <w:tcBorders>
              <w:top w:val="single" w:sz="4" w:space="0" w:color="auto"/>
              <w:left w:val="nil"/>
              <w:bottom w:val="nil"/>
              <w:right w:val="nil"/>
            </w:tcBorders>
            <w:vAlign w:val="center"/>
            <w:hideMark/>
          </w:tcPr>
          <w:p w14:paraId="56BA1307"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CMS Region</w:t>
            </w:r>
          </w:p>
        </w:tc>
        <w:tc>
          <w:tcPr>
            <w:tcW w:w="2880" w:type="dxa"/>
            <w:tcBorders>
              <w:top w:val="single" w:sz="4" w:space="0" w:color="auto"/>
              <w:left w:val="nil"/>
              <w:bottom w:val="nil"/>
              <w:right w:val="nil"/>
            </w:tcBorders>
            <w:vAlign w:val="center"/>
          </w:tcPr>
          <w:p w14:paraId="3B78DD91" w14:textId="77777777" w:rsidR="00696559" w:rsidRPr="00CE0D1F" w:rsidRDefault="00696559" w:rsidP="008959CB">
            <w:pPr>
              <w:autoSpaceDE w:val="0"/>
              <w:autoSpaceDN w:val="0"/>
              <w:spacing w:after="0"/>
              <w:jc w:val="center"/>
              <w:rPr>
                <w:rFonts w:cstheme="minorHAnsi"/>
                <w:color w:val="0000FF"/>
              </w:rPr>
            </w:pPr>
          </w:p>
        </w:tc>
      </w:tr>
      <w:tr w:rsidR="00696559" w:rsidRPr="00CE0D1F" w14:paraId="6D8C2168" w14:textId="77777777" w:rsidTr="008959CB">
        <w:trPr>
          <w:trHeight w:val="215"/>
          <w:jc w:val="center"/>
        </w:trPr>
        <w:tc>
          <w:tcPr>
            <w:tcW w:w="5040" w:type="dxa"/>
            <w:vAlign w:val="center"/>
            <w:hideMark/>
          </w:tcPr>
          <w:p w14:paraId="68D68133"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 CT, ME, MA, NH, RI, VT</w:t>
            </w:r>
          </w:p>
        </w:tc>
        <w:tc>
          <w:tcPr>
            <w:tcW w:w="2880" w:type="dxa"/>
          </w:tcPr>
          <w:p w14:paraId="08277A51"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34 (3.0%)</w:t>
            </w:r>
          </w:p>
        </w:tc>
      </w:tr>
      <w:tr w:rsidR="00696559" w:rsidRPr="00CE0D1F" w14:paraId="3A79EB94" w14:textId="77777777" w:rsidTr="008959CB">
        <w:trPr>
          <w:trHeight w:val="215"/>
          <w:jc w:val="center"/>
        </w:trPr>
        <w:tc>
          <w:tcPr>
            <w:tcW w:w="5040" w:type="dxa"/>
            <w:vAlign w:val="center"/>
            <w:hideMark/>
          </w:tcPr>
          <w:p w14:paraId="33EA8486"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2: PR, VI, NY, NJ</w:t>
            </w:r>
          </w:p>
        </w:tc>
        <w:tc>
          <w:tcPr>
            <w:tcW w:w="2880" w:type="dxa"/>
          </w:tcPr>
          <w:p w14:paraId="46EAD854"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71 (6.3%)</w:t>
            </w:r>
          </w:p>
        </w:tc>
      </w:tr>
      <w:tr w:rsidR="00696559" w:rsidRPr="00CE0D1F" w14:paraId="0CE8561A" w14:textId="77777777" w:rsidTr="008959CB">
        <w:trPr>
          <w:trHeight w:val="215"/>
          <w:jc w:val="center"/>
        </w:trPr>
        <w:tc>
          <w:tcPr>
            <w:tcW w:w="5040" w:type="dxa"/>
            <w:vAlign w:val="center"/>
            <w:hideMark/>
          </w:tcPr>
          <w:p w14:paraId="724F572B"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3: MD, DC, DE, WV, VA, PA</w:t>
            </w:r>
          </w:p>
        </w:tc>
        <w:tc>
          <w:tcPr>
            <w:tcW w:w="2880" w:type="dxa"/>
          </w:tcPr>
          <w:p w14:paraId="68CFF49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122 (10.8%)</w:t>
            </w:r>
          </w:p>
        </w:tc>
      </w:tr>
      <w:tr w:rsidR="00696559" w:rsidRPr="00CE0D1F" w14:paraId="5647EFC6" w14:textId="77777777" w:rsidTr="008959CB">
        <w:trPr>
          <w:trHeight w:val="215"/>
          <w:jc w:val="center"/>
        </w:trPr>
        <w:tc>
          <w:tcPr>
            <w:tcW w:w="5040" w:type="dxa"/>
            <w:vAlign w:val="center"/>
            <w:hideMark/>
          </w:tcPr>
          <w:p w14:paraId="483BCADC"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4: NC, SC, TN, FL, GA, AL, KY, MS</w:t>
            </w:r>
          </w:p>
        </w:tc>
        <w:tc>
          <w:tcPr>
            <w:tcW w:w="2880" w:type="dxa"/>
          </w:tcPr>
          <w:p w14:paraId="38E2223A"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197 (17.5%)</w:t>
            </w:r>
          </w:p>
        </w:tc>
      </w:tr>
      <w:tr w:rsidR="00696559" w:rsidRPr="00CE0D1F" w14:paraId="26AF298E" w14:textId="77777777" w:rsidTr="008959CB">
        <w:trPr>
          <w:trHeight w:val="215"/>
          <w:jc w:val="center"/>
        </w:trPr>
        <w:tc>
          <w:tcPr>
            <w:tcW w:w="5040" w:type="dxa"/>
            <w:vAlign w:val="center"/>
            <w:hideMark/>
          </w:tcPr>
          <w:p w14:paraId="20C65D91"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5: MI, MN, OH, IL, IN, WI</w:t>
            </w:r>
          </w:p>
        </w:tc>
        <w:tc>
          <w:tcPr>
            <w:tcW w:w="2880" w:type="dxa"/>
          </w:tcPr>
          <w:p w14:paraId="750046F5"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209 (18.5%)</w:t>
            </w:r>
          </w:p>
        </w:tc>
      </w:tr>
      <w:tr w:rsidR="00696559" w:rsidRPr="00CE0D1F" w14:paraId="40E9F349" w14:textId="77777777" w:rsidTr="008959CB">
        <w:trPr>
          <w:trHeight w:val="215"/>
          <w:jc w:val="center"/>
        </w:trPr>
        <w:tc>
          <w:tcPr>
            <w:tcW w:w="5040" w:type="dxa"/>
            <w:vAlign w:val="center"/>
            <w:hideMark/>
          </w:tcPr>
          <w:p w14:paraId="28D9EC80"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6: TX, LA, AR, OK, NM</w:t>
            </w:r>
          </w:p>
        </w:tc>
        <w:tc>
          <w:tcPr>
            <w:tcW w:w="2880" w:type="dxa"/>
          </w:tcPr>
          <w:p w14:paraId="4B52C204"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233 (20.6%)</w:t>
            </w:r>
          </w:p>
        </w:tc>
      </w:tr>
      <w:tr w:rsidR="00696559" w:rsidRPr="00CE0D1F" w14:paraId="7CCB8648" w14:textId="77777777" w:rsidTr="008959CB">
        <w:trPr>
          <w:trHeight w:val="215"/>
          <w:jc w:val="center"/>
        </w:trPr>
        <w:tc>
          <w:tcPr>
            <w:tcW w:w="5040" w:type="dxa"/>
            <w:vAlign w:val="center"/>
            <w:hideMark/>
          </w:tcPr>
          <w:p w14:paraId="6A271D92"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7: MO, KS, IA, NE</w:t>
            </w:r>
          </w:p>
        </w:tc>
        <w:tc>
          <w:tcPr>
            <w:tcW w:w="2880" w:type="dxa"/>
          </w:tcPr>
          <w:p w14:paraId="79A65303"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75 (6.6%)</w:t>
            </w:r>
          </w:p>
        </w:tc>
      </w:tr>
      <w:tr w:rsidR="00696559" w:rsidRPr="00CE0D1F" w14:paraId="15EE10CD" w14:textId="77777777" w:rsidTr="008959CB">
        <w:trPr>
          <w:trHeight w:val="215"/>
          <w:jc w:val="center"/>
        </w:trPr>
        <w:tc>
          <w:tcPr>
            <w:tcW w:w="5040" w:type="dxa"/>
            <w:vAlign w:val="center"/>
            <w:hideMark/>
          </w:tcPr>
          <w:p w14:paraId="26EB8373"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8: ND, UT, SD, WY, CO, MT</w:t>
            </w:r>
          </w:p>
        </w:tc>
        <w:tc>
          <w:tcPr>
            <w:tcW w:w="2880" w:type="dxa"/>
          </w:tcPr>
          <w:p w14:paraId="341EA008"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43 (3.8%)</w:t>
            </w:r>
          </w:p>
        </w:tc>
      </w:tr>
      <w:tr w:rsidR="00696559" w:rsidRPr="00CE0D1F" w14:paraId="5E0577B2" w14:textId="77777777" w:rsidTr="008959CB">
        <w:trPr>
          <w:trHeight w:val="215"/>
          <w:jc w:val="center"/>
        </w:trPr>
        <w:tc>
          <w:tcPr>
            <w:tcW w:w="5040" w:type="dxa"/>
            <w:vAlign w:val="center"/>
            <w:hideMark/>
          </w:tcPr>
          <w:p w14:paraId="69073D4C"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9: NV, AZ, CA, HI, AS, Pacific Territories</w:t>
            </w:r>
          </w:p>
        </w:tc>
        <w:tc>
          <w:tcPr>
            <w:tcW w:w="2880" w:type="dxa"/>
          </w:tcPr>
          <w:p w14:paraId="55C7689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696559" w:rsidRPr="00CE0D1F" w14:paraId="726F9D48" w14:textId="77777777" w:rsidTr="008959CB">
        <w:trPr>
          <w:trHeight w:val="215"/>
          <w:jc w:val="center"/>
        </w:trPr>
        <w:tc>
          <w:tcPr>
            <w:tcW w:w="5040" w:type="dxa"/>
            <w:vAlign w:val="center"/>
            <w:hideMark/>
          </w:tcPr>
          <w:p w14:paraId="12CDE300"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Region 10: WA, AK, ID, OR</w:t>
            </w:r>
          </w:p>
        </w:tc>
        <w:tc>
          <w:tcPr>
            <w:tcW w:w="2880" w:type="dxa"/>
          </w:tcPr>
          <w:p w14:paraId="7F8A29B9"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32 (2.8%)</w:t>
            </w:r>
          </w:p>
        </w:tc>
      </w:tr>
      <w:tr w:rsidR="00696559" w:rsidRPr="00CE0D1F" w14:paraId="1132887C" w14:textId="77777777" w:rsidTr="008959CB">
        <w:trPr>
          <w:trHeight w:val="215"/>
          <w:jc w:val="center"/>
        </w:trPr>
        <w:tc>
          <w:tcPr>
            <w:tcW w:w="5040" w:type="dxa"/>
            <w:vAlign w:val="center"/>
            <w:hideMark/>
          </w:tcPr>
          <w:p w14:paraId="3EF1D5C2"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Urbanicity</w:t>
            </w:r>
          </w:p>
        </w:tc>
        <w:tc>
          <w:tcPr>
            <w:tcW w:w="2880" w:type="dxa"/>
            <w:vAlign w:val="center"/>
          </w:tcPr>
          <w:p w14:paraId="5EA23E07" w14:textId="77777777" w:rsidR="00696559" w:rsidRPr="00CE0D1F" w:rsidRDefault="00696559" w:rsidP="008959CB">
            <w:pPr>
              <w:autoSpaceDE w:val="0"/>
              <w:autoSpaceDN w:val="0"/>
              <w:spacing w:after="0"/>
              <w:jc w:val="center"/>
              <w:rPr>
                <w:rFonts w:cstheme="minorHAnsi"/>
                <w:color w:val="0000FF"/>
                <w:lang w:eastAsia="ja-JP"/>
              </w:rPr>
            </w:pPr>
          </w:p>
        </w:tc>
      </w:tr>
      <w:tr w:rsidR="00696559" w:rsidRPr="00CE0D1F" w14:paraId="5265658D" w14:textId="77777777" w:rsidTr="008959CB">
        <w:trPr>
          <w:trHeight w:val="215"/>
          <w:jc w:val="center"/>
        </w:trPr>
        <w:tc>
          <w:tcPr>
            <w:tcW w:w="5040" w:type="dxa"/>
            <w:vAlign w:val="center"/>
            <w:hideMark/>
          </w:tcPr>
          <w:p w14:paraId="5AAAACC6"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Rural</w:t>
            </w:r>
          </w:p>
        </w:tc>
        <w:tc>
          <w:tcPr>
            <w:tcW w:w="2880" w:type="dxa"/>
          </w:tcPr>
          <w:p w14:paraId="60B31CD1"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154 (13.6%)</w:t>
            </w:r>
          </w:p>
        </w:tc>
      </w:tr>
      <w:tr w:rsidR="00696559" w:rsidRPr="00CE0D1F" w14:paraId="041EB7BE" w14:textId="77777777" w:rsidTr="008959CB">
        <w:trPr>
          <w:trHeight w:val="215"/>
          <w:jc w:val="center"/>
        </w:trPr>
        <w:tc>
          <w:tcPr>
            <w:tcW w:w="5040" w:type="dxa"/>
            <w:vAlign w:val="center"/>
            <w:hideMark/>
          </w:tcPr>
          <w:p w14:paraId="16F5B415"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Urban</w:t>
            </w:r>
          </w:p>
        </w:tc>
        <w:tc>
          <w:tcPr>
            <w:tcW w:w="2880" w:type="dxa"/>
          </w:tcPr>
          <w:p w14:paraId="6B0A45A5"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975 (86.4%)</w:t>
            </w:r>
          </w:p>
        </w:tc>
      </w:tr>
      <w:tr w:rsidR="00696559" w:rsidRPr="00CE0D1F" w14:paraId="4EC5F6CE" w14:textId="77777777" w:rsidTr="008959CB">
        <w:trPr>
          <w:trHeight w:val="215"/>
          <w:jc w:val="center"/>
        </w:trPr>
        <w:tc>
          <w:tcPr>
            <w:tcW w:w="5040" w:type="dxa"/>
            <w:vAlign w:val="center"/>
            <w:hideMark/>
          </w:tcPr>
          <w:p w14:paraId="297B9D9C"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Ownership Type</w:t>
            </w:r>
          </w:p>
        </w:tc>
        <w:tc>
          <w:tcPr>
            <w:tcW w:w="2880" w:type="dxa"/>
          </w:tcPr>
          <w:p w14:paraId="065A3C3F" w14:textId="77777777" w:rsidR="00696559" w:rsidRPr="00CE0D1F" w:rsidRDefault="00696559" w:rsidP="008959CB">
            <w:pPr>
              <w:autoSpaceDE w:val="0"/>
              <w:autoSpaceDN w:val="0"/>
              <w:spacing w:after="0"/>
              <w:jc w:val="center"/>
              <w:rPr>
                <w:rFonts w:cstheme="minorHAnsi"/>
                <w:color w:val="0000FF"/>
                <w:lang w:eastAsia="ja-JP"/>
              </w:rPr>
            </w:pPr>
          </w:p>
        </w:tc>
      </w:tr>
      <w:tr w:rsidR="00696559" w:rsidRPr="00CE0D1F" w14:paraId="181D86DB" w14:textId="77777777" w:rsidTr="008959CB">
        <w:trPr>
          <w:trHeight w:val="215"/>
          <w:jc w:val="center"/>
        </w:trPr>
        <w:tc>
          <w:tcPr>
            <w:tcW w:w="5040" w:type="dxa"/>
            <w:vAlign w:val="center"/>
            <w:hideMark/>
          </w:tcPr>
          <w:p w14:paraId="1B9A2656"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Government</w:t>
            </w:r>
          </w:p>
        </w:tc>
        <w:tc>
          <w:tcPr>
            <w:tcW w:w="2880" w:type="dxa"/>
          </w:tcPr>
          <w:p w14:paraId="03BD817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119 (10.5%)</w:t>
            </w:r>
          </w:p>
        </w:tc>
      </w:tr>
      <w:tr w:rsidR="00696559" w:rsidRPr="00CE0D1F" w14:paraId="05BC9E9D" w14:textId="77777777" w:rsidTr="008959CB">
        <w:trPr>
          <w:trHeight w:val="215"/>
          <w:jc w:val="center"/>
        </w:trPr>
        <w:tc>
          <w:tcPr>
            <w:tcW w:w="5040" w:type="dxa"/>
            <w:vAlign w:val="center"/>
            <w:hideMark/>
          </w:tcPr>
          <w:p w14:paraId="3FCB4F5C"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 xml:space="preserve">      Private</w:t>
            </w:r>
          </w:p>
        </w:tc>
        <w:tc>
          <w:tcPr>
            <w:tcW w:w="2880" w:type="dxa"/>
          </w:tcPr>
          <w:p w14:paraId="75B0410E"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640 (56.7%)</w:t>
            </w:r>
          </w:p>
        </w:tc>
      </w:tr>
      <w:tr w:rsidR="00696559" w:rsidRPr="00CE0D1F" w14:paraId="745804DC" w14:textId="77777777" w:rsidTr="008959CB">
        <w:trPr>
          <w:trHeight w:val="215"/>
          <w:jc w:val="center"/>
        </w:trPr>
        <w:tc>
          <w:tcPr>
            <w:tcW w:w="5040" w:type="dxa"/>
            <w:vAlign w:val="center"/>
            <w:hideMark/>
          </w:tcPr>
          <w:p w14:paraId="301DAF7F"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Non-profit</w:t>
            </w:r>
          </w:p>
        </w:tc>
        <w:tc>
          <w:tcPr>
            <w:tcW w:w="2880" w:type="dxa"/>
          </w:tcPr>
          <w:p w14:paraId="7DE27965"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370 (32.8%)</w:t>
            </w:r>
          </w:p>
        </w:tc>
      </w:tr>
      <w:tr w:rsidR="00696559" w:rsidRPr="00CE0D1F" w14:paraId="04E15169" w14:textId="77777777" w:rsidTr="008959CB">
        <w:trPr>
          <w:trHeight w:val="215"/>
          <w:jc w:val="center"/>
        </w:trPr>
        <w:tc>
          <w:tcPr>
            <w:tcW w:w="5040" w:type="dxa"/>
            <w:vAlign w:val="center"/>
            <w:hideMark/>
          </w:tcPr>
          <w:p w14:paraId="6FBF5EC9"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Rehabilitation hospital</w:t>
            </w:r>
          </w:p>
        </w:tc>
        <w:tc>
          <w:tcPr>
            <w:tcW w:w="2880" w:type="dxa"/>
          </w:tcPr>
          <w:p w14:paraId="1BA43065"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281 (24.9%)</w:t>
            </w:r>
          </w:p>
        </w:tc>
      </w:tr>
      <w:tr w:rsidR="00696559" w:rsidRPr="00CE0D1F" w14:paraId="358D30DB" w14:textId="77777777" w:rsidTr="008959CB">
        <w:trPr>
          <w:trHeight w:val="215"/>
          <w:jc w:val="center"/>
        </w:trPr>
        <w:tc>
          <w:tcPr>
            <w:tcW w:w="5040" w:type="dxa"/>
            <w:vAlign w:val="center"/>
            <w:hideMark/>
          </w:tcPr>
          <w:p w14:paraId="52FCDDE5"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Teaching Facility</w:t>
            </w:r>
          </w:p>
        </w:tc>
        <w:tc>
          <w:tcPr>
            <w:tcW w:w="2880" w:type="dxa"/>
          </w:tcPr>
          <w:p w14:paraId="49D96F3C"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137 (12.1%)</w:t>
            </w:r>
          </w:p>
        </w:tc>
      </w:tr>
      <w:tr w:rsidR="00696559" w:rsidRPr="00CE0D1F" w14:paraId="0555699E" w14:textId="77777777" w:rsidTr="008959CB">
        <w:trPr>
          <w:trHeight w:val="215"/>
          <w:jc w:val="center"/>
        </w:trPr>
        <w:tc>
          <w:tcPr>
            <w:tcW w:w="5040" w:type="dxa"/>
            <w:vAlign w:val="center"/>
            <w:hideMark/>
          </w:tcPr>
          <w:p w14:paraId="04981628"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Number of Patient Stays</w:t>
            </w:r>
          </w:p>
        </w:tc>
        <w:tc>
          <w:tcPr>
            <w:tcW w:w="2880" w:type="dxa"/>
          </w:tcPr>
          <w:p w14:paraId="5996B2C7" w14:textId="77777777" w:rsidR="00696559" w:rsidRPr="00CE0D1F" w:rsidRDefault="00696559" w:rsidP="008959CB">
            <w:pPr>
              <w:autoSpaceDE w:val="0"/>
              <w:autoSpaceDN w:val="0"/>
              <w:spacing w:after="0"/>
              <w:jc w:val="center"/>
              <w:rPr>
                <w:rFonts w:cstheme="minorHAnsi"/>
                <w:color w:val="0000FF"/>
                <w:lang w:eastAsia="ja-JP"/>
              </w:rPr>
            </w:pPr>
          </w:p>
        </w:tc>
      </w:tr>
      <w:tr w:rsidR="00696559" w:rsidRPr="00CE0D1F" w14:paraId="0BA9EEFD" w14:textId="77777777" w:rsidTr="008959CB">
        <w:trPr>
          <w:trHeight w:val="215"/>
          <w:jc w:val="center"/>
        </w:trPr>
        <w:tc>
          <w:tcPr>
            <w:tcW w:w="5040" w:type="dxa"/>
            <w:vAlign w:val="center"/>
            <w:hideMark/>
          </w:tcPr>
          <w:p w14:paraId="38C18666"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 1-104</w:t>
            </w:r>
          </w:p>
        </w:tc>
        <w:tc>
          <w:tcPr>
            <w:tcW w:w="2880" w:type="dxa"/>
          </w:tcPr>
          <w:p w14:paraId="734DD324"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125 (11.1%)</w:t>
            </w:r>
          </w:p>
        </w:tc>
      </w:tr>
      <w:tr w:rsidR="00696559" w:rsidRPr="00CE0D1F" w14:paraId="5FE139B9" w14:textId="77777777" w:rsidTr="008959CB">
        <w:trPr>
          <w:trHeight w:val="215"/>
          <w:jc w:val="center"/>
        </w:trPr>
        <w:tc>
          <w:tcPr>
            <w:tcW w:w="5040" w:type="dxa"/>
            <w:vAlign w:val="center"/>
            <w:hideMark/>
          </w:tcPr>
          <w:p w14:paraId="11420A66"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2: 105-152</w:t>
            </w:r>
          </w:p>
        </w:tc>
        <w:tc>
          <w:tcPr>
            <w:tcW w:w="2880" w:type="dxa"/>
          </w:tcPr>
          <w:p w14:paraId="2D959E28"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114 (10.1%)</w:t>
            </w:r>
          </w:p>
        </w:tc>
      </w:tr>
      <w:tr w:rsidR="00696559" w:rsidRPr="00CE0D1F" w14:paraId="3E1F3EE2" w14:textId="77777777" w:rsidTr="008959CB">
        <w:trPr>
          <w:trHeight w:val="215"/>
          <w:jc w:val="center"/>
        </w:trPr>
        <w:tc>
          <w:tcPr>
            <w:tcW w:w="5040" w:type="dxa"/>
            <w:vAlign w:val="center"/>
            <w:hideMark/>
          </w:tcPr>
          <w:p w14:paraId="5E705C33"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3: 153-192</w:t>
            </w:r>
          </w:p>
        </w:tc>
        <w:tc>
          <w:tcPr>
            <w:tcW w:w="2880" w:type="dxa"/>
          </w:tcPr>
          <w:p w14:paraId="178E033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113 (10.0%)</w:t>
            </w:r>
          </w:p>
        </w:tc>
      </w:tr>
      <w:tr w:rsidR="00696559" w:rsidRPr="00CE0D1F" w14:paraId="57D3C5F2" w14:textId="77777777" w:rsidTr="008959CB">
        <w:trPr>
          <w:trHeight w:val="215"/>
          <w:jc w:val="center"/>
        </w:trPr>
        <w:tc>
          <w:tcPr>
            <w:tcW w:w="5040" w:type="dxa"/>
            <w:vAlign w:val="center"/>
            <w:hideMark/>
          </w:tcPr>
          <w:p w14:paraId="4FBC4A61"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4: 193-240</w:t>
            </w:r>
          </w:p>
        </w:tc>
        <w:tc>
          <w:tcPr>
            <w:tcW w:w="2880" w:type="dxa"/>
          </w:tcPr>
          <w:p w14:paraId="057E42C2"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108 (9.6%)</w:t>
            </w:r>
          </w:p>
        </w:tc>
      </w:tr>
      <w:tr w:rsidR="00696559" w:rsidRPr="00CE0D1F" w14:paraId="293BABAA" w14:textId="77777777" w:rsidTr="008959CB">
        <w:trPr>
          <w:trHeight w:val="215"/>
          <w:jc w:val="center"/>
        </w:trPr>
        <w:tc>
          <w:tcPr>
            <w:tcW w:w="5040" w:type="dxa"/>
            <w:vAlign w:val="center"/>
            <w:hideMark/>
          </w:tcPr>
          <w:p w14:paraId="725DBAF7"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lastRenderedPageBreak/>
              <w:tab/>
              <w:t>Decile 5: 241-296</w:t>
            </w:r>
          </w:p>
        </w:tc>
        <w:tc>
          <w:tcPr>
            <w:tcW w:w="2880" w:type="dxa"/>
          </w:tcPr>
          <w:p w14:paraId="10DA7EB5"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696559" w:rsidRPr="00CE0D1F" w14:paraId="6F0363B5" w14:textId="77777777" w:rsidTr="008959CB">
        <w:trPr>
          <w:trHeight w:val="215"/>
          <w:jc w:val="center"/>
        </w:trPr>
        <w:tc>
          <w:tcPr>
            <w:tcW w:w="5040" w:type="dxa"/>
            <w:vAlign w:val="center"/>
            <w:hideMark/>
          </w:tcPr>
          <w:p w14:paraId="71355E4A"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6: 297-361</w:t>
            </w:r>
          </w:p>
        </w:tc>
        <w:tc>
          <w:tcPr>
            <w:tcW w:w="2880" w:type="dxa"/>
          </w:tcPr>
          <w:p w14:paraId="276F2C4E"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696559" w:rsidRPr="00CE0D1F" w14:paraId="080EA507" w14:textId="77777777" w:rsidTr="008959CB">
        <w:trPr>
          <w:trHeight w:val="215"/>
          <w:jc w:val="center"/>
        </w:trPr>
        <w:tc>
          <w:tcPr>
            <w:tcW w:w="5040" w:type="dxa"/>
            <w:vAlign w:val="center"/>
            <w:hideMark/>
          </w:tcPr>
          <w:p w14:paraId="7014F982"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7: 362-480</w:t>
            </w:r>
          </w:p>
        </w:tc>
        <w:tc>
          <w:tcPr>
            <w:tcW w:w="2880" w:type="dxa"/>
          </w:tcPr>
          <w:p w14:paraId="6FB4D9A6"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112 (9.9%)</w:t>
            </w:r>
          </w:p>
        </w:tc>
      </w:tr>
      <w:tr w:rsidR="00696559" w:rsidRPr="00CE0D1F" w14:paraId="471BD46C" w14:textId="77777777" w:rsidTr="008959CB">
        <w:trPr>
          <w:trHeight w:val="215"/>
          <w:jc w:val="center"/>
        </w:trPr>
        <w:tc>
          <w:tcPr>
            <w:tcW w:w="5040" w:type="dxa"/>
            <w:vAlign w:val="center"/>
            <w:hideMark/>
          </w:tcPr>
          <w:p w14:paraId="34DDAA6D"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8: 481-694</w:t>
            </w:r>
          </w:p>
        </w:tc>
        <w:tc>
          <w:tcPr>
            <w:tcW w:w="2880" w:type="dxa"/>
          </w:tcPr>
          <w:p w14:paraId="36DFE9D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696559" w:rsidRPr="00CE0D1F" w14:paraId="4FD782DE" w14:textId="77777777" w:rsidTr="008959CB">
        <w:trPr>
          <w:trHeight w:val="215"/>
          <w:jc w:val="center"/>
        </w:trPr>
        <w:tc>
          <w:tcPr>
            <w:tcW w:w="5040" w:type="dxa"/>
            <w:vAlign w:val="center"/>
            <w:hideMark/>
          </w:tcPr>
          <w:p w14:paraId="11B106DC"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9: 695-1,022</w:t>
            </w:r>
          </w:p>
        </w:tc>
        <w:tc>
          <w:tcPr>
            <w:tcW w:w="2880" w:type="dxa"/>
          </w:tcPr>
          <w:p w14:paraId="4F60CE4F"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111 (9.8%)</w:t>
            </w:r>
          </w:p>
        </w:tc>
      </w:tr>
      <w:tr w:rsidR="00696559" w:rsidRPr="00CE0D1F" w14:paraId="00A1525D" w14:textId="77777777" w:rsidTr="008959CB">
        <w:trPr>
          <w:trHeight w:val="215"/>
          <w:jc w:val="center"/>
        </w:trPr>
        <w:tc>
          <w:tcPr>
            <w:tcW w:w="5040" w:type="dxa"/>
            <w:tcBorders>
              <w:top w:val="nil"/>
              <w:left w:val="nil"/>
              <w:bottom w:val="single" w:sz="12" w:space="0" w:color="auto"/>
              <w:right w:val="nil"/>
            </w:tcBorders>
            <w:vAlign w:val="center"/>
            <w:hideMark/>
          </w:tcPr>
          <w:p w14:paraId="19C45425" w14:textId="77777777" w:rsidR="00696559" w:rsidRPr="00CE0D1F" w:rsidRDefault="00696559" w:rsidP="008959CB">
            <w:pPr>
              <w:tabs>
                <w:tab w:val="left" w:pos="282"/>
              </w:tabs>
              <w:autoSpaceDE w:val="0"/>
              <w:autoSpaceDN w:val="0"/>
              <w:spacing w:after="0"/>
              <w:rPr>
                <w:rFonts w:cstheme="minorHAnsi"/>
                <w:color w:val="0000FF"/>
                <w:lang w:eastAsia="ja-JP"/>
              </w:rPr>
            </w:pPr>
            <w:r w:rsidRPr="00CE0D1F">
              <w:rPr>
                <w:rFonts w:cstheme="minorHAnsi"/>
                <w:color w:val="0000FF"/>
                <w:lang w:eastAsia="ja-JP"/>
              </w:rPr>
              <w:tab/>
              <w:t>Decile 10: 1,024-4,416</w:t>
            </w:r>
          </w:p>
        </w:tc>
        <w:tc>
          <w:tcPr>
            <w:tcW w:w="2880" w:type="dxa"/>
            <w:tcBorders>
              <w:top w:val="nil"/>
              <w:left w:val="nil"/>
              <w:bottom w:val="single" w:sz="12" w:space="0" w:color="auto"/>
              <w:right w:val="nil"/>
            </w:tcBorders>
          </w:tcPr>
          <w:p w14:paraId="1BDCCC96" w14:textId="77777777" w:rsidR="00696559" w:rsidRPr="00CE0D1F" w:rsidRDefault="00696559" w:rsidP="008959CB">
            <w:pPr>
              <w:autoSpaceDE w:val="0"/>
              <w:autoSpaceDN w:val="0"/>
              <w:spacing w:after="0"/>
              <w:jc w:val="center"/>
              <w:rPr>
                <w:rFonts w:cstheme="minorHAnsi"/>
                <w:color w:val="0000FF"/>
                <w:lang w:eastAsia="ja-JP"/>
              </w:rPr>
            </w:pPr>
            <w:r w:rsidRPr="00CE0D1F">
              <w:rPr>
                <w:rFonts w:cstheme="minorHAnsi"/>
                <w:color w:val="0000FF"/>
                <w:lang w:eastAsia="ja-JP"/>
              </w:rPr>
              <w:t>111 (9.8%)</w:t>
            </w:r>
          </w:p>
        </w:tc>
      </w:tr>
    </w:tbl>
    <w:p w14:paraId="47E17248" w14:textId="77777777" w:rsidR="00696559" w:rsidRPr="00E31118" w:rsidRDefault="00696559" w:rsidP="00696559">
      <w:pPr>
        <w:pStyle w:val="NoSpacing"/>
        <w:ind w:left="720"/>
        <w:contextualSpacing/>
        <w:rPr>
          <w:rFonts w:ascii="Times New Roman" w:eastAsiaTheme="minorHAnsi" w:hAnsi="Times New Roman"/>
          <w:color w:val="0000FF"/>
          <w:sz w:val="20"/>
          <w:szCs w:val="20"/>
        </w:rPr>
      </w:pPr>
      <w:r w:rsidRPr="00E31118">
        <w:rPr>
          <w:rFonts w:ascii="Times New Roman" w:hAnsi="Times New Roman"/>
          <w:color w:val="0000FF"/>
          <w:sz w:val="20"/>
          <w:szCs w:val="20"/>
        </w:rPr>
        <w:t>Note: Values are reported as frequency (percent)</w:t>
      </w:r>
    </w:p>
    <w:p w14:paraId="2EEA0C59" w14:textId="77777777" w:rsidR="00696559" w:rsidRPr="00E31118" w:rsidRDefault="00696559" w:rsidP="00696559">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Source: RTI analysis of IRF-PAI January – December 2017, and Provider of Service (POS) File 2017 (Program reference: LP57)</w:t>
      </w:r>
    </w:p>
    <w:p w14:paraId="63E88F9E" w14:textId="619BFD27" w:rsidR="00696559" w:rsidRPr="00673F1F" w:rsidRDefault="00696559" w:rsidP="00696559">
      <w:pPr>
        <w:spacing w:before="240" w:after="0" w:line="240" w:lineRule="auto"/>
        <w:rPr>
          <w:rFonts w:ascii="Calibri" w:eastAsia="Calibri" w:hAnsi="Calibri" w:cs="Times New Roman"/>
          <w:b/>
          <w:color w:val="0000FF"/>
        </w:rPr>
      </w:pPr>
      <w:r w:rsidRPr="000F7C3F">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Pr>
          <w:rFonts w:ascii="Calibri" w:eastAsia="Calibri" w:hAnsi="Calibri" w:cs="Times New Roman"/>
          <w:b/>
          <w:color w:val="0000FF"/>
        </w:rPr>
        <w:t>– Fiscal Year 2017 Data</w:t>
      </w:r>
    </w:p>
    <w:p w14:paraId="2DFE0577" w14:textId="029D8435" w:rsidR="00696559" w:rsidRPr="000F7C3F" w:rsidRDefault="00696559" w:rsidP="00D7261C">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6C5C5D">
        <w:rPr>
          <w:rFonts w:ascii="Calibri" w:eastAsia="Calibri" w:hAnsi="Calibri" w:cs="Times New Roman"/>
          <w:color w:val="0000FF"/>
        </w:rPr>
        <w:t xml:space="preserve">and internal consistency testing </w:t>
      </w:r>
      <w:r>
        <w:rPr>
          <w:rFonts w:ascii="Calibri" w:eastAsia="Calibri" w:hAnsi="Calibri" w:cs="Times New Roman"/>
          <w:color w:val="0000FF"/>
        </w:rPr>
        <w:t xml:space="preserve">was conducted using fiscal year 2017 data. This dataset included 1,126 IRFs. The characteristics of these IRFs are very similar to the provider data for the calendar year 2017 data reported above. </w:t>
      </w:r>
    </w:p>
    <w:bookmarkEnd w:id="13"/>
    <w:p w14:paraId="05065EF5" w14:textId="77777777" w:rsidR="00696559" w:rsidRPr="00A25024" w:rsidRDefault="00696559" w:rsidP="00DB3627">
      <w:pPr>
        <w:autoSpaceDE w:val="0"/>
        <w:autoSpaceDN w:val="0"/>
        <w:adjustRightInd w:val="0"/>
        <w:spacing w:after="0" w:line="240" w:lineRule="auto"/>
        <w:rPr>
          <w:rFonts w:cstheme="minorHAnsi"/>
          <w:bCs/>
        </w:rPr>
      </w:pPr>
    </w:p>
    <w:p w14:paraId="55C75E2F" w14:textId="510AA58B" w:rsidR="007C31DB" w:rsidRDefault="00906AC8" w:rsidP="00906AC8">
      <w:pPr>
        <w:pStyle w:val="ListParagraph"/>
        <w:spacing w:after="0" w:line="240" w:lineRule="auto"/>
        <w:ind w:left="0"/>
        <w:contextualSpacing w:val="0"/>
        <w:rPr>
          <w:color w:val="0000FF"/>
        </w:rPr>
      </w:pPr>
      <w:r w:rsidRPr="00AA0AB5">
        <w:rPr>
          <w:b/>
          <w:color w:val="0000FF"/>
        </w:rPr>
        <w:t>Face Validity – Technical Expert Panel (TEP) Survey</w:t>
      </w:r>
    </w:p>
    <w:p w14:paraId="5E4A5D57" w14:textId="635BDA02" w:rsidR="00906AC8" w:rsidRDefault="00906AC8" w:rsidP="00906AC8">
      <w:pPr>
        <w:pStyle w:val="ListParagraph"/>
        <w:spacing w:after="0" w:line="240" w:lineRule="auto"/>
        <w:ind w:left="0"/>
        <w:contextualSpacing w:val="0"/>
        <w:rPr>
          <w:rFonts w:eastAsia="Times New Roman"/>
          <w:color w:val="0000FF"/>
        </w:rPr>
      </w:pPr>
      <w:r w:rsidRPr="00AA0AB5">
        <w:rPr>
          <w:color w:val="0000FF"/>
        </w:rPr>
        <w:t xml:space="preserve">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A pre-TEP survey completed by 7 of the 10 TEP members provided us with some data to address face validity of </w:t>
      </w:r>
      <w:r w:rsidRPr="0051041D">
        <w:rPr>
          <w:color w:val="0000FF"/>
        </w:rPr>
        <w:t>the Change in Mobility performance measure. The entities that the 10 TEP members represented were:</w:t>
      </w:r>
      <w:r w:rsidRPr="00AA0AB5">
        <w:rPr>
          <w:color w:val="0000FF"/>
        </w:rPr>
        <w:t xml:space="preserve"> </w:t>
      </w:r>
      <w:r w:rsidRPr="00AA0AB5">
        <w:rPr>
          <w:rFonts w:eastAsia="Times New Roman"/>
          <w:color w:val="0000FF"/>
        </w:rPr>
        <w:t xml:space="preserve">30% non-profit organization, 40% for-profit corporations, 20% government entities, and 10% professional association. </w:t>
      </w:r>
      <w:r w:rsidR="0064525F">
        <w:rPr>
          <w:rFonts w:eastAsia="Times New Roman"/>
          <w:color w:val="0000FF"/>
        </w:rPr>
        <w:t xml:space="preserve">Four of the TEP members have academic affiliations. </w:t>
      </w:r>
      <w:r w:rsidRPr="00AA0AB5">
        <w:rPr>
          <w:rFonts w:eastAsia="Times New Roman"/>
          <w:color w:val="0000FF"/>
        </w:rPr>
        <w:t>The TEP members reported their residence in the following states: Alabama, California, Kentucky, Massachusetts, Minnesota, New York, North Carolina, Ohio, Texas.</w:t>
      </w:r>
    </w:p>
    <w:p w14:paraId="4843236E" w14:textId="77777777" w:rsidR="00906AC8" w:rsidRPr="00AA0AB5" w:rsidRDefault="00906AC8" w:rsidP="0051041D">
      <w:pPr>
        <w:pStyle w:val="ListParagraph"/>
        <w:spacing w:after="0" w:line="240" w:lineRule="auto"/>
        <w:ind w:left="0"/>
        <w:contextualSpacing w:val="0"/>
        <w:rPr>
          <w:rFonts w:eastAsia="Times New Roman"/>
        </w:rPr>
      </w:pPr>
    </w:p>
    <w:p w14:paraId="5578D7D4" w14:textId="77777777" w:rsidR="007D5A1F" w:rsidRDefault="002B5016" w:rsidP="007D5A1F">
      <w:pPr>
        <w:autoSpaceDE w:val="0"/>
        <w:autoSpaceDN w:val="0"/>
        <w:adjustRightInd w:val="0"/>
        <w:spacing w:after="0" w:line="240" w:lineRule="auto"/>
        <w:rPr>
          <w:rFonts w:ascii="Calibri" w:eastAsia="Calibri" w:hAnsi="Calibri" w:cs="Times New Roman"/>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bookmarkStart w:id="15" w:name="_Hlk533587458"/>
    </w:p>
    <w:p w14:paraId="06FC3ED1" w14:textId="3B7D6AD9" w:rsidR="008959CB" w:rsidRPr="00673F1F" w:rsidRDefault="008959CB" w:rsidP="007D5A1F">
      <w:pPr>
        <w:autoSpaceDE w:val="0"/>
        <w:autoSpaceDN w:val="0"/>
        <w:adjustRightInd w:val="0"/>
        <w:spacing w:after="0" w:line="240" w:lineRule="auto"/>
        <w:rPr>
          <w:rFonts w:ascii="Calibri" w:eastAsia="Calibri" w:hAnsi="Calibri" w:cs="Times New Roman"/>
          <w:b/>
          <w:color w:val="0000FF"/>
        </w:rPr>
      </w:pPr>
      <w:r w:rsidRPr="00673F1F">
        <w:rPr>
          <w:rFonts w:ascii="Calibri" w:eastAsia="Calibri" w:hAnsi="Calibri" w:cs="Times New Roman"/>
          <w:b/>
          <w:color w:val="0000FF"/>
        </w:rPr>
        <w:t xml:space="preserve">Total Number of Patients Included in the National IRF-PAI Data </w:t>
      </w:r>
      <w:r w:rsidR="00846AE4">
        <w:rPr>
          <w:rFonts w:ascii="Calibri" w:eastAsia="Calibri" w:hAnsi="Calibri" w:cs="Times New Roman"/>
          <w:b/>
          <w:color w:val="0000FF"/>
        </w:rPr>
        <w:t>- Calendar Year 2017 Data</w:t>
      </w:r>
    </w:p>
    <w:p w14:paraId="16027946" w14:textId="6183E393" w:rsidR="008959CB" w:rsidRDefault="008959CB" w:rsidP="008959CB">
      <w:pPr>
        <w:spacing w:before="240" w:after="0" w:line="240" w:lineRule="auto"/>
      </w:pPr>
      <w:r w:rsidRPr="00A17118">
        <w:rPr>
          <w:rFonts w:ascii="Calibri" w:eastAsia="Calibri" w:hAnsi="Calibri" w:cs="Times New Roman"/>
          <w:color w:val="0000FF"/>
        </w:rPr>
        <w:t xml:space="preserve">IRFs </w:t>
      </w:r>
      <w:r w:rsidRPr="00B833C3">
        <w:rPr>
          <w:rFonts w:ascii="Calibri" w:eastAsia="Calibri" w:hAnsi="Calibri" w:cs="Times New Roman"/>
          <w:color w:val="0000FF"/>
        </w:rPr>
        <w:t>submitted</w:t>
      </w:r>
      <w:r w:rsidRPr="00A17118">
        <w:rPr>
          <w:rFonts w:ascii="Calibri" w:eastAsia="Calibri" w:hAnsi="Calibri" w:cs="Times New Roman"/>
          <w:color w:val="0000FF"/>
        </w:rPr>
        <w:t xml:space="preserve"> a total of </w:t>
      </w:r>
      <w:r>
        <w:rPr>
          <w:rFonts w:ascii="Calibri" w:eastAsia="Calibri" w:hAnsi="Calibri" w:cs="Times New Roman"/>
          <w:color w:val="0000FF"/>
        </w:rPr>
        <w:t>493,209</w:t>
      </w:r>
      <w:r w:rsidRPr="00A17118">
        <w:rPr>
          <w:rFonts w:ascii="Calibri" w:eastAsia="Calibri" w:hAnsi="Calibri" w:cs="Times New Roman"/>
          <w:color w:val="0000FF"/>
        </w:rPr>
        <w:t xml:space="preserve"> </w:t>
      </w:r>
      <w:r>
        <w:rPr>
          <w:rFonts w:ascii="Calibri" w:eastAsia="Calibri" w:hAnsi="Calibri" w:cs="Times New Roman"/>
          <w:color w:val="0000FF"/>
        </w:rPr>
        <w:t xml:space="preserve">patient </w:t>
      </w:r>
      <w:r w:rsidRPr="00A17118">
        <w:rPr>
          <w:rFonts w:ascii="Calibri" w:eastAsia="Calibri" w:hAnsi="Calibri" w:cs="Times New Roman"/>
          <w:color w:val="0000FF"/>
        </w:rPr>
        <w:t xml:space="preserve">records for Medicare Part A and Medicare Advantage patient stays </w:t>
      </w:r>
      <w:r w:rsidR="00D7261C">
        <w:rPr>
          <w:rFonts w:ascii="Calibri" w:eastAsia="Calibri" w:hAnsi="Calibri" w:cs="Times New Roman"/>
          <w:color w:val="0000FF"/>
        </w:rPr>
        <w:t>that ended</w:t>
      </w:r>
      <w:r w:rsidRPr="00A17118">
        <w:rPr>
          <w:rFonts w:ascii="Calibri" w:eastAsia="Calibri" w:hAnsi="Calibri" w:cs="Times New Roman"/>
          <w:color w:val="0000FF"/>
        </w:rPr>
        <w:t xml:space="preserve"> during the testing time period (</w:t>
      </w:r>
      <w:r>
        <w:rPr>
          <w:rFonts w:ascii="Calibri" w:eastAsia="Calibri" w:hAnsi="Calibri" w:cs="Times New Roman"/>
          <w:color w:val="0000FF"/>
        </w:rPr>
        <w:t xml:space="preserve">January 1 </w:t>
      </w:r>
      <w:r w:rsidRPr="00A17118">
        <w:rPr>
          <w:rFonts w:ascii="Calibri" w:eastAsia="Calibri" w:hAnsi="Calibri" w:cs="Times New Roman"/>
          <w:color w:val="0000FF"/>
        </w:rPr>
        <w:t xml:space="preserve">through </w:t>
      </w:r>
      <w:r>
        <w:rPr>
          <w:rFonts w:ascii="Calibri" w:eastAsia="Calibri" w:hAnsi="Calibri" w:cs="Times New Roman"/>
          <w:color w:val="0000FF"/>
        </w:rPr>
        <w:t>December</w:t>
      </w:r>
      <w:r w:rsidRPr="00A17118">
        <w:rPr>
          <w:rFonts w:ascii="Calibri" w:eastAsia="Calibri" w:hAnsi="Calibri" w:cs="Times New Roman"/>
          <w:color w:val="0000FF"/>
        </w:rPr>
        <w:t xml:space="preserve"> 3</w:t>
      </w:r>
      <w:r>
        <w:rPr>
          <w:rFonts w:ascii="Calibri" w:eastAsia="Calibri" w:hAnsi="Calibri" w:cs="Times New Roman"/>
          <w:color w:val="0000FF"/>
        </w:rPr>
        <w:t>1</w:t>
      </w:r>
      <w:r w:rsidRPr="00A17118">
        <w:rPr>
          <w:rFonts w:ascii="Calibri" w:eastAsia="Calibri" w:hAnsi="Calibri" w:cs="Times New Roman"/>
          <w:color w:val="0000FF"/>
        </w:rPr>
        <w:t xml:space="preserve">, 2017). The sociodemographic and stay-level characteristics of these Medicare patients are summarized in </w:t>
      </w:r>
      <w:r w:rsidRPr="00A17118">
        <w:rPr>
          <w:rFonts w:ascii="Calibri" w:eastAsia="Calibri" w:hAnsi="Calibri" w:cs="Times New Roman"/>
          <w:b/>
          <w:color w:val="0000FF"/>
        </w:rPr>
        <w:t>Table 2</w:t>
      </w:r>
      <w:r w:rsidRPr="00A17118">
        <w:rPr>
          <w:rFonts w:ascii="Calibri" w:eastAsia="Calibri" w:hAnsi="Calibri" w:cs="Times New Roman"/>
          <w:color w:val="0000FF"/>
        </w:rPr>
        <w:t>.</w:t>
      </w:r>
      <w:r w:rsidRPr="004A7578">
        <w:t xml:space="preserve"> </w:t>
      </w:r>
    </w:p>
    <w:p w14:paraId="77F31F62" w14:textId="7F6DBB22" w:rsidR="008959CB" w:rsidRDefault="008959CB" w:rsidP="008959CB">
      <w:pPr>
        <w:spacing w:before="240" w:after="0" w:line="240" w:lineRule="auto"/>
        <w:rPr>
          <w:rFonts w:ascii="Calibri" w:eastAsia="Calibri" w:hAnsi="Calibri" w:cs="Times New Roman"/>
          <w:color w:val="0000FF"/>
        </w:rPr>
      </w:pPr>
      <w:r w:rsidRPr="004A7578">
        <w:rPr>
          <w:rFonts w:ascii="Calibri" w:eastAsia="Calibri" w:hAnsi="Calibri" w:cs="Times New Roman"/>
          <w:color w:val="0000FF"/>
        </w:rPr>
        <w:t xml:space="preserve">Patients older than the age of 65 accounted for nearly </w:t>
      </w:r>
      <w:r>
        <w:rPr>
          <w:rFonts w:ascii="Calibri" w:eastAsia="Calibri" w:hAnsi="Calibri" w:cs="Times New Roman"/>
          <w:color w:val="0000FF"/>
        </w:rPr>
        <w:t>87</w:t>
      </w:r>
      <w:r w:rsidRPr="004A7578">
        <w:rPr>
          <w:rFonts w:ascii="Calibri" w:eastAsia="Calibri" w:hAnsi="Calibri" w:cs="Times New Roman"/>
          <w:color w:val="0000FF"/>
        </w:rPr>
        <w:t xml:space="preserve"> percent of IRF patients</w:t>
      </w:r>
      <w:r>
        <w:rPr>
          <w:rFonts w:ascii="Calibri" w:eastAsia="Calibri" w:hAnsi="Calibri" w:cs="Times New Roman"/>
          <w:color w:val="0000FF"/>
        </w:rPr>
        <w:t xml:space="preserve">. </w:t>
      </w:r>
      <w:r w:rsidRPr="004A7578">
        <w:rPr>
          <w:rFonts w:ascii="Calibri" w:eastAsia="Calibri" w:hAnsi="Calibri" w:cs="Times New Roman"/>
          <w:color w:val="0000FF"/>
        </w:rPr>
        <w:t xml:space="preserve">Female patients comprised just over half of the </w:t>
      </w:r>
      <w:r>
        <w:rPr>
          <w:rFonts w:ascii="Calibri" w:eastAsia="Calibri" w:hAnsi="Calibri" w:cs="Times New Roman"/>
          <w:color w:val="0000FF"/>
        </w:rPr>
        <w:t>patients</w:t>
      </w:r>
      <w:r w:rsidRPr="004A7578">
        <w:rPr>
          <w:rFonts w:ascii="Calibri" w:eastAsia="Calibri" w:hAnsi="Calibri" w:cs="Times New Roman"/>
          <w:color w:val="0000FF"/>
        </w:rPr>
        <w:t xml:space="preserve">, nearly </w:t>
      </w:r>
      <w:r w:rsidRPr="00BC4ED4">
        <w:rPr>
          <w:rFonts w:ascii="Calibri" w:eastAsia="Calibri" w:hAnsi="Calibri" w:cs="Times New Roman"/>
          <w:color w:val="0000FF"/>
        </w:rPr>
        <w:t>80</w:t>
      </w:r>
      <w:r w:rsidRPr="004A7578">
        <w:rPr>
          <w:rFonts w:ascii="Calibri" w:eastAsia="Calibri" w:hAnsi="Calibri" w:cs="Times New Roman"/>
          <w:color w:val="0000FF"/>
        </w:rPr>
        <w:t xml:space="preserve"> percent of patients were white, and just under half were married. Overall, most patients lived with family or relatives prior to their IRF stay (65.</w:t>
      </w:r>
      <w:r>
        <w:rPr>
          <w:rFonts w:ascii="Calibri" w:eastAsia="Calibri" w:hAnsi="Calibri" w:cs="Times New Roman"/>
          <w:color w:val="0000FF"/>
        </w:rPr>
        <w:t>4</w:t>
      </w:r>
      <w:r w:rsidRPr="004A7578">
        <w:rPr>
          <w:rFonts w:ascii="Calibri" w:eastAsia="Calibri" w:hAnsi="Calibri" w:cs="Times New Roman"/>
          <w:color w:val="0000FF"/>
        </w:rPr>
        <w:t xml:space="preserve">%) and more than 90 percent were admitted </w:t>
      </w:r>
      <w:r>
        <w:rPr>
          <w:rFonts w:ascii="Calibri" w:eastAsia="Calibri" w:hAnsi="Calibri" w:cs="Times New Roman"/>
          <w:color w:val="0000FF"/>
        </w:rPr>
        <w:t xml:space="preserve">to the IRF </w:t>
      </w:r>
      <w:r w:rsidRPr="004A7578">
        <w:rPr>
          <w:rFonts w:ascii="Calibri" w:eastAsia="Calibri" w:hAnsi="Calibri" w:cs="Times New Roman"/>
          <w:color w:val="0000FF"/>
        </w:rPr>
        <w:t xml:space="preserve">from short-term general acute care hospitals. </w:t>
      </w:r>
      <w:r>
        <w:rPr>
          <w:rFonts w:ascii="Calibri" w:eastAsia="Calibri" w:hAnsi="Calibri" w:cs="Times New Roman"/>
          <w:color w:val="0000FF"/>
        </w:rPr>
        <w:t xml:space="preserve">Stroke </w:t>
      </w:r>
      <w:r w:rsidR="003A3D0F">
        <w:rPr>
          <w:rFonts w:ascii="Calibri" w:eastAsia="Calibri" w:hAnsi="Calibri" w:cs="Times New Roman"/>
          <w:color w:val="0000FF"/>
        </w:rPr>
        <w:t>was</w:t>
      </w:r>
      <w:r>
        <w:rPr>
          <w:rFonts w:ascii="Calibri" w:eastAsia="Calibri" w:hAnsi="Calibri" w:cs="Times New Roman"/>
          <w:color w:val="0000FF"/>
        </w:rPr>
        <w:t xml:space="preserve"> the largest primary diagnosis group (23.3%) with debility and cardiorespiratory conditions (17.4%), fractures and other multiple trauma (11.7%), and other neurological conditions other than progressi</w:t>
      </w:r>
      <w:r w:rsidR="004D3044">
        <w:rPr>
          <w:rFonts w:ascii="Calibri" w:eastAsia="Calibri" w:hAnsi="Calibri" w:cs="Times New Roman"/>
          <w:color w:val="0000FF"/>
        </w:rPr>
        <w:t>ve</w:t>
      </w:r>
      <w:r>
        <w:rPr>
          <w:rFonts w:ascii="Calibri" w:eastAsia="Calibri" w:hAnsi="Calibri" w:cs="Times New Roman"/>
          <w:color w:val="0000FF"/>
        </w:rPr>
        <w:t xml:space="preserve"> neurological conditions (11.4%) as other major primary conditions. </w:t>
      </w:r>
      <w:r w:rsidRPr="004A7578">
        <w:rPr>
          <w:rFonts w:ascii="Calibri" w:eastAsia="Calibri" w:hAnsi="Calibri" w:cs="Times New Roman"/>
          <w:color w:val="0000FF"/>
        </w:rPr>
        <w:t xml:space="preserve">The majority of IRF patient stays ended with the patient discharged </w:t>
      </w:r>
      <w:r>
        <w:rPr>
          <w:rFonts w:ascii="Calibri" w:eastAsia="Calibri" w:hAnsi="Calibri" w:cs="Times New Roman"/>
          <w:color w:val="0000FF"/>
        </w:rPr>
        <w:t xml:space="preserve">to </w:t>
      </w:r>
      <w:r w:rsidRPr="004A7578">
        <w:rPr>
          <w:rFonts w:ascii="Calibri" w:eastAsia="Calibri" w:hAnsi="Calibri" w:cs="Times New Roman"/>
          <w:color w:val="0000FF"/>
        </w:rPr>
        <w:t>home</w:t>
      </w:r>
      <w:r>
        <w:rPr>
          <w:rFonts w:ascii="Calibri" w:eastAsia="Calibri" w:hAnsi="Calibri" w:cs="Times New Roman"/>
          <w:color w:val="0000FF"/>
        </w:rPr>
        <w:t xml:space="preserve"> with or without care from a </w:t>
      </w:r>
      <w:r w:rsidRPr="004A7578">
        <w:rPr>
          <w:rFonts w:ascii="Calibri" w:eastAsia="Calibri" w:hAnsi="Calibri" w:cs="Times New Roman"/>
          <w:color w:val="0000FF"/>
        </w:rPr>
        <w:t xml:space="preserve">home health service </w:t>
      </w:r>
      <w:r w:rsidRPr="004A7578">
        <w:rPr>
          <w:rFonts w:ascii="Calibri" w:eastAsia="Calibri" w:hAnsi="Calibri" w:cs="Times New Roman"/>
          <w:color w:val="0000FF"/>
        </w:rPr>
        <w:lastRenderedPageBreak/>
        <w:t>organization (</w:t>
      </w:r>
      <w:r>
        <w:rPr>
          <w:rFonts w:ascii="Calibri" w:eastAsia="Calibri" w:hAnsi="Calibri" w:cs="Times New Roman"/>
          <w:color w:val="0000FF"/>
        </w:rPr>
        <w:t>73.9</w:t>
      </w:r>
      <w:r w:rsidRPr="004A7578">
        <w:rPr>
          <w:rFonts w:ascii="Calibri" w:eastAsia="Calibri" w:hAnsi="Calibri" w:cs="Times New Roman"/>
          <w:color w:val="0000FF"/>
        </w:rPr>
        <w:t xml:space="preserve">%). About </w:t>
      </w:r>
      <w:r>
        <w:rPr>
          <w:rFonts w:ascii="Calibri" w:eastAsia="Calibri" w:hAnsi="Calibri" w:cs="Times New Roman"/>
          <w:color w:val="0000FF"/>
        </w:rPr>
        <w:t>1</w:t>
      </w:r>
      <w:r w:rsidRPr="004A7578">
        <w:rPr>
          <w:rFonts w:ascii="Calibri" w:eastAsia="Calibri" w:hAnsi="Calibri" w:cs="Times New Roman"/>
          <w:color w:val="0000FF"/>
        </w:rPr>
        <w:t xml:space="preserve">5 percent of patients were discharged to other post-acute care settings, and </w:t>
      </w:r>
      <w:r>
        <w:rPr>
          <w:rFonts w:ascii="Calibri" w:eastAsia="Calibri" w:hAnsi="Calibri" w:cs="Times New Roman"/>
          <w:color w:val="0000FF"/>
        </w:rPr>
        <w:t xml:space="preserve">10 percent </w:t>
      </w:r>
      <w:r w:rsidRPr="004A7578">
        <w:rPr>
          <w:rFonts w:ascii="Calibri" w:eastAsia="Calibri" w:hAnsi="Calibri" w:cs="Times New Roman"/>
          <w:color w:val="0000FF"/>
        </w:rPr>
        <w:t xml:space="preserve">were discharged to </w:t>
      </w:r>
      <w:r>
        <w:rPr>
          <w:rFonts w:ascii="Calibri" w:eastAsia="Calibri" w:hAnsi="Calibri" w:cs="Times New Roman"/>
          <w:color w:val="0000FF"/>
        </w:rPr>
        <w:t xml:space="preserve">a </w:t>
      </w:r>
      <w:r w:rsidRPr="004A7578">
        <w:rPr>
          <w:rFonts w:ascii="Calibri" w:eastAsia="Calibri" w:hAnsi="Calibri" w:cs="Times New Roman"/>
          <w:color w:val="0000FF"/>
        </w:rPr>
        <w:t xml:space="preserve">short-term general acute care hospital. </w:t>
      </w:r>
      <w:r w:rsidRPr="00A17118">
        <w:rPr>
          <w:rFonts w:ascii="Calibri" w:eastAsia="Calibri" w:hAnsi="Calibri" w:cs="Times New Roman"/>
          <w:color w:val="0000FF"/>
        </w:rPr>
        <w:t xml:space="preserve"> </w:t>
      </w:r>
    </w:p>
    <w:p w14:paraId="4507F234" w14:textId="77777777" w:rsidR="008959CB" w:rsidRDefault="008959CB" w:rsidP="008959CB">
      <w:pPr>
        <w:pStyle w:val="Caption"/>
        <w:ind w:left="360"/>
        <w:contextualSpacing/>
        <w:rPr>
          <w:rFonts w:asciiTheme="minorHAnsi" w:hAnsiTheme="minorHAnsi" w:cstheme="minorHAnsi"/>
          <w:color w:val="0000FF"/>
        </w:rPr>
      </w:pPr>
      <w:bookmarkStart w:id="16" w:name="_Ref479924482"/>
      <w:bookmarkStart w:id="17" w:name="_Toc495990977"/>
    </w:p>
    <w:p w14:paraId="5CE39B9E" w14:textId="77777777" w:rsidR="008959CB" w:rsidRPr="00697A91" w:rsidRDefault="008959CB" w:rsidP="008959CB">
      <w:pPr>
        <w:pStyle w:val="Caption"/>
        <w:ind w:left="360" w:hanging="360"/>
        <w:contextualSpacing/>
        <w:rPr>
          <w:rFonts w:asciiTheme="minorHAnsi" w:hAnsiTheme="minorHAnsi" w:cstheme="minorHAnsi"/>
          <w:color w:val="0000FF"/>
        </w:rPr>
      </w:pPr>
      <w:r w:rsidRPr="00697A91">
        <w:rPr>
          <w:rFonts w:asciiTheme="minorHAnsi" w:hAnsiTheme="minorHAnsi" w:cstheme="minorHAnsi"/>
          <w:color w:val="0000FF"/>
        </w:rPr>
        <w:t>Table 2</w:t>
      </w:r>
      <w:bookmarkEnd w:id="16"/>
      <w:r w:rsidRPr="00697A91">
        <w:rPr>
          <w:rFonts w:asciiTheme="minorHAnsi" w:hAnsiTheme="minorHAnsi" w:cstheme="minorHAnsi"/>
          <w:color w:val="0000FF"/>
        </w:rPr>
        <w:t>. IRF Medicare Patient and Stay Characteristics</w:t>
      </w:r>
      <w:r>
        <w:rPr>
          <w:rFonts w:asciiTheme="minorHAnsi" w:hAnsiTheme="minorHAnsi" w:cstheme="minorHAnsi"/>
          <w:color w:val="0000FF"/>
        </w:rPr>
        <w:t xml:space="preserve">, Patients Discharged in Calendar Year 2017 </w:t>
      </w:r>
      <w:r w:rsidRPr="00697A91">
        <w:rPr>
          <w:rFonts w:asciiTheme="minorHAnsi" w:hAnsiTheme="minorHAnsi" w:cstheme="minorHAnsi"/>
          <w:color w:val="0000FF"/>
        </w:rPr>
        <w:t>(N=493,209)</w:t>
      </w:r>
      <w:bookmarkEnd w:id="17"/>
    </w:p>
    <w:tbl>
      <w:tblPr>
        <w:tblW w:w="9181" w:type="dxa"/>
        <w:tblLayout w:type="fixed"/>
        <w:tblCellMar>
          <w:left w:w="0" w:type="dxa"/>
          <w:right w:w="0" w:type="dxa"/>
        </w:tblCellMar>
        <w:tblLook w:val="04A0" w:firstRow="1" w:lastRow="0" w:firstColumn="1" w:lastColumn="0" w:noHBand="0" w:noVBand="1"/>
      </w:tblPr>
      <w:tblGrid>
        <w:gridCol w:w="5739"/>
        <w:gridCol w:w="3442"/>
      </w:tblGrid>
      <w:tr w:rsidR="008959CB" w:rsidRPr="00CE0D1F" w14:paraId="0D880022" w14:textId="77777777" w:rsidTr="000A1684">
        <w:trPr>
          <w:cantSplit/>
          <w:trHeight w:val="214"/>
          <w:tblHeader/>
        </w:trPr>
        <w:tc>
          <w:tcPr>
            <w:tcW w:w="5739"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tcPr>
          <w:p w14:paraId="22D5D75D" w14:textId="012D15DE" w:rsidR="008959CB" w:rsidRPr="00CE0D1F" w:rsidRDefault="00294D20" w:rsidP="000A1684">
            <w:pPr>
              <w:keepNext/>
              <w:adjustRightInd w:val="0"/>
              <w:spacing w:after="0" w:line="240" w:lineRule="auto"/>
              <w:rPr>
                <w:rFonts w:eastAsia="Times New Roman" w:cstheme="minorHAnsi"/>
                <w:b/>
                <w:iCs/>
                <w:color w:val="0000FF"/>
              </w:rPr>
            </w:pPr>
            <w:r>
              <w:rPr>
                <w:rFonts w:eastAsia="Times New Roman" w:cstheme="minorHAnsi"/>
                <w:b/>
                <w:iCs/>
                <w:color w:val="0000FF"/>
              </w:rPr>
              <w:t>Characteristics</w:t>
            </w:r>
          </w:p>
        </w:tc>
        <w:tc>
          <w:tcPr>
            <w:tcW w:w="3442" w:type="dxa"/>
            <w:tcBorders>
              <w:top w:val="single" w:sz="12" w:space="0" w:color="auto"/>
              <w:left w:val="nil"/>
              <w:bottom w:val="single" w:sz="4" w:space="0" w:color="000000"/>
              <w:right w:val="nil"/>
            </w:tcBorders>
            <w:shd w:val="clear" w:color="auto" w:fill="FFFFFF"/>
            <w:tcMar>
              <w:top w:w="0" w:type="dxa"/>
              <w:left w:w="67" w:type="dxa"/>
              <w:bottom w:w="0" w:type="dxa"/>
              <w:right w:w="67" w:type="dxa"/>
            </w:tcMar>
            <w:vAlign w:val="center"/>
            <w:hideMark/>
          </w:tcPr>
          <w:p w14:paraId="00B3D1E5" w14:textId="77777777" w:rsidR="008959CB" w:rsidRPr="00CE0D1F" w:rsidRDefault="008959CB" w:rsidP="000A1684">
            <w:pPr>
              <w:keepNext/>
              <w:adjustRightInd w:val="0"/>
              <w:spacing w:after="0" w:line="240" w:lineRule="auto"/>
              <w:jc w:val="center"/>
              <w:rPr>
                <w:rFonts w:eastAsia="Times New Roman" w:cstheme="minorHAnsi"/>
                <w:b/>
                <w:iCs/>
                <w:color w:val="0000FF"/>
              </w:rPr>
            </w:pPr>
            <w:r>
              <w:rPr>
                <w:rFonts w:eastAsia="Times New Roman" w:cstheme="minorHAnsi"/>
                <w:b/>
                <w:iCs/>
                <w:color w:val="0000FF"/>
              </w:rPr>
              <w:t>Number (Percent)</w:t>
            </w:r>
          </w:p>
        </w:tc>
      </w:tr>
      <w:tr w:rsidR="008959CB" w:rsidRPr="00CE0D1F" w14:paraId="00D53F30"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579C5D6"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Age</w:t>
            </w:r>
          </w:p>
        </w:tc>
        <w:tc>
          <w:tcPr>
            <w:tcW w:w="3442" w:type="dxa"/>
            <w:shd w:val="clear" w:color="auto" w:fill="FFFFFF"/>
            <w:tcMar>
              <w:top w:w="0" w:type="dxa"/>
              <w:left w:w="67" w:type="dxa"/>
              <w:bottom w:w="0" w:type="dxa"/>
              <w:right w:w="67" w:type="dxa"/>
            </w:tcMar>
            <w:vAlign w:val="center"/>
          </w:tcPr>
          <w:p w14:paraId="1BA76B8A"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46BB764C"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0FE5D4CE" w14:textId="77777777" w:rsidR="008959CB" w:rsidRPr="00CE0D1F" w:rsidRDefault="008959CB" w:rsidP="000A1684">
            <w:pPr>
              <w:tabs>
                <w:tab w:val="left" w:pos="282"/>
              </w:tabs>
              <w:autoSpaceDE w:val="0"/>
              <w:autoSpaceDN w:val="0"/>
              <w:spacing w:after="0" w:line="240" w:lineRule="auto"/>
              <w:rPr>
                <w:rFonts w:eastAsia="Times New Roman" w:cstheme="minorHAnsi"/>
                <w:color w:val="0000FF"/>
              </w:rPr>
            </w:pPr>
            <w:r w:rsidRPr="00CE0D1F">
              <w:rPr>
                <w:rFonts w:eastAsia="Times New Roman" w:cstheme="minorHAnsi"/>
                <w:color w:val="0000FF"/>
              </w:rPr>
              <w:tab/>
              <w:t>64 and younger</w:t>
            </w:r>
          </w:p>
        </w:tc>
        <w:tc>
          <w:tcPr>
            <w:tcW w:w="3442" w:type="dxa"/>
            <w:shd w:val="clear" w:color="auto" w:fill="FFFFFF"/>
            <w:tcMar>
              <w:top w:w="0" w:type="dxa"/>
              <w:left w:w="67" w:type="dxa"/>
              <w:bottom w:w="0" w:type="dxa"/>
              <w:right w:w="67" w:type="dxa"/>
            </w:tcMar>
            <w:vAlign w:val="bottom"/>
          </w:tcPr>
          <w:p w14:paraId="7F21976F"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66,395 (13.5%)</w:t>
            </w:r>
          </w:p>
        </w:tc>
      </w:tr>
      <w:tr w:rsidR="008959CB" w:rsidRPr="00CE0D1F" w14:paraId="23528A82"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0B6124F"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65 to 74</w:t>
            </w:r>
          </w:p>
        </w:tc>
        <w:tc>
          <w:tcPr>
            <w:tcW w:w="3442" w:type="dxa"/>
            <w:shd w:val="clear" w:color="auto" w:fill="FFFFFF"/>
            <w:tcMar>
              <w:top w:w="0" w:type="dxa"/>
              <w:left w:w="67" w:type="dxa"/>
              <w:bottom w:w="0" w:type="dxa"/>
              <w:right w:w="67" w:type="dxa"/>
            </w:tcMar>
            <w:vAlign w:val="bottom"/>
          </w:tcPr>
          <w:p w14:paraId="03E92C3B"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169,773 (34.4%)</w:t>
            </w:r>
          </w:p>
        </w:tc>
      </w:tr>
      <w:tr w:rsidR="008959CB" w:rsidRPr="00CE0D1F" w14:paraId="3C89EFE2"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098641C"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75 to 84</w:t>
            </w:r>
          </w:p>
        </w:tc>
        <w:tc>
          <w:tcPr>
            <w:tcW w:w="3442" w:type="dxa"/>
            <w:shd w:val="clear" w:color="auto" w:fill="FFFFFF"/>
            <w:tcMar>
              <w:top w:w="0" w:type="dxa"/>
              <w:left w:w="67" w:type="dxa"/>
              <w:bottom w:w="0" w:type="dxa"/>
              <w:right w:w="67" w:type="dxa"/>
            </w:tcMar>
            <w:vAlign w:val="bottom"/>
          </w:tcPr>
          <w:p w14:paraId="61455991"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161,473 (32.7%)</w:t>
            </w:r>
          </w:p>
        </w:tc>
      </w:tr>
      <w:tr w:rsidR="008959CB" w:rsidRPr="00CE0D1F" w14:paraId="03708C6B"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12C493A3"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85 and older</w:t>
            </w:r>
          </w:p>
        </w:tc>
        <w:tc>
          <w:tcPr>
            <w:tcW w:w="3442" w:type="dxa"/>
            <w:shd w:val="clear" w:color="auto" w:fill="FFFFFF"/>
            <w:tcMar>
              <w:top w:w="0" w:type="dxa"/>
              <w:left w:w="67" w:type="dxa"/>
              <w:bottom w:w="0" w:type="dxa"/>
              <w:right w:w="67" w:type="dxa"/>
            </w:tcMar>
            <w:vAlign w:val="bottom"/>
          </w:tcPr>
          <w:p w14:paraId="1A608239"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95,568 (19.4%)</w:t>
            </w:r>
          </w:p>
        </w:tc>
      </w:tr>
      <w:tr w:rsidR="008959CB" w:rsidRPr="00CE0D1F" w14:paraId="027DE345"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0FC791D5"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Gender</w:t>
            </w:r>
          </w:p>
        </w:tc>
        <w:tc>
          <w:tcPr>
            <w:tcW w:w="3442" w:type="dxa"/>
            <w:shd w:val="clear" w:color="auto" w:fill="FFFFFF"/>
            <w:tcMar>
              <w:top w:w="0" w:type="dxa"/>
              <w:left w:w="67" w:type="dxa"/>
              <w:bottom w:w="0" w:type="dxa"/>
              <w:right w:w="67" w:type="dxa"/>
            </w:tcMar>
            <w:vAlign w:val="center"/>
          </w:tcPr>
          <w:p w14:paraId="76324B41"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744F8952"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2847BD9"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color w:val="0000FF"/>
              </w:rPr>
              <w:t xml:space="preserve">      Male</w:t>
            </w:r>
          </w:p>
        </w:tc>
        <w:tc>
          <w:tcPr>
            <w:tcW w:w="3442" w:type="dxa"/>
            <w:shd w:val="clear" w:color="auto" w:fill="FFFFFF"/>
            <w:tcMar>
              <w:top w:w="0" w:type="dxa"/>
              <w:left w:w="67" w:type="dxa"/>
              <w:bottom w:w="0" w:type="dxa"/>
              <w:right w:w="67" w:type="dxa"/>
            </w:tcMar>
            <w:vAlign w:val="bottom"/>
          </w:tcPr>
          <w:p w14:paraId="1F900D00"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231,751 (47.0%)</w:t>
            </w:r>
          </w:p>
        </w:tc>
      </w:tr>
      <w:tr w:rsidR="008959CB" w:rsidRPr="00CE0D1F" w14:paraId="3ECF27EB"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A54043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color w:val="0000FF"/>
              </w:rPr>
              <w:t xml:space="preserve">      </w:t>
            </w:r>
            <w:r w:rsidRPr="00CE0D1F">
              <w:rPr>
                <w:rFonts w:eastAsia="Times New Roman" w:cstheme="minorHAnsi"/>
                <w:iCs/>
                <w:color w:val="0000FF"/>
              </w:rPr>
              <w:t>Female</w:t>
            </w:r>
          </w:p>
        </w:tc>
        <w:tc>
          <w:tcPr>
            <w:tcW w:w="3442" w:type="dxa"/>
            <w:shd w:val="clear" w:color="auto" w:fill="FFFFFF"/>
            <w:tcMar>
              <w:top w:w="0" w:type="dxa"/>
              <w:left w:w="67" w:type="dxa"/>
              <w:bottom w:w="0" w:type="dxa"/>
              <w:right w:w="67" w:type="dxa"/>
            </w:tcMar>
            <w:vAlign w:val="bottom"/>
          </w:tcPr>
          <w:p w14:paraId="74320AA4"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261,458 (53.0%)</w:t>
            </w:r>
          </w:p>
        </w:tc>
      </w:tr>
      <w:tr w:rsidR="008959CB" w:rsidRPr="00CE0D1F" w14:paraId="207C66C7"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C3B4368"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Race/Ethnicity*</w:t>
            </w:r>
          </w:p>
        </w:tc>
        <w:tc>
          <w:tcPr>
            <w:tcW w:w="3442" w:type="dxa"/>
            <w:shd w:val="clear" w:color="auto" w:fill="FFFFFF"/>
            <w:tcMar>
              <w:top w:w="0" w:type="dxa"/>
              <w:left w:w="67" w:type="dxa"/>
              <w:bottom w:w="0" w:type="dxa"/>
              <w:right w:w="67" w:type="dxa"/>
            </w:tcMar>
            <w:vAlign w:val="center"/>
          </w:tcPr>
          <w:p w14:paraId="7895A8DF" w14:textId="77777777" w:rsidR="008959CB" w:rsidRPr="00CE0D1F" w:rsidRDefault="008959CB" w:rsidP="000A1684">
            <w:pPr>
              <w:keepNext/>
              <w:adjustRightInd w:val="0"/>
              <w:spacing w:after="0" w:line="240" w:lineRule="auto"/>
              <w:jc w:val="center"/>
              <w:rPr>
                <w:rFonts w:eastAsia="Times New Roman" w:cstheme="minorHAnsi"/>
                <w:color w:val="0000FF"/>
              </w:rPr>
            </w:pPr>
          </w:p>
        </w:tc>
      </w:tr>
      <w:tr w:rsidR="008959CB" w:rsidRPr="00CE0D1F" w14:paraId="07BDDBE9"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5F7FAC32"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White</w:t>
            </w:r>
          </w:p>
        </w:tc>
        <w:tc>
          <w:tcPr>
            <w:tcW w:w="3442" w:type="dxa"/>
            <w:shd w:val="clear" w:color="auto" w:fill="FFFFFF"/>
            <w:tcMar>
              <w:top w:w="0" w:type="dxa"/>
              <w:left w:w="67" w:type="dxa"/>
              <w:bottom w:w="0" w:type="dxa"/>
              <w:right w:w="67" w:type="dxa"/>
            </w:tcMar>
            <w:vAlign w:val="bottom"/>
          </w:tcPr>
          <w:p w14:paraId="3FFDD414"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390,837 (79.2%)</w:t>
            </w:r>
          </w:p>
        </w:tc>
      </w:tr>
      <w:tr w:rsidR="008959CB" w:rsidRPr="00CE0D1F" w14:paraId="1E1BA1E3"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19AA288D"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Black or African American</w:t>
            </w:r>
          </w:p>
        </w:tc>
        <w:tc>
          <w:tcPr>
            <w:tcW w:w="3442" w:type="dxa"/>
            <w:shd w:val="clear" w:color="auto" w:fill="FFFFFF"/>
            <w:tcMar>
              <w:top w:w="0" w:type="dxa"/>
              <w:left w:w="67" w:type="dxa"/>
              <w:bottom w:w="0" w:type="dxa"/>
              <w:right w:w="67" w:type="dxa"/>
            </w:tcMar>
            <w:vAlign w:val="bottom"/>
          </w:tcPr>
          <w:p w14:paraId="2FE277D3"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54,971 (11.2%)</w:t>
            </w:r>
          </w:p>
        </w:tc>
      </w:tr>
      <w:tr w:rsidR="008959CB" w:rsidRPr="00CE0D1F" w14:paraId="62BE8D69"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51E38D7"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Hispanic or Latino</w:t>
            </w:r>
          </w:p>
        </w:tc>
        <w:tc>
          <w:tcPr>
            <w:tcW w:w="3442" w:type="dxa"/>
            <w:shd w:val="clear" w:color="auto" w:fill="FFFFFF"/>
            <w:tcMar>
              <w:top w:w="0" w:type="dxa"/>
              <w:left w:w="67" w:type="dxa"/>
              <w:bottom w:w="0" w:type="dxa"/>
              <w:right w:w="67" w:type="dxa"/>
            </w:tcMar>
            <w:vAlign w:val="bottom"/>
          </w:tcPr>
          <w:p w14:paraId="13774C80"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23,361 (4.7%)</w:t>
            </w:r>
          </w:p>
        </w:tc>
      </w:tr>
      <w:tr w:rsidR="008959CB" w:rsidRPr="00CE0D1F" w14:paraId="4AC78B41"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4343D6DA"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Asian</w:t>
            </w:r>
          </w:p>
        </w:tc>
        <w:tc>
          <w:tcPr>
            <w:tcW w:w="3442" w:type="dxa"/>
            <w:shd w:val="clear" w:color="auto" w:fill="FFFFFF"/>
            <w:tcMar>
              <w:top w:w="0" w:type="dxa"/>
              <w:left w:w="67" w:type="dxa"/>
              <w:bottom w:w="0" w:type="dxa"/>
              <w:right w:w="67" w:type="dxa"/>
            </w:tcMar>
            <w:vAlign w:val="bottom"/>
          </w:tcPr>
          <w:p w14:paraId="1C963DA4"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7,876 (1.6%)</w:t>
            </w:r>
          </w:p>
        </w:tc>
      </w:tr>
      <w:tr w:rsidR="008959CB" w:rsidRPr="00CE0D1F" w14:paraId="4C5D157A"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64360BD0"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American Indian/Alaskan Native</w:t>
            </w:r>
          </w:p>
        </w:tc>
        <w:tc>
          <w:tcPr>
            <w:tcW w:w="3442" w:type="dxa"/>
            <w:shd w:val="clear" w:color="auto" w:fill="FFFFFF"/>
            <w:tcMar>
              <w:top w:w="0" w:type="dxa"/>
              <w:left w:w="67" w:type="dxa"/>
              <w:bottom w:w="0" w:type="dxa"/>
              <w:right w:w="67" w:type="dxa"/>
            </w:tcMar>
            <w:vAlign w:val="bottom"/>
          </w:tcPr>
          <w:p w14:paraId="0870042E"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1,724 (0.4%)</w:t>
            </w:r>
          </w:p>
        </w:tc>
      </w:tr>
      <w:tr w:rsidR="008959CB" w:rsidRPr="00CE0D1F" w14:paraId="6A0AD1AE"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A0DCF13"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Native Hawaiian/Pacific Islander</w:t>
            </w:r>
          </w:p>
        </w:tc>
        <w:tc>
          <w:tcPr>
            <w:tcW w:w="3442" w:type="dxa"/>
            <w:shd w:val="clear" w:color="auto" w:fill="FFFFFF"/>
            <w:tcMar>
              <w:top w:w="0" w:type="dxa"/>
              <w:left w:w="67" w:type="dxa"/>
              <w:bottom w:w="0" w:type="dxa"/>
              <w:right w:w="67" w:type="dxa"/>
            </w:tcMar>
            <w:vAlign w:val="bottom"/>
          </w:tcPr>
          <w:p w14:paraId="6ECDD900"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1,954 (0.4%)</w:t>
            </w:r>
          </w:p>
        </w:tc>
      </w:tr>
      <w:tr w:rsidR="008959CB" w:rsidRPr="00CE0D1F" w14:paraId="6DCD4C15"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C1AE3A4" w14:textId="77777777" w:rsidR="008959CB" w:rsidRPr="00CE0D1F" w:rsidRDefault="008959CB" w:rsidP="000A1684">
            <w:pPr>
              <w:keepNext/>
              <w:adjustRightInd w:val="0"/>
              <w:spacing w:after="0" w:line="240" w:lineRule="auto"/>
              <w:rPr>
                <w:rFonts w:eastAsia="Times New Roman" w:cstheme="minorHAnsi"/>
                <w:iCs/>
                <w:color w:val="0000FF"/>
              </w:rPr>
            </w:pPr>
            <w:r w:rsidRPr="00CE0D1F">
              <w:rPr>
                <w:rFonts w:eastAsia="Times New Roman" w:cstheme="minorHAnsi"/>
                <w:iCs/>
                <w:color w:val="0000FF"/>
              </w:rPr>
              <w:t>Marital Status</w:t>
            </w:r>
          </w:p>
        </w:tc>
        <w:tc>
          <w:tcPr>
            <w:tcW w:w="3442" w:type="dxa"/>
            <w:shd w:val="clear" w:color="auto" w:fill="FFFFFF"/>
            <w:tcMar>
              <w:top w:w="0" w:type="dxa"/>
              <w:left w:w="67" w:type="dxa"/>
              <w:bottom w:w="0" w:type="dxa"/>
              <w:right w:w="67" w:type="dxa"/>
            </w:tcMar>
            <w:vAlign w:val="center"/>
          </w:tcPr>
          <w:p w14:paraId="6E9BE5D7"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5D9A1CE6"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7ECBFE1"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Married</w:t>
            </w:r>
          </w:p>
        </w:tc>
        <w:tc>
          <w:tcPr>
            <w:tcW w:w="3442" w:type="dxa"/>
            <w:shd w:val="clear" w:color="auto" w:fill="FFFFFF"/>
            <w:tcMar>
              <w:top w:w="0" w:type="dxa"/>
              <w:left w:w="67" w:type="dxa"/>
              <w:bottom w:w="0" w:type="dxa"/>
              <w:right w:w="67" w:type="dxa"/>
            </w:tcMar>
            <w:vAlign w:val="bottom"/>
          </w:tcPr>
          <w:p w14:paraId="508A1D7D"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231,146 (46.9%)</w:t>
            </w:r>
          </w:p>
        </w:tc>
      </w:tr>
      <w:tr w:rsidR="008959CB" w:rsidRPr="00CE0D1F" w14:paraId="45342F46"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C53913F"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Widowed</w:t>
            </w:r>
          </w:p>
        </w:tc>
        <w:tc>
          <w:tcPr>
            <w:tcW w:w="3442" w:type="dxa"/>
            <w:shd w:val="clear" w:color="auto" w:fill="FFFFFF"/>
            <w:tcMar>
              <w:top w:w="0" w:type="dxa"/>
              <w:left w:w="67" w:type="dxa"/>
              <w:bottom w:w="0" w:type="dxa"/>
              <w:right w:w="67" w:type="dxa"/>
            </w:tcMar>
            <w:vAlign w:val="bottom"/>
          </w:tcPr>
          <w:p w14:paraId="2CF81B18"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131,663 (26.7%)</w:t>
            </w:r>
          </w:p>
        </w:tc>
      </w:tr>
      <w:tr w:rsidR="008959CB" w:rsidRPr="00CE0D1F" w14:paraId="1B8AC9FF"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E067C2C"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442" w:type="dxa"/>
            <w:shd w:val="clear" w:color="auto" w:fill="FFFFFF"/>
            <w:tcMar>
              <w:top w:w="0" w:type="dxa"/>
              <w:left w:w="67" w:type="dxa"/>
              <w:bottom w:w="0" w:type="dxa"/>
              <w:right w:w="67" w:type="dxa"/>
            </w:tcMar>
            <w:vAlign w:val="bottom"/>
          </w:tcPr>
          <w:p w14:paraId="59D6ABD4"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130,400 (26.4%)</w:t>
            </w:r>
          </w:p>
        </w:tc>
      </w:tr>
      <w:tr w:rsidR="008959CB" w:rsidRPr="00CE0D1F" w14:paraId="1A01C9BA"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673F748" w14:textId="77777777" w:rsidR="008959CB" w:rsidRPr="00CE0D1F" w:rsidRDefault="008959CB" w:rsidP="000A1684">
            <w:pPr>
              <w:keepNext/>
              <w:adjustRightInd w:val="0"/>
              <w:spacing w:after="0" w:line="240" w:lineRule="auto"/>
              <w:rPr>
                <w:rFonts w:eastAsia="Times New Roman" w:cstheme="minorHAnsi"/>
                <w:iCs/>
                <w:color w:val="0000FF"/>
              </w:rPr>
            </w:pPr>
            <w:r w:rsidRPr="00CE0D1F">
              <w:rPr>
                <w:rFonts w:eastAsia="Times New Roman" w:cstheme="minorHAnsi"/>
                <w:iCs/>
                <w:color w:val="0000FF"/>
              </w:rPr>
              <w:t>Pre-Hospital Living With</w:t>
            </w:r>
          </w:p>
        </w:tc>
        <w:tc>
          <w:tcPr>
            <w:tcW w:w="3442" w:type="dxa"/>
            <w:shd w:val="clear" w:color="auto" w:fill="FFFFFF"/>
            <w:tcMar>
              <w:top w:w="0" w:type="dxa"/>
              <w:left w:w="67" w:type="dxa"/>
              <w:bottom w:w="0" w:type="dxa"/>
              <w:right w:w="67" w:type="dxa"/>
            </w:tcMar>
            <w:vAlign w:val="center"/>
          </w:tcPr>
          <w:p w14:paraId="19E24F1D"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208A1BA8"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51A4B54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Living Alone</w:t>
            </w:r>
          </w:p>
        </w:tc>
        <w:tc>
          <w:tcPr>
            <w:tcW w:w="3442" w:type="dxa"/>
            <w:shd w:val="clear" w:color="auto" w:fill="FFFFFF"/>
            <w:tcMar>
              <w:top w:w="0" w:type="dxa"/>
              <w:left w:w="67" w:type="dxa"/>
              <w:bottom w:w="0" w:type="dxa"/>
              <w:right w:w="67" w:type="dxa"/>
            </w:tcMar>
            <w:vAlign w:val="bottom"/>
          </w:tcPr>
          <w:p w14:paraId="36CAE398"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1443,592 (29.1%)</w:t>
            </w:r>
          </w:p>
        </w:tc>
      </w:tr>
      <w:tr w:rsidR="008959CB" w:rsidRPr="00CE0D1F" w14:paraId="025775B4"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6D53C2E9"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Family/Relatives</w:t>
            </w:r>
          </w:p>
        </w:tc>
        <w:tc>
          <w:tcPr>
            <w:tcW w:w="3442" w:type="dxa"/>
            <w:shd w:val="clear" w:color="auto" w:fill="FFFFFF"/>
            <w:tcMar>
              <w:top w:w="0" w:type="dxa"/>
              <w:left w:w="67" w:type="dxa"/>
              <w:bottom w:w="0" w:type="dxa"/>
              <w:right w:w="67" w:type="dxa"/>
            </w:tcMar>
            <w:vAlign w:val="bottom"/>
          </w:tcPr>
          <w:p w14:paraId="41695E67"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322,605 (65.4%)</w:t>
            </w:r>
          </w:p>
        </w:tc>
      </w:tr>
      <w:tr w:rsidR="008959CB" w:rsidRPr="00CE0D1F" w14:paraId="17D70055"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04B3D86"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w:t>
            </w:r>
          </w:p>
        </w:tc>
        <w:tc>
          <w:tcPr>
            <w:tcW w:w="3442" w:type="dxa"/>
            <w:shd w:val="clear" w:color="auto" w:fill="FFFFFF"/>
            <w:tcMar>
              <w:top w:w="0" w:type="dxa"/>
              <w:left w:w="67" w:type="dxa"/>
              <w:bottom w:w="0" w:type="dxa"/>
              <w:right w:w="67" w:type="dxa"/>
            </w:tcMar>
            <w:vAlign w:val="bottom"/>
          </w:tcPr>
          <w:p w14:paraId="1184344C"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27,012 (5.5%)</w:t>
            </w:r>
          </w:p>
        </w:tc>
      </w:tr>
      <w:tr w:rsidR="008959CB" w:rsidRPr="00CE0D1F" w14:paraId="2389413A" w14:textId="77777777" w:rsidTr="000A1684">
        <w:trPr>
          <w:cantSplit/>
          <w:trHeight w:val="214"/>
        </w:trPr>
        <w:tc>
          <w:tcPr>
            <w:tcW w:w="5739" w:type="dxa"/>
            <w:shd w:val="clear" w:color="auto" w:fill="FFFFFF"/>
            <w:tcMar>
              <w:top w:w="0" w:type="dxa"/>
              <w:left w:w="67" w:type="dxa"/>
              <w:bottom w:w="0" w:type="dxa"/>
              <w:right w:w="67" w:type="dxa"/>
            </w:tcMar>
            <w:vAlign w:val="center"/>
          </w:tcPr>
          <w:p w14:paraId="2E34839D"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Primary Diagnosis</w:t>
            </w:r>
          </w:p>
        </w:tc>
        <w:tc>
          <w:tcPr>
            <w:tcW w:w="3442" w:type="dxa"/>
            <w:shd w:val="clear" w:color="auto" w:fill="FFFFFF"/>
            <w:tcMar>
              <w:top w:w="0" w:type="dxa"/>
              <w:left w:w="67" w:type="dxa"/>
              <w:bottom w:w="0" w:type="dxa"/>
              <w:right w:w="67" w:type="dxa"/>
            </w:tcMar>
            <w:vAlign w:val="bottom"/>
          </w:tcPr>
          <w:p w14:paraId="2FA9E37F" w14:textId="77777777" w:rsidR="008959CB" w:rsidRPr="00CE0D1F" w:rsidRDefault="008959CB" w:rsidP="000A1684">
            <w:pPr>
              <w:keepNext/>
              <w:adjustRightInd w:val="0"/>
              <w:spacing w:after="0" w:line="240" w:lineRule="auto"/>
              <w:jc w:val="center"/>
              <w:rPr>
                <w:rFonts w:eastAsia="Times New Roman" w:cstheme="minorHAnsi"/>
                <w:color w:val="0000FF"/>
              </w:rPr>
            </w:pPr>
          </w:p>
        </w:tc>
      </w:tr>
      <w:tr w:rsidR="008959CB" w:rsidRPr="00CE0D1F" w14:paraId="4DEDF835" w14:textId="77777777" w:rsidTr="000A1684">
        <w:trPr>
          <w:cantSplit/>
          <w:trHeight w:val="214"/>
        </w:trPr>
        <w:tc>
          <w:tcPr>
            <w:tcW w:w="5739" w:type="dxa"/>
            <w:shd w:val="clear" w:color="auto" w:fill="FFFFFF"/>
            <w:tcMar>
              <w:top w:w="0" w:type="dxa"/>
              <w:left w:w="67" w:type="dxa"/>
              <w:bottom w:w="0" w:type="dxa"/>
              <w:right w:w="67" w:type="dxa"/>
            </w:tcMar>
            <w:vAlign w:val="center"/>
          </w:tcPr>
          <w:p w14:paraId="6398097D"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Stroke</w:t>
            </w:r>
          </w:p>
        </w:tc>
        <w:tc>
          <w:tcPr>
            <w:tcW w:w="3442" w:type="dxa"/>
            <w:shd w:val="clear" w:color="auto" w:fill="FFFFFF"/>
            <w:tcMar>
              <w:top w:w="0" w:type="dxa"/>
              <w:left w:w="67" w:type="dxa"/>
              <w:bottom w:w="0" w:type="dxa"/>
              <w:right w:w="67" w:type="dxa"/>
            </w:tcMar>
            <w:vAlign w:val="bottom"/>
          </w:tcPr>
          <w:p w14:paraId="5AB0DBD2"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114,722 (23.3%)</w:t>
            </w:r>
          </w:p>
        </w:tc>
      </w:tr>
      <w:tr w:rsidR="008959CB" w:rsidRPr="00CE0D1F" w14:paraId="45B7E7B2" w14:textId="77777777" w:rsidTr="000A1684">
        <w:trPr>
          <w:cantSplit/>
          <w:trHeight w:val="214"/>
        </w:trPr>
        <w:tc>
          <w:tcPr>
            <w:tcW w:w="5739" w:type="dxa"/>
            <w:shd w:val="clear" w:color="auto" w:fill="FFFFFF"/>
            <w:tcMar>
              <w:top w:w="0" w:type="dxa"/>
              <w:left w:w="67" w:type="dxa"/>
              <w:bottom w:w="0" w:type="dxa"/>
              <w:right w:w="67" w:type="dxa"/>
            </w:tcMar>
            <w:vAlign w:val="center"/>
          </w:tcPr>
          <w:p w14:paraId="3D57D8D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Hip or knee replacement</w:t>
            </w:r>
          </w:p>
        </w:tc>
        <w:tc>
          <w:tcPr>
            <w:tcW w:w="3442" w:type="dxa"/>
            <w:shd w:val="clear" w:color="auto" w:fill="FFFFFF"/>
            <w:tcMar>
              <w:top w:w="0" w:type="dxa"/>
              <w:left w:w="67" w:type="dxa"/>
              <w:bottom w:w="0" w:type="dxa"/>
              <w:right w:w="67" w:type="dxa"/>
            </w:tcMar>
            <w:vAlign w:val="bottom"/>
          </w:tcPr>
          <w:p w14:paraId="6E26131B"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20,882 (4.2%)</w:t>
            </w:r>
          </w:p>
        </w:tc>
      </w:tr>
      <w:tr w:rsidR="008959CB" w:rsidRPr="00CE0D1F" w14:paraId="6615040A" w14:textId="77777777" w:rsidTr="000A1684">
        <w:trPr>
          <w:cantSplit/>
          <w:trHeight w:val="214"/>
        </w:trPr>
        <w:tc>
          <w:tcPr>
            <w:tcW w:w="5739" w:type="dxa"/>
            <w:shd w:val="clear" w:color="auto" w:fill="FFFFFF"/>
            <w:tcMar>
              <w:top w:w="0" w:type="dxa"/>
              <w:left w:w="67" w:type="dxa"/>
              <w:bottom w:w="0" w:type="dxa"/>
              <w:right w:w="67" w:type="dxa"/>
            </w:tcMar>
            <w:vAlign w:val="center"/>
          </w:tcPr>
          <w:p w14:paraId="3B407F4A"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brain dysfunction</w:t>
            </w:r>
          </w:p>
        </w:tc>
        <w:tc>
          <w:tcPr>
            <w:tcW w:w="3442" w:type="dxa"/>
            <w:shd w:val="clear" w:color="auto" w:fill="FFFFFF"/>
            <w:tcMar>
              <w:top w:w="0" w:type="dxa"/>
              <w:left w:w="67" w:type="dxa"/>
              <w:bottom w:w="0" w:type="dxa"/>
              <w:right w:w="67" w:type="dxa"/>
            </w:tcMar>
            <w:vAlign w:val="bottom"/>
          </w:tcPr>
          <w:p w14:paraId="34601BBD"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36,147 (7.3%)</w:t>
            </w:r>
          </w:p>
        </w:tc>
      </w:tr>
      <w:tr w:rsidR="008959CB" w:rsidRPr="00CE0D1F" w14:paraId="7B8DDC36" w14:textId="77777777" w:rsidTr="000A1684">
        <w:trPr>
          <w:cantSplit/>
          <w:trHeight w:val="214"/>
        </w:trPr>
        <w:tc>
          <w:tcPr>
            <w:tcW w:w="5739" w:type="dxa"/>
            <w:shd w:val="clear" w:color="auto" w:fill="FFFFFF"/>
            <w:tcMar>
              <w:top w:w="0" w:type="dxa"/>
              <w:left w:w="67" w:type="dxa"/>
              <w:bottom w:w="0" w:type="dxa"/>
              <w:right w:w="67" w:type="dxa"/>
            </w:tcMar>
            <w:vAlign w:val="center"/>
          </w:tcPr>
          <w:p w14:paraId="4F48E06E"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brain dysfunction</w:t>
            </w:r>
          </w:p>
        </w:tc>
        <w:tc>
          <w:tcPr>
            <w:tcW w:w="3442" w:type="dxa"/>
            <w:shd w:val="clear" w:color="auto" w:fill="FFFFFF"/>
            <w:tcMar>
              <w:top w:w="0" w:type="dxa"/>
              <w:left w:w="67" w:type="dxa"/>
              <w:bottom w:w="0" w:type="dxa"/>
              <w:right w:w="67" w:type="dxa"/>
            </w:tcMar>
            <w:vAlign w:val="bottom"/>
          </w:tcPr>
          <w:p w14:paraId="39D6ABE9"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20,912 (4.2%)</w:t>
            </w:r>
          </w:p>
        </w:tc>
      </w:tr>
      <w:tr w:rsidR="008959CB" w:rsidRPr="00CE0D1F" w14:paraId="28F8093A" w14:textId="77777777" w:rsidTr="000A1684">
        <w:trPr>
          <w:cantSplit/>
          <w:trHeight w:val="214"/>
        </w:trPr>
        <w:tc>
          <w:tcPr>
            <w:tcW w:w="5739" w:type="dxa"/>
            <w:shd w:val="clear" w:color="auto" w:fill="FFFFFF"/>
            <w:tcMar>
              <w:top w:w="0" w:type="dxa"/>
              <w:left w:w="67" w:type="dxa"/>
              <w:bottom w:w="0" w:type="dxa"/>
              <w:right w:w="67" w:type="dxa"/>
            </w:tcMar>
            <w:vAlign w:val="center"/>
          </w:tcPr>
          <w:p w14:paraId="0C460A4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Non-traumatic spinal cord dysfunction</w:t>
            </w:r>
          </w:p>
        </w:tc>
        <w:tc>
          <w:tcPr>
            <w:tcW w:w="3442" w:type="dxa"/>
            <w:shd w:val="clear" w:color="auto" w:fill="FFFFFF"/>
            <w:tcMar>
              <w:top w:w="0" w:type="dxa"/>
              <w:left w:w="67" w:type="dxa"/>
              <w:bottom w:w="0" w:type="dxa"/>
              <w:right w:w="67" w:type="dxa"/>
            </w:tcMar>
            <w:vAlign w:val="bottom"/>
          </w:tcPr>
          <w:p w14:paraId="760495E9"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21,516 (4.4%)</w:t>
            </w:r>
          </w:p>
        </w:tc>
      </w:tr>
      <w:tr w:rsidR="008959CB" w:rsidRPr="00CE0D1F" w14:paraId="68B307BD" w14:textId="77777777" w:rsidTr="000A1684">
        <w:trPr>
          <w:cantSplit/>
          <w:trHeight w:val="214"/>
        </w:trPr>
        <w:tc>
          <w:tcPr>
            <w:tcW w:w="5739" w:type="dxa"/>
            <w:shd w:val="clear" w:color="auto" w:fill="FFFFFF"/>
            <w:tcMar>
              <w:top w:w="0" w:type="dxa"/>
              <w:left w:w="67" w:type="dxa"/>
              <w:bottom w:w="0" w:type="dxa"/>
              <w:right w:w="67" w:type="dxa"/>
            </w:tcMar>
            <w:vAlign w:val="center"/>
          </w:tcPr>
          <w:p w14:paraId="4E86BA08"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Traumatic spinal cord dysfunction</w:t>
            </w:r>
          </w:p>
        </w:tc>
        <w:tc>
          <w:tcPr>
            <w:tcW w:w="3442" w:type="dxa"/>
            <w:shd w:val="clear" w:color="auto" w:fill="FFFFFF"/>
            <w:tcMar>
              <w:top w:w="0" w:type="dxa"/>
              <w:left w:w="67" w:type="dxa"/>
              <w:bottom w:w="0" w:type="dxa"/>
              <w:right w:w="67" w:type="dxa"/>
            </w:tcMar>
            <w:vAlign w:val="bottom"/>
          </w:tcPr>
          <w:p w14:paraId="219B9515"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4,570 (0.9%)</w:t>
            </w:r>
          </w:p>
        </w:tc>
      </w:tr>
      <w:tr w:rsidR="008959CB" w:rsidRPr="00CE0D1F" w14:paraId="75933B07" w14:textId="77777777" w:rsidTr="000A1684">
        <w:trPr>
          <w:cantSplit/>
          <w:trHeight w:val="214"/>
        </w:trPr>
        <w:tc>
          <w:tcPr>
            <w:tcW w:w="5739" w:type="dxa"/>
            <w:shd w:val="clear" w:color="auto" w:fill="FFFFFF"/>
            <w:tcMar>
              <w:top w:w="0" w:type="dxa"/>
              <w:left w:w="67" w:type="dxa"/>
              <w:bottom w:w="0" w:type="dxa"/>
              <w:right w:w="67" w:type="dxa"/>
            </w:tcMar>
            <w:vAlign w:val="center"/>
          </w:tcPr>
          <w:p w14:paraId="373CD7F2"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Progressive neurological conditions</w:t>
            </w:r>
          </w:p>
        </w:tc>
        <w:tc>
          <w:tcPr>
            <w:tcW w:w="3442" w:type="dxa"/>
            <w:shd w:val="clear" w:color="auto" w:fill="FFFFFF"/>
            <w:tcMar>
              <w:top w:w="0" w:type="dxa"/>
              <w:left w:w="67" w:type="dxa"/>
              <w:bottom w:w="0" w:type="dxa"/>
              <w:right w:w="67" w:type="dxa"/>
            </w:tcMar>
            <w:vAlign w:val="bottom"/>
          </w:tcPr>
          <w:p w14:paraId="3435232D"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13,081 (2.7%)</w:t>
            </w:r>
          </w:p>
        </w:tc>
      </w:tr>
      <w:tr w:rsidR="008959CB" w:rsidRPr="00CE0D1F" w14:paraId="454DE0DD" w14:textId="77777777" w:rsidTr="000A1684">
        <w:trPr>
          <w:cantSplit/>
          <w:trHeight w:val="214"/>
        </w:trPr>
        <w:tc>
          <w:tcPr>
            <w:tcW w:w="5739" w:type="dxa"/>
            <w:shd w:val="clear" w:color="auto" w:fill="FFFFFF"/>
            <w:tcMar>
              <w:top w:w="0" w:type="dxa"/>
              <w:left w:w="67" w:type="dxa"/>
              <w:bottom w:w="0" w:type="dxa"/>
              <w:right w:w="67" w:type="dxa"/>
            </w:tcMar>
            <w:vAlign w:val="center"/>
          </w:tcPr>
          <w:p w14:paraId="2C4C78E6"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 neurological conditions</w:t>
            </w:r>
          </w:p>
        </w:tc>
        <w:tc>
          <w:tcPr>
            <w:tcW w:w="3442" w:type="dxa"/>
            <w:shd w:val="clear" w:color="auto" w:fill="FFFFFF"/>
            <w:tcMar>
              <w:top w:w="0" w:type="dxa"/>
              <w:left w:w="67" w:type="dxa"/>
              <w:bottom w:w="0" w:type="dxa"/>
              <w:right w:w="67" w:type="dxa"/>
            </w:tcMar>
            <w:vAlign w:val="bottom"/>
          </w:tcPr>
          <w:p w14:paraId="0CC6E50D"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56,170 (11.4%)</w:t>
            </w:r>
          </w:p>
        </w:tc>
      </w:tr>
      <w:tr w:rsidR="008959CB" w:rsidRPr="00CE0D1F" w14:paraId="6D4FB1C0" w14:textId="77777777" w:rsidTr="000A1684">
        <w:trPr>
          <w:cantSplit/>
          <w:trHeight w:val="214"/>
        </w:trPr>
        <w:tc>
          <w:tcPr>
            <w:tcW w:w="5739" w:type="dxa"/>
            <w:shd w:val="clear" w:color="auto" w:fill="FFFFFF"/>
            <w:tcMar>
              <w:top w:w="0" w:type="dxa"/>
              <w:left w:w="67" w:type="dxa"/>
              <w:bottom w:w="0" w:type="dxa"/>
              <w:right w:w="67" w:type="dxa"/>
            </w:tcMar>
            <w:vAlign w:val="center"/>
          </w:tcPr>
          <w:p w14:paraId="57B8608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Fractures and other multiple trauma</w:t>
            </w:r>
          </w:p>
        </w:tc>
        <w:tc>
          <w:tcPr>
            <w:tcW w:w="3442" w:type="dxa"/>
            <w:shd w:val="clear" w:color="auto" w:fill="FFFFFF"/>
            <w:tcMar>
              <w:top w:w="0" w:type="dxa"/>
              <w:left w:w="67" w:type="dxa"/>
              <w:bottom w:w="0" w:type="dxa"/>
              <w:right w:w="67" w:type="dxa"/>
            </w:tcMar>
            <w:vAlign w:val="bottom"/>
          </w:tcPr>
          <w:p w14:paraId="575B86D0"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57,879 (11.7%)</w:t>
            </w:r>
          </w:p>
        </w:tc>
      </w:tr>
      <w:tr w:rsidR="008959CB" w:rsidRPr="00CE0D1F" w14:paraId="263A5027" w14:textId="77777777" w:rsidTr="000A1684">
        <w:trPr>
          <w:cantSplit/>
          <w:trHeight w:val="214"/>
        </w:trPr>
        <w:tc>
          <w:tcPr>
            <w:tcW w:w="5739" w:type="dxa"/>
            <w:shd w:val="clear" w:color="auto" w:fill="FFFFFF"/>
            <w:tcMar>
              <w:top w:w="0" w:type="dxa"/>
              <w:left w:w="67" w:type="dxa"/>
              <w:bottom w:w="0" w:type="dxa"/>
              <w:right w:w="67" w:type="dxa"/>
            </w:tcMar>
            <w:vAlign w:val="center"/>
          </w:tcPr>
          <w:p w14:paraId="25630AF0"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Amputation</w:t>
            </w:r>
          </w:p>
        </w:tc>
        <w:tc>
          <w:tcPr>
            <w:tcW w:w="3442" w:type="dxa"/>
            <w:shd w:val="clear" w:color="auto" w:fill="FFFFFF"/>
            <w:tcMar>
              <w:top w:w="0" w:type="dxa"/>
              <w:left w:w="67" w:type="dxa"/>
              <w:bottom w:w="0" w:type="dxa"/>
              <w:right w:w="67" w:type="dxa"/>
            </w:tcMar>
            <w:vAlign w:val="bottom"/>
          </w:tcPr>
          <w:p w14:paraId="63A75A26"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14,622 (3.0%)</w:t>
            </w:r>
          </w:p>
        </w:tc>
      </w:tr>
      <w:tr w:rsidR="008959CB" w:rsidRPr="00CE0D1F" w14:paraId="4F19B9E8" w14:textId="77777777" w:rsidTr="000A1684">
        <w:trPr>
          <w:cantSplit/>
          <w:trHeight w:val="214"/>
        </w:trPr>
        <w:tc>
          <w:tcPr>
            <w:tcW w:w="5739" w:type="dxa"/>
            <w:shd w:val="clear" w:color="auto" w:fill="FFFFFF"/>
            <w:tcMar>
              <w:top w:w="0" w:type="dxa"/>
              <w:left w:w="67" w:type="dxa"/>
              <w:bottom w:w="0" w:type="dxa"/>
              <w:right w:w="67" w:type="dxa"/>
            </w:tcMar>
            <w:vAlign w:val="center"/>
          </w:tcPr>
          <w:p w14:paraId="2621B4AC" w14:textId="77777777" w:rsidR="008959CB" w:rsidRPr="00CE0D1F" w:rsidRDefault="008959CB" w:rsidP="000A1684">
            <w:pPr>
              <w:adjustRightInd w:val="0"/>
              <w:spacing w:after="0" w:line="240" w:lineRule="auto"/>
              <w:ind w:left="293"/>
              <w:rPr>
                <w:rFonts w:eastAsia="Times New Roman" w:cstheme="minorHAnsi"/>
                <w:iCs/>
                <w:color w:val="0000FF"/>
              </w:rPr>
            </w:pPr>
            <w:r w:rsidRPr="00CE0D1F">
              <w:rPr>
                <w:rFonts w:eastAsia="Times New Roman" w:cstheme="minorHAnsi"/>
                <w:iCs/>
                <w:color w:val="0000FF"/>
              </w:rPr>
              <w:t>Other orthopedic conditions</w:t>
            </w:r>
          </w:p>
        </w:tc>
        <w:tc>
          <w:tcPr>
            <w:tcW w:w="3442" w:type="dxa"/>
            <w:shd w:val="clear" w:color="auto" w:fill="FFFFFF"/>
            <w:tcMar>
              <w:top w:w="0" w:type="dxa"/>
              <w:left w:w="67" w:type="dxa"/>
              <w:bottom w:w="0" w:type="dxa"/>
              <w:right w:w="67" w:type="dxa"/>
            </w:tcMar>
            <w:vAlign w:val="bottom"/>
          </w:tcPr>
          <w:p w14:paraId="761CEF6A"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39,177 (7.9%)</w:t>
            </w:r>
          </w:p>
        </w:tc>
      </w:tr>
      <w:tr w:rsidR="008959CB" w:rsidRPr="00CE0D1F" w14:paraId="6B9DED66" w14:textId="77777777" w:rsidTr="000A1684">
        <w:trPr>
          <w:cantSplit/>
          <w:trHeight w:val="214"/>
        </w:trPr>
        <w:tc>
          <w:tcPr>
            <w:tcW w:w="5739" w:type="dxa"/>
            <w:shd w:val="clear" w:color="auto" w:fill="FFFFFF"/>
            <w:tcMar>
              <w:top w:w="0" w:type="dxa"/>
              <w:left w:w="67" w:type="dxa"/>
              <w:bottom w:w="0" w:type="dxa"/>
              <w:right w:w="67" w:type="dxa"/>
            </w:tcMar>
            <w:vAlign w:val="center"/>
          </w:tcPr>
          <w:p w14:paraId="28FDD1A0"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Debility, cardiorespiratory conditions</w:t>
            </w:r>
          </w:p>
        </w:tc>
        <w:tc>
          <w:tcPr>
            <w:tcW w:w="3442" w:type="dxa"/>
            <w:shd w:val="clear" w:color="auto" w:fill="FFFFFF"/>
            <w:tcMar>
              <w:top w:w="0" w:type="dxa"/>
              <w:left w:w="67" w:type="dxa"/>
              <w:bottom w:w="0" w:type="dxa"/>
              <w:right w:w="67" w:type="dxa"/>
            </w:tcMar>
            <w:vAlign w:val="bottom"/>
          </w:tcPr>
          <w:p w14:paraId="2C5FA086"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85,808 (17.4%)</w:t>
            </w:r>
          </w:p>
        </w:tc>
      </w:tr>
      <w:tr w:rsidR="008959CB" w:rsidRPr="00CE0D1F" w14:paraId="6D77F293" w14:textId="77777777" w:rsidTr="000A1684">
        <w:trPr>
          <w:cantSplit/>
          <w:trHeight w:val="214"/>
        </w:trPr>
        <w:tc>
          <w:tcPr>
            <w:tcW w:w="5739" w:type="dxa"/>
            <w:shd w:val="clear" w:color="auto" w:fill="FFFFFF"/>
            <w:tcMar>
              <w:top w:w="0" w:type="dxa"/>
              <w:left w:w="67" w:type="dxa"/>
              <w:bottom w:w="0" w:type="dxa"/>
              <w:right w:w="67" w:type="dxa"/>
            </w:tcMar>
            <w:vAlign w:val="center"/>
          </w:tcPr>
          <w:p w14:paraId="24A94F27"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Medically complex conditions</w:t>
            </w:r>
          </w:p>
        </w:tc>
        <w:tc>
          <w:tcPr>
            <w:tcW w:w="3442" w:type="dxa"/>
            <w:shd w:val="clear" w:color="auto" w:fill="FFFFFF"/>
            <w:tcMar>
              <w:top w:w="0" w:type="dxa"/>
              <w:left w:w="67" w:type="dxa"/>
              <w:bottom w:w="0" w:type="dxa"/>
              <w:right w:w="67" w:type="dxa"/>
            </w:tcMar>
            <w:vAlign w:val="bottom"/>
          </w:tcPr>
          <w:p w14:paraId="0E4E50A1"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7,494 (1.5%)</w:t>
            </w:r>
          </w:p>
        </w:tc>
      </w:tr>
      <w:tr w:rsidR="008959CB" w:rsidRPr="00CE0D1F" w14:paraId="1F569ED6"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2DA1D32F" w14:textId="77777777" w:rsidR="008959CB" w:rsidRPr="00CE0D1F" w:rsidRDefault="008959CB" w:rsidP="000A1684">
            <w:pPr>
              <w:keepNext/>
              <w:adjustRightInd w:val="0"/>
              <w:spacing w:after="0" w:line="240" w:lineRule="auto"/>
              <w:rPr>
                <w:rFonts w:eastAsia="Times New Roman" w:cstheme="minorHAnsi"/>
                <w:iCs/>
                <w:color w:val="0000FF"/>
              </w:rPr>
            </w:pPr>
            <w:r w:rsidRPr="00CE0D1F">
              <w:rPr>
                <w:rFonts w:eastAsia="Times New Roman" w:cstheme="minorHAnsi"/>
                <w:iCs/>
                <w:color w:val="0000FF"/>
              </w:rPr>
              <w:t>Admitted from Location</w:t>
            </w:r>
          </w:p>
        </w:tc>
        <w:tc>
          <w:tcPr>
            <w:tcW w:w="3442" w:type="dxa"/>
            <w:shd w:val="clear" w:color="auto" w:fill="FFFFFF"/>
            <w:tcMar>
              <w:top w:w="0" w:type="dxa"/>
              <w:left w:w="67" w:type="dxa"/>
              <w:bottom w:w="0" w:type="dxa"/>
              <w:right w:w="67" w:type="dxa"/>
            </w:tcMar>
            <w:vAlign w:val="center"/>
          </w:tcPr>
          <w:p w14:paraId="342F8D90"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508330DB"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59184332"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442" w:type="dxa"/>
            <w:shd w:val="clear" w:color="auto" w:fill="FFFFFF"/>
            <w:tcMar>
              <w:top w:w="0" w:type="dxa"/>
              <w:left w:w="67" w:type="dxa"/>
              <w:bottom w:w="0" w:type="dxa"/>
              <w:right w:w="67" w:type="dxa"/>
            </w:tcMar>
            <w:vAlign w:val="bottom"/>
          </w:tcPr>
          <w:p w14:paraId="12D6ABA2"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458,871 (93.0%)</w:t>
            </w:r>
          </w:p>
        </w:tc>
      </w:tr>
      <w:tr w:rsidR="008959CB" w:rsidRPr="00CE0D1F" w14:paraId="305CB9E9" w14:textId="77777777" w:rsidTr="000A1684">
        <w:trPr>
          <w:cantSplit/>
          <w:trHeight w:val="214"/>
        </w:trPr>
        <w:tc>
          <w:tcPr>
            <w:tcW w:w="5739" w:type="dxa"/>
            <w:shd w:val="clear" w:color="auto" w:fill="FFFFFF"/>
            <w:tcMar>
              <w:top w:w="0" w:type="dxa"/>
              <w:left w:w="67" w:type="dxa"/>
              <w:bottom w:w="0" w:type="dxa"/>
              <w:right w:w="67" w:type="dxa"/>
            </w:tcMar>
            <w:vAlign w:val="center"/>
          </w:tcPr>
          <w:p w14:paraId="53F6149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442" w:type="dxa"/>
            <w:shd w:val="clear" w:color="auto" w:fill="FFFFFF"/>
            <w:tcMar>
              <w:top w:w="0" w:type="dxa"/>
              <w:left w:w="67" w:type="dxa"/>
              <w:bottom w:w="0" w:type="dxa"/>
              <w:right w:w="67" w:type="dxa"/>
            </w:tcMar>
            <w:vAlign w:val="bottom"/>
          </w:tcPr>
          <w:p w14:paraId="2280557F"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19,378 (3.9%)</w:t>
            </w:r>
          </w:p>
        </w:tc>
      </w:tr>
      <w:tr w:rsidR="008959CB" w:rsidRPr="00CE0D1F" w14:paraId="1D4C71F3"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054F223"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442" w:type="dxa"/>
            <w:shd w:val="clear" w:color="auto" w:fill="FFFFFF"/>
            <w:tcMar>
              <w:top w:w="0" w:type="dxa"/>
              <w:left w:w="67" w:type="dxa"/>
              <w:bottom w:w="0" w:type="dxa"/>
              <w:right w:w="67" w:type="dxa"/>
            </w:tcMar>
            <w:vAlign w:val="bottom"/>
          </w:tcPr>
          <w:p w14:paraId="05DA2866"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11,517 (2.3%)</w:t>
            </w:r>
          </w:p>
        </w:tc>
      </w:tr>
      <w:tr w:rsidR="008959CB" w:rsidRPr="00CE0D1F" w14:paraId="1A605FF9"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18BC4727"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lastRenderedPageBreak/>
              <w:t xml:space="preserve">      Other</w:t>
            </w:r>
            <w:r w:rsidRPr="00CE0D1F">
              <w:rPr>
                <w:rFonts w:eastAsia="Times New Roman" w:cstheme="minorHAnsi"/>
                <w:iCs/>
                <w:color w:val="0000FF"/>
                <w:vertAlign w:val="superscript"/>
              </w:rPr>
              <w:t xml:space="preserve">† </w:t>
            </w:r>
            <w:r w:rsidRPr="00CE0D1F">
              <w:rPr>
                <w:rFonts w:eastAsia="Times New Roman" w:cstheme="minorHAnsi"/>
                <w:iCs/>
                <w:color w:val="0000FF"/>
              </w:rPr>
              <w:t xml:space="preserve"> </w:t>
            </w:r>
          </w:p>
        </w:tc>
        <w:tc>
          <w:tcPr>
            <w:tcW w:w="3442" w:type="dxa"/>
            <w:shd w:val="clear" w:color="auto" w:fill="FFFFFF"/>
            <w:tcMar>
              <w:top w:w="0" w:type="dxa"/>
              <w:left w:w="67" w:type="dxa"/>
              <w:bottom w:w="0" w:type="dxa"/>
              <w:right w:w="67" w:type="dxa"/>
            </w:tcMar>
            <w:vAlign w:val="bottom"/>
          </w:tcPr>
          <w:p w14:paraId="0A026EC6"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2,937 (0.6%)</w:t>
            </w:r>
          </w:p>
        </w:tc>
      </w:tr>
      <w:tr w:rsidR="008959CB" w:rsidRPr="00CE0D1F" w14:paraId="3288535F"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E4E9637"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442" w:type="dxa"/>
            <w:shd w:val="clear" w:color="auto" w:fill="FFFFFF"/>
            <w:tcMar>
              <w:top w:w="0" w:type="dxa"/>
              <w:left w:w="67" w:type="dxa"/>
              <w:bottom w:w="0" w:type="dxa"/>
              <w:right w:w="67" w:type="dxa"/>
            </w:tcMar>
            <w:vAlign w:val="bottom"/>
          </w:tcPr>
          <w:p w14:paraId="27E5B61E" w14:textId="77777777" w:rsidR="008959CB" w:rsidRPr="00CE0D1F" w:rsidRDefault="008959CB" w:rsidP="000A1684">
            <w:pPr>
              <w:keepNext/>
              <w:adjustRightInd w:val="0"/>
              <w:spacing w:after="0" w:line="240" w:lineRule="auto"/>
              <w:jc w:val="center"/>
              <w:rPr>
                <w:rFonts w:eastAsia="Times New Roman" w:cstheme="minorHAnsi"/>
                <w:color w:val="0000FF"/>
              </w:rPr>
            </w:pPr>
            <w:r w:rsidRPr="00CE0D1F">
              <w:rPr>
                <w:rFonts w:eastAsia="Times New Roman" w:cstheme="minorHAnsi"/>
                <w:color w:val="0000FF"/>
              </w:rPr>
              <w:t>506 (0.1%)</w:t>
            </w:r>
          </w:p>
        </w:tc>
      </w:tr>
      <w:tr w:rsidR="008959CB" w:rsidRPr="00CE0D1F" w14:paraId="14AE5597"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32F33F60" w14:textId="77777777" w:rsidR="008959CB" w:rsidRPr="00CE0D1F" w:rsidRDefault="008959CB" w:rsidP="000A1684">
            <w:pPr>
              <w:keepNext/>
              <w:adjustRightInd w:val="0"/>
              <w:spacing w:after="0" w:line="240" w:lineRule="auto"/>
              <w:rPr>
                <w:rFonts w:eastAsia="Times New Roman" w:cstheme="minorHAnsi"/>
                <w:iCs/>
                <w:color w:val="0000FF"/>
              </w:rPr>
            </w:pPr>
            <w:r w:rsidRPr="00CE0D1F">
              <w:rPr>
                <w:rFonts w:eastAsia="Times New Roman" w:cstheme="minorHAnsi"/>
                <w:iCs/>
                <w:color w:val="0000FF"/>
              </w:rPr>
              <w:t>Discharge to Location</w:t>
            </w:r>
          </w:p>
        </w:tc>
        <w:tc>
          <w:tcPr>
            <w:tcW w:w="3442" w:type="dxa"/>
            <w:shd w:val="clear" w:color="auto" w:fill="FFFFFF"/>
            <w:tcMar>
              <w:top w:w="0" w:type="dxa"/>
              <w:left w:w="67" w:type="dxa"/>
              <w:bottom w:w="0" w:type="dxa"/>
              <w:right w:w="67" w:type="dxa"/>
            </w:tcMar>
            <w:vAlign w:val="center"/>
          </w:tcPr>
          <w:p w14:paraId="38D313E0" w14:textId="77777777" w:rsidR="008959CB" w:rsidRPr="00CE0D1F" w:rsidRDefault="008959CB" w:rsidP="000A1684">
            <w:pPr>
              <w:adjustRightInd w:val="0"/>
              <w:spacing w:after="0" w:line="240" w:lineRule="auto"/>
              <w:jc w:val="center"/>
              <w:rPr>
                <w:rFonts w:eastAsia="Times New Roman" w:cstheme="minorHAnsi"/>
                <w:color w:val="0000FF"/>
              </w:rPr>
            </w:pPr>
          </w:p>
        </w:tc>
      </w:tr>
      <w:tr w:rsidR="008959CB" w:rsidRPr="00CE0D1F" w14:paraId="598EE7F3"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7F1633D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Short-Term General Hospital</w:t>
            </w:r>
          </w:p>
        </w:tc>
        <w:tc>
          <w:tcPr>
            <w:tcW w:w="3442" w:type="dxa"/>
            <w:shd w:val="clear" w:color="auto" w:fill="FFFFFF"/>
            <w:tcMar>
              <w:top w:w="0" w:type="dxa"/>
              <w:left w:w="67" w:type="dxa"/>
              <w:bottom w:w="0" w:type="dxa"/>
              <w:right w:w="67" w:type="dxa"/>
            </w:tcMar>
            <w:vAlign w:val="bottom"/>
          </w:tcPr>
          <w:p w14:paraId="11CF5224" w14:textId="77777777" w:rsidR="008959CB" w:rsidRPr="00CE0D1F" w:rsidRDefault="008959CB" w:rsidP="000A1684">
            <w:pPr>
              <w:adjustRightInd w:val="0"/>
              <w:spacing w:after="0" w:line="240" w:lineRule="auto"/>
              <w:jc w:val="center"/>
              <w:rPr>
                <w:rFonts w:eastAsia="Times New Roman" w:cstheme="minorHAnsi"/>
                <w:color w:val="0000FF"/>
              </w:rPr>
            </w:pPr>
            <w:r w:rsidRPr="00CE0D1F">
              <w:rPr>
                <w:rFonts w:eastAsia="Times New Roman" w:cstheme="minorHAnsi"/>
                <w:color w:val="0000FF"/>
              </w:rPr>
              <w:t>49,206 (10.0%)</w:t>
            </w:r>
          </w:p>
        </w:tc>
      </w:tr>
      <w:tr w:rsidR="008959CB" w:rsidRPr="00CE0D1F" w14:paraId="077726FA" w14:textId="77777777" w:rsidTr="000A1684">
        <w:trPr>
          <w:cantSplit/>
          <w:trHeight w:val="214"/>
        </w:trPr>
        <w:tc>
          <w:tcPr>
            <w:tcW w:w="5739" w:type="dxa"/>
            <w:shd w:val="clear" w:color="auto" w:fill="FFFFFF"/>
            <w:tcMar>
              <w:top w:w="0" w:type="dxa"/>
              <w:left w:w="67" w:type="dxa"/>
              <w:bottom w:w="0" w:type="dxa"/>
              <w:right w:w="67" w:type="dxa"/>
            </w:tcMar>
            <w:vAlign w:val="center"/>
          </w:tcPr>
          <w:p w14:paraId="5A6529F2"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Home (with or without home care)</w:t>
            </w:r>
          </w:p>
        </w:tc>
        <w:tc>
          <w:tcPr>
            <w:tcW w:w="3442" w:type="dxa"/>
            <w:shd w:val="clear" w:color="auto" w:fill="FFFFFF"/>
            <w:tcMar>
              <w:top w:w="0" w:type="dxa"/>
              <w:left w:w="67" w:type="dxa"/>
              <w:bottom w:w="0" w:type="dxa"/>
              <w:right w:w="67" w:type="dxa"/>
            </w:tcMar>
            <w:vAlign w:val="bottom"/>
          </w:tcPr>
          <w:p w14:paraId="76070C7E" w14:textId="77777777" w:rsidR="008959CB" w:rsidRPr="00CE0D1F" w:rsidRDefault="008959CB" w:rsidP="000A1684">
            <w:pPr>
              <w:adjustRightInd w:val="0"/>
              <w:spacing w:after="0" w:line="240" w:lineRule="auto"/>
              <w:jc w:val="center"/>
              <w:rPr>
                <w:rFonts w:eastAsia="Times New Roman" w:cstheme="minorHAnsi"/>
                <w:color w:val="0000FF"/>
              </w:rPr>
            </w:pPr>
            <w:r w:rsidRPr="00CE0D1F">
              <w:rPr>
                <w:rFonts w:eastAsia="Times New Roman" w:cstheme="minorHAnsi"/>
                <w:color w:val="0000FF"/>
              </w:rPr>
              <w:t>364,486 (73.9%)</w:t>
            </w:r>
          </w:p>
        </w:tc>
      </w:tr>
      <w:tr w:rsidR="008959CB" w:rsidRPr="00CE0D1F" w14:paraId="7C76933B"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011EF933"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Post-Acute Care****</w:t>
            </w:r>
          </w:p>
        </w:tc>
        <w:tc>
          <w:tcPr>
            <w:tcW w:w="3442" w:type="dxa"/>
            <w:shd w:val="clear" w:color="auto" w:fill="FFFFFF"/>
            <w:tcMar>
              <w:top w:w="0" w:type="dxa"/>
              <w:left w:w="67" w:type="dxa"/>
              <w:bottom w:w="0" w:type="dxa"/>
              <w:right w:w="67" w:type="dxa"/>
            </w:tcMar>
            <w:vAlign w:val="bottom"/>
          </w:tcPr>
          <w:p w14:paraId="1C4ACBBB" w14:textId="77777777" w:rsidR="008959CB" w:rsidRPr="00CE0D1F" w:rsidRDefault="008959CB" w:rsidP="000A1684">
            <w:pPr>
              <w:adjustRightInd w:val="0"/>
              <w:spacing w:after="0" w:line="240" w:lineRule="auto"/>
              <w:jc w:val="center"/>
              <w:rPr>
                <w:rFonts w:eastAsia="Times New Roman" w:cstheme="minorHAnsi"/>
                <w:color w:val="0000FF"/>
              </w:rPr>
            </w:pPr>
            <w:r w:rsidRPr="00CE0D1F">
              <w:rPr>
                <w:rFonts w:eastAsia="Times New Roman" w:cstheme="minorHAnsi"/>
                <w:color w:val="0000FF"/>
              </w:rPr>
              <w:t>74,379 (15.1%)</w:t>
            </w:r>
          </w:p>
        </w:tc>
      </w:tr>
      <w:tr w:rsidR="008959CB" w:rsidRPr="00CE0D1F" w14:paraId="390CB478" w14:textId="77777777" w:rsidTr="000A1684">
        <w:trPr>
          <w:cantSplit/>
          <w:trHeight w:val="214"/>
        </w:trPr>
        <w:tc>
          <w:tcPr>
            <w:tcW w:w="5739" w:type="dxa"/>
            <w:shd w:val="clear" w:color="auto" w:fill="FFFFFF"/>
            <w:tcMar>
              <w:top w:w="0" w:type="dxa"/>
              <w:left w:w="67" w:type="dxa"/>
              <w:bottom w:w="0" w:type="dxa"/>
              <w:right w:w="67" w:type="dxa"/>
            </w:tcMar>
            <w:vAlign w:val="center"/>
            <w:hideMark/>
          </w:tcPr>
          <w:p w14:paraId="6BFB4304"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Other</w:t>
            </w:r>
            <w:r w:rsidRPr="00CE0D1F">
              <w:rPr>
                <w:rFonts w:eastAsia="Times New Roman" w:cstheme="minorHAnsi"/>
                <w:iCs/>
                <w:color w:val="0000FF"/>
                <w:vertAlign w:val="superscript"/>
              </w:rPr>
              <w:t>†</w:t>
            </w:r>
          </w:p>
        </w:tc>
        <w:tc>
          <w:tcPr>
            <w:tcW w:w="3442" w:type="dxa"/>
            <w:shd w:val="clear" w:color="auto" w:fill="FFFFFF"/>
            <w:tcMar>
              <w:top w:w="0" w:type="dxa"/>
              <w:left w:w="67" w:type="dxa"/>
              <w:bottom w:w="0" w:type="dxa"/>
              <w:right w:w="67" w:type="dxa"/>
            </w:tcMar>
            <w:vAlign w:val="bottom"/>
          </w:tcPr>
          <w:p w14:paraId="2146ED5C" w14:textId="77777777" w:rsidR="008959CB" w:rsidRPr="00CE0D1F" w:rsidRDefault="008959CB" w:rsidP="000A1684">
            <w:pPr>
              <w:adjustRightInd w:val="0"/>
              <w:spacing w:after="0" w:line="240" w:lineRule="auto"/>
              <w:jc w:val="center"/>
              <w:rPr>
                <w:rFonts w:eastAsia="Times New Roman" w:cstheme="minorHAnsi"/>
                <w:color w:val="0000FF"/>
              </w:rPr>
            </w:pPr>
            <w:r w:rsidRPr="00CE0D1F">
              <w:rPr>
                <w:rFonts w:eastAsia="Times New Roman" w:cstheme="minorHAnsi"/>
                <w:color w:val="0000FF"/>
              </w:rPr>
              <w:t>4,038 (0.8%)</w:t>
            </w:r>
          </w:p>
        </w:tc>
      </w:tr>
      <w:tr w:rsidR="008959CB" w:rsidRPr="00CE0D1F" w14:paraId="5EB9ABD2" w14:textId="77777777" w:rsidTr="000A1684">
        <w:trPr>
          <w:cantSplit/>
          <w:trHeight w:val="214"/>
        </w:trPr>
        <w:tc>
          <w:tcPr>
            <w:tcW w:w="5739" w:type="dxa"/>
            <w:tcBorders>
              <w:bottom w:val="single" w:sz="4" w:space="0" w:color="auto"/>
            </w:tcBorders>
            <w:shd w:val="clear" w:color="auto" w:fill="FFFFFF"/>
            <w:tcMar>
              <w:top w:w="0" w:type="dxa"/>
              <w:left w:w="67" w:type="dxa"/>
              <w:bottom w:w="0" w:type="dxa"/>
              <w:right w:w="67" w:type="dxa"/>
            </w:tcMar>
            <w:vAlign w:val="center"/>
            <w:hideMark/>
          </w:tcPr>
          <w:p w14:paraId="37743576" w14:textId="77777777" w:rsidR="008959CB" w:rsidRPr="00CE0D1F" w:rsidRDefault="008959CB" w:rsidP="000A1684">
            <w:pPr>
              <w:adjustRightInd w:val="0"/>
              <w:spacing w:after="0" w:line="240" w:lineRule="auto"/>
              <w:rPr>
                <w:rFonts w:eastAsia="Times New Roman" w:cstheme="minorHAnsi"/>
                <w:iCs/>
                <w:color w:val="0000FF"/>
              </w:rPr>
            </w:pPr>
            <w:r w:rsidRPr="00CE0D1F">
              <w:rPr>
                <w:rFonts w:eastAsia="Times New Roman" w:cstheme="minorHAnsi"/>
                <w:iCs/>
                <w:color w:val="0000FF"/>
              </w:rPr>
              <w:t xml:space="preserve">      Not Listed</w:t>
            </w:r>
          </w:p>
        </w:tc>
        <w:tc>
          <w:tcPr>
            <w:tcW w:w="3442" w:type="dxa"/>
            <w:tcBorders>
              <w:bottom w:val="single" w:sz="4" w:space="0" w:color="auto"/>
            </w:tcBorders>
            <w:shd w:val="clear" w:color="auto" w:fill="FFFFFF"/>
            <w:tcMar>
              <w:top w:w="0" w:type="dxa"/>
              <w:left w:w="67" w:type="dxa"/>
              <w:bottom w:w="0" w:type="dxa"/>
              <w:right w:w="67" w:type="dxa"/>
            </w:tcMar>
            <w:vAlign w:val="bottom"/>
          </w:tcPr>
          <w:p w14:paraId="0033CFDB" w14:textId="77777777" w:rsidR="008959CB" w:rsidRPr="00CE0D1F" w:rsidRDefault="008959CB" w:rsidP="000A1684">
            <w:pPr>
              <w:adjustRightInd w:val="0"/>
              <w:spacing w:after="0" w:line="240" w:lineRule="auto"/>
              <w:jc w:val="center"/>
              <w:rPr>
                <w:rFonts w:eastAsia="Times New Roman" w:cstheme="minorHAnsi"/>
                <w:color w:val="0000FF"/>
              </w:rPr>
            </w:pPr>
            <w:r w:rsidRPr="00CE0D1F">
              <w:rPr>
                <w:rFonts w:eastAsia="Times New Roman" w:cstheme="minorHAnsi"/>
                <w:color w:val="0000FF"/>
              </w:rPr>
              <w:t>1,100 (0.2%)</w:t>
            </w:r>
          </w:p>
        </w:tc>
      </w:tr>
    </w:tbl>
    <w:p w14:paraId="18138685" w14:textId="2BEB5FC5" w:rsidR="00A15C32" w:rsidRPr="00E31118" w:rsidRDefault="003613B5" w:rsidP="003613B5">
      <w:pPr>
        <w:pStyle w:val="NoSpacing"/>
        <w:ind w:firstLine="90"/>
        <w:contextualSpacing/>
        <w:rPr>
          <w:rFonts w:ascii="Times New Roman" w:eastAsiaTheme="minorHAnsi" w:hAnsi="Times New Roman"/>
          <w:color w:val="0000FF"/>
          <w:sz w:val="20"/>
          <w:szCs w:val="20"/>
        </w:rPr>
      </w:pPr>
      <w:r>
        <w:rPr>
          <w:rFonts w:ascii="Times New Roman" w:hAnsi="Times New Roman"/>
          <w:color w:val="0000FF"/>
          <w:sz w:val="20"/>
          <w:szCs w:val="20"/>
        </w:rPr>
        <w:t>Not</w:t>
      </w:r>
      <w:r w:rsidR="00A15C32" w:rsidRPr="00E31118">
        <w:rPr>
          <w:rFonts w:ascii="Times New Roman" w:hAnsi="Times New Roman"/>
          <w:color w:val="0000FF"/>
          <w:sz w:val="20"/>
          <w:szCs w:val="20"/>
        </w:rPr>
        <w:t>e: Values are reported as frequency (percent)</w:t>
      </w:r>
    </w:p>
    <w:p w14:paraId="662E20B6" w14:textId="77777777" w:rsidR="008959CB" w:rsidRPr="00B833C3" w:rsidRDefault="008959CB" w:rsidP="003613B5">
      <w:pPr>
        <w:pStyle w:val="NoSpacing"/>
        <w:ind w:left="90"/>
        <w:contextualSpacing/>
        <w:rPr>
          <w:rFonts w:ascii="Times New Roman" w:hAnsi="Times New Roman"/>
          <w:color w:val="0000FF"/>
          <w:sz w:val="20"/>
          <w:szCs w:val="20"/>
        </w:rPr>
      </w:pPr>
      <w:bookmarkStart w:id="18" w:name="_Hlk527720451"/>
      <w:r w:rsidRPr="00B833C3">
        <w:rPr>
          <w:rFonts w:ascii="Times New Roman" w:hAnsi="Times New Roman"/>
          <w:color w:val="0000FF"/>
          <w:sz w:val="20"/>
          <w:szCs w:val="20"/>
        </w:rPr>
        <w:t xml:space="preserve">*Percentages </w:t>
      </w:r>
      <w:r>
        <w:rPr>
          <w:rFonts w:ascii="Times New Roman" w:hAnsi="Times New Roman"/>
          <w:color w:val="0000FF"/>
          <w:sz w:val="20"/>
          <w:szCs w:val="20"/>
        </w:rPr>
        <w:t xml:space="preserve">can </w:t>
      </w:r>
      <w:r w:rsidRPr="00B833C3">
        <w:rPr>
          <w:rFonts w:ascii="Times New Roman" w:hAnsi="Times New Roman"/>
          <w:color w:val="0000FF"/>
          <w:sz w:val="20"/>
          <w:szCs w:val="20"/>
        </w:rPr>
        <w:t>add up to</w:t>
      </w:r>
      <w:r>
        <w:rPr>
          <w:rFonts w:ascii="Times New Roman" w:hAnsi="Times New Roman"/>
          <w:color w:val="0000FF"/>
          <w:sz w:val="20"/>
          <w:szCs w:val="20"/>
        </w:rPr>
        <w:t xml:space="preserve"> more than</w:t>
      </w:r>
      <w:r w:rsidRPr="00B833C3">
        <w:rPr>
          <w:rFonts w:ascii="Times New Roman" w:hAnsi="Times New Roman"/>
          <w:color w:val="0000FF"/>
          <w:sz w:val="20"/>
          <w:szCs w:val="20"/>
        </w:rPr>
        <w:t xml:space="preserve"> 100%</w:t>
      </w:r>
      <w:r>
        <w:rPr>
          <w:rFonts w:ascii="Times New Roman" w:hAnsi="Times New Roman"/>
          <w:color w:val="0000FF"/>
          <w:sz w:val="20"/>
          <w:szCs w:val="20"/>
        </w:rPr>
        <w:t xml:space="preserve">; </w:t>
      </w:r>
      <w:r w:rsidRPr="00B833C3">
        <w:rPr>
          <w:rFonts w:ascii="Times New Roman" w:hAnsi="Times New Roman"/>
          <w:color w:val="0000FF"/>
          <w:sz w:val="20"/>
          <w:szCs w:val="20"/>
        </w:rPr>
        <w:t xml:space="preserve">if more than 1 </w:t>
      </w:r>
      <w:r>
        <w:rPr>
          <w:rFonts w:ascii="Times New Roman" w:hAnsi="Times New Roman"/>
          <w:color w:val="0000FF"/>
          <w:sz w:val="20"/>
          <w:szCs w:val="20"/>
        </w:rPr>
        <w:t>category</w:t>
      </w:r>
      <w:r w:rsidRPr="00B833C3">
        <w:rPr>
          <w:rFonts w:ascii="Times New Roman" w:hAnsi="Times New Roman"/>
          <w:color w:val="0000FF"/>
          <w:sz w:val="20"/>
          <w:szCs w:val="20"/>
        </w:rPr>
        <w:t xml:space="preserve"> was selected the patient is assigned to </w:t>
      </w:r>
      <w:r>
        <w:rPr>
          <w:rFonts w:ascii="Times New Roman" w:hAnsi="Times New Roman"/>
          <w:color w:val="0000FF"/>
          <w:sz w:val="20"/>
          <w:szCs w:val="20"/>
        </w:rPr>
        <w:t>both</w:t>
      </w:r>
      <w:r w:rsidRPr="00B833C3">
        <w:rPr>
          <w:rFonts w:ascii="Times New Roman" w:hAnsi="Times New Roman"/>
          <w:color w:val="0000FF"/>
          <w:sz w:val="20"/>
          <w:szCs w:val="20"/>
        </w:rPr>
        <w:t xml:space="preserve"> categor</w:t>
      </w:r>
      <w:r>
        <w:rPr>
          <w:rFonts w:ascii="Times New Roman" w:hAnsi="Times New Roman"/>
          <w:color w:val="0000FF"/>
          <w:sz w:val="20"/>
          <w:szCs w:val="20"/>
        </w:rPr>
        <w:t>ies</w:t>
      </w:r>
      <w:r w:rsidRPr="00B833C3">
        <w:rPr>
          <w:rFonts w:ascii="Times New Roman" w:hAnsi="Times New Roman"/>
          <w:color w:val="0000FF"/>
          <w:sz w:val="20"/>
          <w:szCs w:val="20"/>
        </w:rPr>
        <w:t>.</w:t>
      </w:r>
    </w:p>
    <w:bookmarkEnd w:id="18"/>
    <w:p w14:paraId="12A9E6B2" w14:textId="77777777" w:rsidR="008959CB" w:rsidRPr="00B833C3" w:rsidRDefault="008959CB" w:rsidP="003613B5">
      <w:pPr>
        <w:pStyle w:val="NoSpacing"/>
        <w:ind w:left="90"/>
        <w:contextualSpacing/>
        <w:rPr>
          <w:rFonts w:ascii="Times New Roman" w:hAnsi="Times New Roman"/>
          <w:color w:val="0000FF"/>
          <w:sz w:val="20"/>
          <w:szCs w:val="20"/>
        </w:rPr>
      </w:pPr>
      <w:r w:rsidRPr="00B833C3">
        <w:rPr>
          <w:rFonts w:ascii="Times New Roman" w:hAnsi="Times New Roman"/>
          <w:color w:val="0000FF"/>
          <w:sz w:val="20"/>
          <w:szCs w:val="20"/>
        </w:rPr>
        <w:t>**Includes divorced, separated, never married, and not assessed/no information.</w:t>
      </w:r>
    </w:p>
    <w:p w14:paraId="1B0408D1" w14:textId="77777777" w:rsidR="008959CB" w:rsidRPr="00B833C3" w:rsidRDefault="008959CB" w:rsidP="003613B5">
      <w:pPr>
        <w:pStyle w:val="NoSpacing"/>
        <w:ind w:left="90"/>
        <w:contextualSpacing/>
        <w:rPr>
          <w:rFonts w:ascii="Times New Roman" w:hAnsi="Times New Roman"/>
          <w:color w:val="0000FF"/>
          <w:sz w:val="20"/>
          <w:szCs w:val="20"/>
        </w:rPr>
      </w:pPr>
      <w:r w:rsidRPr="00B833C3">
        <w:rPr>
          <w:rFonts w:ascii="Times New Roman" w:hAnsi="Times New Roman"/>
          <w:color w:val="0000FF"/>
          <w:sz w:val="20"/>
          <w:szCs w:val="20"/>
        </w:rPr>
        <w:t>***Includes friend, attendant, other person, and not assessed/no information.</w:t>
      </w:r>
    </w:p>
    <w:p w14:paraId="04D2FEB7" w14:textId="77777777" w:rsidR="008959CB" w:rsidRPr="00B833C3" w:rsidRDefault="008959CB" w:rsidP="003613B5">
      <w:pPr>
        <w:pStyle w:val="NoSpacing"/>
        <w:ind w:left="90"/>
        <w:contextualSpacing/>
        <w:rPr>
          <w:rFonts w:ascii="Times New Roman" w:eastAsia="Times New Roman" w:hAnsi="Times New Roman"/>
          <w:iCs/>
          <w:color w:val="0000FF"/>
          <w:sz w:val="20"/>
          <w:szCs w:val="20"/>
        </w:rPr>
      </w:pPr>
      <w:r w:rsidRPr="00BE12B7">
        <w:rPr>
          <w:rFonts w:ascii="Times New Roman" w:eastAsia="Times New Roman" w:hAnsi="Times New Roman"/>
          <w:iCs/>
          <w:color w:val="0000FF"/>
          <w:sz w:val="20"/>
          <w:szCs w:val="20"/>
        </w:rPr>
        <w:t>****</w:t>
      </w: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 xml:space="preserve">Includes </w:t>
      </w:r>
      <w:r>
        <w:rPr>
          <w:rFonts w:ascii="Times New Roman" w:eastAsia="Times New Roman" w:hAnsi="Times New Roman"/>
          <w:iCs/>
          <w:color w:val="0000FF"/>
          <w:sz w:val="20"/>
          <w:szCs w:val="20"/>
        </w:rPr>
        <w:t xml:space="preserve">institutional settings: </w:t>
      </w:r>
      <w:r w:rsidRPr="00B833C3">
        <w:rPr>
          <w:rFonts w:ascii="Times New Roman" w:eastAsia="Times New Roman" w:hAnsi="Times New Roman"/>
          <w:iCs/>
          <w:color w:val="0000FF"/>
          <w:sz w:val="20"/>
          <w:szCs w:val="20"/>
        </w:rPr>
        <w:t>skilled nursing facilities, long-term care hospitals, and another IRF.</w:t>
      </w:r>
    </w:p>
    <w:p w14:paraId="2D825C38" w14:textId="77777777" w:rsidR="008959CB" w:rsidRPr="00B833C3" w:rsidRDefault="008959CB" w:rsidP="003613B5">
      <w:pPr>
        <w:pStyle w:val="NoSpacing"/>
        <w:ind w:left="90"/>
        <w:contextualSpacing/>
        <w:rPr>
          <w:rFonts w:ascii="Times New Roman" w:hAnsi="Times New Roman"/>
          <w:color w:val="0000FF"/>
          <w:sz w:val="20"/>
          <w:szCs w:val="20"/>
        </w:rPr>
      </w:pPr>
      <w:r w:rsidRPr="00B833C3">
        <w:rPr>
          <w:rFonts w:ascii="Times New Roman" w:eastAsia="Times New Roman" w:hAnsi="Times New Roman"/>
          <w:iCs/>
          <w:color w:val="0000FF"/>
          <w:sz w:val="20"/>
          <w:szCs w:val="20"/>
          <w:vertAlign w:val="superscript"/>
        </w:rPr>
        <w:t xml:space="preserve">† </w:t>
      </w:r>
      <w:r w:rsidRPr="00B833C3">
        <w:rPr>
          <w:rFonts w:ascii="Times New Roman" w:eastAsia="Times New Roman" w:hAnsi="Times New Roman"/>
          <w:iCs/>
          <w:color w:val="0000FF"/>
          <w:sz w:val="20"/>
          <w:szCs w:val="20"/>
        </w:rPr>
        <w:t>Includes nursing homes, swing beds, critical access hospitals, hospice, inpatient psychiatric facilities, and other intermediate care settings.</w:t>
      </w:r>
    </w:p>
    <w:p w14:paraId="7D188A7C" w14:textId="63C27604" w:rsidR="008959CB" w:rsidRPr="00E31118" w:rsidRDefault="003613B5" w:rsidP="003613B5">
      <w:pPr>
        <w:pStyle w:val="NoSpacing"/>
        <w:contextualSpacing/>
        <w:rPr>
          <w:rFonts w:ascii="Times New Roman" w:hAnsi="Times New Roman"/>
          <w:color w:val="0000FF"/>
          <w:sz w:val="20"/>
          <w:szCs w:val="20"/>
        </w:rPr>
      </w:pPr>
      <w:r>
        <w:rPr>
          <w:rFonts w:ascii="Times New Roman" w:hAnsi="Times New Roman"/>
          <w:color w:val="0000FF"/>
          <w:sz w:val="20"/>
          <w:szCs w:val="20"/>
        </w:rPr>
        <w:t xml:space="preserve">  </w:t>
      </w:r>
      <w:r w:rsidR="008959CB" w:rsidRPr="00E31118">
        <w:rPr>
          <w:rFonts w:ascii="Times New Roman" w:hAnsi="Times New Roman"/>
          <w:color w:val="0000FF"/>
          <w:sz w:val="20"/>
          <w:szCs w:val="20"/>
        </w:rPr>
        <w:t>Source: RTI analysis of IRF-PAI, January – December 2017 (Program reference: LP57)</w:t>
      </w:r>
      <w:r w:rsidR="008959CB">
        <w:rPr>
          <w:rFonts w:ascii="Times New Roman" w:hAnsi="Times New Roman"/>
          <w:color w:val="0000FF"/>
          <w:sz w:val="20"/>
          <w:szCs w:val="20"/>
        </w:rPr>
        <w:t>.</w:t>
      </w:r>
    </w:p>
    <w:p w14:paraId="3185B574" w14:textId="15C8A749" w:rsidR="008959CB" w:rsidRPr="00673F1F" w:rsidRDefault="008959CB" w:rsidP="008959CB">
      <w:pPr>
        <w:spacing w:before="240" w:after="0" w:line="240" w:lineRule="auto"/>
        <w:rPr>
          <w:rFonts w:ascii="Calibri" w:eastAsia="Calibri" w:hAnsi="Calibri" w:cs="Times New Roman"/>
          <w:b/>
          <w:color w:val="0000FF"/>
        </w:rPr>
      </w:pPr>
      <w:r w:rsidRPr="00E53C0D">
        <w:rPr>
          <w:rFonts w:ascii="Calibri" w:eastAsia="Calibri" w:hAnsi="Calibri" w:cs="Times New Roman"/>
          <w:b/>
          <w:color w:val="0000FF"/>
        </w:rPr>
        <w:t>Rasch Analysis Sample using National IRF-PAI Data</w:t>
      </w:r>
      <w:r w:rsidRPr="00673F1F">
        <w:rPr>
          <w:rFonts w:ascii="Calibri" w:eastAsia="Calibri" w:hAnsi="Calibri" w:cs="Times New Roman"/>
          <w:b/>
          <w:color w:val="0000FF"/>
        </w:rPr>
        <w:t xml:space="preserve"> </w:t>
      </w:r>
      <w:r w:rsidR="00846AE4">
        <w:rPr>
          <w:rFonts w:ascii="Calibri" w:eastAsia="Calibri" w:hAnsi="Calibri" w:cs="Times New Roman"/>
          <w:b/>
          <w:color w:val="0000FF"/>
        </w:rPr>
        <w:t>– Fiscal Year 2017 Data</w:t>
      </w:r>
    </w:p>
    <w:p w14:paraId="47778909" w14:textId="142E710D" w:rsidR="008959CB" w:rsidRPr="000F7C3F" w:rsidRDefault="008959CB" w:rsidP="00D7261C">
      <w:pPr>
        <w:spacing w:before="240" w:after="0" w:line="240" w:lineRule="auto"/>
        <w:rPr>
          <w:rFonts w:ascii="Calibri" w:eastAsia="Calibri" w:hAnsi="Calibri" w:cs="Times New Roman"/>
          <w:color w:val="0000FF"/>
        </w:rPr>
      </w:pPr>
      <w:r>
        <w:rPr>
          <w:rFonts w:ascii="Calibri" w:eastAsia="Calibri" w:hAnsi="Calibri" w:cs="Times New Roman"/>
          <w:color w:val="0000FF"/>
        </w:rPr>
        <w:t xml:space="preserve">As noted above, the reliability and validity testing that involved Rasch analysis </w:t>
      </w:r>
      <w:r w:rsidR="00D7261C">
        <w:rPr>
          <w:rFonts w:ascii="Calibri" w:eastAsia="Calibri" w:hAnsi="Calibri" w:cs="Times New Roman"/>
          <w:color w:val="0000FF"/>
        </w:rPr>
        <w:t xml:space="preserve">and internal consistency testing </w:t>
      </w:r>
      <w:r>
        <w:rPr>
          <w:rFonts w:ascii="Calibri" w:eastAsia="Calibri" w:hAnsi="Calibri" w:cs="Times New Roman"/>
          <w:color w:val="0000FF"/>
        </w:rPr>
        <w:t>was conducted using fiscal year 2017 data. IRF-PAI d</w:t>
      </w:r>
      <w:r w:rsidRPr="006A1328">
        <w:rPr>
          <w:rFonts w:ascii="Calibri" w:eastAsia="Calibri" w:hAnsi="Calibri" w:cs="Times New Roman"/>
          <w:color w:val="0000FF"/>
        </w:rPr>
        <w:t xml:space="preserve">ata for </w:t>
      </w:r>
      <w:r w:rsidR="00D7261C" w:rsidRPr="006C5C5D">
        <w:rPr>
          <w:rFonts w:ascii="Calibri" w:eastAsia="Calibri" w:hAnsi="Calibri" w:cs="Times New Roman"/>
          <w:color w:val="0000FF"/>
        </w:rPr>
        <w:t>160,447</w:t>
      </w:r>
      <w:r w:rsidR="00D7261C">
        <w:rPr>
          <w:rFonts w:ascii="Calibri" w:eastAsia="Calibri" w:hAnsi="Calibri" w:cs="Times New Roman"/>
          <w:color w:val="0000FF"/>
        </w:rPr>
        <w:t xml:space="preserve"> </w:t>
      </w:r>
      <w:r>
        <w:rPr>
          <w:rFonts w:ascii="Calibri" w:eastAsia="Calibri" w:hAnsi="Calibri" w:cs="Times New Roman"/>
          <w:color w:val="0000FF"/>
        </w:rPr>
        <w:t xml:space="preserve">randomly selected </w:t>
      </w:r>
      <w:r w:rsidRPr="006A1328">
        <w:rPr>
          <w:rFonts w:ascii="Calibri" w:eastAsia="Calibri" w:hAnsi="Calibri" w:cs="Times New Roman"/>
          <w:color w:val="0000FF"/>
        </w:rPr>
        <w:t xml:space="preserve">IRF patients </w:t>
      </w:r>
      <w:r>
        <w:rPr>
          <w:rFonts w:ascii="Calibri" w:eastAsia="Calibri" w:hAnsi="Calibri" w:cs="Times New Roman"/>
          <w:color w:val="0000FF"/>
        </w:rPr>
        <w:t xml:space="preserve">discharged in fiscal year 2017 </w:t>
      </w:r>
      <w:r w:rsidRPr="006A1328">
        <w:rPr>
          <w:rFonts w:ascii="Calibri" w:eastAsia="Calibri" w:hAnsi="Calibri" w:cs="Times New Roman"/>
          <w:color w:val="0000FF"/>
        </w:rPr>
        <w:t>w</w:t>
      </w:r>
      <w:r>
        <w:rPr>
          <w:rFonts w:ascii="Calibri" w:eastAsia="Calibri" w:hAnsi="Calibri" w:cs="Times New Roman"/>
          <w:color w:val="0000FF"/>
        </w:rPr>
        <w:t>ere</w:t>
      </w:r>
      <w:r w:rsidRPr="006A1328">
        <w:rPr>
          <w:rFonts w:ascii="Calibri" w:eastAsia="Calibri" w:hAnsi="Calibri" w:cs="Times New Roman"/>
          <w:color w:val="0000FF"/>
        </w:rPr>
        <w:t xml:space="preserve"> analyzed for the fit assessment and internal consistency. </w:t>
      </w:r>
      <w:r w:rsidR="00D7261C">
        <w:rPr>
          <w:rFonts w:ascii="Calibri" w:eastAsia="Calibri" w:hAnsi="Calibri" w:cs="Times New Roman"/>
          <w:color w:val="0000FF"/>
        </w:rPr>
        <w:t xml:space="preserve">             </w:t>
      </w:r>
      <w:r w:rsidRPr="006A1328">
        <w:rPr>
          <w:rFonts w:ascii="Calibri" w:eastAsia="Calibri" w:hAnsi="Calibri" w:cs="Times New Roman"/>
          <w:color w:val="0000FF"/>
        </w:rPr>
        <w:t>More than half of the IRF patients were female (</w:t>
      </w:r>
      <w:r>
        <w:rPr>
          <w:rFonts w:ascii="Calibri" w:eastAsia="Calibri" w:hAnsi="Calibri" w:cs="Times New Roman"/>
          <w:color w:val="0000FF"/>
        </w:rPr>
        <w:t>53.3</w:t>
      </w:r>
      <w:r w:rsidRPr="006A1328">
        <w:rPr>
          <w:rFonts w:ascii="Calibri" w:eastAsia="Calibri" w:hAnsi="Calibri" w:cs="Times New Roman"/>
          <w:color w:val="0000FF"/>
        </w:rPr>
        <w:t>%) and 5</w:t>
      </w:r>
      <w:r>
        <w:rPr>
          <w:rFonts w:ascii="Calibri" w:eastAsia="Calibri" w:hAnsi="Calibri" w:cs="Times New Roman"/>
          <w:color w:val="0000FF"/>
        </w:rPr>
        <w:t>2.3</w:t>
      </w:r>
      <w:r w:rsidRPr="006A1328">
        <w:rPr>
          <w:rFonts w:ascii="Calibri" w:eastAsia="Calibri" w:hAnsi="Calibri" w:cs="Times New Roman"/>
          <w:color w:val="0000FF"/>
        </w:rPr>
        <w:t>% were 75 years old or older. Most were white (</w:t>
      </w:r>
      <w:r>
        <w:rPr>
          <w:rFonts w:ascii="Calibri" w:eastAsia="Calibri" w:hAnsi="Calibri" w:cs="Times New Roman"/>
          <w:color w:val="0000FF"/>
        </w:rPr>
        <w:t>79.3</w:t>
      </w:r>
      <w:r w:rsidRPr="006A1328">
        <w:rPr>
          <w:rFonts w:ascii="Calibri" w:eastAsia="Calibri" w:hAnsi="Calibri" w:cs="Times New Roman"/>
          <w:color w:val="0000FF"/>
        </w:rPr>
        <w:t xml:space="preserve">%) and </w:t>
      </w:r>
      <w:r>
        <w:rPr>
          <w:rFonts w:ascii="Calibri" w:eastAsia="Calibri" w:hAnsi="Calibri" w:cs="Times New Roman"/>
          <w:color w:val="0000FF"/>
        </w:rPr>
        <w:t>admi</w:t>
      </w:r>
      <w:r w:rsidRPr="006A1328">
        <w:rPr>
          <w:rFonts w:ascii="Calibri" w:eastAsia="Calibri" w:hAnsi="Calibri" w:cs="Times New Roman"/>
          <w:color w:val="0000FF"/>
        </w:rPr>
        <w:t>tted to the IRF directly from an acute care hospital</w:t>
      </w:r>
      <w:r>
        <w:rPr>
          <w:rFonts w:ascii="Calibri" w:eastAsia="Calibri" w:hAnsi="Calibri" w:cs="Times New Roman"/>
          <w:color w:val="0000FF"/>
        </w:rPr>
        <w:t xml:space="preserve"> </w:t>
      </w:r>
      <w:r w:rsidRPr="006A1328">
        <w:rPr>
          <w:rFonts w:ascii="Calibri" w:eastAsia="Calibri" w:hAnsi="Calibri" w:cs="Times New Roman"/>
          <w:color w:val="0000FF"/>
        </w:rPr>
        <w:t>(9</w:t>
      </w:r>
      <w:r>
        <w:rPr>
          <w:rFonts w:ascii="Calibri" w:eastAsia="Calibri" w:hAnsi="Calibri" w:cs="Times New Roman"/>
          <w:color w:val="0000FF"/>
        </w:rPr>
        <w:t>3.2</w:t>
      </w:r>
      <w:r w:rsidRPr="006A1328">
        <w:rPr>
          <w:rFonts w:ascii="Calibri" w:eastAsia="Calibri" w:hAnsi="Calibri" w:cs="Times New Roman"/>
          <w:color w:val="0000FF"/>
        </w:rPr>
        <w:t>%).</w:t>
      </w:r>
      <w:r>
        <w:rPr>
          <w:rFonts w:ascii="Calibri" w:eastAsia="Calibri" w:hAnsi="Calibri" w:cs="Times New Roman"/>
          <w:color w:val="0000FF"/>
        </w:rPr>
        <w:t xml:space="preserve"> </w:t>
      </w:r>
    </w:p>
    <w:bookmarkEnd w:id="15"/>
    <w:p w14:paraId="7662189D" w14:textId="77777777" w:rsidR="008959CB" w:rsidRDefault="008959CB"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552639F0" w:rsidR="00E37E1B" w:rsidRDefault="00E37E1B" w:rsidP="00E37E1B">
      <w:pPr>
        <w:autoSpaceDE w:val="0"/>
        <w:autoSpaceDN w:val="0"/>
        <w:adjustRightInd w:val="0"/>
        <w:spacing w:after="0" w:line="240" w:lineRule="auto"/>
        <w:rPr>
          <w:rFonts w:cstheme="minorHAnsi"/>
          <w:bCs/>
        </w:rPr>
      </w:pPr>
    </w:p>
    <w:p w14:paraId="2E52C89A" w14:textId="77777777" w:rsidR="00294D20" w:rsidRDefault="008959CB" w:rsidP="00D7261C">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Most t</w:t>
      </w:r>
      <w:r w:rsidRPr="006A1328">
        <w:rPr>
          <w:rFonts w:ascii="Calibri" w:eastAsia="Calibri" w:hAnsi="Calibri" w:cs="Times New Roman"/>
          <w:color w:val="0000FF"/>
        </w:rPr>
        <w:t xml:space="preserve">esting was conducted </w:t>
      </w:r>
      <w:r>
        <w:rPr>
          <w:rFonts w:ascii="Calibri" w:eastAsia="Calibri" w:hAnsi="Calibri" w:cs="Times New Roman"/>
          <w:color w:val="0000FF"/>
        </w:rPr>
        <w:t>using national IRF-PAI data submitted by IRFs for all Medicare Part A and Medicare Advantage patients discharged in calendar year 2017 (</w:t>
      </w:r>
      <w:r w:rsidRPr="00246F56">
        <w:rPr>
          <w:rFonts w:ascii="Calibri" w:eastAsia="Calibri" w:hAnsi="Calibri" w:cs="Times New Roman"/>
          <w:b/>
          <w:color w:val="0000FF"/>
        </w:rPr>
        <w:t>Tables 1</w:t>
      </w:r>
      <w:r>
        <w:rPr>
          <w:rFonts w:ascii="Calibri" w:eastAsia="Calibri" w:hAnsi="Calibri" w:cs="Times New Roman"/>
          <w:color w:val="0000FF"/>
        </w:rPr>
        <w:t xml:space="preserve"> and </w:t>
      </w:r>
      <w:r w:rsidRPr="00246F56">
        <w:rPr>
          <w:rFonts w:ascii="Calibri" w:eastAsia="Calibri" w:hAnsi="Calibri" w:cs="Times New Roman"/>
          <w:b/>
          <w:color w:val="0000FF"/>
        </w:rPr>
        <w:t>2</w:t>
      </w:r>
      <w:r>
        <w:rPr>
          <w:rFonts w:ascii="Calibri" w:eastAsia="Calibri" w:hAnsi="Calibri" w:cs="Times New Roman"/>
          <w:color w:val="0000FF"/>
        </w:rPr>
        <w:t xml:space="preserve">). </w:t>
      </w:r>
    </w:p>
    <w:p w14:paraId="7CA084A4" w14:textId="77777777" w:rsidR="00294D20" w:rsidRDefault="00294D20" w:rsidP="00D7261C">
      <w:pPr>
        <w:autoSpaceDE w:val="0"/>
        <w:autoSpaceDN w:val="0"/>
        <w:adjustRightInd w:val="0"/>
        <w:spacing w:after="0" w:line="240" w:lineRule="auto"/>
        <w:rPr>
          <w:rFonts w:ascii="Calibri" w:eastAsia="Calibri" w:hAnsi="Calibri" w:cs="Times New Roman"/>
          <w:color w:val="0000FF"/>
        </w:rPr>
      </w:pPr>
    </w:p>
    <w:p w14:paraId="38CFE715" w14:textId="4CEC17C0" w:rsidR="00D7261C" w:rsidRDefault="008959CB" w:rsidP="00D7261C">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color w:val="0000FF"/>
        </w:rPr>
        <w:t>F</w:t>
      </w:r>
      <w:r w:rsidRPr="006A1328">
        <w:rPr>
          <w:rFonts w:ascii="Calibri" w:eastAsia="Calibri" w:hAnsi="Calibri" w:cs="Times New Roman"/>
          <w:color w:val="0000FF"/>
        </w:rPr>
        <w:t>or the Rasch analyses and internal consistency analyses</w:t>
      </w:r>
      <w:r>
        <w:rPr>
          <w:rFonts w:ascii="Calibri" w:eastAsia="Calibri" w:hAnsi="Calibri" w:cs="Times New Roman"/>
          <w:color w:val="0000FF"/>
        </w:rPr>
        <w:t>,</w:t>
      </w:r>
      <w:r w:rsidRPr="006A1328">
        <w:rPr>
          <w:rFonts w:ascii="Calibri" w:eastAsia="Calibri" w:hAnsi="Calibri" w:cs="Times New Roman"/>
          <w:color w:val="0000FF"/>
        </w:rPr>
        <w:t xml:space="preserve"> </w:t>
      </w:r>
      <w:r>
        <w:rPr>
          <w:rFonts w:ascii="Calibri" w:eastAsia="Calibri" w:hAnsi="Calibri" w:cs="Times New Roman"/>
          <w:color w:val="0000FF"/>
        </w:rPr>
        <w:t xml:space="preserve">we used a random subsample of the national data </w:t>
      </w:r>
      <w:r w:rsidRPr="006C5C5D">
        <w:rPr>
          <w:rFonts w:ascii="Calibri" w:eastAsia="Calibri" w:hAnsi="Calibri" w:cs="Times New Roman"/>
          <w:color w:val="0000FF"/>
        </w:rPr>
        <w:t>(n = 16</w:t>
      </w:r>
      <w:r w:rsidR="00170616" w:rsidRPr="006C5C5D">
        <w:rPr>
          <w:rFonts w:ascii="Calibri" w:eastAsia="Calibri" w:hAnsi="Calibri" w:cs="Times New Roman"/>
          <w:color w:val="0000FF"/>
        </w:rPr>
        <w:t>0</w:t>
      </w:r>
      <w:r w:rsidRPr="006C5C5D">
        <w:rPr>
          <w:rFonts w:ascii="Calibri" w:eastAsia="Calibri" w:hAnsi="Calibri" w:cs="Times New Roman"/>
          <w:color w:val="0000FF"/>
        </w:rPr>
        <w:t>,44</w:t>
      </w:r>
      <w:r w:rsidR="00170616" w:rsidRPr="006C5C5D">
        <w:rPr>
          <w:rFonts w:ascii="Calibri" w:eastAsia="Calibri" w:hAnsi="Calibri" w:cs="Times New Roman"/>
          <w:color w:val="0000FF"/>
        </w:rPr>
        <w:t>7</w:t>
      </w:r>
      <w:r w:rsidRPr="006C5C5D">
        <w:rPr>
          <w:rFonts w:ascii="Calibri" w:eastAsia="Calibri" w:hAnsi="Calibri" w:cs="Times New Roman"/>
          <w:color w:val="0000FF"/>
        </w:rPr>
        <w:t>) for</w:t>
      </w:r>
      <w:r>
        <w:rPr>
          <w:rFonts w:ascii="Calibri" w:eastAsia="Calibri" w:hAnsi="Calibri" w:cs="Times New Roman"/>
          <w:color w:val="0000FF"/>
        </w:rPr>
        <w:t xml:space="preserve"> </w:t>
      </w:r>
      <w:r w:rsidRPr="006A1328">
        <w:rPr>
          <w:rFonts w:ascii="Calibri" w:eastAsia="Calibri" w:hAnsi="Calibri" w:cs="Times New Roman"/>
          <w:color w:val="0000FF"/>
        </w:rPr>
        <w:t xml:space="preserve">patients </w:t>
      </w:r>
      <w:r>
        <w:rPr>
          <w:rFonts w:ascii="Calibri" w:eastAsia="Calibri" w:hAnsi="Calibri" w:cs="Times New Roman"/>
          <w:color w:val="0000FF"/>
        </w:rPr>
        <w:t>discharged in fiscal year 2017</w:t>
      </w:r>
      <w:r w:rsidRPr="006A1328">
        <w:rPr>
          <w:rFonts w:ascii="Calibri" w:eastAsia="Calibri" w:hAnsi="Calibri" w:cs="Times New Roman"/>
          <w:color w:val="0000FF"/>
        </w:rPr>
        <w:t xml:space="preserve">. </w:t>
      </w:r>
      <w:r w:rsidR="00D7261C">
        <w:rPr>
          <w:rFonts w:ascii="Calibri" w:eastAsia="Calibri" w:hAnsi="Calibri" w:cs="Times New Roman"/>
          <w:color w:val="0000FF"/>
        </w:rPr>
        <w:t xml:space="preserve">The Rasch analysis </w:t>
      </w:r>
      <w:r w:rsidR="007C31DB">
        <w:rPr>
          <w:rFonts w:ascii="Calibri" w:eastAsia="Calibri" w:hAnsi="Calibri" w:cs="Times New Roman"/>
          <w:color w:val="0000FF"/>
        </w:rPr>
        <w:t xml:space="preserve">and internal consistency </w:t>
      </w:r>
      <w:r w:rsidR="00D7261C">
        <w:rPr>
          <w:rFonts w:ascii="Calibri" w:eastAsia="Calibri" w:hAnsi="Calibri" w:cs="Times New Roman"/>
          <w:color w:val="0000FF"/>
        </w:rPr>
        <w:t>work include:</w:t>
      </w:r>
    </w:p>
    <w:p w14:paraId="1AE0EF31" w14:textId="77777777" w:rsidR="00D7261C" w:rsidRPr="00D84E26" w:rsidRDefault="00D7261C" w:rsidP="00D7261C">
      <w:pPr>
        <w:pStyle w:val="ListParagraph"/>
        <w:numPr>
          <w:ilvl w:val="0"/>
          <w:numId w:val="31"/>
        </w:numPr>
        <w:spacing w:after="240" w:line="240" w:lineRule="auto"/>
        <w:rPr>
          <w:rFonts w:ascii="Calibri" w:eastAsia="Calibri" w:hAnsi="Calibri" w:cs="Times New Roman"/>
          <w:color w:val="0000FF"/>
        </w:rPr>
      </w:pPr>
      <w:r w:rsidRPr="00D84E26">
        <w:rPr>
          <w:rFonts w:ascii="Calibri" w:eastAsia="Calibri" w:hAnsi="Calibri" w:cs="Times New Roman"/>
          <w:color w:val="0000FF"/>
        </w:rPr>
        <w:t>Scale Construct Validity Testing - Item Difficulty Ordering</w:t>
      </w:r>
    </w:p>
    <w:p w14:paraId="4244E71E" w14:textId="31CCCDE8" w:rsidR="00D7261C" w:rsidRPr="000F7C3F" w:rsidRDefault="00D7261C" w:rsidP="00D7261C">
      <w:pPr>
        <w:pStyle w:val="ListParagraph"/>
        <w:numPr>
          <w:ilvl w:val="0"/>
          <w:numId w:val="30"/>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Scale Validity Testing - Fit Assessment and Internal Consistency</w:t>
      </w:r>
    </w:p>
    <w:p w14:paraId="68634C34" w14:textId="77777777" w:rsidR="00D7261C" w:rsidRPr="000F7C3F" w:rsidRDefault="00D7261C" w:rsidP="00D7261C">
      <w:pPr>
        <w:pStyle w:val="ListParagraph"/>
        <w:numPr>
          <w:ilvl w:val="0"/>
          <w:numId w:val="30"/>
        </w:numPr>
        <w:spacing w:before="240" w:after="0" w:line="240" w:lineRule="auto"/>
        <w:rPr>
          <w:rFonts w:ascii="Calibri" w:eastAsia="Calibri" w:hAnsi="Calibri" w:cs="Times New Roman"/>
          <w:color w:val="0000FF"/>
        </w:rPr>
      </w:pPr>
      <w:r w:rsidRPr="000F7C3F">
        <w:rPr>
          <w:rFonts w:ascii="Calibri" w:eastAsia="Calibri" w:hAnsi="Calibri" w:cs="Times New Roman"/>
          <w:color w:val="0000FF"/>
        </w:rPr>
        <w:t>Item Validity Testing - Response Option Assessment</w:t>
      </w:r>
    </w:p>
    <w:p w14:paraId="36899C82" w14:textId="77777777" w:rsidR="008959CB" w:rsidRDefault="008959CB" w:rsidP="00E37E1B">
      <w:pPr>
        <w:autoSpaceDE w:val="0"/>
        <w:autoSpaceDN w:val="0"/>
        <w:adjustRightInd w:val="0"/>
        <w:spacing w:after="0" w:line="240" w:lineRule="auto"/>
        <w:rPr>
          <w:rFonts w:cstheme="minorHAnsi"/>
          <w:bCs/>
        </w:rPr>
      </w:pPr>
    </w:p>
    <w:p w14:paraId="0CABCFCC" w14:textId="2DFD6004"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6C593DC9" w14:textId="55799B37" w:rsidR="0055031C" w:rsidRDefault="0055031C" w:rsidP="00E37E1B">
      <w:pPr>
        <w:autoSpaceDE w:val="0"/>
        <w:autoSpaceDN w:val="0"/>
        <w:adjustRightInd w:val="0"/>
        <w:spacing w:after="0" w:line="240" w:lineRule="auto"/>
        <w:rPr>
          <w:rFonts w:cstheme="minorHAnsi"/>
          <w:bCs/>
        </w:rPr>
      </w:pPr>
    </w:p>
    <w:p w14:paraId="4CF5EA29" w14:textId="21AD68CB" w:rsidR="0055031C" w:rsidRDefault="0055031C" w:rsidP="0055031C">
      <w:pPr>
        <w:autoSpaceDE w:val="0"/>
        <w:autoSpaceDN w:val="0"/>
        <w:adjustRightInd w:val="0"/>
        <w:spacing w:after="0" w:line="240" w:lineRule="auto"/>
        <w:rPr>
          <w:rFonts w:cstheme="minorHAnsi"/>
          <w:bCs/>
          <w:color w:val="0000FF"/>
        </w:rPr>
      </w:pPr>
      <w:bookmarkStart w:id="19" w:name="_Hlk533101925"/>
      <w:bookmarkStart w:id="20" w:name="_Hlk532368264"/>
      <w:r w:rsidRPr="001B21D9">
        <w:rPr>
          <w:rFonts w:cstheme="minorHAnsi"/>
          <w:bCs/>
          <w:color w:val="0000FF"/>
        </w:rPr>
        <w:t xml:space="preserve">We examined </w:t>
      </w:r>
      <w:r>
        <w:rPr>
          <w:rFonts w:cstheme="minorHAnsi"/>
          <w:bCs/>
          <w:color w:val="0000FF"/>
        </w:rPr>
        <w:t xml:space="preserve">whether 5 social risk factors affected </w:t>
      </w:r>
      <w:r w:rsidR="003F64B8">
        <w:rPr>
          <w:rFonts w:cstheme="minorHAnsi"/>
          <w:bCs/>
          <w:color w:val="0000FF"/>
        </w:rPr>
        <w:t xml:space="preserve">the computed performance </w:t>
      </w:r>
      <w:r>
        <w:rPr>
          <w:rFonts w:cstheme="minorHAnsi"/>
          <w:bCs/>
          <w:color w:val="0000FF"/>
        </w:rPr>
        <w:t>measure scores</w:t>
      </w:r>
      <w:r w:rsidR="00F8435F">
        <w:rPr>
          <w:rFonts w:cstheme="minorHAnsi"/>
          <w:bCs/>
          <w:color w:val="0000FF"/>
        </w:rPr>
        <w:t>:</w:t>
      </w:r>
      <w:r>
        <w:rPr>
          <w:rFonts w:cstheme="minorHAnsi"/>
          <w:bCs/>
          <w:color w:val="0000FF"/>
        </w:rPr>
        <w:t xml:space="preserve"> </w:t>
      </w:r>
      <w:r w:rsidR="00F8435F">
        <w:rPr>
          <w:rFonts w:cstheme="minorHAnsi"/>
          <w:bCs/>
          <w:color w:val="0000FF"/>
        </w:rPr>
        <w:t>1)</w:t>
      </w:r>
      <w:r>
        <w:rPr>
          <w:rFonts w:cstheme="minorHAnsi"/>
          <w:bCs/>
          <w:color w:val="0000FF"/>
        </w:rPr>
        <w:t xml:space="preserve"> </w:t>
      </w:r>
      <w:r w:rsidRPr="007C33B1">
        <w:rPr>
          <w:rFonts w:eastAsia="Calibri" w:cstheme="minorHAnsi"/>
          <w:bCs/>
          <w:color w:val="0000FF"/>
        </w:rPr>
        <w:t>dual eligibility</w:t>
      </w:r>
      <w:r>
        <w:rPr>
          <w:rFonts w:eastAsia="Calibri" w:cstheme="minorHAnsi"/>
          <w:bCs/>
          <w:color w:val="0000FF"/>
        </w:rPr>
        <w:t xml:space="preserve"> (patient-level</w:t>
      </w:r>
      <w:r w:rsidR="003F64B8">
        <w:rPr>
          <w:rFonts w:eastAsia="Calibri" w:cstheme="minorHAnsi"/>
          <w:bCs/>
          <w:color w:val="0000FF"/>
        </w:rPr>
        <w:t xml:space="preserve"> </w:t>
      </w:r>
      <w:r w:rsidR="00F8435F">
        <w:rPr>
          <w:rFonts w:eastAsia="Calibri" w:cstheme="minorHAnsi"/>
          <w:bCs/>
          <w:color w:val="0000FF"/>
        </w:rPr>
        <w:t>variable</w:t>
      </w:r>
      <w:r>
        <w:rPr>
          <w:rFonts w:eastAsia="Calibri" w:cstheme="minorHAnsi"/>
          <w:bCs/>
          <w:color w:val="0000FF"/>
        </w:rPr>
        <w:t>)</w:t>
      </w:r>
      <w:r w:rsidR="00F8435F">
        <w:rPr>
          <w:rFonts w:eastAsia="Calibri" w:cstheme="minorHAnsi"/>
          <w:bCs/>
          <w:color w:val="0000FF"/>
        </w:rPr>
        <w:t>; 2)</w:t>
      </w:r>
      <w:r>
        <w:rPr>
          <w:rFonts w:eastAsia="Calibri" w:cstheme="minorHAnsi"/>
          <w:bCs/>
          <w:color w:val="0000FF"/>
        </w:rPr>
        <w:t xml:space="preserve"> </w:t>
      </w:r>
      <w:r w:rsidRPr="007C33B1">
        <w:rPr>
          <w:rFonts w:eastAsia="Calibri" w:cstheme="minorHAnsi"/>
          <w:color w:val="0000FF"/>
        </w:rPr>
        <w:t>race/ethnicity</w:t>
      </w:r>
      <w:r>
        <w:rPr>
          <w:rFonts w:eastAsia="Calibri" w:cstheme="minorHAnsi"/>
          <w:color w:val="0000FF"/>
        </w:rPr>
        <w:t xml:space="preserve"> (patient-level</w:t>
      </w:r>
      <w:r w:rsidR="003F64B8">
        <w:rPr>
          <w:rFonts w:eastAsia="Calibri" w:cstheme="minorHAnsi"/>
          <w:color w:val="0000FF"/>
        </w:rPr>
        <w:t xml:space="preserve"> </w:t>
      </w:r>
      <w:r w:rsidR="00F8435F">
        <w:rPr>
          <w:rFonts w:eastAsia="Calibri" w:cstheme="minorHAnsi"/>
          <w:color w:val="0000FF"/>
        </w:rPr>
        <w:t>variable</w:t>
      </w:r>
      <w:r>
        <w:rPr>
          <w:rFonts w:eastAsia="Calibri" w:cstheme="minorHAnsi"/>
          <w:color w:val="0000FF"/>
        </w:rPr>
        <w:t>)</w:t>
      </w:r>
      <w:r w:rsidR="00F8435F">
        <w:rPr>
          <w:rFonts w:eastAsia="Calibri" w:cstheme="minorHAnsi"/>
          <w:color w:val="0000FF"/>
        </w:rPr>
        <w:t>; 3)</w:t>
      </w:r>
      <w:r w:rsidRPr="007C33B1">
        <w:rPr>
          <w:rFonts w:eastAsia="Calibri" w:cstheme="minorHAnsi"/>
          <w:color w:val="0000FF"/>
        </w:rPr>
        <w:t xml:space="preserve"> </w:t>
      </w:r>
      <w:r>
        <w:rPr>
          <w:rFonts w:eastAsia="Calibri" w:cstheme="minorHAnsi"/>
          <w:color w:val="0000FF"/>
        </w:rPr>
        <w:t>living alone (patient-level</w:t>
      </w:r>
      <w:r w:rsidR="003F64B8">
        <w:rPr>
          <w:rFonts w:eastAsia="Calibri" w:cstheme="minorHAnsi"/>
          <w:color w:val="0000FF"/>
        </w:rPr>
        <w:t xml:space="preserve"> </w:t>
      </w:r>
      <w:r w:rsidR="00F8435F">
        <w:rPr>
          <w:rFonts w:eastAsia="Calibri" w:cstheme="minorHAnsi"/>
          <w:bCs/>
          <w:color w:val="0000FF"/>
        </w:rPr>
        <w:lastRenderedPageBreak/>
        <w:t>variable</w:t>
      </w:r>
      <w:r>
        <w:rPr>
          <w:rFonts w:eastAsia="Calibri" w:cstheme="minorHAnsi"/>
          <w:color w:val="0000FF"/>
        </w:rPr>
        <w:t>)</w:t>
      </w:r>
      <w:r w:rsidR="00F8435F">
        <w:rPr>
          <w:rFonts w:eastAsia="Calibri" w:cstheme="minorHAnsi"/>
          <w:color w:val="0000FF"/>
        </w:rPr>
        <w:t>; 4)</w:t>
      </w:r>
      <w:r>
        <w:rPr>
          <w:rFonts w:eastAsia="Calibri" w:cstheme="minorHAnsi"/>
          <w:color w:val="0000FF"/>
        </w:rPr>
        <w:t xml:space="preserve"> </w:t>
      </w:r>
      <w:r w:rsidRPr="007C33B1">
        <w:rPr>
          <w:rFonts w:eastAsia="Calibri" w:cstheme="minorHAnsi"/>
          <w:color w:val="0000FF"/>
        </w:rPr>
        <w:t xml:space="preserve">urbanicity based on </w:t>
      </w:r>
      <w:r>
        <w:rPr>
          <w:rFonts w:eastAsia="Calibri" w:cstheme="minorHAnsi"/>
          <w:color w:val="0000FF"/>
        </w:rPr>
        <w:t>the patient’s</w:t>
      </w:r>
      <w:r w:rsidRPr="007C33B1">
        <w:rPr>
          <w:rFonts w:eastAsia="Calibri" w:cstheme="minorHAnsi"/>
          <w:color w:val="0000FF"/>
        </w:rPr>
        <w:t xml:space="preserve"> residence</w:t>
      </w:r>
      <w:r>
        <w:rPr>
          <w:rFonts w:eastAsia="Calibri" w:cstheme="minorHAnsi"/>
          <w:color w:val="0000FF"/>
        </w:rPr>
        <w:t xml:space="preserve"> (community-level</w:t>
      </w:r>
      <w:r w:rsidR="003F64B8">
        <w:rPr>
          <w:rFonts w:eastAsia="Calibri" w:cstheme="minorHAnsi"/>
          <w:color w:val="0000FF"/>
        </w:rPr>
        <w:t xml:space="preserve"> </w:t>
      </w:r>
      <w:r w:rsidR="00F8435F">
        <w:rPr>
          <w:rFonts w:eastAsia="Calibri" w:cstheme="minorHAnsi"/>
          <w:bCs/>
          <w:color w:val="0000FF"/>
        </w:rPr>
        <w:t>variable</w:t>
      </w:r>
      <w:r>
        <w:rPr>
          <w:rFonts w:eastAsia="Calibri" w:cstheme="minorHAnsi"/>
          <w:color w:val="0000FF"/>
        </w:rPr>
        <w:t>)</w:t>
      </w:r>
      <w:r w:rsidRPr="007C33B1">
        <w:rPr>
          <w:rFonts w:eastAsia="Calibri" w:cstheme="minorHAnsi"/>
          <w:color w:val="0000FF"/>
        </w:rPr>
        <w:t xml:space="preserve">, and </w:t>
      </w:r>
      <w:r w:rsidR="00F8435F">
        <w:rPr>
          <w:rFonts w:eastAsia="Calibri" w:cstheme="minorHAnsi"/>
          <w:color w:val="0000FF"/>
        </w:rPr>
        <w:t xml:space="preserve">5) </w:t>
      </w:r>
      <w:r w:rsidRPr="007C33B1">
        <w:rPr>
          <w:rFonts w:eastAsia="Calibri" w:cstheme="minorHAnsi"/>
          <w:color w:val="0000FF"/>
        </w:rPr>
        <w:t>socioeconomic status (SES)</w:t>
      </w:r>
      <w:r>
        <w:rPr>
          <w:rFonts w:eastAsia="Calibri" w:cstheme="minorHAnsi"/>
          <w:color w:val="0000FF"/>
        </w:rPr>
        <w:t xml:space="preserve"> (community-level</w:t>
      </w:r>
      <w:r w:rsidR="003F64B8">
        <w:rPr>
          <w:rFonts w:eastAsia="Calibri" w:cstheme="minorHAnsi"/>
          <w:color w:val="0000FF"/>
        </w:rPr>
        <w:t xml:space="preserve"> </w:t>
      </w:r>
      <w:r w:rsidR="00F8435F">
        <w:rPr>
          <w:rFonts w:eastAsia="Calibri" w:cstheme="minorHAnsi"/>
          <w:bCs/>
          <w:color w:val="0000FF"/>
        </w:rPr>
        <w:t>variable</w:t>
      </w:r>
      <w:r>
        <w:rPr>
          <w:rFonts w:eastAsia="Calibri" w:cstheme="minorHAnsi"/>
          <w:color w:val="0000FF"/>
        </w:rPr>
        <w:t>)</w:t>
      </w:r>
      <w:r>
        <w:rPr>
          <w:rFonts w:cstheme="minorHAnsi"/>
          <w:bCs/>
          <w:color w:val="0000FF"/>
        </w:rPr>
        <w:t xml:space="preserve">. </w:t>
      </w:r>
    </w:p>
    <w:p w14:paraId="149A0439" w14:textId="73A0C0D4" w:rsidR="00294D20" w:rsidRDefault="00294D20" w:rsidP="0055031C">
      <w:pPr>
        <w:autoSpaceDE w:val="0"/>
        <w:autoSpaceDN w:val="0"/>
        <w:adjustRightInd w:val="0"/>
        <w:spacing w:after="0" w:line="240" w:lineRule="auto"/>
        <w:rPr>
          <w:rFonts w:cstheme="minorHAnsi"/>
          <w:bCs/>
          <w:color w:val="0000FF"/>
        </w:rPr>
      </w:pPr>
    </w:p>
    <w:p w14:paraId="55640470" w14:textId="77777777" w:rsidR="00294D20" w:rsidRPr="00604C36" w:rsidRDefault="00294D20" w:rsidP="00294D20">
      <w:pPr>
        <w:rPr>
          <w:color w:val="0000FF"/>
        </w:rPr>
      </w:pPr>
      <w:r w:rsidRPr="00604C36">
        <w:rPr>
          <w:color w:val="0000FF"/>
        </w:rPr>
        <w:t>We selected the patient-level social risk factors based on our review of the literature showing functional outcomes can vary by race/ethnicity and by living situation. The selected community-level factors have been examined for other measures, but have been not addressed in the functional outcomes literature and thus the possible role and these factors have been unclear.</w:t>
      </w:r>
    </w:p>
    <w:p w14:paraId="559F66B0" w14:textId="1FF64E01" w:rsidR="0055031C" w:rsidRPr="00673F1F" w:rsidRDefault="0055031C" w:rsidP="0055031C">
      <w:pPr>
        <w:spacing w:after="0" w:line="240" w:lineRule="auto"/>
        <w:rPr>
          <w:rFonts w:eastAsia="Calibri" w:cstheme="minorHAnsi"/>
          <w:color w:val="0000FF"/>
        </w:rPr>
      </w:pPr>
      <w:r>
        <w:rPr>
          <w:rFonts w:eastAsia="Calibri" w:cstheme="minorHAnsi"/>
          <w:color w:val="0000FF"/>
        </w:rPr>
        <w:t xml:space="preserve">Dual eligibility </w:t>
      </w:r>
      <w:r w:rsidR="003F64B8">
        <w:rPr>
          <w:rFonts w:eastAsia="Calibri" w:cstheme="minorHAnsi"/>
          <w:color w:val="0000FF"/>
        </w:rPr>
        <w:t>data were</w:t>
      </w:r>
      <w:r w:rsidRPr="001B21D9">
        <w:rPr>
          <w:rFonts w:eastAsia="Calibri" w:cstheme="minorHAnsi"/>
          <w:color w:val="0000FF"/>
        </w:rPr>
        <w:t xml:space="preserve"> derived from the Integrated Data Repository (IDR)</w:t>
      </w:r>
      <w:r>
        <w:rPr>
          <w:rFonts w:eastAsia="Calibri" w:cstheme="minorHAnsi"/>
          <w:color w:val="0000FF"/>
        </w:rPr>
        <w:t>. W</w:t>
      </w:r>
      <w:r w:rsidRPr="001B21D9">
        <w:rPr>
          <w:rFonts w:eastAsia="Calibri" w:cstheme="minorHAnsi"/>
          <w:color w:val="0000FF"/>
        </w:rPr>
        <w:t xml:space="preserve">e obtained race/ethnicity </w:t>
      </w:r>
      <w:r>
        <w:rPr>
          <w:rFonts w:eastAsia="Calibri" w:cstheme="minorHAnsi"/>
          <w:color w:val="0000FF"/>
        </w:rPr>
        <w:t xml:space="preserve">and living alone status </w:t>
      </w:r>
      <w:r w:rsidRPr="001B21D9">
        <w:rPr>
          <w:rFonts w:eastAsia="Calibri" w:cstheme="minorHAnsi"/>
          <w:color w:val="0000FF"/>
        </w:rPr>
        <w:t>from the IRF</w:t>
      </w:r>
      <w:r>
        <w:rPr>
          <w:rFonts w:eastAsia="Calibri" w:cstheme="minorHAnsi"/>
          <w:color w:val="0000FF"/>
        </w:rPr>
        <w:t>-PAI.</w:t>
      </w:r>
      <w:r w:rsidRPr="00673F1F">
        <w:rPr>
          <w:rFonts w:eastAsia="Calibri" w:cstheme="minorHAnsi"/>
          <w:color w:val="0000FF"/>
        </w:rPr>
        <w:t xml:space="preserve"> </w:t>
      </w:r>
      <w:bookmarkEnd w:id="19"/>
      <w:r w:rsidRPr="00673F1F">
        <w:rPr>
          <w:rFonts w:eastAsia="Calibri" w:cstheme="minorHAnsi"/>
          <w:color w:val="0000FF"/>
        </w:rPr>
        <w:t xml:space="preserve">Urbanicity was defined by cross-walking beneficiary residence ZIP codes (from </w:t>
      </w:r>
      <w:r>
        <w:rPr>
          <w:rFonts w:eastAsia="Calibri" w:cstheme="minorHAnsi"/>
          <w:color w:val="0000FF"/>
        </w:rPr>
        <w:t xml:space="preserve">the </w:t>
      </w:r>
      <w:r w:rsidRPr="00673F1F">
        <w:rPr>
          <w:rFonts w:eastAsia="Calibri" w:cstheme="minorHAnsi"/>
          <w:color w:val="0000FF"/>
        </w:rPr>
        <w:t>IRF</w:t>
      </w:r>
      <w:r>
        <w:rPr>
          <w:rFonts w:eastAsia="Calibri" w:cstheme="minorHAnsi"/>
          <w:color w:val="0000FF"/>
        </w:rPr>
        <w:t>-PAI)</w:t>
      </w:r>
      <w:r w:rsidRPr="00673F1F">
        <w:rPr>
          <w:rFonts w:eastAsia="Calibri" w:cstheme="minorHAnsi"/>
          <w:color w:val="0000FF"/>
        </w:rPr>
        <w:t xml:space="preserve"> to </w:t>
      </w:r>
      <w:r w:rsidRPr="00673F1F">
        <w:rPr>
          <w:rStyle w:val="st1"/>
          <w:rFonts w:cstheme="minorHAnsi"/>
          <w:color w:val="0000FF"/>
          <w:lang w:val="en"/>
        </w:rPr>
        <w:t>Federal Information Processing Standard Publication</w:t>
      </w:r>
      <w:r w:rsidRPr="00673F1F">
        <w:rPr>
          <w:rFonts w:eastAsia="Calibri" w:cstheme="minorHAnsi"/>
          <w:color w:val="0000FF"/>
        </w:rPr>
        <w:t xml:space="preserve"> (FIPS) codes,</w:t>
      </w:r>
      <w:r w:rsidRPr="00673F1F">
        <w:rPr>
          <w:rStyle w:val="FootnoteReference"/>
          <w:color w:val="0000FF"/>
        </w:rPr>
        <w:footnoteReference w:id="1"/>
      </w:r>
      <w:r w:rsidRPr="00673F1F">
        <w:rPr>
          <w:rFonts w:eastAsia="Calibri" w:cstheme="minorHAnsi"/>
          <w:color w:val="0000FF"/>
        </w:rPr>
        <w:t xml:space="preserve"> then cross-walking FIPS codes to Rural-Urban Commuting Area Codes (RUCA_2013).</w:t>
      </w:r>
      <w:r w:rsidRPr="00673F1F">
        <w:rPr>
          <w:rStyle w:val="FootnoteReference"/>
          <w:color w:val="0000FF"/>
        </w:rPr>
        <w:footnoteReference w:id="2"/>
      </w:r>
      <w:r w:rsidRPr="00673F1F">
        <w:rPr>
          <w:rFonts w:eastAsia="Calibri" w:cstheme="minorHAnsi"/>
          <w:color w:val="0000FF"/>
        </w:rPr>
        <w:t xml:space="preserve"> Socioeconomic status was determined using the Agency of Healthcare Research and Quality’s SES Index</w:t>
      </w:r>
      <w:r w:rsidRPr="00673F1F">
        <w:rPr>
          <w:rStyle w:val="FootnoteReference"/>
          <w:color w:val="0000FF"/>
        </w:rPr>
        <w:footnoteReference w:id="3"/>
      </w:r>
      <w:r w:rsidRPr="00673F1F">
        <w:rPr>
          <w:rFonts w:eastAsia="Calibri" w:cstheme="minorHAnsi"/>
          <w:color w:val="0000FF"/>
        </w:rPr>
        <w:t xml:space="preserve"> </w:t>
      </w:r>
      <w:r w:rsidRPr="00673F1F">
        <w:rPr>
          <w:color w:val="0000FF"/>
        </w:rPr>
        <w:t xml:space="preserve">calculated based on </w:t>
      </w:r>
      <w:r>
        <w:rPr>
          <w:color w:val="0000FF"/>
        </w:rPr>
        <w:t>the patient’s</w:t>
      </w:r>
      <w:r w:rsidRPr="00673F1F">
        <w:rPr>
          <w:color w:val="0000FF"/>
        </w:rPr>
        <w:t xml:space="preserve"> residence ZIP Code Tabulation Area (ZCTA).</w:t>
      </w:r>
      <w:r w:rsidRPr="00673F1F">
        <w:rPr>
          <w:rFonts w:ascii="Arial" w:hAnsi="Arial" w:cs="Arial"/>
          <w:color w:val="0000FF"/>
          <w:sz w:val="24"/>
          <w:szCs w:val="24"/>
          <w:shd w:val="clear" w:color="auto" w:fill="FFFFFF"/>
        </w:rPr>
        <w:t xml:space="preserve"> </w:t>
      </w:r>
      <w:r w:rsidRPr="00673F1F">
        <w:rPr>
          <w:color w:val="0000FF"/>
        </w:rPr>
        <w:t>ZCTA was found by cross-walking the beneficiary residence ZIP code with ZCTA.</w:t>
      </w:r>
      <w:r w:rsidRPr="00673F1F">
        <w:rPr>
          <w:rFonts w:eastAsia="Calibri" w:cstheme="minorHAnsi"/>
          <w:color w:val="0000FF"/>
        </w:rPr>
        <w:t xml:space="preserve"> We used data from the 2016 American Community Survey (5-year file) to calculate AHRQ SES Index, with higher values indicating higher SES. </w:t>
      </w:r>
    </w:p>
    <w:bookmarkEnd w:id="20"/>
    <w:p w14:paraId="354469BE" w14:textId="77777777" w:rsidR="0055031C" w:rsidRDefault="0055031C"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026D7DF"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1D244291" w:rsidR="008C54A9" w:rsidRDefault="008C54A9" w:rsidP="008C54A9">
      <w:pPr>
        <w:autoSpaceDE w:val="0"/>
        <w:autoSpaceDN w:val="0"/>
        <w:adjustRightInd w:val="0"/>
        <w:spacing w:after="0" w:line="240" w:lineRule="auto"/>
        <w:rPr>
          <w:rFonts w:cstheme="minorHAnsi"/>
          <w:bCs/>
        </w:rPr>
      </w:pPr>
    </w:p>
    <w:p w14:paraId="6AA8725E" w14:textId="6B57D346" w:rsidR="0064525F" w:rsidRPr="00DD208F" w:rsidRDefault="0064525F" w:rsidP="0064525F">
      <w:pPr>
        <w:autoSpaceDE w:val="0"/>
        <w:autoSpaceDN w:val="0"/>
        <w:adjustRightInd w:val="0"/>
        <w:spacing w:after="0" w:line="240" w:lineRule="auto"/>
        <w:rPr>
          <w:rFonts w:cstheme="minorHAnsi"/>
          <w:bCs/>
          <w:color w:val="0000FF"/>
        </w:rPr>
      </w:pPr>
      <w:r w:rsidRPr="00DD208F">
        <w:rPr>
          <w:rFonts w:cstheme="minorHAnsi"/>
          <w:bCs/>
          <w:color w:val="0000FF"/>
        </w:rPr>
        <w:t>We report testing results throughout this document for data elements, the mobility scale/instrument and the computed performance measure score. To assist the reader in understanding the testing analysis and results, we begin by providing a brief overview of these components of the performance measure:</w:t>
      </w:r>
    </w:p>
    <w:p w14:paraId="5B387748" w14:textId="62E2B148" w:rsidR="0064525F" w:rsidRPr="00DD208F" w:rsidRDefault="0064525F" w:rsidP="0064525F">
      <w:pPr>
        <w:pStyle w:val="ListParagraph"/>
        <w:numPr>
          <w:ilvl w:val="0"/>
          <w:numId w:val="39"/>
        </w:numPr>
        <w:autoSpaceDE w:val="0"/>
        <w:autoSpaceDN w:val="0"/>
        <w:adjustRightInd w:val="0"/>
        <w:spacing w:after="0" w:line="240" w:lineRule="auto"/>
        <w:rPr>
          <w:rFonts w:cstheme="minorHAnsi"/>
          <w:b/>
          <w:bCs/>
          <w:color w:val="0000FF"/>
        </w:rPr>
      </w:pPr>
      <w:r w:rsidRPr="00DD208F">
        <w:rPr>
          <w:rFonts w:cstheme="minorHAnsi"/>
          <w:b/>
          <w:bCs/>
          <w:color w:val="0000FF"/>
        </w:rPr>
        <w:t>Mobility Data Elements:</w:t>
      </w:r>
    </w:p>
    <w:p w14:paraId="444926E3" w14:textId="59A0BB2B"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There are 15 mobility data elements, which are included in IRF-PAI Section GG. In addition, 2 wheelchair data elements are used for patients who do not walk</w:t>
      </w:r>
      <w:r w:rsidR="009C571E" w:rsidRPr="00DD208F">
        <w:rPr>
          <w:rFonts w:cstheme="minorHAnsi"/>
          <w:bCs/>
          <w:color w:val="0000FF"/>
        </w:rPr>
        <w:t xml:space="preserve"> as part of the recoding approach</w:t>
      </w:r>
      <w:r w:rsidRPr="00DD208F">
        <w:rPr>
          <w:rFonts w:cstheme="minorHAnsi"/>
          <w:bCs/>
          <w:color w:val="0000FF"/>
        </w:rPr>
        <w:t xml:space="preserve">. Depending on the context, we sometimes refer to these data elements as “items” or “activities.” </w:t>
      </w:r>
    </w:p>
    <w:p w14:paraId="4565BD76" w14:textId="78F39AEC"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The mobility data are collected at the time of admission and discharge using a 6-level rating scale (01 to 06), or activity not attempted codes if, for example, the activity was not attempted due to medical or safety concerns.</w:t>
      </w:r>
    </w:p>
    <w:p w14:paraId="6B224064" w14:textId="77777777"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lastRenderedPageBreak/>
        <w:t>Higher scores indicate higher ability (i.e., more independence)</w:t>
      </w:r>
    </w:p>
    <w:p w14:paraId="1C0D2515" w14:textId="77777777"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For the performance measure calculation, data element activity not attempted codes and missing data are recoded to 01.  </w:t>
      </w:r>
    </w:p>
    <w:p w14:paraId="3F5447B5" w14:textId="64FD8880" w:rsidR="00C1137E" w:rsidRPr="00DD208F" w:rsidRDefault="00C1137E" w:rsidP="00C1137E">
      <w:pPr>
        <w:pStyle w:val="ListParagraph"/>
        <w:numPr>
          <w:ilvl w:val="0"/>
          <w:numId w:val="39"/>
        </w:numPr>
        <w:autoSpaceDE w:val="0"/>
        <w:autoSpaceDN w:val="0"/>
        <w:adjustRightInd w:val="0"/>
        <w:spacing w:after="0" w:line="240" w:lineRule="auto"/>
        <w:rPr>
          <w:rFonts w:cstheme="minorHAnsi"/>
          <w:b/>
          <w:bCs/>
          <w:color w:val="0000FF"/>
        </w:rPr>
      </w:pPr>
      <w:r w:rsidRPr="00DD208F">
        <w:rPr>
          <w:rFonts w:cstheme="minorHAnsi"/>
          <w:b/>
          <w:bCs/>
          <w:color w:val="0000FF"/>
        </w:rPr>
        <w:t>Admission and Discharge Mobility Scores (Scale/Instrument)</w:t>
      </w:r>
    </w:p>
    <w:p w14:paraId="1F4FC39F" w14:textId="62615C5D"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An admission mobility scale score is created by summing the 15 mobility data element scores, after re-coding. The admission mobility score can range from 15 to 90 mobility units.</w:t>
      </w:r>
    </w:p>
    <w:p w14:paraId="52106E92" w14:textId="0B81F27E"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A discharge </w:t>
      </w:r>
      <w:r w:rsidR="009C571E" w:rsidRPr="00DD208F">
        <w:rPr>
          <w:rFonts w:cstheme="minorHAnsi"/>
          <w:bCs/>
          <w:color w:val="0000FF"/>
        </w:rPr>
        <w:t>mobility</w:t>
      </w:r>
      <w:r w:rsidRPr="00DD208F">
        <w:rPr>
          <w:rFonts w:cstheme="minorHAnsi"/>
          <w:bCs/>
          <w:color w:val="0000FF"/>
        </w:rPr>
        <w:t xml:space="preserve"> scale score is created by summing the </w:t>
      </w:r>
      <w:r w:rsidR="009C571E" w:rsidRPr="00DD208F">
        <w:rPr>
          <w:rFonts w:cstheme="minorHAnsi"/>
          <w:bCs/>
          <w:color w:val="0000FF"/>
        </w:rPr>
        <w:t>15</w:t>
      </w:r>
      <w:r w:rsidRPr="00DD208F">
        <w:rPr>
          <w:rFonts w:cstheme="minorHAnsi"/>
          <w:bCs/>
          <w:color w:val="0000FF"/>
        </w:rPr>
        <w:t xml:space="preserve"> </w:t>
      </w:r>
      <w:r w:rsidR="009C571E" w:rsidRPr="00DD208F">
        <w:rPr>
          <w:rFonts w:cstheme="minorHAnsi"/>
          <w:bCs/>
          <w:color w:val="0000FF"/>
        </w:rPr>
        <w:t xml:space="preserve">mobility </w:t>
      </w:r>
      <w:r w:rsidRPr="00DD208F">
        <w:rPr>
          <w:rFonts w:cstheme="minorHAnsi"/>
          <w:bCs/>
          <w:color w:val="0000FF"/>
        </w:rPr>
        <w:t xml:space="preserve">data element scores, after re-coding. The range of the discharge </w:t>
      </w:r>
      <w:r w:rsidR="009C571E" w:rsidRPr="00DD208F">
        <w:rPr>
          <w:rFonts w:cstheme="minorHAnsi"/>
          <w:bCs/>
          <w:color w:val="0000FF"/>
        </w:rPr>
        <w:t>mobility</w:t>
      </w:r>
      <w:r w:rsidRPr="00DD208F">
        <w:rPr>
          <w:rFonts w:cstheme="minorHAnsi"/>
          <w:bCs/>
          <w:color w:val="0000FF"/>
        </w:rPr>
        <w:t xml:space="preserve"> score is </w:t>
      </w:r>
      <w:r w:rsidR="009C571E" w:rsidRPr="00DD208F">
        <w:rPr>
          <w:rFonts w:cstheme="minorHAnsi"/>
          <w:bCs/>
          <w:color w:val="0000FF"/>
        </w:rPr>
        <w:t>15</w:t>
      </w:r>
      <w:r w:rsidRPr="00DD208F">
        <w:rPr>
          <w:rFonts w:cstheme="minorHAnsi"/>
          <w:bCs/>
          <w:color w:val="0000FF"/>
        </w:rPr>
        <w:t xml:space="preserve"> to </w:t>
      </w:r>
      <w:r w:rsidR="009C571E" w:rsidRPr="00DD208F">
        <w:rPr>
          <w:rFonts w:cstheme="minorHAnsi"/>
          <w:bCs/>
          <w:color w:val="0000FF"/>
        </w:rPr>
        <w:t>90 mobility</w:t>
      </w:r>
      <w:r w:rsidRPr="00DD208F">
        <w:rPr>
          <w:rFonts w:cstheme="minorHAnsi"/>
          <w:bCs/>
          <w:color w:val="0000FF"/>
        </w:rPr>
        <w:t xml:space="preserve"> units.</w:t>
      </w:r>
    </w:p>
    <w:p w14:paraId="5B6EBFA3" w14:textId="63A71150"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For the Admission and Discharge </w:t>
      </w:r>
      <w:r w:rsidR="009C571E" w:rsidRPr="00DD208F">
        <w:rPr>
          <w:rFonts w:cstheme="minorHAnsi"/>
          <w:bCs/>
          <w:color w:val="0000FF"/>
        </w:rPr>
        <w:t xml:space="preserve">Mobility </w:t>
      </w:r>
      <w:r w:rsidRPr="00DD208F">
        <w:rPr>
          <w:rFonts w:cstheme="minorHAnsi"/>
          <w:bCs/>
          <w:color w:val="0000FF"/>
        </w:rPr>
        <w:t xml:space="preserve">Scores, a score of </w:t>
      </w:r>
      <w:r w:rsidR="009C571E" w:rsidRPr="00DD208F">
        <w:rPr>
          <w:rFonts w:cstheme="minorHAnsi"/>
          <w:bCs/>
          <w:color w:val="0000FF"/>
        </w:rPr>
        <w:t>15</w:t>
      </w:r>
      <w:r w:rsidRPr="00DD208F">
        <w:rPr>
          <w:rFonts w:cstheme="minorHAnsi"/>
          <w:bCs/>
          <w:color w:val="0000FF"/>
        </w:rPr>
        <w:t xml:space="preserve"> indicates the patient is dependent on a helper to perform all </w:t>
      </w:r>
      <w:r w:rsidR="009C571E" w:rsidRPr="00DD208F">
        <w:rPr>
          <w:rFonts w:cstheme="minorHAnsi"/>
          <w:bCs/>
          <w:color w:val="0000FF"/>
        </w:rPr>
        <w:t xml:space="preserve">15 mobility </w:t>
      </w:r>
      <w:r w:rsidRPr="00DD208F">
        <w:rPr>
          <w:rFonts w:cstheme="minorHAnsi"/>
          <w:bCs/>
          <w:color w:val="0000FF"/>
        </w:rPr>
        <w:t xml:space="preserve">activities (i.e., data elements) and a score of </w:t>
      </w:r>
      <w:r w:rsidR="009C571E" w:rsidRPr="00DD208F">
        <w:rPr>
          <w:rFonts w:cstheme="minorHAnsi"/>
          <w:bCs/>
          <w:color w:val="0000FF"/>
        </w:rPr>
        <w:t>90</w:t>
      </w:r>
      <w:r w:rsidRPr="00DD208F">
        <w:rPr>
          <w:rFonts w:cstheme="minorHAnsi"/>
          <w:bCs/>
          <w:color w:val="0000FF"/>
        </w:rPr>
        <w:t xml:space="preserve"> means the patient is independent on all </w:t>
      </w:r>
      <w:r w:rsidR="009C571E" w:rsidRPr="00DD208F">
        <w:rPr>
          <w:rFonts w:cstheme="minorHAnsi"/>
          <w:bCs/>
          <w:color w:val="0000FF"/>
        </w:rPr>
        <w:t>15 mobility</w:t>
      </w:r>
      <w:r w:rsidRPr="00DD208F">
        <w:rPr>
          <w:rFonts w:cstheme="minorHAnsi"/>
          <w:bCs/>
          <w:color w:val="0000FF"/>
        </w:rPr>
        <w:t xml:space="preserve"> activities.</w:t>
      </w:r>
    </w:p>
    <w:p w14:paraId="42BABFEF" w14:textId="28B611BB" w:rsidR="00C1137E" w:rsidRPr="00DD208F" w:rsidRDefault="00C1137E" w:rsidP="00C1137E">
      <w:pPr>
        <w:pStyle w:val="ListParagraph"/>
        <w:numPr>
          <w:ilvl w:val="0"/>
          <w:numId w:val="39"/>
        </w:numPr>
        <w:autoSpaceDE w:val="0"/>
        <w:autoSpaceDN w:val="0"/>
        <w:adjustRightInd w:val="0"/>
        <w:spacing w:after="0" w:line="240" w:lineRule="auto"/>
        <w:rPr>
          <w:rFonts w:cstheme="minorHAnsi"/>
          <w:b/>
          <w:bCs/>
          <w:color w:val="0000FF"/>
        </w:rPr>
      </w:pPr>
      <w:r w:rsidRPr="00DD208F">
        <w:rPr>
          <w:rFonts w:cstheme="minorHAnsi"/>
          <w:b/>
          <w:bCs/>
          <w:color w:val="0000FF"/>
        </w:rPr>
        <w:t xml:space="preserve">Observed Change in </w:t>
      </w:r>
      <w:r w:rsidR="009C571E" w:rsidRPr="00DD208F">
        <w:rPr>
          <w:rFonts w:cstheme="minorHAnsi"/>
          <w:b/>
          <w:bCs/>
          <w:color w:val="0000FF"/>
        </w:rPr>
        <w:t>Mobility</w:t>
      </w:r>
      <w:r w:rsidRPr="00DD208F">
        <w:rPr>
          <w:rFonts w:cstheme="minorHAnsi"/>
          <w:b/>
          <w:bCs/>
          <w:color w:val="0000FF"/>
        </w:rPr>
        <w:t xml:space="preserve"> </w:t>
      </w:r>
    </w:p>
    <w:p w14:paraId="116206FF" w14:textId="1A4FF9BE"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An observed change in </w:t>
      </w:r>
      <w:r w:rsidR="009C571E" w:rsidRPr="00DD208F">
        <w:rPr>
          <w:rFonts w:cstheme="minorHAnsi"/>
          <w:bCs/>
          <w:color w:val="0000FF"/>
        </w:rPr>
        <w:t>Mobility</w:t>
      </w:r>
      <w:r w:rsidRPr="00DD208F">
        <w:rPr>
          <w:rFonts w:cstheme="minorHAnsi"/>
          <w:bCs/>
          <w:color w:val="0000FF"/>
        </w:rPr>
        <w:t xml:space="preserve"> score is calculated by subtracting the observed (unadjusted) Discharge </w:t>
      </w:r>
      <w:r w:rsidR="009C571E" w:rsidRPr="00DD208F">
        <w:rPr>
          <w:rFonts w:cstheme="minorHAnsi"/>
          <w:bCs/>
          <w:color w:val="0000FF"/>
        </w:rPr>
        <w:t>Mobility</w:t>
      </w:r>
      <w:r w:rsidRPr="00DD208F">
        <w:rPr>
          <w:rFonts w:cstheme="minorHAnsi"/>
          <w:bCs/>
          <w:color w:val="0000FF"/>
        </w:rPr>
        <w:t xml:space="preserve"> Score from the observed (unadjusted) Admission </w:t>
      </w:r>
      <w:r w:rsidR="009C571E" w:rsidRPr="00DD208F">
        <w:rPr>
          <w:rFonts w:cstheme="minorHAnsi"/>
          <w:bCs/>
          <w:color w:val="0000FF"/>
        </w:rPr>
        <w:t xml:space="preserve">Mobility </w:t>
      </w:r>
      <w:r w:rsidRPr="00DD208F">
        <w:rPr>
          <w:rFonts w:cstheme="minorHAnsi"/>
          <w:bCs/>
          <w:color w:val="0000FF"/>
        </w:rPr>
        <w:t xml:space="preserve">Score. </w:t>
      </w:r>
    </w:p>
    <w:p w14:paraId="78B32FF0" w14:textId="172377D3"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The potential range of the Observed Change in </w:t>
      </w:r>
      <w:r w:rsidR="009C571E" w:rsidRPr="00DD208F">
        <w:rPr>
          <w:rFonts w:cstheme="minorHAnsi"/>
          <w:bCs/>
          <w:color w:val="0000FF"/>
        </w:rPr>
        <w:t xml:space="preserve">Mobility </w:t>
      </w:r>
      <w:r w:rsidRPr="00DD208F">
        <w:rPr>
          <w:rFonts w:cstheme="minorHAnsi"/>
          <w:bCs/>
          <w:color w:val="0000FF"/>
        </w:rPr>
        <w:t>Scores is -</w:t>
      </w:r>
      <w:r w:rsidR="009C571E" w:rsidRPr="00DD208F">
        <w:rPr>
          <w:rFonts w:cstheme="minorHAnsi"/>
          <w:bCs/>
          <w:color w:val="0000FF"/>
        </w:rPr>
        <w:t>75</w:t>
      </w:r>
      <w:r w:rsidRPr="00DD208F">
        <w:rPr>
          <w:rFonts w:cstheme="minorHAnsi"/>
          <w:bCs/>
          <w:color w:val="0000FF"/>
        </w:rPr>
        <w:t xml:space="preserve"> to +</w:t>
      </w:r>
      <w:r w:rsidR="009C571E" w:rsidRPr="00DD208F">
        <w:rPr>
          <w:rFonts w:cstheme="minorHAnsi"/>
          <w:bCs/>
          <w:color w:val="0000FF"/>
        </w:rPr>
        <w:t>75</w:t>
      </w:r>
      <w:r w:rsidRPr="00DD208F">
        <w:rPr>
          <w:rFonts w:cstheme="minorHAnsi"/>
          <w:bCs/>
          <w:color w:val="0000FF"/>
        </w:rPr>
        <w:t xml:space="preserve">. Most patients are expected to have improved </w:t>
      </w:r>
      <w:r w:rsidR="009C571E" w:rsidRPr="00DD208F">
        <w:rPr>
          <w:rFonts w:cstheme="minorHAnsi"/>
          <w:bCs/>
          <w:color w:val="0000FF"/>
        </w:rPr>
        <w:t>mobility</w:t>
      </w:r>
      <w:r w:rsidRPr="00DD208F">
        <w:rPr>
          <w:rFonts w:cstheme="minorHAnsi"/>
          <w:bCs/>
          <w:color w:val="0000FF"/>
        </w:rPr>
        <w:t xml:space="preserve"> abilities, and thus we observe mostly positive values.</w:t>
      </w:r>
    </w:p>
    <w:p w14:paraId="0D42F916" w14:textId="73926ADE" w:rsidR="00C1137E" w:rsidRPr="00DD208F" w:rsidRDefault="00C1137E" w:rsidP="00C1137E">
      <w:pPr>
        <w:pStyle w:val="ListParagraph"/>
        <w:numPr>
          <w:ilvl w:val="0"/>
          <w:numId w:val="39"/>
        </w:numPr>
        <w:autoSpaceDE w:val="0"/>
        <w:autoSpaceDN w:val="0"/>
        <w:adjustRightInd w:val="0"/>
        <w:spacing w:after="0" w:line="240" w:lineRule="auto"/>
        <w:rPr>
          <w:rFonts w:cstheme="minorHAnsi"/>
          <w:b/>
          <w:bCs/>
          <w:color w:val="0000FF"/>
        </w:rPr>
      </w:pPr>
      <w:r w:rsidRPr="00DD208F">
        <w:rPr>
          <w:rFonts w:cstheme="minorHAnsi"/>
          <w:b/>
          <w:bCs/>
          <w:color w:val="0000FF"/>
        </w:rPr>
        <w:t xml:space="preserve">Calculated Performance Measure Score: Risk-Adjusted Change in </w:t>
      </w:r>
      <w:r w:rsidR="009C571E" w:rsidRPr="00DD208F">
        <w:rPr>
          <w:rFonts w:cstheme="minorHAnsi"/>
          <w:b/>
          <w:bCs/>
          <w:color w:val="0000FF"/>
        </w:rPr>
        <w:t>Mobility</w:t>
      </w:r>
      <w:r w:rsidRPr="00DD208F">
        <w:rPr>
          <w:rFonts w:cstheme="minorHAnsi"/>
          <w:b/>
          <w:bCs/>
          <w:color w:val="0000FF"/>
        </w:rPr>
        <w:t xml:space="preserve"> Score</w:t>
      </w:r>
    </w:p>
    <w:p w14:paraId="5D5A6DDF" w14:textId="207DB00C"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The calculated performance measure score is a risk-adjusted Change in </w:t>
      </w:r>
      <w:r w:rsidR="00246D05" w:rsidRPr="00DD208F">
        <w:rPr>
          <w:rFonts w:cstheme="minorHAnsi"/>
          <w:bCs/>
          <w:color w:val="0000FF"/>
        </w:rPr>
        <w:t xml:space="preserve">Mobility </w:t>
      </w:r>
      <w:r w:rsidRPr="00DD208F">
        <w:rPr>
          <w:rFonts w:cstheme="minorHAnsi"/>
          <w:bCs/>
          <w:color w:val="0000FF"/>
        </w:rPr>
        <w:t>Score.  The risk-adjustment procedure is described in S.14. Calculation Algorithm/Measure Logic on the NQF Intent to Submit form and the attached file “</w:t>
      </w:r>
      <w:r w:rsidR="007B1565" w:rsidRPr="00DD208F">
        <w:rPr>
          <w:rFonts w:cstheme="minorHAnsi"/>
          <w:bCs/>
          <w:color w:val="0000FF"/>
        </w:rPr>
        <w:t>IRF_Detailed_Function_QM_Specifications_2634_01-07-2019.docx”.</w:t>
      </w:r>
    </w:p>
    <w:p w14:paraId="7135FCA5" w14:textId="6FBF51D0" w:rsidR="00C1137E" w:rsidRPr="00DD208F" w:rsidRDefault="00C1137E" w:rsidP="00C1137E">
      <w:pPr>
        <w:pStyle w:val="ListParagraph"/>
        <w:numPr>
          <w:ilvl w:val="1"/>
          <w:numId w:val="39"/>
        </w:numPr>
        <w:autoSpaceDE w:val="0"/>
        <w:autoSpaceDN w:val="0"/>
        <w:adjustRightInd w:val="0"/>
        <w:spacing w:after="0" w:line="240" w:lineRule="auto"/>
        <w:rPr>
          <w:rFonts w:cstheme="minorHAnsi"/>
          <w:bCs/>
          <w:color w:val="0000FF"/>
        </w:rPr>
      </w:pPr>
      <w:r w:rsidRPr="00DD208F">
        <w:rPr>
          <w:rFonts w:cstheme="minorHAnsi"/>
          <w:bCs/>
          <w:color w:val="0000FF"/>
        </w:rPr>
        <w:t xml:space="preserve">This performance measure estimates the risk-adjusted mean change in </w:t>
      </w:r>
      <w:r w:rsidR="00246D05" w:rsidRPr="00DD208F">
        <w:rPr>
          <w:rFonts w:cstheme="minorHAnsi"/>
          <w:bCs/>
          <w:color w:val="0000FF"/>
        </w:rPr>
        <w:t>mobility</w:t>
      </w:r>
      <w:r w:rsidRPr="00DD208F">
        <w:rPr>
          <w:rFonts w:cstheme="minorHAnsi"/>
          <w:bCs/>
          <w:color w:val="0000FF"/>
        </w:rPr>
        <w:t xml:space="preserve"> score between admission and discharge for IRF patients. This performance measure does not have a simple form for the numerator and denominator.</w:t>
      </w:r>
    </w:p>
    <w:p w14:paraId="26892FCC" w14:textId="77777777" w:rsidR="0064525F" w:rsidRDefault="0064525F" w:rsidP="008959CB">
      <w:pPr>
        <w:autoSpaceDE w:val="0"/>
        <w:autoSpaceDN w:val="0"/>
        <w:adjustRightInd w:val="0"/>
        <w:spacing w:after="0" w:line="240" w:lineRule="auto"/>
        <w:rPr>
          <w:rFonts w:ascii="Calibri" w:eastAsia="Calibri" w:hAnsi="Calibri" w:cs="Times New Roman"/>
          <w:b/>
          <w:color w:val="0000FF"/>
        </w:rPr>
      </w:pPr>
    </w:p>
    <w:p w14:paraId="772BB110" w14:textId="06BC2A67" w:rsidR="008959CB" w:rsidRPr="002C1409" w:rsidRDefault="003F64B8" w:rsidP="008959CB">
      <w:pPr>
        <w:autoSpaceDE w:val="0"/>
        <w:autoSpaceDN w:val="0"/>
        <w:adjustRightInd w:val="0"/>
        <w:spacing w:after="0" w:line="240" w:lineRule="auto"/>
        <w:rPr>
          <w:rFonts w:ascii="Calibri" w:eastAsia="Calibri" w:hAnsi="Calibri" w:cs="Times New Roman"/>
          <w:color w:val="0000FF"/>
        </w:rPr>
      </w:pPr>
      <w:r>
        <w:rPr>
          <w:rFonts w:ascii="Calibri" w:eastAsia="Calibri" w:hAnsi="Calibri" w:cs="Times New Roman"/>
          <w:b/>
          <w:color w:val="0000FF"/>
        </w:rPr>
        <w:t xml:space="preserve">Computed Performance </w:t>
      </w:r>
      <w:r w:rsidR="008959CB">
        <w:rPr>
          <w:rFonts w:ascii="Calibri" w:eastAsia="Calibri" w:hAnsi="Calibri" w:cs="Times New Roman"/>
          <w:b/>
          <w:color w:val="0000FF"/>
        </w:rPr>
        <w:t>Measure Score Reliability – Split-half Reliability</w:t>
      </w:r>
      <w:r>
        <w:rPr>
          <w:rFonts w:ascii="Calibri" w:eastAsia="Calibri" w:hAnsi="Calibri" w:cs="Times New Roman"/>
          <w:b/>
          <w:color w:val="0000FF"/>
        </w:rPr>
        <w:t xml:space="preserve"> (unit of analysis is providers)</w:t>
      </w:r>
      <w:r w:rsidR="008959CB">
        <w:rPr>
          <w:rFonts w:ascii="Calibri" w:eastAsia="Calibri" w:hAnsi="Calibri" w:cs="Times New Roman"/>
          <w:b/>
          <w:color w:val="0000FF"/>
        </w:rPr>
        <w:t xml:space="preserve">: </w:t>
      </w:r>
      <w:r w:rsidR="008959CB">
        <w:rPr>
          <w:rFonts w:ascii="Calibri" w:eastAsia="Calibri" w:hAnsi="Calibri" w:cs="Times New Roman"/>
          <w:color w:val="0000FF"/>
        </w:rPr>
        <w:t xml:space="preserve">Split-half reliability was used to examine the reliability of the </w:t>
      </w:r>
      <w:r>
        <w:rPr>
          <w:rFonts w:ascii="Calibri" w:eastAsia="Calibri" w:hAnsi="Calibri" w:cs="Times New Roman"/>
          <w:color w:val="0000FF"/>
        </w:rPr>
        <w:t xml:space="preserve">computed performance </w:t>
      </w:r>
      <w:r w:rsidR="008959CB">
        <w:rPr>
          <w:rFonts w:ascii="Calibri" w:eastAsia="Calibri" w:hAnsi="Calibri" w:cs="Times New Roman"/>
          <w:color w:val="0000FF"/>
        </w:rPr>
        <w:t>measure</w:t>
      </w:r>
      <w:r>
        <w:rPr>
          <w:rFonts w:ascii="Calibri" w:eastAsia="Calibri" w:hAnsi="Calibri" w:cs="Times New Roman"/>
          <w:color w:val="0000FF"/>
        </w:rPr>
        <w:t xml:space="preserve"> scores</w:t>
      </w:r>
      <w:r w:rsidR="008959CB">
        <w:rPr>
          <w:rFonts w:ascii="Calibri" w:eastAsia="Calibri" w:hAnsi="Calibri" w:cs="Times New Roman"/>
          <w:color w:val="0000FF"/>
        </w:rPr>
        <w:t xml:space="preserve">. </w:t>
      </w:r>
      <w:r w:rsidR="0003180A">
        <w:rPr>
          <w:rFonts w:ascii="Calibri" w:eastAsia="Calibri" w:hAnsi="Calibri" w:cs="Times New Roman"/>
          <w:color w:val="0000FF"/>
        </w:rPr>
        <w:t xml:space="preserve">The computed performance measure scores are the risk-adjusted change in mobility scores. </w:t>
      </w:r>
      <w:r w:rsidR="00E94725">
        <w:rPr>
          <w:rFonts w:ascii="Calibri" w:eastAsia="Calibri" w:hAnsi="Calibri" w:cs="Times New Roman"/>
          <w:color w:val="0000FF"/>
        </w:rPr>
        <w:t xml:space="preserve">For IRFs with fewer than 20 patient stays, computed performance measure scores are not displayed to the public, therefore, we included facilities with 20 or more stays in this analysis. </w:t>
      </w:r>
      <w:r w:rsidR="008959CB" w:rsidRPr="002C1409">
        <w:rPr>
          <w:rFonts w:ascii="Calibri" w:eastAsia="Calibri" w:hAnsi="Calibri" w:cs="Times New Roman"/>
          <w:color w:val="0000FF"/>
        </w:rPr>
        <w:t xml:space="preserve">We conducted </w:t>
      </w:r>
      <w:r w:rsidR="008959CB">
        <w:rPr>
          <w:rFonts w:ascii="Calibri" w:eastAsia="Calibri" w:hAnsi="Calibri" w:cs="Times New Roman"/>
          <w:color w:val="0000FF"/>
        </w:rPr>
        <w:t xml:space="preserve">split-half reliability by randomly splitting each provider’s patient stays into two groups and calculating correlations between the </w:t>
      </w:r>
      <w:r w:rsidR="001A6EB9">
        <w:rPr>
          <w:rFonts w:ascii="Calibri" w:eastAsia="Calibri" w:hAnsi="Calibri" w:cs="Times New Roman"/>
          <w:color w:val="0000FF"/>
        </w:rPr>
        <w:t>computed performance</w:t>
      </w:r>
      <w:r w:rsidR="008959CB">
        <w:rPr>
          <w:rFonts w:ascii="Calibri" w:eastAsia="Calibri" w:hAnsi="Calibri" w:cs="Times New Roman"/>
          <w:color w:val="0000FF"/>
        </w:rPr>
        <w:t xml:space="preserve"> measure scores of the randomly divided groups. </w:t>
      </w:r>
      <w:r w:rsidR="008959CB" w:rsidRPr="002C1409">
        <w:rPr>
          <w:rFonts w:ascii="Calibri" w:eastAsia="Calibri" w:hAnsi="Calibri" w:cs="Times New Roman"/>
          <w:color w:val="0000FF"/>
        </w:rPr>
        <w:t>When</w:t>
      </w:r>
      <w:r w:rsidR="008959CB">
        <w:rPr>
          <w:rFonts w:ascii="Calibri" w:eastAsia="Calibri" w:hAnsi="Calibri" w:cs="Times New Roman"/>
          <w:color w:val="0000FF"/>
        </w:rPr>
        <w:t xml:space="preserve"> a provider’s data, after being randomly divided into two groups, show similar scores to one another, the </w:t>
      </w:r>
      <w:r w:rsidR="00745539">
        <w:rPr>
          <w:rFonts w:ascii="Calibri" w:eastAsia="Calibri" w:hAnsi="Calibri" w:cs="Times New Roman"/>
          <w:color w:val="0000FF"/>
        </w:rPr>
        <w:t>performance measure</w:t>
      </w:r>
      <w:r w:rsidR="008959CB">
        <w:rPr>
          <w:rFonts w:ascii="Calibri" w:eastAsia="Calibri" w:hAnsi="Calibri" w:cs="Times New Roman"/>
          <w:color w:val="0000FF"/>
        </w:rPr>
        <w:t xml:space="preserve"> score is more likely to reflect systematic differences in IRF provider quality rather than random variation. </w:t>
      </w:r>
      <w:r w:rsidR="008959CB">
        <w:rPr>
          <w:rFonts w:ascii="Calibri" w:hAnsi="Calibri" w:cs="Calibri"/>
          <w:color w:val="0000FF"/>
        </w:rPr>
        <w:t>The Pearson Product-Moment Correlation (</w:t>
      </w:r>
      <w:r w:rsidR="008959CB">
        <w:rPr>
          <w:rFonts w:ascii="Calibri" w:hAnsi="Calibri" w:cs="Calibri"/>
          <w:i/>
          <w:iCs/>
          <w:color w:val="0000FF"/>
        </w:rPr>
        <w:t>r</w:t>
      </w:r>
      <w:r w:rsidR="008959CB">
        <w:rPr>
          <w:rFonts w:ascii="Calibri" w:hAnsi="Calibri" w:cs="Calibri"/>
          <w:color w:val="0000FF"/>
        </w:rPr>
        <w:t>), Spearman Rank Correlation (</w:t>
      </w:r>
      <w:r w:rsidR="008959CB">
        <w:rPr>
          <w:rFonts w:ascii="Calibri" w:hAnsi="Calibri" w:cs="Calibri"/>
          <w:i/>
          <w:iCs/>
          <w:color w:val="0000FF"/>
        </w:rPr>
        <w:t>ρ)</w:t>
      </w:r>
      <w:r w:rsidR="008959CB">
        <w:rPr>
          <w:rFonts w:ascii="Calibri" w:hAnsi="Calibri" w:cs="Calibri"/>
          <w:color w:val="0000FF"/>
        </w:rPr>
        <w:t>, and Intraclass Correlation Coefficient (ICC) were used to measure internal reliability. </w:t>
      </w:r>
      <w:r w:rsidR="001A6EB9">
        <w:rPr>
          <w:rFonts w:ascii="Calibri" w:eastAsia="Calibri" w:hAnsi="Calibri" w:cs="Times New Roman"/>
          <w:color w:val="0000FF"/>
        </w:rPr>
        <w:t xml:space="preserve">Intraclass correlations were also calculated by facility volume quartile to examine whether there were differences in </w:t>
      </w:r>
      <w:r w:rsidR="00745539">
        <w:rPr>
          <w:rFonts w:ascii="Calibri" w:eastAsia="Calibri" w:hAnsi="Calibri" w:cs="Times New Roman"/>
          <w:color w:val="0000FF"/>
        </w:rPr>
        <w:t>performance measure</w:t>
      </w:r>
      <w:r w:rsidR="001A6EB9">
        <w:rPr>
          <w:rFonts w:ascii="Calibri" w:eastAsia="Calibri" w:hAnsi="Calibri" w:cs="Times New Roman"/>
          <w:color w:val="0000FF"/>
        </w:rPr>
        <w:t xml:space="preserve"> reliability by IRF size</w:t>
      </w:r>
    </w:p>
    <w:p w14:paraId="1074CCB7" w14:textId="6C2D7C3D" w:rsidR="0012575B" w:rsidRDefault="005460E8" w:rsidP="008959CB">
      <w:pPr>
        <w:autoSpaceDE w:val="0"/>
        <w:autoSpaceDN w:val="0"/>
        <w:adjustRightInd w:val="0"/>
        <w:spacing w:before="240" w:after="0" w:line="240" w:lineRule="auto"/>
        <w:rPr>
          <w:rFonts w:ascii="Calibri" w:eastAsia="Calibri" w:hAnsi="Calibri" w:cs="Times New Roman"/>
          <w:color w:val="0000FF"/>
        </w:rPr>
      </w:pPr>
      <w:r>
        <w:rPr>
          <w:rFonts w:ascii="Calibri" w:eastAsia="Times New Roman" w:hAnsi="Calibri" w:cs="Times New Roman"/>
          <w:b/>
          <w:color w:val="0000FF"/>
        </w:rPr>
        <w:t>Mobility</w:t>
      </w:r>
      <w:r w:rsidR="008959CB">
        <w:rPr>
          <w:rFonts w:ascii="Calibri" w:eastAsia="Times New Roman" w:hAnsi="Calibri" w:cs="Times New Roman"/>
          <w:b/>
          <w:color w:val="0000FF"/>
        </w:rPr>
        <w:t xml:space="preserve"> </w:t>
      </w:r>
      <w:r w:rsidR="008959CB" w:rsidRPr="00700D7C">
        <w:rPr>
          <w:rFonts w:ascii="Calibri" w:eastAsia="Times New Roman" w:hAnsi="Calibri" w:cs="Times New Roman"/>
          <w:b/>
          <w:color w:val="0000FF"/>
        </w:rPr>
        <w:t>Scale</w:t>
      </w:r>
      <w:r w:rsidR="001A6EB9">
        <w:rPr>
          <w:rFonts w:ascii="Calibri" w:eastAsia="Times New Roman" w:hAnsi="Calibri" w:cs="Times New Roman"/>
          <w:b/>
          <w:color w:val="0000FF"/>
        </w:rPr>
        <w:t>/Instrument</w:t>
      </w:r>
      <w:r w:rsidR="008959CB" w:rsidRPr="00700D7C">
        <w:rPr>
          <w:rFonts w:ascii="Calibri" w:eastAsia="Times New Roman" w:hAnsi="Calibri" w:cs="Times New Roman"/>
          <w:b/>
          <w:color w:val="0000FF"/>
        </w:rPr>
        <w:t xml:space="preserve"> </w:t>
      </w:r>
      <w:r w:rsidR="008959CB">
        <w:rPr>
          <w:rFonts w:ascii="Calibri" w:eastAsia="Times New Roman" w:hAnsi="Calibri" w:cs="Times New Roman"/>
          <w:b/>
          <w:color w:val="0000FF"/>
        </w:rPr>
        <w:t>Analysis</w:t>
      </w:r>
      <w:r w:rsidR="008959CB" w:rsidRPr="00700D7C">
        <w:rPr>
          <w:rFonts w:ascii="Calibri" w:eastAsia="Times New Roman" w:hAnsi="Calibri" w:cs="Times New Roman"/>
          <w:b/>
          <w:color w:val="0000FF"/>
        </w:rPr>
        <w:t>- Internal Consistency</w:t>
      </w:r>
      <w:r w:rsidR="001A6EB9">
        <w:rPr>
          <w:rFonts w:ascii="Calibri" w:eastAsia="Times New Roman" w:hAnsi="Calibri" w:cs="Times New Roman"/>
          <w:b/>
          <w:color w:val="0000FF"/>
        </w:rPr>
        <w:t xml:space="preserve"> (unit of analysis is patient </w:t>
      </w:r>
      <w:r w:rsidR="0003180A">
        <w:rPr>
          <w:rFonts w:ascii="Calibri" w:eastAsia="Times New Roman" w:hAnsi="Calibri" w:cs="Times New Roman"/>
          <w:b/>
          <w:color w:val="0000FF"/>
        </w:rPr>
        <w:t>assessments</w:t>
      </w:r>
      <w:r w:rsidR="001A6EB9">
        <w:rPr>
          <w:rFonts w:ascii="Calibri" w:eastAsia="Times New Roman" w:hAnsi="Calibri" w:cs="Times New Roman"/>
          <w:b/>
          <w:color w:val="0000FF"/>
        </w:rPr>
        <w:t>)</w:t>
      </w:r>
      <w:r w:rsidR="008959CB" w:rsidRPr="00700D7C">
        <w:rPr>
          <w:rFonts w:ascii="Calibri" w:eastAsia="Times New Roman" w:hAnsi="Calibri" w:cs="Times New Roman"/>
          <w:b/>
          <w:color w:val="0000FF"/>
        </w:rPr>
        <w:t xml:space="preserve">: </w:t>
      </w:r>
      <w:r w:rsidR="008959CB" w:rsidRPr="00700D7C">
        <w:rPr>
          <w:rFonts w:ascii="Calibri" w:eastAsia="Calibri" w:hAnsi="Calibri" w:cs="Times New Roman"/>
          <w:color w:val="0000FF"/>
        </w:rPr>
        <w:t xml:space="preserve">In addition to </w:t>
      </w:r>
      <w:r w:rsidR="0003180A">
        <w:rPr>
          <w:rFonts w:ascii="Calibri" w:eastAsia="Calibri" w:hAnsi="Calibri" w:cs="Times New Roman"/>
          <w:color w:val="0000FF"/>
        </w:rPr>
        <w:t xml:space="preserve">the </w:t>
      </w:r>
      <w:r w:rsidR="008959CB">
        <w:rPr>
          <w:rFonts w:ascii="Calibri" w:eastAsia="Calibri" w:hAnsi="Calibri" w:cs="Times New Roman"/>
          <w:color w:val="0000FF"/>
        </w:rPr>
        <w:t>provider</w:t>
      </w:r>
      <w:r w:rsidR="008959CB" w:rsidRPr="00700D7C">
        <w:rPr>
          <w:rFonts w:ascii="Calibri" w:eastAsia="Calibri" w:hAnsi="Calibri" w:cs="Times New Roman"/>
          <w:color w:val="0000FF"/>
        </w:rPr>
        <w:t>-level reliability testing</w:t>
      </w:r>
      <w:r w:rsidR="001A6EB9">
        <w:rPr>
          <w:rFonts w:ascii="Calibri" w:eastAsia="Calibri" w:hAnsi="Calibri" w:cs="Times New Roman"/>
          <w:color w:val="0000FF"/>
        </w:rPr>
        <w:t xml:space="preserve"> of the computed performance measure scores</w:t>
      </w:r>
      <w:r w:rsidR="0003180A">
        <w:rPr>
          <w:rFonts w:ascii="Calibri" w:eastAsia="Calibri" w:hAnsi="Calibri" w:cs="Times New Roman"/>
          <w:color w:val="0000FF"/>
        </w:rPr>
        <w:t xml:space="preserve"> described above</w:t>
      </w:r>
      <w:r w:rsidR="008959CB" w:rsidRPr="00700D7C">
        <w:rPr>
          <w:rFonts w:ascii="Calibri" w:eastAsia="Calibri" w:hAnsi="Calibri" w:cs="Times New Roman"/>
          <w:color w:val="0000FF"/>
        </w:rPr>
        <w:t xml:space="preserve">, we examined </w:t>
      </w:r>
      <w:r w:rsidR="0003180A">
        <w:rPr>
          <w:rFonts w:ascii="Calibri" w:eastAsia="Calibri" w:hAnsi="Calibri" w:cs="Times New Roman"/>
          <w:color w:val="0000FF"/>
        </w:rPr>
        <w:t xml:space="preserve">the </w:t>
      </w:r>
      <w:r w:rsidR="008959CB" w:rsidRPr="00700D7C">
        <w:rPr>
          <w:rFonts w:ascii="Calibri" w:eastAsia="Calibri" w:hAnsi="Calibri" w:cs="Times New Roman"/>
          <w:color w:val="0000FF"/>
        </w:rPr>
        <w:t>internal consistency</w:t>
      </w:r>
      <w:r w:rsidR="008959CB">
        <w:rPr>
          <w:rFonts w:ascii="Calibri" w:eastAsia="Calibri" w:hAnsi="Calibri" w:cs="Times New Roman"/>
          <w:color w:val="0000FF"/>
        </w:rPr>
        <w:t xml:space="preserve"> of the </w:t>
      </w:r>
      <w:r>
        <w:rPr>
          <w:rFonts w:ascii="Calibri" w:eastAsia="Calibri" w:hAnsi="Calibri" w:cs="Times New Roman"/>
          <w:color w:val="0000FF"/>
        </w:rPr>
        <w:t>mobility</w:t>
      </w:r>
      <w:r w:rsidR="008959CB">
        <w:rPr>
          <w:rFonts w:ascii="Calibri" w:eastAsia="Calibri" w:hAnsi="Calibri" w:cs="Times New Roman"/>
          <w:color w:val="0000FF"/>
        </w:rPr>
        <w:t xml:space="preserve"> scale</w:t>
      </w:r>
      <w:r w:rsidR="001A6EB9">
        <w:rPr>
          <w:rFonts w:ascii="Calibri" w:eastAsia="Calibri" w:hAnsi="Calibri" w:cs="Times New Roman"/>
          <w:color w:val="0000FF"/>
        </w:rPr>
        <w:t>/instrument</w:t>
      </w:r>
      <w:r w:rsidR="0012575B">
        <w:rPr>
          <w:rFonts w:ascii="Calibri" w:eastAsia="Calibri" w:hAnsi="Calibri" w:cs="Times New Roman"/>
          <w:color w:val="0000FF"/>
        </w:rPr>
        <w:t xml:space="preserve"> scores for each patient stay</w:t>
      </w:r>
      <w:r w:rsidR="009B4116">
        <w:rPr>
          <w:rFonts w:ascii="Calibri" w:eastAsia="Calibri" w:hAnsi="Calibri" w:cs="Times New Roman"/>
          <w:color w:val="0000FF"/>
        </w:rPr>
        <w:t xml:space="preserve">. </w:t>
      </w:r>
      <w:r w:rsidR="0012575B">
        <w:rPr>
          <w:rFonts w:ascii="Calibri" w:eastAsia="Calibri" w:hAnsi="Calibri" w:cs="Times New Roman"/>
          <w:color w:val="0000FF"/>
        </w:rPr>
        <w:t xml:space="preserve">Internal consistency </w:t>
      </w:r>
      <w:r w:rsidR="008959CB" w:rsidRPr="00700D7C">
        <w:rPr>
          <w:rFonts w:ascii="Calibri" w:eastAsia="Calibri" w:hAnsi="Calibri" w:cs="Times New Roman"/>
          <w:color w:val="0000FF"/>
        </w:rPr>
        <w:t xml:space="preserve"> provides a general assessment of how well the </w:t>
      </w:r>
      <w:r w:rsidR="001A6EB9">
        <w:rPr>
          <w:rFonts w:ascii="Calibri" w:eastAsia="Calibri" w:hAnsi="Calibri" w:cs="Times New Roman"/>
          <w:color w:val="0000FF"/>
        </w:rPr>
        <w:t>mobility data elements</w:t>
      </w:r>
      <w:r w:rsidR="008959CB" w:rsidRPr="00700D7C">
        <w:rPr>
          <w:rFonts w:ascii="Calibri" w:eastAsia="Calibri" w:hAnsi="Calibri" w:cs="Times New Roman"/>
          <w:color w:val="0000FF"/>
        </w:rPr>
        <w:t xml:space="preserve"> interrelate within </w:t>
      </w:r>
      <w:r w:rsidR="008959CB">
        <w:rPr>
          <w:rFonts w:ascii="Calibri" w:eastAsia="Calibri" w:hAnsi="Calibri" w:cs="Times New Roman"/>
          <w:color w:val="0000FF"/>
        </w:rPr>
        <w:t xml:space="preserve">the </w:t>
      </w:r>
      <w:r>
        <w:rPr>
          <w:rFonts w:ascii="Calibri" w:eastAsia="Calibri" w:hAnsi="Calibri" w:cs="Times New Roman"/>
          <w:color w:val="0000FF"/>
        </w:rPr>
        <w:t>mobility</w:t>
      </w:r>
      <w:r w:rsidR="008959CB">
        <w:rPr>
          <w:rFonts w:ascii="Calibri" w:eastAsia="Calibri" w:hAnsi="Calibri" w:cs="Times New Roman"/>
          <w:color w:val="0000FF"/>
        </w:rPr>
        <w:t xml:space="preserve"> scale</w:t>
      </w:r>
      <w:r w:rsidR="0012575B">
        <w:rPr>
          <w:rFonts w:ascii="Calibri" w:eastAsia="Calibri" w:hAnsi="Calibri" w:cs="Times New Roman"/>
          <w:color w:val="0000FF"/>
        </w:rPr>
        <w:t>/instrument</w:t>
      </w:r>
      <w:r w:rsidR="008959CB" w:rsidRPr="00700D7C">
        <w:rPr>
          <w:rFonts w:ascii="Calibri" w:eastAsia="Calibri" w:hAnsi="Calibri" w:cs="Times New Roman"/>
          <w:color w:val="0000FF"/>
        </w:rPr>
        <w:t xml:space="preserve">. </w:t>
      </w:r>
      <w:r w:rsidR="0012575B" w:rsidRPr="00BA08CF">
        <w:rPr>
          <w:rFonts w:ascii="Calibri" w:eastAsia="Calibri" w:hAnsi="Calibri" w:cs="Times New Roman"/>
          <w:color w:val="0000FF"/>
        </w:rPr>
        <w:t xml:space="preserve">This internal consistency analysis is an indicator of the reliability of the </w:t>
      </w:r>
      <w:r w:rsidR="0012575B">
        <w:rPr>
          <w:rFonts w:ascii="Calibri" w:eastAsia="Calibri" w:hAnsi="Calibri" w:cs="Times New Roman"/>
          <w:color w:val="0000FF"/>
        </w:rPr>
        <w:t>mobility</w:t>
      </w:r>
      <w:r w:rsidR="0012575B" w:rsidRPr="00BA08CF">
        <w:rPr>
          <w:rFonts w:ascii="Calibri" w:eastAsia="Calibri" w:hAnsi="Calibri" w:cs="Times New Roman"/>
          <w:color w:val="0000FF"/>
        </w:rPr>
        <w:t xml:space="preserve"> scale/instrument and is thus a test of the reliability of the data elements.</w:t>
      </w:r>
    </w:p>
    <w:p w14:paraId="623499D6" w14:textId="5D6896FA" w:rsidR="008959CB" w:rsidRPr="005817A2" w:rsidRDefault="008959CB" w:rsidP="008959CB">
      <w:pPr>
        <w:autoSpaceDE w:val="0"/>
        <w:autoSpaceDN w:val="0"/>
        <w:adjustRightInd w:val="0"/>
        <w:spacing w:before="240" w:after="0" w:line="240" w:lineRule="auto"/>
        <w:rPr>
          <w:rFonts w:ascii="Calibri" w:eastAsia="Calibri" w:hAnsi="Calibri" w:cs="Times New Roman"/>
          <w:color w:val="0000FF"/>
        </w:rPr>
      </w:pPr>
      <w:r w:rsidRPr="00700D7C">
        <w:rPr>
          <w:rFonts w:ascii="Calibri" w:eastAsia="Calibri" w:hAnsi="Calibri" w:cs="Times New Roman"/>
          <w:color w:val="0000FF"/>
        </w:rPr>
        <w:lastRenderedPageBreak/>
        <w:t xml:space="preserve">Internal consistency </w:t>
      </w:r>
      <w:r>
        <w:rPr>
          <w:rFonts w:ascii="Calibri" w:eastAsia="Calibri" w:hAnsi="Calibri" w:cs="Times New Roman"/>
          <w:color w:val="0000FF"/>
        </w:rPr>
        <w:t>was</w:t>
      </w:r>
      <w:r w:rsidRPr="00700D7C">
        <w:rPr>
          <w:rFonts w:ascii="Calibri" w:eastAsia="Calibri" w:hAnsi="Calibri" w:cs="Times New Roman"/>
          <w:color w:val="0000FF"/>
        </w:rPr>
        <w:t xml:space="preserve"> assessed using the Cronbach’s alpha coefficient, which is the average correlation of all possible half-scale divisions. </w:t>
      </w:r>
      <w:r w:rsidRPr="00F43172">
        <w:rPr>
          <w:rFonts w:ascii="Calibri" w:eastAsia="Calibri" w:hAnsi="Calibri" w:cs="Times New Roman"/>
          <w:color w:val="0000FF"/>
        </w:rPr>
        <w:t xml:space="preserve">Cronbach’s alpha is a statistic frequently </w:t>
      </w:r>
      <w:r>
        <w:rPr>
          <w:rFonts w:ascii="Calibri" w:eastAsia="Calibri" w:hAnsi="Calibri" w:cs="Times New Roman"/>
          <w:color w:val="0000FF"/>
        </w:rPr>
        <w:t>calculated</w:t>
      </w:r>
      <w:r w:rsidRPr="00F43172">
        <w:rPr>
          <w:rFonts w:ascii="Calibri" w:eastAsia="Calibri" w:hAnsi="Calibri" w:cs="Times New Roman"/>
          <w:color w:val="0000FF"/>
        </w:rPr>
        <w:t xml:space="preserve"> when </w:t>
      </w:r>
      <w:r>
        <w:rPr>
          <w:rFonts w:ascii="Calibri" w:eastAsia="Calibri" w:hAnsi="Calibri" w:cs="Times New Roman"/>
          <w:color w:val="0000FF"/>
        </w:rPr>
        <w:t xml:space="preserve">testing </w:t>
      </w:r>
      <w:r w:rsidRPr="00F43172">
        <w:rPr>
          <w:rFonts w:ascii="Calibri" w:eastAsia="Calibri" w:hAnsi="Calibri" w:cs="Times New Roman"/>
          <w:color w:val="0000FF"/>
        </w:rPr>
        <w:t>instrument or scale psychometrics. The C</w:t>
      </w:r>
      <w:r w:rsidRPr="00700D7C">
        <w:rPr>
          <w:rFonts w:ascii="Calibri" w:eastAsia="Calibri" w:hAnsi="Calibri" w:cs="Times New Roman"/>
          <w:color w:val="0000FF"/>
        </w:rPr>
        <w:t xml:space="preserve">ronbach’s alpha reliability estimate ranges from zero to one, with an estimate of zero indicating that there is no consistency of measurement among the items, and one indicating perfect consistency. Many cutoff </w:t>
      </w:r>
      <w:r w:rsidRPr="00F43172">
        <w:rPr>
          <w:rFonts w:ascii="Calibri" w:eastAsia="Calibri" w:hAnsi="Calibri" w:cs="Times New Roman"/>
          <w:color w:val="0000FF"/>
        </w:rPr>
        <w:t xml:space="preserve">criteria exist to determine whether or not a scale shows good consistency or whether the items “hang together” well. </w:t>
      </w:r>
      <w:r w:rsidRPr="00216957">
        <w:rPr>
          <w:rFonts w:cstheme="minorHAnsi"/>
          <w:color w:val="0000FF"/>
        </w:rPr>
        <w:t>Nunnally (1978) indicated that Cronbach’s alpha should be at least 0.90 for item sets used in decision making</w:t>
      </w:r>
      <w:r w:rsidRPr="00216957">
        <w:rPr>
          <w:rFonts w:cstheme="minorHAnsi"/>
          <w:i/>
          <w:iCs/>
          <w:color w:val="0000FF"/>
        </w:rPr>
        <w:t>.</w:t>
      </w:r>
      <w:r w:rsidRPr="00216957">
        <w:rPr>
          <w:rFonts w:cstheme="minorHAnsi"/>
          <w:color w:val="0000FF"/>
        </w:rPr>
        <w:t xml:space="preserve"> The internal consistency from the Rasch analysis assesses </w:t>
      </w:r>
      <w:r>
        <w:rPr>
          <w:rFonts w:cstheme="minorHAnsi"/>
          <w:color w:val="0000FF"/>
        </w:rPr>
        <w:t>items</w:t>
      </w:r>
      <w:r w:rsidRPr="00216957">
        <w:rPr>
          <w:rFonts w:cstheme="minorHAnsi"/>
          <w:color w:val="0000FF"/>
        </w:rPr>
        <w:t xml:space="preserve"> using the KR20 (a special case of Cronbach’s alpha) estimate, </w:t>
      </w:r>
      <w:r>
        <w:rPr>
          <w:rFonts w:cstheme="minorHAnsi"/>
          <w:color w:val="0000FF"/>
        </w:rPr>
        <w:t xml:space="preserve">with </w:t>
      </w:r>
      <w:r w:rsidRPr="00216957">
        <w:rPr>
          <w:rFonts w:cstheme="minorHAnsi"/>
          <w:color w:val="0000FF"/>
        </w:rPr>
        <w:t xml:space="preserve">the </w:t>
      </w:r>
      <w:r w:rsidR="00C870E6">
        <w:rPr>
          <w:rFonts w:cstheme="minorHAnsi"/>
          <w:color w:val="0000FF"/>
        </w:rPr>
        <w:t xml:space="preserve">same </w:t>
      </w:r>
      <w:r w:rsidRPr="00216957">
        <w:rPr>
          <w:rFonts w:cstheme="minorHAnsi"/>
          <w:color w:val="0000FF"/>
        </w:rPr>
        <w:t>cut-off requirements.</w:t>
      </w:r>
    </w:p>
    <w:p w14:paraId="16FE9DA8" w14:textId="7B951527" w:rsidR="008959CB" w:rsidRDefault="008959CB" w:rsidP="008959CB">
      <w:pPr>
        <w:autoSpaceDE w:val="0"/>
        <w:autoSpaceDN w:val="0"/>
        <w:adjustRightInd w:val="0"/>
        <w:spacing w:before="240" w:after="0" w:line="240" w:lineRule="auto"/>
        <w:rPr>
          <w:rFonts w:cstheme="minorHAnsi"/>
          <w:color w:val="0000FF"/>
        </w:rPr>
      </w:pPr>
      <w:r w:rsidRPr="00700D7C">
        <w:rPr>
          <w:rFonts w:ascii="Calibri" w:eastAsia="Calibri" w:hAnsi="Calibri" w:cs="Times New Roman"/>
          <w:b/>
          <w:color w:val="0000FF"/>
          <w:szCs w:val="20"/>
        </w:rPr>
        <w:t>Citation:</w:t>
      </w:r>
      <w:r>
        <w:rPr>
          <w:rFonts w:ascii="Calibri" w:eastAsia="Calibri" w:hAnsi="Calibri" w:cs="Times New Roman"/>
          <w:b/>
          <w:color w:val="0000FF"/>
          <w:szCs w:val="20"/>
        </w:rPr>
        <w:t xml:space="preserve"> </w:t>
      </w:r>
      <w:r w:rsidRPr="00216957">
        <w:rPr>
          <w:rFonts w:cstheme="minorHAnsi"/>
          <w:color w:val="0000FF"/>
        </w:rPr>
        <w:t xml:space="preserve">Nunnally, J. (1978). </w:t>
      </w:r>
      <w:r w:rsidRPr="00216957">
        <w:rPr>
          <w:rFonts w:cstheme="minorHAnsi"/>
          <w:i/>
          <w:color w:val="0000FF"/>
        </w:rPr>
        <w:t>Psychometric methods</w:t>
      </w:r>
      <w:r w:rsidRPr="00216957">
        <w:rPr>
          <w:rFonts w:cstheme="minorHAnsi"/>
          <w:color w:val="0000FF"/>
        </w:rPr>
        <w:t>. New York, NY: McGraw-Hill.</w:t>
      </w:r>
    </w:p>
    <w:p w14:paraId="0EA7A39F" w14:textId="77777777" w:rsidR="00531EE9" w:rsidRPr="0051041D" w:rsidRDefault="00531EE9" w:rsidP="00531EE9">
      <w:pPr>
        <w:spacing w:before="240" w:after="0" w:line="240" w:lineRule="auto"/>
        <w:rPr>
          <w:rStyle w:val="Hyperlink"/>
          <w:rFonts w:ascii="Calibri" w:eastAsia="Calibri" w:hAnsi="Calibri" w:cs="Times New Roman"/>
          <w:color w:val="0000FF"/>
        </w:rPr>
      </w:pPr>
      <w:r>
        <w:rPr>
          <w:rFonts w:ascii="Calibri" w:eastAsia="Calibri" w:hAnsi="Calibri" w:cs="Times New Roman"/>
          <w:b/>
          <w:color w:val="0000FF"/>
        </w:rPr>
        <w:t xml:space="preserve">Critical Data Elements </w:t>
      </w:r>
      <w:r w:rsidRPr="00504AAB">
        <w:rPr>
          <w:rFonts w:ascii="Calibri" w:eastAsia="Calibri" w:hAnsi="Calibri" w:cs="Times New Roman"/>
          <w:b/>
          <w:color w:val="0000FF"/>
        </w:rPr>
        <w:t xml:space="preserve">Testing using CARE Tool </w:t>
      </w:r>
      <w:r w:rsidRPr="00294D20">
        <w:rPr>
          <w:rFonts w:ascii="Calibri" w:eastAsia="Calibri" w:hAnsi="Calibri" w:cs="Times New Roman"/>
          <w:b/>
          <w:color w:val="0000FF"/>
        </w:rPr>
        <w:t>Data (2014)</w:t>
      </w:r>
      <w:r>
        <w:rPr>
          <w:rFonts w:ascii="Calibri" w:eastAsia="Calibri" w:hAnsi="Calibri" w:cs="Times New Roman"/>
          <w:color w:val="0000FF"/>
        </w:rPr>
        <w:t xml:space="preserve"> </w:t>
      </w:r>
      <w:r w:rsidRPr="00227DB2">
        <w:rPr>
          <w:rFonts w:ascii="Calibri" w:eastAsia="Calibri" w:hAnsi="Calibri" w:cs="Times New Roman"/>
          <w:b/>
          <w:color w:val="0000FF"/>
        </w:rPr>
        <w:t>– Inter-Rate</w:t>
      </w:r>
      <w:r>
        <w:rPr>
          <w:rFonts w:ascii="Calibri" w:eastAsia="Calibri" w:hAnsi="Calibri" w:cs="Times New Roman"/>
          <w:b/>
          <w:color w:val="0000FF"/>
        </w:rPr>
        <w:t>r</w:t>
      </w:r>
      <w:r w:rsidRPr="00227DB2">
        <w:rPr>
          <w:rFonts w:ascii="Calibri" w:eastAsia="Calibri" w:hAnsi="Calibri" w:cs="Times New Roman"/>
          <w:b/>
          <w:color w:val="0000FF"/>
        </w:rPr>
        <w:t xml:space="preserve"> Reliability, Video (Standardized Patient) Reliability</w:t>
      </w:r>
      <w:r>
        <w:rPr>
          <w:rFonts w:ascii="Calibri" w:eastAsia="Calibri" w:hAnsi="Calibri" w:cs="Times New Roman"/>
          <w:b/>
          <w:color w:val="0000FF"/>
        </w:rPr>
        <w:t xml:space="preserve"> and Validity Testing (unit of analysis is patients)</w:t>
      </w:r>
      <w:r w:rsidRPr="00F27786">
        <w:rPr>
          <w:rFonts w:ascii="Calibri" w:eastAsia="Calibri" w:hAnsi="Calibri" w:cs="Times New Roman"/>
          <w:color w:val="0000FF"/>
        </w:rPr>
        <w:t>: In our 2014</w:t>
      </w:r>
      <w:r>
        <w:rPr>
          <w:rFonts w:ascii="Calibri" w:eastAsia="Calibri" w:hAnsi="Calibri" w:cs="Times New Roman"/>
          <w:color w:val="0000FF"/>
        </w:rPr>
        <w:t xml:space="preserve"> NQF testing document, we described several types of data element and scale/instrument reliability and validity analysis using data collected by providers as part of the Post-Acute Care Payment Reform Demonstration (2007-2012).  This reliability and validity testing included the self-care and mobility data elements, as well as data elements that are used as risk adjustors for this performance measure. For more </w:t>
      </w:r>
      <w:r w:rsidRPr="00C900BB">
        <w:rPr>
          <w:rFonts w:ascii="Calibri" w:eastAsia="Calibri" w:hAnsi="Calibri" w:cs="Times New Roman"/>
          <w:color w:val="0000FF"/>
        </w:rPr>
        <w:t>information about the development and testing of the data elements and scale/instrument, please se</w:t>
      </w:r>
      <w:r w:rsidRPr="008532A9">
        <w:rPr>
          <w:rFonts w:ascii="Calibri" w:eastAsia="Calibri" w:hAnsi="Calibri" w:cs="Times New Roman"/>
          <w:color w:val="0000FF"/>
        </w:rPr>
        <w:t xml:space="preserve">e:  </w:t>
      </w:r>
    </w:p>
    <w:p w14:paraId="503CB864" w14:textId="022C0C0D" w:rsidR="00531EE9" w:rsidRPr="0051041D" w:rsidRDefault="00531EE9" w:rsidP="00531EE9">
      <w:pPr>
        <w:pStyle w:val="R-Pubs-Pres"/>
        <w:numPr>
          <w:ilvl w:val="0"/>
          <w:numId w:val="34"/>
        </w:numPr>
        <w:spacing w:after="0"/>
        <w:rPr>
          <w:rFonts w:asciiTheme="minorHAnsi" w:hAnsiTheme="minorHAnsi" w:cstheme="minorHAnsi"/>
          <w:color w:val="0000FF"/>
        </w:rPr>
      </w:pPr>
      <w:r w:rsidRPr="0051041D">
        <w:rPr>
          <w:rFonts w:asciiTheme="minorHAnsi" w:hAnsiTheme="minorHAnsi" w:cstheme="minorHAnsi"/>
          <w:color w:val="0000FF"/>
        </w:rPr>
        <w:t xml:space="preserve">Gage BJ, Constantine R, Aggarwal MM, Bernard S, Munevar D, Garrity M, </w:t>
      </w:r>
      <w:r w:rsidRPr="0051041D">
        <w:rPr>
          <w:rFonts w:asciiTheme="minorHAnsi" w:hAnsiTheme="minorHAnsi" w:cstheme="minorHAnsi"/>
          <w:b/>
          <w:color w:val="0000FF"/>
        </w:rPr>
        <w:t>Deutsch A</w:t>
      </w:r>
      <w:r w:rsidRPr="0051041D">
        <w:rPr>
          <w:rFonts w:asciiTheme="minorHAnsi" w:hAnsiTheme="minorHAnsi" w:cstheme="minorHAnsi"/>
          <w:color w:val="0000FF"/>
        </w:rPr>
        <w:t xml:space="preserve">, et al. (June, 2012). </w:t>
      </w:r>
      <w:r w:rsidRPr="0051041D">
        <w:rPr>
          <w:rFonts w:asciiTheme="minorHAnsi" w:hAnsiTheme="minorHAnsi" w:cstheme="minorHAnsi"/>
          <w:i/>
          <w:iCs/>
          <w:color w:val="0000FF"/>
        </w:rPr>
        <w:t>The Development of the Continuity Assessment Record and Evaluation (CARE) Tool: Final Report</w:t>
      </w:r>
      <w:r w:rsidRPr="0051041D">
        <w:rPr>
          <w:rFonts w:asciiTheme="minorHAnsi" w:hAnsiTheme="minorHAnsi" w:cstheme="minorHAnsi"/>
          <w:color w:val="0000FF"/>
        </w:rPr>
        <w:t xml:space="preserve">. Prepared for the Centers for Medicare &amp; Medicaid Services. Available at: </w:t>
      </w:r>
      <w:hyperlink r:id="rId16" w:history="1">
        <w:r w:rsidRPr="0051041D">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Volume-1-of-3.pdf</w:t>
        </w:r>
      </w:hyperlink>
    </w:p>
    <w:p w14:paraId="447AC5EB" w14:textId="77777777" w:rsidR="00531EE9" w:rsidRPr="0051041D" w:rsidRDefault="00531EE9" w:rsidP="00531EE9">
      <w:pPr>
        <w:pStyle w:val="R-Pubs-Pres"/>
        <w:numPr>
          <w:ilvl w:val="0"/>
          <w:numId w:val="34"/>
        </w:numPr>
        <w:spacing w:after="0"/>
        <w:rPr>
          <w:rFonts w:asciiTheme="minorHAnsi" w:hAnsiTheme="minorHAnsi" w:cstheme="minorHAnsi"/>
          <w:color w:val="0000FF"/>
        </w:rPr>
      </w:pPr>
      <w:r w:rsidRPr="0051041D">
        <w:rPr>
          <w:rFonts w:asciiTheme="minorHAnsi" w:hAnsiTheme="minorHAnsi" w:cstheme="minorHAnsi"/>
          <w:color w:val="0000FF"/>
        </w:rPr>
        <w:t xml:space="preserve">Gage BJ, Smith LM, Ross J, Coots LA, Shamsuddin KM, </w:t>
      </w:r>
      <w:r w:rsidRPr="0051041D">
        <w:rPr>
          <w:rFonts w:asciiTheme="minorHAnsi" w:hAnsiTheme="minorHAnsi" w:cstheme="minorHAnsi"/>
          <w:b/>
          <w:color w:val="0000FF"/>
        </w:rPr>
        <w:t>Deutsch A</w:t>
      </w:r>
      <w:r w:rsidRPr="0051041D">
        <w:rPr>
          <w:rFonts w:asciiTheme="minorHAnsi" w:hAnsiTheme="minorHAnsi" w:cstheme="minorHAnsi"/>
          <w:color w:val="0000FF"/>
        </w:rPr>
        <w:t xml:space="preserve">, Mallinson T, Reilly KE, Abbate JH, Gage-Croll Z. (August, 2012). </w:t>
      </w:r>
      <w:r w:rsidRPr="0051041D">
        <w:rPr>
          <w:rFonts w:asciiTheme="minorHAnsi" w:hAnsiTheme="minorHAnsi" w:cstheme="minorHAnsi"/>
          <w:i/>
          <w:iCs/>
          <w:color w:val="0000FF"/>
        </w:rPr>
        <w:t>The development and testing of the Continuity Assessment Record and Evaluation (CARE) Item Set: Final Report on Reliability Testing, Volume 2 of 3</w:t>
      </w:r>
      <w:r w:rsidRPr="0051041D">
        <w:rPr>
          <w:rFonts w:asciiTheme="minorHAnsi" w:hAnsiTheme="minorHAnsi" w:cstheme="minorHAnsi"/>
          <w:color w:val="0000FF"/>
        </w:rPr>
        <w:t xml:space="preserve">. Prepared for Centers for Medicare &amp; Medicaid Services. Available at: </w:t>
      </w:r>
      <w:hyperlink r:id="rId17" w:history="1">
        <w:r w:rsidRPr="0051041D">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https://www.cms.gov/Medicare/Quality-Initiatives-Patient-Assessment-Instruments/Post-Acute-Care-Quality-Initiatives/Downloads/The-Development-and-Testing-of-the-Continuity-Assessment-Record-and-Evaluation-CARE-Item-Set-Final-Report-on-Reliability-Testing-Volume-2-of-3.pdf</w:t>
        </w:r>
      </w:hyperlink>
    </w:p>
    <w:p w14:paraId="3507B04C" w14:textId="77777777" w:rsidR="00531EE9" w:rsidRPr="0051041D" w:rsidRDefault="00531EE9" w:rsidP="00531EE9">
      <w:pPr>
        <w:pStyle w:val="R-Pubs-Pres"/>
        <w:numPr>
          <w:ilvl w:val="0"/>
          <w:numId w:val="34"/>
        </w:numPr>
        <w:spacing w:after="0"/>
        <w:rPr>
          <w:rFonts w:asciiTheme="minorHAnsi" w:hAnsiTheme="minorHAnsi" w:cstheme="minorHAnsi"/>
          <w:color w:val="0000FF"/>
        </w:rPr>
      </w:pPr>
      <w:r w:rsidRPr="0051041D">
        <w:rPr>
          <w:rFonts w:asciiTheme="minorHAnsi" w:hAnsiTheme="minorHAnsi" w:cstheme="minorHAnsi"/>
          <w:color w:val="0000FF"/>
        </w:rPr>
        <w:t xml:space="preserve">Gage BJ, Deutsch A, Smith LM, Schwartz C, Ross J, Coots LA, Reilly KE, Abbate JH, Shamsuddin KM, Silver BC, et al. (September, 2012). </w:t>
      </w:r>
      <w:r w:rsidRPr="0051041D">
        <w:rPr>
          <w:rFonts w:asciiTheme="minorHAnsi" w:hAnsiTheme="minorHAnsi" w:cstheme="minorHAnsi"/>
          <w:i/>
          <w:iCs/>
          <w:color w:val="0000FF"/>
        </w:rPr>
        <w:t>The Development and Testing of the Continuity Assessment Record and Evaluation (CARE) Item Set: Final Report on CARE Item Set and Current Assessment Comparisons, Volume 3 of 3</w:t>
      </w:r>
      <w:r w:rsidRPr="0051041D">
        <w:rPr>
          <w:rFonts w:asciiTheme="minorHAnsi" w:hAnsiTheme="minorHAnsi" w:cstheme="minorHAnsi"/>
          <w:color w:val="0000FF"/>
        </w:rPr>
        <w:t xml:space="preserve">. Prepared for Centers for Medicare &amp; Medicaid Services. Available at: </w:t>
      </w:r>
      <w:hyperlink r:id="rId18" w:history="1">
        <w:r w:rsidRPr="0051041D">
          <w:rPr>
            <w:rStyle w:val="Hyperlink"/>
            <w:rFonts w:asciiTheme="minorHAnsi" w:hAnsiTheme="minorHAnsi" w:cstheme="minorHAnsi"/>
            <w:color w:val="0000FF"/>
          </w:rPr>
          <w:t>https://www.cms.gov/Medicare/Quality-Initiatives-Patient-Assessment-Instruments/Post-Acute-Care-Quality-Initiatives/Downloads/The-Development-and-Testing-of-the-Continuity-Assessment-Record-and-Evaluation-CARE-Item-Set-Final-Report-on-the-Development-of-the-CARE-Item-Set-and-Current-Assessment-Comparisons-Volume-3-of-3.pdf</w:t>
        </w:r>
      </w:hyperlink>
    </w:p>
    <w:p w14:paraId="03032AFB" w14:textId="77777777" w:rsidR="00531EE9" w:rsidRPr="0051041D" w:rsidRDefault="00531EE9" w:rsidP="00531EE9">
      <w:pPr>
        <w:pStyle w:val="R-Pubs-Pres"/>
        <w:numPr>
          <w:ilvl w:val="0"/>
          <w:numId w:val="34"/>
        </w:numPr>
        <w:spacing w:after="0"/>
        <w:rPr>
          <w:rFonts w:asciiTheme="minorHAnsi" w:hAnsiTheme="minorHAnsi" w:cstheme="minorHAnsi"/>
          <w:color w:val="0000FF"/>
        </w:rPr>
      </w:pPr>
      <w:r w:rsidRPr="0051041D">
        <w:rPr>
          <w:rFonts w:asciiTheme="minorHAnsi" w:hAnsiTheme="minorHAnsi" w:cstheme="minorHAnsi"/>
          <w:color w:val="0000FF"/>
        </w:rPr>
        <w:t xml:space="preserve">Smith LM, Deutsch A, Hand LB, Etlinger AL, Ross J, Abbate JH, Gage-Croll Z, Barch D, Gage BJ. (September, 2012). </w:t>
      </w:r>
      <w:r w:rsidRPr="0051041D">
        <w:rPr>
          <w:rFonts w:asciiTheme="minorHAnsi" w:hAnsiTheme="minorHAnsi" w:cstheme="minorHAnsi"/>
          <w:i/>
          <w:iCs/>
          <w:color w:val="0000FF"/>
        </w:rPr>
        <w:t>Continuity Assessment Record and Evaluation (CARE) Item Set: Additional Provider-Type Specific Interrater Reliability Analyses</w:t>
      </w:r>
      <w:r w:rsidRPr="0051041D">
        <w:rPr>
          <w:rFonts w:asciiTheme="minorHAnsi" w:hAnsiTheme="minorHAnsi" w:cstheme="minorHAnsi"/>
          <w:color w:val="0000FF"/>
        </w:rPr>
        <w:t xml:space="preserve">. Prepared for Centers for Medicare &amp; Medicaid Services. Available at: </w:t>
      </w:r>
      <w:hyperlink r:id="rId19" w:history="1">
        <w:r w:rsidRPr="0051041D">
          <w:rPr>
            <w:rStyle w:val="Hyperlink"/>
            <w:rFonts w:asciiTheme="minorHAnsi" w:hAnsiTheme="minorHAnsi" w:cstheme="minorHAnsi"/>
            <w:color w:val="0000FF"/>
          </w:rPr>
          <w:t>https://www.cms.gov/Medicare/Quality-Initiatives-Patient-Assessment-Instruments/Post-Acute-Care-Quality-Initiatives/Downloads/Continuity-</w:t>
        </w:r>
        <w:r w:rsidRPr="0051041D">
          <w:rPr>
            <w:rStyle w:val="Hyperlink"/>
            <w:rFonts w:asciiTheme="minorHAnsi" w:hAnsiTheme="minorHAnsi" w:cstheme="minorHAnsi"/>
            <w:color w:val="0000FF"/>
          </w:rPr>
          <w:lastRenderedPageBreak/>
          <w:t>Assessment-Record-and-Evaluation-CARE-Item-Set-Additional-Provider-Type-Specific-Interrater-Reliability-Analyses.pdf</w:t>
        </w:r>
      </w:hyperlink>
    </w:p>
    <w:p w14:paraId="2B948AB8" w14:textId="77777777" w:rsidR="00531EE9" w:rsidRPr="0051041D" w:rsidRDefault="00531EE9" w:rsidP="00531EE9">
      <w:pPr>
        <w:pStyle w:val="R-Pubs-Pres"/>
        <w:numPr>
          <w:ilvl w:val="0"/>
          <w:numId w:val="34"/>
        </w:numPr>
        <w:spacing w:after="0"/>
        <w:rPr>
          <w:rFonts w:asciiTheme="minorHAnsi" w:hAnsiTheme="minorHAnsi" w:cstheme="minorHAnsi"/>
          <w:color w:val="0000FF"/>
        </w:rPr>
      </w:pPr>
      <w:r w:rsidRPr="0051041D">
        <w:rPr>
          <w:rFonts w:asciiTheme="minorHAnsi" w:hAnsiTheme="minorHAnsi" w:cstheme="minorHAnsi"/>
          <w:color w:val="0000FF"/>
          <w:lang w:val="de-DE"/>
        </w:rPr>
        <w:t xml:space="preserve">Smith LM, Deutsch A, Barch D, Ross J, Shamsuddin KM, Abbate JH, Schwartz C, Gage BJ. (September, 2012). </w:t>
      </w:r>
      <w:r w:rsidRPr="0051041D">
        <w:rPr>
          <w:rFonts w:asciiTheme="minorHAnsi" w:hAnsiTheme="minorHAnsi" w:cstheme="minorHAnsi"/>
          <w:i/>
          <w:iCs/>
          <w:color w:val="0000FF"/>
        </w:rPr>
        <w:t>Continuity Assessment Record and Evaluation (CARE) Item Set: Video Reliability Testing</w:t>
      </w:r>
      <w:r w:rsidRPr="0051041D">
        <w:rPr>
          <w:rFonts w:asciiTheme="minorHAnsi" w:hAnsiTheme="minorHAnsi" w:cstheme="minorHAnsi"/>
          <w:color w:val="0000FF"/>
        </w:rPr>
        <w:t xml:space="preserve">. Prepared for Centers for Medicare &amp; Medicaid Services. Available at: </w:t>
      </w:r>
      <w:hyperlink r:id="rId20" w:history="1">
        <w:r w:rsidRPr="0051041D">
          <w:rPr>
            <w:rStyle w:val="Hyperlink"/>
            <w:rFonts w:asciiTheme="minorHAnsi" w:hAnsiTheme="minorHAnsi" w:cstheme="minorHAnsi"/>
            <w:color w:val="0000FF"/>
          </w:rPr>
          <w:t>https://www.cms.gov/Medicare/Quality-Initiatives-Patient-Assessment-Instruments/Post-Acute-Care-Quality-Initiatives/Downloads/Continuity-Assessment-Record-and-Evaluation-CARE-Item-Set-Video-Reliability-Testing.pdf</w:t>
        </w:r>
      </w:hyperlink>
    </w:p>
    <w:p w14:paraId="134D064E" w14:textId="35CC63DB" w:rsidR="00531EE9" w:rsidRPr="0051041D" w:rsidRDefault="00531EE9" w:rsidP="00D77E49">
      <w:pPr>
        <w:pStyle w:val="ListParagraph"/>
        <w:numPr>
          <w:ilvl w:val="0"/>
          <w:numId w:val="34"/>
        </w:numPr>
        <w:autoSpaceDE w:val="0"/>
        <w:autoSpaceDN w:val="0"/>
        <w:adjustRightInd w:val="0"/>
        <w:spacing w:after="0" w:line="240" w:lineRule="auto"/>
        <w:rPr>
          <w:rFonts w:cstheme="minorHAnsi"/>
          <w:color w:val="0000FF"/>
        </w:rPr>
      </w:pPr>
      <w:r w:rsidRPr="0051041D">
        <w:rPr>
          <w:rFonts w:cstheme="minorHAnsi"/>
          <w:color w:val="0000FF"/>
        </w:rPr>
        <w:t xml:space="preserve">Gage BJ, </w:t>
      </w:r>
      <w:r w:rsidRPr="0051041D">
        <w:rPr>
          <w:rFonts w:cstheme="minorHAnsi"/>
          <w:bCs/>
          <w:color w:val="0000FF"/>
        </w:rPr>
        <w:t>Morley MA</w:t>
      </w:r>
      <w:r w:rsidRPr="0051041D">
        <w:rPr>
          <w:rFonts w:cstheme="minorHAnsi"/>
          <w:color w:val="0000FF"/>
        </w:rPr>
        <w:t xml:space="preserve">, </w:t>
      </w:r>
      <w:r w:rsidRPr="0051041D">
        <w:rPr>
          <w:rFonts w:cstheme="minorHAnsi"/>
          <w:bCs/>
          <w:color w:val="0000FF"/>
        </w:rPr>
        <w:t>Smith LM</w:t>
      </w:r>
      <w:r w:rsidRPr="0051041D">
        <w:rPr>
          <w:rFonts w:cstheme="minorHAnsi"/>
          <w:color w:val="0000FF"/>
        </w:rPr>
        <w:t xml:space="preserve">, </w:t>
      </w:r>
      <w:r w:rsidRPr="0051041D">
        <w:rPr>
          <w:rFonts w:cstheme="minorHAnsi"/>
          <w:bCs/>
          <w:color w:val="0000FF"/>
        </w:rPr>
        <w:t>Ingber MJ</w:t>
      </w:r>
      <w:r w:rsidRPr="0051041D">
        <w:rPr>
          <w:rFonts w:cstheme="minorHAnsi"/>
          <w:color w:val="0000FF"/>
        </w:rPr>
        <w:t xml:space="preserve">, </w:t>
      </w:r>
      <w:r w:rsidRPr="0051041D">
        <w:rPr>
          <w:rFonts w:cstheme="minorHAnsi"/>
          <w:bCs/>
          <w:color w:val="0000FF"/>
        </w:rPr>
        <w:t>Deutsch A</w:t>
      </w:r>
      <w:r w:rsidRPr="0051041D">
        <w:rPr>
          <w:rFonts w:cstheme="minorHAnsi"/>
          <w:color w:val="0000FF"/>
        </w:rPr>
        <w:t xml:space="preserve">, </w:t>
      </w:r>
      <w:r w:rsidRPr="0051041D">
        <w:rPr>
          <w:rFonts w:cstheme="minorHAnsi"/>
          <w:bCs/>
          <w:color w:val="0000FF"/>
        </w:rPr>
        <w:t>Kline TL</w:t>
      </w:r>
      <w:r w:rsidRPr="0051041D">
        <w:rPr>
          <w:rFonts w:cstheme="minorHAnsi"/>
          <w:color w:val="0000FF"/>
        </w:rPr>
        <w:t xml:space="preserve">, </w:t>
      </w:r>
      <w:r w:rsidRPr="0051041D">
        <w:rPr>
          <w:rFonts w:cstheme="minorHAnsi"/>
          <w:bCs/>
          <w:color w:val="0000FF"/>
        </w:rPr>
        <w:t>Dever JA</w:t>
      </w:r>
      <w:r w:rsidRPr="0051041D">
        <w:rPr>
          <w:rFonts w:cstheme="minorHAnsi"/>
          <w:color w:val="0000FF"/>
        </w:rPr>
        <w:t xml:space="preserve">, </w:t>
      </w:r>
      <w:r w:rsidRPr="0051041D">
        <w:rPr>
          <w:rFonts w:cstheme="minorHAnsi"/>
          <w:bCs/>
          <w:color w:val="0000FF"/>
        </w:rPr>
        <w:t>Abbate JH</w:t>
      </w:r>
      <w:r w:rsidRPr="0051041D">
        <w:rPr>
          <w:rFonts w:cstheme="minorHAnsi"/>
          <w:color w:val="0000FF"/>
        </w:rPr>
        <w:t xml:space="preserve">, </w:t>
      </w:r>
      <w:r w:rsidRPr="0051041D">
        <w:rPr>
          <w:rFonts w:cstheme="minorHAnsi"/>
          <w:bCs/>
          <w:color w:val="0000FF"/>
        </w:rPr>
        <w:t>Miller RD</w:t>
      </w:r>
      <w:r w:rsidRPr="0051041D">
        <w:rPr>
          <w:rFonts w:cstheme="minorHAnsi"/>
          <w:color w:val="0000FF"/>
        </w:rPr>
        <w:t xml:space="preserve">, </w:t>
      </w:r>
      <w:r w:rsidRPr="0051041D">
        <w:rPr>
          <w:rFonts w:cstheme="minorHAnsi"/>
          <w:bCs/>
          <w:color w:val="0000FF"/>
        </w:rPr>
        <w:t>Lyda-McDonald B</w:t>
      </w:r>
      <w:r w:rsidRPr="0051041D">
        <w:rPr>
          <w:rFonts w:cstheme="minorHAnsi"/>
          <w:color w:val="0000FF"/>
        </w:rPr>
        <w:t xml:space="preserve">, </w:t>
      </w:r>
      <w:r w:rsidRPr="0051041D">
        <w:rPr>
          <w:rFonts w:cstheme="minorHAnsi"/>
          <w:bCs/>
          <w:color w:val="0000FF"/>
        </w:rPr>
        <w:t>Kelleher CA</w:t>
      </w:r>
      <w:r w:rsidRPr="0051041D">
        <w:rPr>
          <w:rFonts w:cstheme="minorHAnsi"/>
          <w:color w:val="0000FF"/>
        </w:rPr>
        <w:t xml:space="preserve">, </w:t>
      </w:r>
      <w:r w:rsidRPr="0051041D">
        <w:rPr>
          <w:rFonts w:cstheme="minorHAnsi"/>
          <w:bCs/>
          <w:color w:val="0000FF"/>
        </w:rPr>
        <w:t>Garfinkel DB</w:t>
      </w:r>
      <w:r w:rsidRPr="0051041D">
        <w:rPr>
          <w:rFonts w:cstheme="minorHAnsi"/>
          <w:color w:val="0000FF"/>
        </w:rPr>
        <w:t xml:space="preserve">, </w:t>
      </w:r>
      <w:r w:rsidRPr="0051041D">
        <w:rPr>
          <w:rFonts w:cstheme="minorHAnsi"/>
          <w:bCs/>
          <w:color w:val="0000FF"/>
        </w:rPr>
        <w:t>Manning JR</w:t>
      </w:r>
      <w:r w:rsidRPr="0051041D">
        <w:rPr>
          <w:rFonts w:cstheme="minorHAnsi"/>
          <w:color w:val="0000FF"/>
        </w:rPr>
        <w:t xml:space="preserve">, Murtaugh CM, Stineman MG, Mallinson T. (March, 2012). </w:t>
      </w:r>
      <w:r w:rsidRPr="0051041D">
        <w:rPr>
          <w:rFonts w:cstheme="minorHAnsi"/>
          <w:i/>
          <w:iCs/>
          <w:color w:val="0000FF"/>
        </w:rPr>
        <w:t>Post-Acute Care Payment Reform Demonstration: Final Report Volumes 1-4</w:t>
      </w:r>
      <w:r w:rsidRPr="0051041D">
        <w:rPr>
          <w:rFonts w:cstheme="minorHAnsi"/>
          <w:color w:val="0000FF"/>
        </w:rPr>
        <w:t xml:space="preserve">. Prepared for the Centers for Medicare and Medicaid Services.  Available at: </w:t>
      </w:r>
      <w:hyperlink r:id="rId21" w:history="1">
        <w:r w:rsidRPr="0051041D">
          <w:rPr>
            <w:rStyle w:val="Hyperlink"/>
            <w:rFonts w:cstheme="minorHAnsi"/>
            <w:color w:val="0000FF"/>
          </w:rPr>
          <w:t>https://www.cms.gov/Research-Statistics-Data-and-Systems/Statistics-Trends-and-Reports/Reports/Research-Reports-Items/PAC_Payment_Reform_Demo_Final.html</w:t>
        </w:r>
      </w:hyperlink>
    </w:p>
    <w:p w14:paraId="7D1F98BA" w14:textId="77777777" w:rsidR="00531EE9" w:rsidRDefault="00531EE9" w:rsidP="00531EE9">
      <w:pPr>
        <w:autoSpaceDE w:val="0"/>
        <w:autoSpaceDN w:val="0"/>
        <w:adjustRightInd w:val="0"/>
        <w:spacing w:after="0" w:line="240" w:lineRule="auto"/>
        <w:rPr>
          <w:rFonts w:ascii="Calibri" w:eastAsia="Calibri" w:hAnsi="Calibri" w:cs="Times New Roman"/>
          <w:color w:val="0000FF"/>
        </w:rPr>
      </w:pPr>
    </w:p>
    <w:p w14:paraId="68F0814A" w14:textId="1761858C" w:rsidR="00100EB4" w:rsidRPr="00A25024" w:rsidRDefault="00100EB4" w:rsidP="00100EB4">
      <w:pPr>
        <w:autoSpaceDE w:val="0"/>
        <w:autoSpaceDN w:val="0"/>
        <w:adjustRightInd w:val="0"/>
        <w:spacing w:after="0" w:line="240" w:lineRule="auto"/>
        <w:rPr>
          <w:rFonts w:cstheme="minorHAnsi"/>
          <w:bCs/>
        </w:rPr>
      </w:pPr>
      <w:r>
        <w:rPr>
          <w:rFonts w:ascii="Calibri" w:eastAsia="Calibri" w:hAnsi="Calibri" w:cs="Times New Roman"/>
          <w:color w:val="0000FF"/>
        </w:rPr>
        <w:t xml:space="preserve">For more information on the history of the development of this functional status performance measure, please visit CMS’s Post-Acute Care Quality Initiatives Function Measures website: </w:t>
      </w:r>
      <w:hyperlink r:id="rId22" w:history="1">
        <w:r w:rsidRPr="00CF60A2">
          <w:rPr>
            <w:rStyle w:val="Hyperlink"/>
            <w:rFonts w:ascii="Calibri" w:eastAsia="Calibri" w:hAnsi="Calibri" w:cs="Times New Roman"/>
          </w:rPr>
          <w:t>https://www.cms.gov/Medicare/Quality-Initiatives-Patient-Assessment-Instruments/Post-Acute-Care-Quality-Initiatives/Functional-Measures-.html</w:t>
        </w:r>
      </w:hyperlink>
    </w:p>
    <w:p w14:paraId="00C85A2A" w14:textId="77777777" w:rsidR="008E48D9" w:rsidRPr="00DE53BF" w:rsidRDefault="008E48D9" w:rsidP="008E48D9">
      <w:pPr>
        <w:spacing w:before="240" w:after="0" w:line="240" w:lineRule="auto"/>
        <w:rPr>
          <w:rFonts w:ascii="Calibri" w:eastAsia="Calibri" w:hAnsi="Calibri" w:cs="Times New Roman"/>
          <w:b/>
          <w:color w:val="0000FF"/>
        </w:rPr>
      </w:pPr>
      <w:bookmarkStart w:id="21" w:name="_Hlk535999222"/>
      <w:r w:rsidRPr="00DE53BF">
        <w:rPr>
          <w:rFonts w:ascii="Calibri" w:eastAsia="Calibri" w:hAnsi="Calibri" w:cs="Times New Roman"/>
          <w:b/>
          <w:color w:val="0000FF"/>
        </w:rPr>
        <w:t xml:space="preserve">Summary of critical data element reliability testing: </w:t>
      </w:r>
    </w:p>
    <w:p w14:paraId="2137BDD9" w14:textId="684A555F" w:rsidR="008E48D9" w:rsidRDefault="008E48D9" w:rsidP="008E48D9">
      <w:pPr>
        <w:pStyle w:val="NoSpacing"/>
        <w:contextualSpacing/>
        <w:rPr>
          <w:rFonts w:cstheme="minorHAnsi"/>
          <w:color w:val="0000FF"/>
        </w:rPr>
      </w:pPr>
      <w:r w:rsidRPr="00D357AC">
        <w:rPr>
          <w:rFonts w:cstheme="minorHAnsi"/>
          <w:color w:val="0000FF"/>
        </w:rPr>
        <w:t xml:space="preserve">The </w:t>
      </w:r>
      <w:r>
        <w:rPr>
          <w:rFonts w:cstheme="minorHAnsi"/>
          <w:color w:val="0000FF"/>
        </w:rPr>
        <w:t xml:space="preserve">inter-rater </w:t>
      </w:r>
      <w:r w:rsidRPr="00D357AC">
        <w:rPr>
          <w:rFonts w:cstheme="minorHAnsi"/>
          <w:color w:val="0000FF"/>
        </w:rPr>
        <w:t xml:space="preserve">reliability of the </w:t>
      </w:r>
      <w:r>
        <w:rPr>
          <w:rFonts w:cstheme="minorHAnsi"/>
          <w:color w:val="0000FF"/>
        </w:rPr>
        <w:t>data elements</w:t>
      </w:r>
      <w:r w:rsidRPr="00D357AC">
        <w:rPr>
          <w:rFonts w:cstheme="minorHAnsi"/>
          <w:color w:val="0000FF"/>
        </w:rPr>
        <w:t xml:space="preserve"> was tested in a subset of 34 providers (acute hospitals, HHAs,</w:t>
      </w:r>
      <w:r w:rsidRPr="00D357AC" w:rsidDel="00073DFD">
        <w:rPr>
          <w:rFonts w:cstheme="minorHAnsi"/>
          <w:color w:val="0000FF"/>
        </w:rPr>
        <w:t xml:space="preserve"> </w:t>
      </w:r>
      <w:r w:rsidRPr="00D357AC">
        <w:rPr>
          <w:rFonts w:cstheme="minorHAnsi"/>
          <w:color w:val="0000FF"/>
        </w:rPr>
        <w:t>IRFs, LTCHs, and SNFs) distributed across 11 geographic areas.  Each provider completed a duplicate admission or discharge assessment on 1</w:t>
      </w:r>
      <w:r>
        <w:rPr>
          <w:rFonts w:cstheme="minorHAnsi"/>
          <w:color w:val="0000FF"/>
        </w:rPr>
        <w:t>0</w:t>
      </w:r>
      <w:r w:rsidRPr="00D357AC">
        <w:rPr>
          <w:rFonts w:cstheme="minorHAnsi"/>
          <w:color w:val="0000FF"/>
        </w:rPr>
        <w:t>–20 patients</w:t>
      </w:r>
      <w:r>
        <w:rPr>
          <w:rFonts w:cstheme="minorHAnsi"/>
          <w:color w:val="0000FF"/>
        </w:rPr>
        <w:t xml:space="preserve">. </w:t>
      </w:r>
      <w:r w:rsidRPr="00D357AC">
        <w:rPr>
          <w:rFonts w:cstheme="minorHAnsi"/>
          <w:color w:val="0000FF"/>
        </w:rPr>
        <w:t xml:space="preserve">The </w:t>
      </w:r>
      <w:r w:rsidRPr="000C1F8E">
        <w:rPr>
          <w:rFonts w:cstheme="minorHAnsi"/>
          <w:color w:val="0000FF"/>
        </w:rPr>
        <w:t xml:space="preserve">overall sample size was </w:t>
      </w:r>
      <w:r w:rsidRPr="00DD208F">
        <w:rPr>
          <w:rFonts w:cstheme="minorHAnsi"/>
          <w:color w:val="0000FF"/>
        </w:rPr>
        <w:t>449 for mobility items (448 for transfers</w:t>
      </w:r>
      <w:r w:rsidRPr="000C1F8E">
        <w:rPr>
          <w:rFonts w:cstheme="minorHAnsi"/>
          <w:color w:val="0000FF"/>
        </w:rPr>
        <w:t xml:space="preserve">). </w:t>
      </w:r>
      <w:r w:rsidRPr="00DD208F">
        <w:rPr>
          <w:rFonts w:cstheme="minorHAnsi"/>
          <w:color w:val="0000FF"/>
        </w:rPr>
        <w:t xml:space="preserve">The weighted kappa values for the mobility items ranged between 0.558 for walk 150 feet to 0.901 for sitting to standing and chair/bed to chair transfer.  Unweighted kappas ranged from 0.667 for walk 10 feet to 0.762 for sit to stand.  </w:t>
      </w:r>
      <w:r w:rsidRPr="000C1F8E">
        <w:rPr>
          <w:rFonts w:cstheme="minorHAnsi"/>
          <w:color w:val="0000FF"/>
        </w:rPr>
        <w:t xml:space="preserve">In summary, kappa statistics indicated </w:t>
      </w:r>
      <w:r w:rsidR="0012575B">
        <w:rPr>
          <w:rFonts w:cstheme="minorHAnsi"/>
          <w:color w:val="0000FF"/>
        </w:rPr>
        <w:t xml:space="preserve">very good to </w:t>
      </w:r>
      <w:r w:rsidRPr="000C1F8E">
        <w:rPr>
          <w:rFonts w:cstheme="minorHAnsi"/>
          <w:color w:val="0000FF"/>
        </w:rPr>
        <w:t>substantial agreement of data element codes among raters.</w:t>
      </w:r>
      <w:r w:rsidRPr="00D357AC">
        <w:rPr>
          <w:rFonts w:cstheme="minorHAnsi"/>
          <w:color w:val="0000FF"/>
        </w:rPr>
        <w:t xml:space="preserve">  </w:t>
      </w:r>
    </w:p>
    <w:p w14:paraId="727AF756" w14:textId="77777777" w:rsidR="008E48D9" w:rsidRDefault="008E48D9" w:rsidP="008E48D9">
      <w:pPr>
        <w:pStyle w:val="NoSpacing"/>
        <w:contextualSpacing/>
      </w:pPr>
    </w:p>
    <w:p w14:paraId="726F8AD9" w14:textId="4846ADD7" w:rsidR="008E48D9" w:rsidRPr="00640C5F" w:rsidRDefault="008E48D9" w:rsidP="008E48D9">
      <w:pPr>
        <w:pStyle w:val="NoSpacing"/>
        <w:contextualSpacing/>
        <w:rPr>
          <w:color w:val="0000FF"/>
        </w:rPr>
      </w:pPr>
      <w:r>
        <w:rPr>
          <w:rFonts w:cstheme="minorHAnsi"/>
          <w:color w:val="0000FF"/>
        </w:rPr>
        <w:t xml:space="preserve">For the </w:t>
      </w:r>
      <w:r w:rsidRPr="00D357AC">
        <w:rPr>
          <w:rFonts w:cstheme="minorHAnsi"/>
          <w:color w:val="0000FF"/>
        </w:rPr>
        <w:t>video reliability study</w:t>
      </w:r>
      <w:r>
        <w:rPr>
          <w:rFonts w:cstheme="minorHAnsi"/>
          <w:color w:val="0000FF"/>
        </w:rPr>
        <w:t>, c</w:t>
      </w:r>
      <w:r w:rsidRPr="00D357AC">
        <w:rPr>
          <w:rFonts w:cstheme="minorHAnsi"/>
          <w:color w:val="0000FF"/>
        </w:rPr>
        <w:t>linicians</w:t>
      </w:r>
      <w:r>
        <w:rPr>
          <w:rFonts w:cstheme="minorHAnsi"/>
          <w:color w:val="0000FF"/>
        </w:rPr>
        <w:t xml:space="preserve"> </w:t>
      </w:r>
      <w:r w:rsidRPr="00D357AC">
        <w:rPr>
          <w:rFonts w:cstheme="minorHAnsi"/>
          <w:color w:val="0000FF"/>
        </w:rPr>
        <w:t>assess</w:t>
      </w:r>
      <w:r>
        <w:rPr>
          <w:rFonts w:cstheme="minorHAnsi"/>
          <w:color w:val="0000FF"/>
        </w:rPr>
        <w:t>ed</w:t>
      </w:r>
      <w:r w:rsidRPr="00D357AC">
        <w:rPr>
          <w:rFonts w:cstheme="minorHAnsi"/>
          <w:color w:val="0000FF"/>
        </w:rPr>
        <w:t xml:space="preserve"> “standardized” patients presented through a videotape of a patient assessment.  This ensured that the same information was presented to each clinician and allowed examination of scoring among different clinicians examining the “same” patient</w:t>
      </w:r>
      <w:r w:rsidRPr="000C1F8E">
        <w:rPr>
          <w:rFonts w:cstheme="minorHAnsi"/>
          <w:color w:val="0000FF"/>
        </w:rPr>
        <w:t xml:space="preserve">. </w:t>
      </w:r>
      <w:r w:rsidRPr="00DD208F">
        <w:rPr>
          <w:rFonts w:cstheme="minorHAnsi"/>
          <w:color w:val="0000FF"/>
        </w:rPr>
        <w:t>The video reliability study indicated substantial agreement with the mode and clinical team for the lying-to-sitting, sit-to-stand, chair/bed to chair transfer, and toilet transfer items (greater than 76</w:t>
      </w:r>
      <w:r w:rsidRPr="00DD208F">
        <w:rPr>
          <w:rFonts w:cstheme="minorHAnsi"/>
          <w:bCs/>
          <w:color w:val="0000FF"/>
        </w:rPr>
        <w:t>%</w:t>
      </w:r>
      <w:r w:rsidRPr="00DD208F">
        <w:rPr>
          <w:rFonts w:cstheme="minorHAnsi"/>
          <w:color w:val="0000FF"/>
        </w:rPr>
        <w:t>).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10 feet item, there was a notable decrease in the agreement with the clinical team compared to agreement with the mode.  This occurred because in two of the four videos where this item was assessed, the clinical team response differed from the mode.</w:t>
      </w:r>
    </w:p>
    <w:p w14:paraId="3C2E9EF1" w14:textId="77777777" w:rsidR="008E48D9" w:rsidRDefault="008E48D9" w:rsidP="008E48D9">
      <w:pPr>
        <w:spacing w:after="0" w:line="240" w:lineRule="auto"/>
        <w:rPr>
          <w:rFonts w:cstheme="minorHAnsi"/>
          <w:b/>
          <w:bCs/>
        </w:rPr>
      </w:pPr>
    </w:p>
    <w:p w14:paraId="639463FB" w14:textId="2E01D86B" w:rsidR="008E48D9" w:rsidRDefault="008E48D9" w:rsidP="008E48D9">
      <w:pPr>
        <w:spacing w:after="0" w:line="240" w:lineRule="auto"/>
        <w:rPr>
          <w:rFonts w:cstheme="minorHAnsi"/>
          <w:bCs/>
          <w:color w:val="0000FF"/>
        </w:rPr>
      </w:pPr>
      <w:r>
        <w:rPr>
          <w:rFonts w:cstheme="minorHAnsi"/>
          <w:bCs/>
          <w:color w:val="0000FF"/>
        </w:rPr>
        <w:t>Please see Appendix B for additional details about the inter-rater reliability and video reliability testing.</w:t>
      </w:r>
    </w:p>
    <w:bookmarkEnd w:id="21"/>
    <w:p w14:paraId="1AD1E199" w14:textId="77777777" w:rsidR="008E48D9" w:rsidRPr="00A25024" w:rsidRDefault="008E48D9" w:rsidP="008C54A9">
      <w:pPr>
        <w:autoSpaceDE w:val="0"/>
        <w:autoSpaceDN w:val="0"/>
        <w:adjustRightInd w:val="0"/>
        <w:spacing w:after="0" w:line="240" w:lineRule="auto"/>
        <w:rPr>
          <w:rFonts w:cstheme="minorHAnsi"/>
          <w:bCs/>
        </w:rPr>
      </w:pPr>
    </w:p>
    <w:p w14:paraId="0CABCFD3" w14:textId="4C956190"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14:paraId="5AFFD226" w14:textId="6F45E431" w:rsidR="00324736" w:rsidRPr="007E7FEF" w:rsidRDefault="0093465D" w:rsidP="00324736">
      <w:pPr>
        <w:spacing w:after="0" w:line="240" w:lineRule="auto"/>
        <w:rPr>
          <w:rFonts w:ascii="Calibri" w:hAnsi="Calibri" w:cs="Calibri"/>
          <w:color w:val="0000FF"/>
        </w:rPr>
      </w:pPr>
      <w:bookmarkStart w:id="22" w:name="_Hlk534486884"/>
      <w:r w:rsidRPr="007E7FEF">
        <w:rPr>
          <w:rFonts w:ascii="Calibri" w:eastAsia="Calibri" w:hAnsi="Calibri" w:cs="Times New Roman"/>
          <w:b/>
          <w:color w:val="0000FF"/>
        </w:rPr>
        <w:lastRenderedPageBreak/>
        <w:t>Computed Performance Measure Score Reliability (Unit of analysis is p</w:t>
      </w:r>
      <w:r w:rsidR="00324736" w:rsidRPr="007E7FEF">
        <w:rPr>
          <w:rFonts w:ascii="Calibri" w:eastAsia="Calibri" w:hAnsi="Calibri" w:cs="Times New Roman"/>
          <w:b/>
          <w:color w:val="0000FF"/>
        </w:rPr>
        <w:t>rovider</w:t>
      </w:r>
      <w:r w:rsidRPr="007E7FEF">
        <w:rPr>
          <w:rFonts w:ascii="Calibri" w:eastAsia="Calibri" w:hAnsi="Calibri" w:cs="Times New Roman"/>
          <w:b/>
          <w:color w:val="0000FF"/>
        </w:rPr>
        <w:t>)</w:t>
      </w:r>
      <w:r w:rsidR="00324736" w:rsidRPr="007E7FEF">
        <w:rPr>
          <w:rFonts w:ascii="Calibri" w:eastAsia="Calibri" w:hAnsi="Calibri" w:cs="Times New Roman"/>
          <w:b/>
          <w:color w:val="0000FF"/>
        </w:rPr>
        <w:t xml:space="preserve">: </w:t>
      </w:r>
      <w:bookmarkEnd w:id="22"/>
      <w:r w:rsidR="00324736" w:rsidRPr="007E7FEF">
        <w:rPr>
          <w:rFonts w:ascii="Calibri" w:eastAsia="Calibri" w:hAnsi="Calibri" w:cs="Times New Roman"/>
          <w:color w:val="0000FF"/>
        </w:rPr>
        <w:t xml:space="preserve">Split-half analysis results indicated strong, positive correlations </w:t>
      </w:r>
      <w:r w:rsidR="00324736" w:rsidRPr="007E7FEF">
        <w:rPr>
          <w:rFonts w:ascii="Calibri" w:hAnsi="Calibri" w:cs="Calibri"/>
          <w:color w:val="0000FF"/>
        </w:rPr>
        <w:t>(r = 0.9</w:t>
      </w:r>
      <w:r w:rsidR="00E94725">
        <w:rPr>
          <w:rFonts w:ascii="Calibri" w:hAnsi="Calibri" w:cs="Calibri"/>
          <w:color w:val="0000FF"/>
        </w:rPr>
        <w:t>16</w:t>
      </w:r>
      <w:r w:rsidR="00324736" w:rsidRPr="007E7FEF">
        <w:rPr>
          <w:rFonts w:ascii="Calibri" w:hAnsi="Calibri" w:cs="Calibri"/>
          <w:color w:val="0000FF"/>
        </w:rPr>
        <w:t>, ρ = 0.</w:t>
      </w:r>
      <w:r w:rsidR="00CD446F" w:rsidRPr="007E7FEF">
        <w:rPr>
          <w:rFonts w:ascii="Calibri" w:hAnsi="Calibri" w:cs="Calibri"/>
          <w:color w:val="0000FF"/>
        </w:rPr>
        <w:t>9</w:t>
      </w:r>
      <w:r w:rsidR="00B66D4D">
        <w:rPr>
          <w:rFonts w:ascii="Calibri" w:hAnsi="Calibri" w:cs="Calibri"/>
          <w:color w:val="0000FF"/>
        </w:rPr>
        <w:t>1</w:t>
      </w:r>
      <w:r w:rsidR="00E94725">
        <w:rPr>
          <w:rFonts w:ascii="Calibri" w:hAnsi="Calibri" w:cs="Calibri"/>
          <w:color w:val="0000FF"/>
        </w:rPr>
        <w:t>2</w:t>
      </w:r>
      <w:r w:rsidR="00324736" w:rsidRPr="007E7FEF">
        <w:rPr>
          <w:rFonts w:ascii="Calibri" w:hAnsi="Calibri" w:cs="Calibri"/>
          <w:color w:val="0000FF"/>
        </w:rPr>
        <w:t>, ICC= 0.9</w:t>
      </w:r>
      <w:r w:rsidR="00E94725">
        <w:rPr>
          <w:rFonts w:ascii="Calibri" w:hAnsi="Calibri" w:cs="Calibri"/>
          <w:color w:val="0000FF"/>
        </w:rPr>
        <w:t>16</w:t>
      </w:r>
      <w:r w:rsidR="00324736" w:rsidRPr="007E7FEF">
        <w:rPr>
          <w:rFonts w:ascii="Calibri" w:hAnsi="Calibri" w:cs="Calibri"/>
          <w:color w:val="0000FF"/>
        </w:rPr>
        <w:t xml:space="preserve">, p &lt; 0.001) </w:t>
      </w:r>
      <w:r w:rsidR="00324736" w:rsidRPr="007E7FEF">
        <w:rPr>
          <w:rFonts w:ascii="Calibri" w:eastAsia="Calibri" w:hAnsi="Calibri" w:cs="Times New Roman"/>
          <w:color w:val="0000FF"/>
        </w:rPr>
        <w:t xml:space="preserve">between the IRF providers’ randomly divided groups’ </w:t>
      </w:r>
      <w:r w:rsidRPr="007E7FEF">
        <w:rPr>
          <w:rFonts w:ascii="Calibri" w:eastAsia="Calibri" w:hAnsi="Calibri" w:cs="Times New Roman"/>
          <w:color w:val="0000FF"/>
        </w:rPr>
        <w:t xml:space="preserve">computed </w:t>
      </w:r>
      <w:r w:rsidR="008532A9">
        <w:rPr>
          <w:rFonts w:ascii="Calibri" w:eastAsia="Calibri" w:hAnsi="Calibri" w:cs="Times New Roman"/>
          <w:color w:val="0000FF"/>
        </w:rPr>
        <w:t xml:space="preserve">performance </w:t>
      </w:r>
      <w:r w:rsidRPr="007E7FEF">
        <w:rPr>
          <w:rFonts w:ascii="Calibri" w:eastAsia="Calibri" w:hAnsi="Calibri" w:cs="Times New Roman"/>
          <w:color w:val="0000FF"/>
        </w:rPr>
        <w:t xml:space="preserve">measure </w:t>
      </w:r>
      <w:r w:rsidR="00324736" w:rsidRPr="007E7FEF">
        <w:rPr>
          <w:rFonts w:ascii="Calibri" w:eastAsia="Calibri" w:hAnsi="Calibri" w:cs="Times New Roman"/>
          <w:color w:val="0000FF"/>
        </w:rPr>
        <w:t xml:space="preserve">scores </w:t>
      </w:r>
      <w:r w:rsidRPr="007E7FEF">
        <w:rPr>
          <w:rFonts w:ascii="Calibri" w:eastAsia="Calibri" w:hAnsi="Calibri" w:cs="Times New Roman"/>
          <w:color w:val="0000FF"/>
        </w:rPr>
        <w:t>for</w:t>
      </w:r>
      <w:r w:rsidR="00324736" w:rsidRPr="007E7FEF">
        <w:rPr>
          <w:rFonts w:ascii="Calibri" w:eastAsia="Calibri" w:hAnsi="Calibri" w:cs="Times New Roman"/>
          <w:color w:val="0000FF"/>
        </w:rPr>
        <w:t xml:space="preserve"> </w:t>
      </w:r>
      <w:r w:rsidRPr="007E7FEF">
        <w:rPr>
          <w:rFonts w:ascii="Calibri" w:eastAsia="Calibri" w:hAnsi="Calibri" w:cs="Times New Roman"/>
          <w:color w:val="0000FF"/>
        </w:rPr>
        <w:t xml:space="preserve">the </w:t>
      </w:r>
      <w:r w:rsidR="00324736" w:rsidRPr="007E7FEF">
        <w:rPr>
          <w:rFonts w:ascii="Calibri" w:eastAsia="Calibri" w:hAnsi="Calibri" w:cs="Times New Roman"/>
          <w:color w:val="0000FF"/>
        </w:rPr>
        <w:t xml:space="preserve">Change in </w:t>
      </w:r>
      <w:r w:rsidR="009259CC" w:rsidRPr="007E7FEF">
        <w:rPr>
          <w:rFonts w:ascii="Calibri" w:eastAsia="Calibri" w:hAnsi="Calibri" w:cs="Times New Roman"/>
          <w:color w:val="0000FF"/>
        </w:rPr>
        <w:t>Mobility</w:t>
      </w:r>
      <w:r w:rsidR="00324736" w:rsidRPr="007E7FEF">
        <w:rPr>
          <w:rFonts w:ascii="Calibri" w:eastAsia="Calibri" w:hAnsi="Calibri" w:cs="Times New Roman"/>
          <w:color w:val="0000FF"/>
        </w:rPr>
        <w:t xml:space="preserve"> </w:t>
      </w:r>
      <w:r w:rsidRPr="007E7FEF">
        <w:rPr>
          <w:rFonts w:ascii="Calibri" w:eastAsia="Calibri" w:hAnsi="Calibri" w:cs="Times New Roman"/>
          <w:color w:val="0000FF"/>
        </w:rPr>
        <w:t>performance</w:t>
      </w:r>
      <w:r w:rsidR="00324736" w:rsidRPr="007E7FEF">
        <w:rPr>
          <w:rFonts w:ascii="Calibri" w:eastAsia="Calibri" w:hAnsi="Calibri" w:cs="Times New Roman"/>
          <w:color w:val="0000FF"/>
        </w:rPr>
        <w:t xml:space="preserve"> measure, </w:t>
      </w:r>
      <w:r w:rsidR="00324736" w:rsidRPr="007E7FEF">
        <w:rPr>
          <w:rFonts w:ascii="Calibri" w:hAnsi="Calibri" w:cs="Calibri"/>
          <w:color w:val="0000FF"/>
        </w:rPr>
        <w:t xml:space="preserve">providing strong evidence of </w:t>
      </w:r>
      <w:r w:rsidR="00094653">
        <w:rPr>
          <w:rFonts w:ascii="Calibri" w:hAnsi="Calibri" w:cs="Calibri"/>
          <w:color w:val="0000FF"/>
        </w:rPr>
        <w:t>measure</w:t>
      </w:r>
      <w:r w:rsidR="00324736" w:rsidRPr="007E7FEF">
        <w:rPr>
          <w:rFonts w:ascii="Calibri" w:hAnsi="Calibri" w:cs="Calibri"/>
          <w:color w:val="0000FF"/>
        </w:rPr>
        <w:t xml:space="preserve"> reliability. </w:t>
      </w:r>
      <w:r w:rsidR="0093624C">
        <w:rPr>
          <w:rFonts w:ascii="Calibri" w:hAnsi="Calibri" w:cs="Calibri"/>
          <w:color w:val="0000FF"/>
        </w:rPr>
        <w:t xml:space="preserve">As shown in </w:t>
      </w:r>
      <w:r w:rsidR="0093624C" w:rsidRPr="0093624C">
        <w:rPr>
          <w:rFonts w:ascii="Calibri" w:hAnsi="Calibri" w:cs="Calibri"/>
          <w:b/>
          <w:color w:val="0000FF"/>
        </w:rPr>
        <w:t>Table 3</w:t>
      </w:r>
      <w:r w:rsidR="0093624C">
        <w:rPr>
          <w:rFonts w:ascii="Calibri" w:hAnsi="Calibri" w:cs="Calibri"/>
          <w:color w:val="0000FF"/>
        </w:rPr>
        <w:t xml:space="preserve">, </w:t>
      </w:r>
      <w:r w:rsidR="00324736" w:rsidRPr="007E7FEF">
        <w:rPr>
          <w:rFonts w:ascii="Calibri" w:hAnsi="Calibri" w:cs="Calibri"/>
          <w:color w:val="0000FF"/>
        </w:rPr>
        <w:t>ICCs remained strong when stratifying by provider volume quartile, with ICCs for the volume quartiles ranging from 0.8</w:t>
      </w:r>
      <w:r w:rsidR="00B66D4D">
        <w:rPr>
          <w:rFonts w:ascii="Calibri" w:hAnsi="Calibri" w:cs="Calibri"/>
          <w:color w:val="0000FF"/>
        </w:rPr>
        <w:t>3</w:t>
      </w:r>
      <w:r w:rsidR="00F8435F">
        <w:rPr>
          <w:rFonts w:ascii="Calibri" w:hAnsi="Calibri" w:cs="Calibri"/>
          <w:color w:val="0000FF"/>
        </w:rPr>
        <w:t>3</w:t>
      </w:r>
      <w:r w:rsidR="00324736" w:rsidRPr="007E7FEF">
        <w:rPr>
          <w:rFonts w:ascii="Calibri" w:hAnsi="Calibri" w:cs="Calibri"/>
          <w:color w:val="0000FF"/>
        </w:rPr>
        <w:t xml:space="preserve"> (20-174 discharges) to 0.9</w:t>
      </w:r>
      <w:r w:rsidR="00F8435F">
        <w:rPr>
          <w:rFonts w:ascii="Calibri" w:hAnsi="Calibri" w:cs="Calibri"/>
          <w:color w:val="0000FF"/>
        </w:rPr>
        <w:t>69</w:t>
      </w:r>
      <w:r w:rsidR="00324736" w:rsidRPr="007E7FEF">
        <w:rPr>
          <w:rFonts w:ascii="Calibri" w:hAnsi="Calibri" w:cs="Calibri"/>
          <w:color w:val="0000FF"/>
        </w:rPr>
        <w:t xml:space="preserve"> (568 - 4,416 discharges).</w:t>
      </w:r>
    </w:p>
    <w:p w14:paraId="00585AAF" w14:textId="589B97B5" w:rsidR="009F69E3" w:rsidRDefault="009F69E3" w:rsidP="00324736">
      <w:pPr>
        <w:spacing w:after="0" w:line="240" w:lineRule="auto"/>
        <w:rPr>
          <w:rFonts w:ascii="Calibri" w:eastAsia="Calibri" w:hAnsi="Calibri" w:cs="Times New Roman"/>
          <w:color w:val="0000FF"/>
        </w:rPr>
      </w:pPr>
    </w:p>
    <w:p w14:paraId="012F8C30" w14:textId="6975D92F" w:rsidR="009F69E3" w:rsidRPr="00E0226D" w:rsidRDefault="009F69E3" w:rsidP="009F69E3">
      <w:pPr>
        <w:pStyle w:val="Caption"/>
        <w:ind w:left="360"/>
        <w:rPr>
          <w:rFonts w:asciiTheme="minorHAnsi" w:hAnsiTheme="minorHAnsi" w:cstheme="minorHAnsi"/>
          <w:color w:val="0000FF"/>
        </w:rPr>
      </w:pPr>
      <w:r w:rsidRPr="00E0226D">
        <w:rPr>
          <w:rFonts w:asciiTheme="minorHAnsi" w:hAnsiTheme="minorHAnsi" w:cstheme="minorHAnsi"/>
          <w:color w:val="0000FF"/>
        </w:rPr>
        <w:t xml:space="preserve">Table </w:t>
      </w:r>
      <w:r w:rsidR="0093624C">
        <w:rPr>
          <w:rFonts w:asciiTheme="minorHAnsi" w:hAnsiTheme="minorHAnsi" w:cstheme="minorHAnsi"/>
          <w:color w:val="0000FF"/>
        </w:rPr>
        <w:t>3</w:t>
      </w:r>
      <w:r w:rsidRPr="00E0226D">
        <w:rPr>
          <w:rFonts w:asciiTheme="minorHAnsi" w:hAnsiTheme="minorHAnsi" w:cstheme="minorHAnsi"/>
          <w:color w:val="0000FF"/>
        </w:rPr>
        <w:t xml:space="preserve">. </w:t>
      </w:r>
      <w:r>
        <w:rPr>
          <w:rFonts w:asciiTheme="minorHAnsi" w:hAnsiTheme="minorHAnsi" w:cstheme="minorHAnsi"/>
          <w:color w:val="0000FF"/>
        </w:rPr>
        <w:t>Interclass Correlation Coefficient by IRF Volume, Calendar Year 2017</w:t>
      </w:r>
      <w:r w:rsidRPr="00E0226D">
        <w:rPr>
          <w:rFonts w:asciiTheme="minorHAnsi" w:hAnsiTheme="minorHAnsi" w:cstheme="minorHAnsi"/>
          <w:color w:val="0000FF"/>
        </w:rPr>
        <w:t xml:space="preserve"> (N=1,1</w:t>
      </w:r>
      <w:r w:rsidR="00B66D4D">
        <w:rPr>
          <w:rFonts w:asciiTheme="minorHAnsi" w:hAnsiTheme="minorHAnsi" w:cstheme="minorHAnsi"/>
          <w:color w:val="0000FF"/>
        </w:rPr>
        <w:t>17</w:t>
      </w:r>
      <w:r w:rsidRPr="00E0226D">
        <w:rPr>
          <w:rFonts w:asciiTheme="minorHAnsi" w:hAnsiTheme="minorHAnsi" w:cstheme="minorHAnsi"/>
          <w:color w:val="0000FF"/>
        </w:rPr>
        <w:t>)</w:t>
      </w:r>
    </w:p>
    <w:tbl>
      <w:tblPr>
        <w:tblW w:w="7920" w:type="dxa"/>
        <w:jc w:val="center"/>
        <w:tblCellMar>
          <w:left w:w="72" w:type="dxa"/>
          <w:right w:w="72" w:type="dxa"/>
        </w:tblCellMar>
        <w:tblLook w:val="04A0" w:firstRow="1" w:lastRow="0" w:firstColumn="1" w:lastColumn="0" w:noHBand="0" w:noVBand="1"/>
      </w:tblPr>
      <w:tblGrid>
        <w:gridCol w:w="2880"/>
        <w:gridCol w:w="2620"/>
        <w:gridCol w:w="2420"/>
      </w:tblGrid>
      <w:tr w:rsidR="00094653" w:rsidRPr="00CE0D1F" w14:paraId="1E6A5457" w14:textId="77777777" w:rsidTr="00100EB4">
        <w:trPr>
          <w:trHeight w:val="215"/>
          <w:tblHeader/>
          <w:jc w:val="center"/>
        </w:trPr>
        <w:tc>
          <w:tcPr>
            <w:tcW w:w="2880" w:type="dxa"/>
            <w:tcBorders>
              <w:top w:val="single" w:sz="12" w:space="0" w:color="auto"/>
              <w:left w:val="nil"/>
              <w:bottom w:val="single" w:sz="4" w:space="0" w:color="auto"/>
              <w:right w:val="nil"/>
            </w:tcBorders>
            <w:vAlign w:val="center"/>
            <w:hideMark/>
          </w:tcPr>
          <w:p w14:paraId="5A011F52" w14:textId="77890365" w:rsidR="00094653" w:rsidRPr="00094653" w:rsidRDefault="00094653" w:rsidP="004D3044">
            <w:pPr>
              <w:autoSpaceDE w:val="0"/>
              <w:autoSpaceDN w:val="0"/>
              <w:spacing w:after="0"/>
              <w:rPr>
                <w:rFonts w:cstheme="minorHAnsi"/>
                <w:b/>
                <w:color w:val="0000FF"/>
              </w:rPr>
            </w:pPr>
            <w:r>
              <w:rPr>
                <w:rFonts w:cstheme="minorHAnsi"/>
                <w:b/>
                <w:bCs/>
                <w:color w:val="0000FF"/>
              </w:rPr>
              <w:t xml:space="preserve">Volume </w:t>
            </w:r>
            <w:r w:rsidRPr="00094653">
              <w:rPr>
                <w:rFonts w:cstheme="minorHAnsi"/>
                <w:b/>
                <w:bCs/>
                <w:color w:val="0000FF"/>
              </w:rPr>
              <w:t>Quartile</w:t>
            </w:r>
          </w:p>
        </w:tc>
        <w:tc>
          <w:tcPr>
            <w:tcW w:w="2620" w:type="dxa"/>
            <w:tcBorders>
              <w:top w:val="single" w:sz="12" w:space="0" w:color="auto"/>
              <w:left w:val="nil"/>
              <w:bottom w:val="single" w:sz="4" w:space="0" w:color="auto"/>
              <w:right w:val="nil"/>
            </w:tcBorders>
            <w:vAlign w:val="center"/>
          </w:tcPr>
          <w:p w14:paraId="5FBC5C28" w14:textId="6EC9C8A9" w:rsidR="00094653" w:rsidRPr="00094653" w:rsidRDefault="00094653" w:rsidP="00094653">
            <w:pPr>
              <w:autoSpaceDE w:val="0"/>
              <w:autoSpaceDN w:val="0"/>
              <w:spacing w:after="0"/>
              <w:jc w:val="center"/>
              <w:rPr>
                <w:rFonts w:cstheme="minorHAnsi"/>
                <w:b/>
                <w:color w:val="0000FF"/>
              </w:rPr>
            </w:pPr>
            <w:r w:rsidRPr="00094653">
              <w:rPr>
                <w:rFonts w:cstheme="minorHAnsi"/>
                <w:b/>
                <w:color w:val="0000FF"/>
              </w:rPr>
              <w:t>Number of IRFs</w:t>
            </w:r>
          </w:p>
        </w:tc>
        <w:tc>
          <w:tcPr>
            <w:tcW w:w="2420" w:type="dxa"/>
            <w:tcBorders>
              <w:top w:val="single" w:sz="12" w:space="0" w:color="auto"/>
              <w:left w:val="nil"/>
              <w:bottom w:val="single" w:sz="4" w:space="0" w:color="auto"/>
              <w:right w:val="nil"/>
            </w:tcBorders>
            <w:vAlign w:val="center"/>
            <w:hideMark/>
          </w:tcPr>
          <w:p w14:paraId="582855A4" w14:textId="25CCCC17" w:rsidR="00094653" w:rsidRPr="00CE0D1F" w:rsidRDefault="00094653" w:rsidP="004D3044">
            <w:pPr>
              <w:autoSpaceDE w:val="0"/>
              <w:autoSpaceDN w:val="0"/>
              <w:spacing w:after="0"/>
              <w:jc w:val="center"/>
              <w:rPr>
                <w:rFonts w:cstheme="minorHAnsi"/>
                <w:b/>
                <w:color w:val="0000FF"/>
              </w:rPr>
            </w:pPr>
            <w:r>
              <w:rPr>
                <w:rFonts w:cstheme="minorHAnsi"/>
                <w:b/>
                <w:color w:val="0000FF"/>
              </w:rPr>
              <w:t>ICC</w:t>
            </w:r>
          </w:p>
        </w:tc>
      </w:tr>
      <w:tr w:rsidR="009F69E3" w:rsidRPr="009F69E3" w14:paraId="115E6F45" w14:textId="77777777" w:rsidTr="00100EB4">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0012CC67" w14:textId="76246690" w:rsidR="009F69E3" w:rsidRPr="009F69E3" w:rsidRDefault="00094653" w:rsidP="00094653">
            <w:pPr>
              <w:spacing w:after="0" w:line="240" w:lineRule="auto"/>
              <w:ind w:hanging="20"/>
              <w:rPr>
                <w:rFonts w:cstheme="minorHAnsi"/>
                <w:b/>
                <w:bCs/>
                <w:color w:val="0000FF"/>
                <w:sz w:val="20"/>
                <w:szCs w:val="20"/>
              </w:rPr>
            </w:pPr>
            <w:r>
              <w:rPr>
                <w:rFonts w:cstheme="minorHAnsi"/>
                <w:b/>
                <w:bCs/>
                <w:color w:val="0000FF"/>
                <w:sz w:val="20"/>
                <w:szCs w:val="20"/>
              </w:rPr>
              <w:t xml:space="preserve">Quartile 1: </w:t>
            </w:r>
            <w:r w:rsidR="009F69E3" w:rsidRPr="009F69E3">
              <w:rPr>
                <w:rFonts w:cstheme="minorHAnsi"/>
                <w:b/>
                <w:bCs/>
                <w:color w:val="0000FF"/>
                <w:sz w:val="20"/>
                <w:szCs w:val="20"/>
              </w:rPr>
              <w:t>20 - 174</w:t>
            </w:r>
          </w:p>
        </w:tc>
        <w:tc>
          <w:tcPr>
            <w:tcW w:w="2620" w:type="dxa"/>
            <w:tcBorders>
              <w:top w:val="nil"/>
              <w:left w:val="nil"/>
              <w:bottom w:val="nil"/>
              <w:right w:val="nil"/>
            </w:tcBorders>
            <w:shd w:val="clear" w:color="auto" w:fill="auto"/>
            <w:noWrap/>
            <w:vAlign w:val="bottom"/>
            <w:hideMark/>
          </w:tcPr>
          <w:p w14:paraId="6C382D35" w14:textId="77777777" w:rsidR="009F69E3" w:rsidRPr="009F69E3" w:rsidRDefault="009F69E3" w:rsidP="00100EB4">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422B4763" w14:textId="6919D93B" w:rsidR="009F69E3" w:rsidRPr="009F69E3" w:rsidRDefault="009F69E3" w:rsidP="00100EB4">
            <w:pPr>
              <w:spacing w:after="0" w:line="240" w:lineRule="auto"/>
              <w:ind w:hanging="30"/>
              <w:jc w:val="center"/>
              <w:rPr>
                <w:rFonts w:cstheme="minorHAnsi"/>
                <w:color w:val="0000FF"/>
                <w:sz w:val="20"/>
                <w:szCs w:val="20"/>
              </w:rPr>
            </w:pPr>
            <w:r w:rsidRPr="009F69E3">
              <w:rPr>
                <w:rFonts w:cstheme="minorHAnsi"/>
                <w:color w:val="0000FF"/>
                <w:sz w:val="20"/>
                <w:szCs w:val="20"/>
              </w:rPr>
              <w:t>0.8</w:t>
            </w:r>
            <w:r w:rsidR="00B66D4D">
              <w:rPr>
                <w:rFonts w:cstheme="minorHAnsi"/>
                <w:color w:val="0000FF"/>
                <w:sz w:val="20"/>
                <w:szCs w:val="20"/>
              </w:rPr>
              <w:t>33</w:t>
            </w:r>
          </w:p>
        </w:tc>
      </w:tr>
      <w:tr w:rsidR="009F69E3" w:rsidRPr="009F69E3" w14:paraId="65E0C3EC" w14:textId="77777777" w:rsidTr="00100EB4">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6EDF566C" w14:textId="1DFDA3AD" w:rsidR="009F69E3" w:rsidRPr="009F69E3" w:rsidRDefault="00094653" w:rsidP="00094653">
            <w:pPr>
              <w:spacing w:after="0" w:line="240" w:lineRule="auto"/>
              <w:rPr>
                <w:rFonts w:cstheme="minorHAnsi"/>
                <w:b/>
                <w:bCs/>
                <w:color w:val="0000FF"/>
                <w:sz w:val="20"/>
                <w:szCs w:val="20"/>
              </w:rPr>
            </w:pPr>
            <w:r>
              <w:rPr>
                <w:rFonts w:cstheme="minorHAnsi"/>
                <w:b/>
                <w:bCs/>
                <w:color w:val="0000FF"/>
                <w:sz w:val="20"/>
                <w:szCs w:val="20"/>
              </w:rPr>
              <w:t xml:space="preserve">Quartile 2: </w:t>
            </w:r>
            <w:r w:rsidR="009F69E3" w:rsidRPr="009F69E3">
              <w:rPr>
                <w:rFonts w:cstheme="minorHAnsi"/>
                <w:b/>
                <w:bCs/>
                <w:color w:val="0000FF"/>
                <w:sz w:val="20"/>
                <w:szCs w:val="20"/>
              </w:rPr>
              <w:t>175 - 295</w:t>
            </w:r>
          </w:p>
        </w:tc>
        <w:tc>
          <w:tcPr>
            <w:tcW w:w="2620" w:type="dxa"/>
            <w:tcBorders>
              <w:top w:val="nil"/>
              <w:left w:val="nil"/>
              <w:bottom w:val="nil"/>
              <w:right w:val="nil"/>
            </w:tcBorders>
            <w:shd w:val="clear" w:color="auto" w:fill="auto"/>
            <w:noWrap/>
            <w:vAlign w:val="bottom"/>
            <w:hideMark/>
          </w:tcPr>
          <w:p w14:paraId="09035B75" w14:textId="77777777" w:rsidR="009F69E3" w:rsidRPr="009F69E3" w:rsidRDefault="009F69E3" w:rsidP="00100EB4">
            <w:pPr>
              <w:spacing w:after="0" w:line="240" w:lineRule="auto"/>
              <w:jc w:val="center"/>
              <w:rPr>
                <w:rFonts w:cstheme="minorHAnsi"/>
                <w:color w:val="0000FF"/>
                <w:sz w:val="20"/>
                <w:szCs w:val="20"/>
              </w:rPr>
            </w:pPr>
            <w:r w:rsidRPr="009F69E3">
              <w:rPr>
                <w:rFonts w:cstheme="minorHAnsi"/>
                <w:color w:val="0000FF"/>
                <w:sz w:val="20"/>
                <w:szCs w:val="20"/>
              </w:rPr>
              <w:t>278</w:t>
            </w:r>
          </w:p>
        </w:tc>
        <w:tc>
          <w:tcPr>
            <w:tcW w:w="2420" w:type="dxa"/>
            <w:tcBorders>
              <w:top w:val="nil"/>
              <w:left w:val="nil"/>
              <w:bottom w:val="nil"/>
              <w:right w:val="nil"/>
            </w:tcBorders>
            <w:shd w:val="clear" w:color="auto" w:fill="auto"/>
            <w:noWrap/>
            <w:vAlign w:val="bottom"/>
            <w:hideMark/>
          </w:tcPr>
          <w:p w14:paraId="60D85279" w14:textId="1FAFA1A0" w:rsidR="009F69E3" w:rsidRPr="009F69E3" w:rsidRDefault="009F69E3" w:rsidP="00100EB4">
            <w:pPr>
              <w:spacing w:after="0" w:line="240" w:lineRule="auto"/>
              <w:ind w:hanging="30"/>
              <w:jc w:val="center"/>
              <w:rPr>
                <w:rFonts w:cstheme="minorHAnsi"/>
                <w:color w:val="0000FF"/>
                <w:sz w:val="20"/>
                <w:szCs w:val="20"/>
              </w:rPr>
            </w:pPr>
            <w:r w:rsidRPr="009F69E3">
              <w:rPr>
                <w:rFonts w:cstheme="minorHAnsi"/>
                <w:color w:val="0000FF"/>
                <w:sz w:val="20"/>
                <w:szCs w:val="20"/>
              </w:rPr>
              <w:t>0.9</w:t>
            </w:r>
            <w:r w:rsidR="00B66D4D">
              <w:rPr>
                <w:rFonts w:cstheme="minorHAnsi"/>
                <w:color w:val="0000FF"/>
                <w:sz w:val="20"/>
                <w:szCs w:val="20"/>
              </w:rPr>
              <w:t>36</w:t>
            </w:r>
          </w:p>
        </w:tc>
      </w:tr>
      <w:tr w:rsidR="009F69E3" w:rsidRPr="009F69E3" w14:paraId="5635D605" w14:textId="77777777" w:rsidTr="00100EB4">
        <w:tblPrEx>
          <w:jc w:val="left"/>
          <w:tblCellMar>
            <w:left w:w="108" w:type="dxa"/>
            <w:right w:w="108" w:type="dxa"/>
          </w:tblCellMar>
        </w:tblPrEx>
        <w:trPr>
          <w:trHeight w:val="300"/>
        </w:trPr>
        <w:tc>
          <w:tcPr>
            <w:tcW w:w="2880" w:type="dxa"/>
            <w:tcBorders>
              <w:top w:val="nil"/>
              <w:left w:val="nil"/>
              <w:bottom w:val="nil"/>
              <w:right w:val="nil"/>
            </w:tcBorders>
            <w:shd w:val="clear" w:color="auto" w:fill="auto"/>
            <w:noWrap/>
            <w:vAlign w:val="bottom"/>
            <w:hideMark/>
          </w:tcPr>
          <w:p w14:paraId="7AC91803" w14:textId="75046BE6" w:rsidR="009F69E3" w:rsidRPr="009F69E3" w:rsidRDefault="00094653" w:rsidP="00094653">
            <w:pPr>
              <w:spacing w:after="0" w:line="240" w:lineRule="auto"/>
              <w:rPr>
                <w:rFonts w:cstheme="minorHAnsi"/>
                <w:b/>
                <w:bCs/>
                <w:color w:val="0000FF"/>
                <w:sz w:val="20"/>
                <w:szCs w:val="20"/>
              </w:rPr>
            </w:pPr>
            <w:r>
              <w:rPr>
                <w:rFonts w:cstheme="minorHAnsi"/>
                <w:b/>
                <w:bCs/>
                <w:color w:val="0000FF"/>
                <w:sz w:val="20"/>
                <w:szCs w:val="20"/>
              </w:rPr>
              <w:t xml:space="preserve">Quartile 3: </w:t>
            </w:r>
            <w:r w:rsidR="009F69E3" w:rsidRPr="009F69E3">
              <w:rPr>
                <w:rFonts w:cstheme="minorHAnsi"/>
                <w:b/>
                <w:bCs/>
                <w:color w:val="0000FF"/>
                <w:sz w:val="20"/>
                <w:szCs w:val="20"/>
              </w:rPr>
              <w:t>296 - 566</w:t>
            </w:r>
          </w:p>
        </w:tc>
        <w:tc>
          <w:tcPr>
            <w:tcW w:w="2620" w:type="dxa"/>
            <w:tcBorders>
              <w:top w:val="nil"/>
              <w:left w:val="nil"/>
              <w:bottom w:val="nil"/>
              <w:right w:val="nil"/>
            </w:tcBorders>
            <w:shd w:val="clear" w:color="auto" w:fill="auto"/>
            <w:noWrap/>
            <w:vAlign w:val="bottom"/>
            <w:hideMark/>
          </w:tcPr>
          <w:p w14:paraId="0FAB1EC8" w14:textId="77777777" w:rsidR="009F69E3" w:rsidRPr="009F69E3" w:rsidRDefault="009F69E3" w:rsidP="00100EB4">
            <w:pPr>
              <w:spacing w:after="0" w:line="240" w:lineRule="auto"/>
              <w:jc w:val="center"/>
              <w:rPr>
                <w:rFonts w:cstheme="minorHAnsi"/>
                <w:color w:val="0000FF"/>
                <w:sz w:val="20"/>
                <w:szCs w:val="20"/>
              </w:rPr>
            </w:pPr>
            <w:r w:rsidRPr="009F69E3">
              <w:rPr>
                <w:rFonts w:cstheme="minorHAnsi"/>
                <w:color w:val="0000FF"/>
                <w:sz w:val="20"/>
                <w:szCs w:val="20"/>
              </w:rPr>
              <w:t>280</w:t>
            </w:r>
          </w:p>
        </w:tc>
        <w:tc>
          <w:tcPr>
            <w:tcW w:w="2420" w:type="dxa"/>
            <w:tcBorders>
              <w:top w:val="nil"/>
              <w:left w:val="nil"/>
              <w:bottom w:val="nil"/>
              <w:right w:val="nil"/>
            </w:tcBorders>
            <w:shd w:val="clear" w:color="auto" w:fill="auto"/>
            <w:noWrap/>
            <w:vAlign w:val="bottom"/>
            <w:hideMark/>
          </w:tcPr>
          <w:p w14:paraId="32C8A384" w14:textId="2FD82DE6" w:rsidR="009F69E3" w:rsidRPr="009F69E3" w:rsidRDefault="009F69E3" w:rsidP="00100EB4">
            <w:pPr>
              <w:spacing w:after="0" w:line="240" w:lineRule="auto"/>
              <w:ind w:hanging="30"/>
              <w:jc w:val="center"/>
              <w:rPr>
                <w:rFonts w:cstheme="minorHAnsi"/>
                <w:color w:val="0000FF"/>
                <w:sz w:val="20"/>
                <w:szCs w:val="20"/>
              </w:rPr>
            </w:pPr>
            <w:r w:rsidRPr="009F69E3">
              <w:rPr>
                <w:rFonts w:cstheme="minorHAnsi"/>
                <w:color w:val="0000FF"/>
                <w:sz w:val="20"/>
                <w:szCs w:val="20"/>
              </w:rPr>
              <w:t>0.95</w:t>
            </w:r>
            <w:r w:rsidR="00B66D4D">
              <w:rPr>
                <w:rFonts w:cstheme="minorHAnsi"/>
                <w:color w:val="0000FF"/>
                <w:sz w:val="20"/>
                <w:szCs w:val="20"/>
              </w:rPr>
              <w:t>1</w:t>
            </w:r>
          </w:p>
        </w:tc>
      </w:tr>
      <w:tr w:rsidR="009F69E3" w:rsidRPr="009F69E3" w14:paraId="3E24D8C7" w14:textId="77777777" w:rsidTr="00100EB4">
        <w:tblPrEx>
          <w:jc w:val="left"/>
          <w:tblCellMar>
            <w:left w:w="108" w:type="dxa"/>
            <w:right w:w="108" w:type="dxa"/>
          </w:tblCellMar>
        </w:tblPrEx>
        <w:trPr>
          <w:trHeight w:val="300"/>
        </w:trPr>
        <w:tc>
          <w:tcPr>
            <w:tcW w:w="2880" w:type="dxa"/>
            <w:tcBorders>
              <w:top w:val="nil"/>
              <w:left w:val="nil"/>
              <w:right w:val="nil"/>
            </w:tcBorders>
            <w:shd w:val="clear" w:color="auto" w:fill="auto"/>
            <w:noWrap/>
            <w:vAlign w:val="bottom"/>
            <w:hideMark/>
          </w:tcPr>
          <w:p w14:paraId="6A605A33" w14:textId="7BB0671B" w:rsidR="009F69E3" w:rsidRPr="009F69E3" w:rsidRDefault="00094653" w:rsidP="00094653">
            <w:pPr>
              <w:spacing w:after="0" w:line="240" w:lineRule="auto"/>
              <w:rPr>
                <w:rFonts w:cstheme="minorHAnsi"/>
                <w:b/>
                <w:bCs/>
                <w:color w:val="0000FF"/>
                <w:sz w:val="20"/>
                <w:szCs w:val="20"/>
              </w:rPr>
            </w:pPr>
            <w:r>
              <w:rPr>
                <w:rFonts w:cstheme="minorHAnsi"/>
                <w:b/>
                <w:bCs/>
                <w:color w:val="0000FF"/>
                <w:sz w:val="20"/>
                <w:szCs w:val="20"/>
              </w:rPr>
              <w:t xml:space="preserve">Quartile 4: </w:t>
            </w:r>
            <w:r w:rsidR="009F69E3" w:rsidRPr="009F69E3">
              <w:rPr>
                <w:rFonts w:cstheme="minorHAnsi"/>
                <w:b/>
                <w:bCs/>
                <w:color w:val="0000FF"/>
                <w:sz w:val="20"/>
                <w:szCs w:val="20"/>
              </w:rPr>
              <w:t>568 - 4,416</w:t>
            </w:r>
          </w:p>
        </w:tc>
        <w:tc>
          <w:tcPr>
            <w:tcW w:w="2620" w:type="dxa"/>
            <w:tcBorders>
              <w:top w:val="nil"/>
              <w:left w:val="nil"/>
              <w:right w:val="nil"/>
            </w:tcBorders>
            <w:shd w:val="clear" w:color="auto" w:fill="auto"/>
            <w:noWrap/>
            <w:vAlign w:val="bottom"/>
            <w:hideMark/>
          </w:tcPr>
          <w:p w14:paraId="0D71554F" w14:textId="77777777" w:rsidR="009F69E3" w:rsidRPr="009F69E3" w:rsidRDefault="009F69E3" w:rsidP="00100EB4">
            <w:pPr>
              <w:spacing w:after="0" w:line="240" w:lineRule="auto"/>
              <w:jc w:val="center"/>
              <w:rPr>
                <w:rFonts w:cstheme="minorHAnsi"/>
                <w:color w:val="0000FF"/>
                <w:sz w:val="20"/>
                <w:szCs w:val="20"/>
              </w:rPr>
            </w:pPr>
            <w:r w:rsidRPr="009F69E3">
              <w:rPr>
                <w:rFonts w:cstheme="minorHAnsi"/>
                <w:color w:val="0000FF"/>
                <w:sz w:val="20"/>
                <w:szCs w:val="20"/>
              </w:rPr>
              <w:t>279</w:t>
            </w:r>
          </w:p>
        </w:tc>
        <w:tc>
          <w:tcPr>
            <w:tcW w:w="2420" w:type="dxa"/>
            <w:tcBorders>
              <w:top w:val="nil"/>
              <w:left w:val="nil"/>
              <w:right w:val="nil"/>
            </w:tcBorders>
            <w:shd w:val="clear" w:color="auto" w:fill="auto"/>
            <w:noWrap/>
            <w:vAlign w:val="bottom"/>
            <w:hideMark/>
          </w:tcPr>
          <w:p w14:paraId="4FE27810" w14:textId="1365A1EE" w:rsidR="009F69E3" w:rsidRPr="009F69E3" w:rsidRDefault="009F69E3" w:rsidP="00100EB4">
            <w:pPr>
              <w:spacing w:after="0" w:line="240" w:lineRule="auto"/>
              <w:ind w:hanging="30"/>
              <w:jc w:val="center"/>
              <w:rPr>
                <w:rFonts w:cstheme="minorHAnsi"/>
                <w:color w:val="0000FF"/>
                <w:sz w:val="20"/>
                <w:szCs w:val="20"/>
              </w:rPr>
            </w:pPr>
            <w:r w:rsidRPr="009F69E3">
              <w:rPr>
                <w:rFonts w:cstheme="minorHAnsi"/>
                <w:color w:val="0000FF"/>
                <w:sz w:val="20"/>
                <w:szCs w:val="20"/>
              </w:rPr>
              <w:t>0.96</w:t>
            </w:r>
            <w:r w:rsidR="00B66D4D">
              <w:rPr>
                <w:rFonts w:cstheme="minorHAnsi"/>
                <w:color w:val="0000FF"/>
                <w:sz w:val="20"/>
                <w:szCs w:val="20"/>
              </w:rPr>
              <w:t>9</w:t>
            </w:r>
          </w:p>
        </w:tc>
      </w:tr>
      <w:tr w:rsidR="009F69E3" w:rsidRPr="009F69E3" w14:paraId="02F92DA7" w14:textId="77777777" w:rsidTr="00100EB4">
        <w:tblPrEx>
          <w:jc w:val="left"/>
          <w:tblCellMar>
            <w:left w:w="108" w:type="dxa"/>
            <w:right w:w="108" w:type="dxa"/>
          </w:tblCellMar>
        </w:tblPrEx>
        <w:trPr>
          <w:trHeight w:val="300"/>
        </w:trPr>
        <w:tc>
          <w:tcPr>
            <w:tcW w:w="2880" w:type="dxa"/>
            <w:tcBorders>
              <w:top w:val="nil"/>
              <w:left w:val="nil"/>
              <w:bottom w:val="single" w:sz="18" w:space="0" w:color="auto"/>
              <w:right w:val="nil"/>
            </w:tcBorders>
            <w:shd w:val="clear" w:color="auto" w:fill="auto"/>
            <w:noWrap/>
            <w:vAlign w:val="bottom"/>
            <w:hideMark/>
          </w:tcPr>
          <w:p w14:paraId="269D1167" w14:textId="77777777" w:rsidR="009F69E3" w:rsidRPr="009F69E3" w:rsidRDefault="009F69E3" w:rsidP="00094653">
            <w:pPr>
              <w:spacing w:after="0" w:line="240" w:lineRule="auto"/>
              <w:rPr>
                <w:rFonts w:cstheme="minorHAnsi"/>
                <w:b/>
                <w:bCs/>
                <w:color w:val="0000FF"/>
                <w:sz w:val="20"/>
                <w:szCs w:val="20"/>
              </w:rPr>
            </w:pPr>
            <w:r w:rsidRPr="009F69E3">
              <w:rPr>
                <w:rFonts w:cstheme="minorHAnsi"/>
                <w:b/>
                <w:bCs/>
                <w:color w:val="0000FF"/>
                <w:sz w:val="20"/>
                <w:szCs w:val="20"/>
              </w:rPr>
              <w:t>Total</w:t>
            </w:r>
          </w:p>
        </w:tc>
        <w:tc>
          <w:tcPr>
            <w:tcW w:w="2620" w:type="dxa"/>
            <w:tcBorders>
              <w:top w:val="nil"/>
              <w:left w:val="nil"/>
              <w:bottom w:val="single" w:sz="18" w:space="0" w:color="auto"/>
              <w:right w:val="nil"/>
            </w:tcBorders>
            <w:shd w:val="clear" w:color="auto" w:fill="auto"/>
            <w:noWrap/>
            <w:vAlign w:val="bottom"/>
            <w:hideMark/>
          </w:tcPr>
          <w:p w14:paraId="72B15E5A" w14:textId="77777777" w:rsidR="009F69E3" w:rsidRPr="009F69E3" w:rsidRDefault="009F69E3" w:rsidP="00100EB4">
            <w:pPr>
              <w:spacing w:after="0" w:line="240" w:lineRule="auto"/>
              <w:jc w:val="center"/>
              <w:rPr>
                <w:rFonts w:cstheme="minorHAnsi"/>
                <w:color w:val="0000FF"/>
                <w:sz w:val="20"/>
                <w:szCs w:val="20"/>
              </w:rPr>
            </w:pPr>
            <w:r w:rsidRPr="00D77E49">
              <w:rPr>
                <w:rFonts w:cstheme="minorHAnsi"/>
                <w:color w:val="0000FF"/>
                <w:sz w:val="20"/>
                <w:szCs w:val="20"/>
              </w:rPr>
              <w:t>1,117</w:t>
            </w:r>
          </w:p>
        </w:tc>
        <w:tc>
          <w:tcPr>
            <w:tcW w:w="2420" w:type="dxa"/>
            <w:tcBorders>
              <w:top w:val="nil"/>
              <w:left w:val="nil"/>
              <w:bottom w:val="single" w:sz="18" w:space="0" w:color="auto"/>
              <w:right w:val="nil"/>
            </w:tcBorders>
            <w:shd w:val="clear" w:color="auto" w:fill="auto"/>
            <w:noWrap/>
            <w:vAlign w:val="bottom"/>
            <w:hideMark/>
          </w:tcPr>
          <w:p w14:paraId="197D9CE8" w14:textId="3D01E4FA" w:rsidR="009F69E3" w:rsidRPr="009F69E3" w:rsidRDefault="009F69E3" w:rsidP="00100EB4">
            <w:pPr>
              <w:spacing w:after="0" w:line="240" w:lineRule="auto"/>
              <w:ind w:hanging="30"/>
              <w:jc w:val="center"/>
              <w:rPr>
                <w:rFonts w:cstheme="minorHAnsi"/>
                <w:color w:val="0000FF"/>
                <w:sz w:val="20"/>
                <w:szCs w:val="20"/>
              </w:rPr>
            </w:pPr>
            <w:r w:rsidRPr="009F69E3">
              <w:rPr>
                <w:rFonts w:cstheme="minorHAnsi"/>
                <w:color w:val="0000FF"/>
                <w:sz w:val="20"/>
                <w:szCs w:val="20"/>
              </w:rPr>
              <w:t>0.91</w:t>
            </w:r>
            <w:r w:rsidR="00B66D4D">
              <w:rPr>
                <w:rFonts w:cstheme="minorHAnsi"/>
                <w:color w:val="0000FF"/>
                <w:sz w:val="20"/>
                <w:szCs w:val="20"/>
              </w:rPr>
              <w:t>6</w:t>
            </w:r>
          </w:p>
        </w:tc>
      </w:tr>
    </w:tbl>
    <w:p w14:paraId="3853CEFA" w14:textId="2FCCCE51" w:rsidR="00B66D4D" w:rsidRPr="00D77E49" w:rsidRDefault="00B66D4D" w:rsidP="00B66D4D">
      <w:pPr>
        <w:pStyle w:val="NoSpacing"/>
        <w:ind w:left="720"/>
        <w:contextualSpacing/>
        <w:rPr>
          <w:rFonts w:ascii="Times New Roman" w:hAnsi="Times New Roman"/>
          <w:color w:val="0000FF"/>
          <w:sz w:val="20"/>
          <w:szCs w:val="20"/>
        </w:rPr>
      </w:pPr>
      <w:r w:rsidRPr="00D77E49">
        <w:rPr>
          <w:rFonts w:ascii="Times New Roman" w:hAnsi="Times New Roman"/>
          <w:color w:val="0000FF"/>
          <w:sz w:val="20"/>
          <w:szCs w:val="20"/>
        </w:rPr>
        <w:t>Note: Providers with &lt;20 stays during the 12-month testing period are excluded</w:t>
      </w:r>
      <w:r w:rsidR="00E94725">
        <w:rPr>
          <w:rFonts w:ascii="Times New Roman" w:hAnsi="Times New Roman"/>
          <w:color w:val="0000FF"/>
          <w:sz w:val="20"/>
          <w:szCs w:val="20"/>
        </w:rPr>
        <w:t>.</w:t>
      </w:r>
    </w:p>
    <w:p w14:paraId="40E3719E" w14:textId="5CD810A9" w:rsidR="009F69E3" w:rsidRPr="00E31118" w:rsidRDefault="009F69E3" w:rsidP="00B66D4D">
      <w:pPr>
        <w:pStyle w:val="NoSpacing"/>
        <w:ind w:left="720"/>
        <w:contextualSpacing/>
        <w:rPr>
          <w:rFonts w:ascii="Times New Roman" w:hAnsi="Times New Roman"/>
          <w:color w:val="0000FF"/>
          <w:sz w:val="20"/>
          <w:szCs w:val="20"/>
        </w:rPr>
      </w:pPr>
      <w:r w:rsidRPr="00E31118">
        <w:rPr>
          <w:rFonts w:ascii="Times New Roman" w:hAnsi="Times New Roman"/>
          <w:color w:val="0000FF"/>
          <w:sz w:val="20"/>
          <w:szCs w:val="20"/>
        </w:rPr>
        <w:t xml:space="preserve">Source: RTI analysis of IRF-PAI January – December 2017 (Program reference: </w:t>
      </w:r>
      <w:r>
        <w:rPr>
          <w:rFonts w:ascii="Times New Roman" w:hAnsi="Times New Roman"/>
          <w:color w:val="0000FF"/>
          <w:sz w:val="20"/>
          <w:szCs w:val="20"/>
        </w:rPr>
        <w:t>MV</w:t>
      </w:r>
      <w:r w:rsidR="00B66D4D">
        <w:rPr>
          <w:rFonts w:ascii="Times New Roman" w:hAnsi="Times New Roman"/>
          <w:color w:val="0000FF"/>
          <w:sz w:val="20"/>
          <w:szCs w:val="20"/>
        </w:rPr>
        <w:t>52</w:t>
      </w:r>
      <w:r w:rsidRPr="00E31118">
        <w:rPr>
          <w:rFonts w:ascii="Times New Roman" w:hAnsi="Times New Roman"/>
          <w:color w:val="0000FF"/>
          <w:sz w:val="20"/>
          <w:szCs w:val="20"/>
        </w:rPr>
        <w:t>)</w:t>
      </w:r>
    </w:p>
    <w:p w14:paraId="19CCA5C2" w14:textId="6803FD75" w:rsidR="00324736" w:rsidRPr="00A25024" w:rsidRDefault="00324736" w:rsidP="007D5A1F">
      <w:pPr>
        <w:spacing w:before="200" w:line="240" w:lineRule="auto"/>
        <w:rPr>
          <w:rFonts w:cstheme="minorHAnsi"/>
          <w:bCs/>
        </w:rPr>
      </w:pPr>
      <w:r w:rsidRPr="009B6FE5">
        <w:rPr>
          <w:rFonts w:eastAsia="Calibri" w:cs="Times New Roman"/>
          <w:b/>
          <w:color w:val="0000FF"/>
        </w:rPr>
        <w:t>Scale</w:t>
      </w:r>
      <w:r w:rsidR="0093465D">
        <w:rPr>
          <w:rFonts w:eastAsia="Calibri" w:cs="Times New Roman"/>
          <w:b/>
          <w:color w:val="0000FF"/>
        </w:rPr>
        <w:t>/Instrument</w:t>
      </w:r>
      <w:r w:rsidRPr="009B6FE5">
        <w:rPr>
          <w:rFonts w:eastAsia="Calibri" w:cs="Times New Roman"/>
          <w:b/>
          <w:color w:val="0000FF"/>
        </w:rPr>
        <w:t xml:space="preserve"> Reliability - Internal Consistency</w:t>
      </w:r>
      <w:r w:rsidR="0093465D">
        <w:rPr>
          <w:rFonts w:eastAsia="Calibri" w:cs="Times New Roman"/>
          <w:b/>
          <w:color w:val="0000FF"/>
        </w:rPr>
        <w:t xml:space="preserve"> (</w:t>
      </w:r>
      <w:r w:rsidR="00E94725">
        <w:rPr>
          <w:rFonts w:eastAsia="Calibri" w:cs="Times New Roman"/>
          <w:b/>
          <w:color w:val="0000FF"/>
        </w:rPr>
        <w:t>u</w:t>
      </w:r>
      <w:r w:rsidR="0093465D">
        <w:rPr>
          <w:rFonts w:eastAsia="Calibri" w:cs="Times New Roman"/>
          <w:b/>
          <w:color w:val="0000FF"/>
        </w:rPr>
        <w:t>nit of analysis is patient stays)</w:t>
      </w:r>
      <w:r w:rsidRPr="009B6FE5">
        <w:rPr>
          <w:rFonts w:eastAsia="Calibri" w:cs="Times New Roman"/>
          <w:b/>
          <w:color w:val="0000FF"/>
        </w:rPr>
        <w:t xml:space="preserve">: </w:t>
      </w:r>
      <w:r w:rsidR="00094653" w:rsidRPr="00094653">
        <w:rPr>
          <w:rFonts w:eastAsia="Calibri" w:cs="Times New Roman"/>
          <w:color w:val="0000FF"/>
        </w:rPr>
        <w:t>Analysis of the</w:t>
      </w:r>
      <w:r w:rsidR="00094653">
        <w:rPr>
          <w:rFonts w:eastAsia="Calibri" w:cs="Times New Roman"/>
          <w:b/>
          <w:color w:val="0000FF"/>
        </w:rPr>
        <w:t xml:space="preserve"> </w:t>
      </w:r>
      <w:r w:rsidR="009B6FE5" w:rsidRPr="009B6FE5">
        <w:rPr>
          <w:rFonts w:ascii="Calibri" w:eastAsia="Calibri" w:hAnsi="Calibri" w:cs="Times New Roman"/>
          <w:color w:val="0000FF"/>
        </w:rPr>
        <w:t>mobility</w:t>
      </w:r>
      <w:r w:rsidRPr="009B6FE5">
        <w:rPr>
          <w:rFonts w:ascii="Calibri" w:eastAsia="Calibri" w:hAnsi="Calibri" w:cs="Times New Roman"/>
          <w:color w:val="0000FF"/>
        </w:rPr>
        <w:t xml:space="preserve"> </w:t>
      </w:r>
      <w:r w:rsidR="00094653">
        <w:rPr>
          <w:rFonts w:ascii="Calibri" w:eastAsia="Calibri" w:hAnsi="Calibri" w:cs="Times New Roman"/>
          <w:color w:val="0000FF"/>
        </w:rPr>
        <w:t xml:space="preserve">data </w:t>
      </w:r>
      <w:r w:rsidRPr="009B6FE5">
        <w:rPr>
          <w:rFonts w:ascii="Calibri" w:eastAsia="Calibri" w:hAnsi="Calibri" w:cs="Times New Roman"/>
          <w:color w:val="0000FF"/>
        </w:rPr>
        <w:t>showed good reliability statistics. The overall Cronbach’s alpha is 0.9</w:t>
      </w:r>
      <w:r w:rsidR="00170616">
        <w:rPr>
          <w:rFonts w:ascii="Calibri" w:eastAsia="Calibri" w:hAnsi="Calibri" w:cs="Times New Roman"/>
          <w:color w:val="0000FF"/>
        </w:rPr>
        <w:t>7</w:t>
      </w:r>
      <w:r w:rsidRPr="009B6FE5">
        <w:rPr>
          <w:rFonts w:cstheme="minorHAnsi"/>
          <w:color w:val="0000FF"/>
        </w:rPr>
        <w:t>.</w:t>
      </w:r>
    </w:p>
    <w:p w14:paraId="0CABCFD4" w14:textId="399853B3"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bookmarkStart w:id="23" w:name="_Hlk533774316"/>
    </w:p>
    <w:p w14:paraId="2AE4E329" w14:textId="6E0ACA68" w:rsidR="00DC034F" w:rsidRDefault="007D5A1F" w:rsidP="00DC034F">
      <w:pPr>
        <w:autoSpaceDE w:val="0"/>
        <w:autoSpaceDN w:val="0"/>
        <w:adjustRightInd w:val="0"/>
        <w:spacing w:after="0" w:line="240" w:lineRule="auto"/>
        <w:rPr>
          <w:rFonts w:eastAsia="Calibri" w:cs="Times New Roman"/>
          <w:color w:val="0000FF"/>
        </w:rPr>
      </w:pPr>
      <w:bookmarkStart w:id="24" w:name="_Hlk534487979"/>
      <w:r>
        <w:rPr>
          <w:rFonts w:eastAsia="Calibri" w:cs="Times New Roman"/>
          <w:color w:val="0000FF"/>
        </w:rPr>
        <w:t>The</w:t>
      </w:r>
      <w:r w:rsidRPr="007D5A1F">
        <w:rPr>
          <w:rFonts w:eastAsia="Calibri" w:cs="Times New Roman"/>
          <w:color w:val="0000FF"/>
        </w:rPr>
        <w:t xml:space="preserve"> analysis of </w:t>
      </w:r>
      <w:r>
        <w:rPr>
          <w:rFonts w:eastAsia="Calibri" w:cs="Times New Roman"/>
          <w:color w:val="0000FF"/>
        </w:rPr>
        <w:t xml:space="preserve">calendar year </w:t>
      </w:r>
      <w:r w:rsidRPr="007D5A1F">
        <w:rPr>
          <w:rFonts w:eastAsia="Calibri" w:cs="Times New Roman"/>
          <w:color w:val="0000FF"/>
        </w:rPr>
        <w:t>2017 data show th</w:t>
      </w:r>
      <w:r>
        <w:rPr>
          <w:rFonts w:eastAsia="Calibri" w:cs="Times New Roman"/>
          <w:color w:val="0000FF"/>
        </w:rPr>
        <w:t>at</w:t>
      </w:r>
      <w:r w:rsidRPr="007D5A1F">
        <w:rPr>
          <w:rFonts w:eastAsia="Calibri" w:cs="Times New Roman"/>
          <w:color w:val="0000FF"/>
        </w:rPr>
        <w:t xml:space="preserve"> p</w:t>
      </w:r>
      <w:r w:rsidR="00DC034F" w:rsidRPr="007D5A1F">
        <w:rPr>
          <w:rFonts w:eastAsia="Calibri" w:cs="Times New Roman"/>
          <w:color w:val="0000FF"/>
        </w:rPr>
        <w:t xml:space="preserve">rovider-level reliability </w:t>
      </w:r>
      <w:r w:rsidRPr="007D5A1F">
        <w:rPr>
          <w:rFonts w:eastAsia="Calibri" w:cs="Times New Roman"/>
          <w:color w:val="0000FF"/>
        </w:rPr>
        <w:t>of the computed performance measure scores w</w:t>
      </w:r>
      <w:r w:rsidR="00100EB4">
        <w:rPr>
          <w:rFonts w:eastAsia="Calibri" w:cs="Times New Roman"/>
          <w:color w:val="0000FF"/>
        </w:rPr>
        <w:t>as</w:t>
      </w:r>
      <w:r w:rsidRPr="007D5A1F">
        <w:rPr>
          <w:rFonts w:eastAsia="Calibri" w:cs="Times New Roman"/>
          <w:color w:val="0000FF"/>
        </w:rPr>
        <w:t xml:space="preserve"> </w:t>
      </w:r>
      <w:r w:rsidR="00DC034F" w:rsidRPr="007D5A1F">
        <w:rPr>
          <w:rFonts w:eastAsia="Calibri" w:cs="Times New Roman"/>
          <w:color w:val="0000FF"/>
        </w:rPr>
        <w:t xml:space="preserve">strong overall and when stratified by provider volume. </w:t>
      </w:r>
      <w:r>
        <w:rPr>
          <w:rFonts w:eastAsia="Calibri" w:cs="Times New Roman"/>
          <w:color w:val="0000FF"/>
        </w:rPr>
        <w:t xml:space="preserve">The patient-level analysis of fiscal year 2017 </w:t>
      </w:r>
      <w:r w:rsidR="0074640B">
        <w:rPr>
          <w:rFonts w:eastAsia="Calibri" w:cs="Times New Roman"/>
          <w:color w:val="0000FF"/>
        </w:rPr>
        <w:t xml:space="preserve">data </w:t>
      </w:r>
      <w:r w:rsidR="00100EB4">
        <w:rPr>
          <w:rFonts w:eastAsia="Calibri" w:cs="Times New Roman"/>
          <w:color w:val="0000FF"/>
        </w:rPr>
        <w:t>of the</w:t>
      </w:r>
      <w:r w:rsidR="0074640B">
        <w:rPr>
          <w:rFonts w:eastAsia="Calibri" w:cs="Times New Roman"/>
          <w:color w:val="0000FF"/>
        </w:rPr>
        <w:t xml:space="preserve"> </w:t>
      </w:r>
      <w:r>
        <w:rPr>
          <w:rFonts w:eastAsia="Calibri" w:cs="Times New Roman"/>
          <w:color w:val="0000FF"/>
        </w:rPr>
        <w:t>s</w:t>
      </w:r>
      <w:r w:rsidR="00DC034F" w:rsidRPr="00B237FD">
        <w:rPr>
          <w:rFonts w:eastAsia="Calibri" w:cs="Times New Roman"/>
          <w:color w:val="0000FF"/>
        </w:rPr>
        <w:t>cale</w:t>
      </w:r>
      <w:r>
        <w:rPr>
          <w:rFonts w:eastAsia="Calibri" w:cs="Times New Roman"/>
          <w:color w:val="0000FF"/>
        </w:rPr>
        <w:t>/</w:t>
      </w:r>
      <w:r w:rsidR="0074640B">
        <w:rPr>
          <w:rFonts w:eastAsia="Calibri" w:cs="Times New Roman"/>
          <w:color w:val="0000FF"/>
        </w:rPr>
        <w:t>instrument</w:t>
      </w:r>
      <w:r w:rsidR="00DC034F" w:rsidRPr="00B237FD">
        <w:rPr>
          <w:rFonts w:eastAsia="Calibri" w:cs="Times New Roman"/>
          <w:color w:val="0000FF"/>
        </w:rPr>
        <w:t xml:space="preserve"> reliability </w:t>
      </w:r>
      <w:r w:rsidR="00100EB4">
        <w:rPr>
          <w:rFonts w:eastAsia="Calibri" w:cs="Times New Roman"/>
          <w:color w:val="0000FF"/>
        </w:rPr>
        <w:t>showed</w:t>
      </w:r>
      <w:r w:rsidR="00DC034F" w:rsidRPr="00B237FD">
        <w:rPr>
          <w:rFonts w:eastAsia="Calibri" w:cs="Times New Roman"/>
          <w:color w:val="0000FF"/>
        </w:rPr>
        <w:t xml:space="preserve"> </w:t>
      </w:r>
      <w:r w:rsidR="00FC131D">
        <w:rPr>
          <w:rFonts w:eastAsia="Calibri" w:cs="Times New Roman"/>
          <w:color w:val="0000FF"/>
        </w:rPr>
        <w:t xml:space="preserve">very good </w:t>
      </w:r>
      <w:r w:rsidR="00DC034F" w:rsidRPr="00B237FD">
        <w:rPr>
          <w:rFonts w:eastAsia="Calibri" w:cs="Times New Roman"/>
          <w:color w:val="0000FF"/>
        </w:rPr>
        <w:t>reliability</w:t>
      </w:r>
      <w:r w:rsidR="00100EB4">
        <w:rPr>
          <w:rFonts w:eastAsia="Calibri" w:cs="Times New Roman"/>
          <w:color w:val="0000FF"/>
        </w:rPr>
        <w:t>.</w:t>
      </w:r>
      <w:r w:rsidR="00DC034F" w:rsidRPr="00B237FD">
        <w:rPr>
          <w:rFonts w:eastAsia="Calibri" w:cs="Times New Roman"/>
          <w:color w:val="0000FF"/>
        </w:rPr>
        <w:t xml:space="preserve"> </w:t>
      </w:r>
    </w:p>
    <w:p w14:paraId="35983ABB" w14:textId="2C11D766" w:rsidR="00100EB4" w:rsidRDefault="00100EB4" w:rsidP="00DC034F">
      <w:pPr>
        <w:autoSpaceDE w:val="0"/>
        <w:autoSpaceDN w:val="0"/>
        <w:adjustRightInd w:val="0"/>
        <w:spacing w:after="0" w:line="240" w:lineRule="auto"/>
        <w:rPr>
          <w:rFonts w:cstheme="minorHAnsi"/>
          <w:bCs/>
        </w:rPr>
      </w:pPr>
    </w:p>
    <w:p w14:paraId="7C95ABB8" w14:textId="5F15B9DB" w:rsidR="00EF44F4" w:rsidRPr="00100EB4" w:rsidRDefault="00EF44F4" w:rsidP="00EF44F4">
      <w:pPr>
        <w:autoSpaceDE w:val="0"/>
        <w:autoSpaceDN w:val="0"/>
        <w:adjustRightInd w:val="0"/>
        <w:spacing w:after="0" w:line="240" w:lineRule="auto"/>
        <w:rPr>
          <w:rFonts w:cstheme="minorHAnsi"/>
          <w:bCs/>
          <w:color w:val="0000FF"/>
        </w:rPr>
      </w:pPr>
      <w:r>
        <w:rPr>
          <w:rFonts w:cstheme="minorHAnsi"/>
          <w:bCs/>
          <w:color w:val="0000FF"/>
        </w:rPr>
        <w:t xml:space="preserve">Critical data element inter-rater reliability and video reliability testing found very good to substantial reliability overall. </w:t>
      </w:r>
    </w:p>
    <w:bookmarkEnd w:id="23"/>
    <w:bookmarkEnd w:id="24"/>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A300A92" w14:textId="77777777" w:rsidR="00DD208F" w:rsidRDefault="00DD208F" w:rsidP="00DB3627">
      <w:pPr>
        <w:autoSpaceDE w:val="0"/>
        <w:autoSpaceDN w:val="0"/>
        <w:adjustRightInd w:val="0"/>
        <w:spacing w:after="0" w:line="240" w:lineRule="auto"/>
        <w:rPr>
          <w:rFonts w:cstheme="minorHAnsi"/>
          <w:b/>
          <w:noProof/>
        </w:rPr>
      </w:pPr>
    </w:p>
    <w:p w14:paraId="0CABCFD6" w14:textId="56D02533"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705FBC0C"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4B34C6ED" w:rsidR="00696262" w:rsidRPr="00A25024" w:rsidRDefault="00DF56A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78A8B33F" w:rsidR="000574AB" w:rsidRPr="00A25024" w:rsidRDefault="00DF56A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FF3FC4">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0BC8D811" w:rsidR="0083332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61226B22" w14:textId="7C1F5814" w:rsidR="00DC034F" w:rsidRDefault="000152E2" w:rsidP="00DC034F">
      <w:pPr>
        <w:keepNext/>
        <w:spacing w:after="240" w:line="240" w:lineRule="auto"/>
        <w:outlineLvl w:val="4"/>
        <w:rPr>
          <w:rFonts w:ascii="Calibri" w:eastAsia="Calibri" w:hAnsi="Calibri" w:cs="Times New Roman"/>
          <w:color w:val="0000FF"/>
        </w:rPr>
      </w:pPr>
      <w:r>
        <w:rPr>
          <w:rFonts w:ascii="Calibri" w:eastAsia="Calibri" w:hAnsi="Calibri" w:cs="Times New Roman"/>
          <w:b/>
          <w:color w:val="0000FF"/>
        </w:rPr>
        <w:lastRenderedPageBreak/>
        <w:t xml:space="preserve">Scale/Instrument </w:t>
      </w:r>
      <w:r w:rsidR="00DC034F" w:rsidRPr="00DC034F">
        <w:rPr>
          <w:rFonts w:ascii="Calibri" w:eastAsia="Calibri" w:hAnsi="Calibri" w:cs="Times New Roman"/>
          <w:b/>
          <w:color w:val="0000FF"/>
        </w:rPr>
        <w:t xml:space="preserve">Content Validity - Similarity of </w:t>
      </w:r>
      <w:r w:rsidR="00745539">
        <w:rPr>
          <w:rFonts w:ascii="Calibri" w:eastAsia="Calibri" w:hAnsi="Calibri" w:cs="Times New Roman"/>
          <w:b/>
          <w:color w:val="0000FF"/>
        </w:rPr>
        <w:t xml:space="preserve">Data </w:t>
      </w:r>
      <w:r w:rsidR="00F8435F" w:rsidRPr="00634B68">
        <w:rPr>
          <w:rFonts w:ascii="Calibri" w:eastAsia="Calibri" w:hAnsi="Calibri" w:cs="Times New Roman"/>
          <w:b/>
          <w:color w:val="0000FF"/>
        </w:rPr>
        <w:t>E</w:t>
      </w:r>
      <w:r w:rsidR="00745539">
        <w:rPr>
          <w:rFonts w:ascii="Calibri" w:eastAsia="Calibri" w:hAnsi="Calibri" w:cs="Times New Roman"/>
          <w:b/>
          <w:color w:val="0000FF"/>
        </w:rPr>
        <w:t>lement</w:t>
      </w:r>
      <w:r w:rsidR="00DC034F" w:rsidRPr="00DC034F">
        <w:rPr>
          <w:rFonts w:ascii="Calibri" w:eastAsia="Calibri" w:hAnsi="Calibri" w:cs="Times New Roman"/>
          <w:b/>
          <w:color w:val="0000FF"/>
        </w:rPr>
        <w:t xml:space="preserve">s Across Other </w:t>
      </w:r>
      <w:r w:rsidR="0095416E">
        <w:rPr>
          <w:rFonts w:ascii="Calibri" w:eastAsia="Calibri" w:hAnsi="Calibri" w:cs="Times New Roman"/>
          <w:b/>
          <w:color w:val="0000FF"/>
        </w:rPr>
        <w:t>Mobility</w:t>
      </w:r>
      <w:r w:rsidR="00DC034F" w:rsidRPr="00DC034F">
        <w:rPr>
          <w:rFonts w:ascii="Calibri" w:eastAsia="Calibri" w:hAnsi="Calibri" w:cs="Times New Roman"/>
          <w:b/>
          <w:color w:val="0000FF"/>
        </w:rPr>
        <w:t xml:space="preserve"> Assessment Instruments: </w:t>
      </w:r>
      <w:bookmarkStart w:id="25" w:name="_Hlk534488149"/>
      <w:r w:rsidR="00DC034F" w:rsidRPr="00DC034F">
        <w:rPr>
          <w:rFonts w:ascii="Calibri" w:eastAsia="Calibri" w:hAnsi="Calibri" w:cs="Times New Roman"/>
          <w:color w:val="0000FF"/>
        </w:rPr>
        <w:t xml:space="preserve">Patient functioning is a </w:t>
      </w:r>
      <w:r w:rsidR="00AA59B1">
        <w:rPr>
          <w:rFonts w:ascii="Calibri" w:eastAsia="Calibri" w:hAnsi="Calibri" w:cs="Times New Roman"/>
          <w:color w:val="0000FF"/>
        </w:rPr>
        <w:t xml:space="preserve">construct that is </w:t>
      </w:r>
      <w:r w:rsidR="00F4395D">
        <w:rPr>
          <w:rFonts w:ascii="Calibri" w:eastAsia="Calibri" w:hAnsi="Calibri" w:cs="Times New Roman"/>
          <w:color w:val="0000FF"/>
        </w:rPr>
        <w:t xml:space="preserve">often </w:t>
      </w:r>
      <w:r w:rsidR="00AA59B1">
        <w:rPr>
          <w:rFonts w:ascii="Calibri" w:eastAsia="Calibri" w:hAnsi="Calibri" w:cs="Times New Roman"/>
          <w:color w:val="0000FF"/>
        </w:rPr>
        <w:t>measured based on patient abilities</w:t>
      </w:r>
      <w:r w:rsidR="00F4395D">
        <w:rPr>
          <w:rFonts w:ascii="Calibri" w:eastAsia="Calibri" w:hAnsi="Calibri" w:cs="Times New Roman"/>
          <w:color w:val="0000FF"/>
        </w:rPr>
        <w:t>, and the</w:t>
      </w:r>
      <w:r w:rsidR="00DC034F" w:rsidRPr="00DC034F">
        <w:rPr>
          <w:rFonts w:ascii="Calibri" w:eastAsia="Calibri" w:hAnsi="Calibri" w:cs="Times New Roman"/>
          <w:color w:val="0000FF"/>
        </w:rPr>
        <w:t xml:space="preserve"> activities (</w:t>
      </w:r>
      <w:r w:rsidR="00AA59B1">
        <w:rPr>
          <w:rFonts w:ascii="Calibri" w:eastAsia="Calibri" w:hAnsi="Calibri" w:cs="Times New Roman"/>
          <w:color w:val="0000FF"/>
        </w:rPr>
        <w:t>data elements)</w:t>
      </w:r>
      <w:r w:rsidR="00DC034F" w:rsidRPr="00DC034F">
        <w:rPr>
          <w:rFonts w:ascii="Calibri" w:eastAsia="Calibri" w:hAnsi="Calibri" w:cs="Times New Roman"/>
          <w:color w:val="0000FF"/>
        </w:rPr>
        <w:t xml:space="preserve"> included in functional assessment instruments vary. We compared the </w:t>
      </w:r>
      <w:r w:rsidR="00F4395D">
        <w:rPr>
          <w:rFonts w:ascii="Calibri" w:eastAsia="Calibri" w:hAnsi="Calibri" w:cs="Times New Roman"/>
          <w:color w:val="0000FF"/>
        </w:rPr>
        <w:t xml:space="preserve">list of Section GG data elements </w:t>
      </w:r>
      <w:r w:rsidR="00DC034F" w:rsidRPr="00DC034F">
        <w:rPr>
          <w:rFonts w:ascii="Calibri" w:eastAsia="Calibri" w:hAnsi="Calibri" w:cs="Times New Roman"/>
          <w:color w:val="0000FF"/>
        </w:rPr>
        <w:t xml:space="preserve">used to calculate the Change in Mobility </w:t>
      </w:r>
      <w:r w:rsidR="00745539">
        <w:rPr>
          <w:rFonts w:ascii="Calibri" w:eastAsia="Calibri" w:hAnsi="Calibri" w:cs="Times New Roman"/>
          <w:color w:val="0000FF"/>
        </w:rPr>
        <w:t>performance measure</w:t>
      </w:r>
      <w:r w:rsidR="00F4395D">
        <w:rPr>
          <w:rFonts w:ascii="Calibri" w:eastAsia="Calibri" w:hAnsi="Calibri" w:cs="Times New Roman"/>
          <w:color w:val="0000FF"/>
        </w:rPr>
        <w:t xml:space="preserve"> with mobility data elements included </w:t>
      </w:r>
      <w:r w:rsidR="00F4395D" w:rsidRPr="00DC034F">
        <w:rPr>
          <w:rFonts w:ascii="Calibri" w:eastAsia="Calibri" w:hAnsi="Calibri" w:cs="Times New Roman"/>
          <w:color w:val="0000FF"/>
        </w:rPr>
        <w:t>on other functional assessment instruments</w:t>
      </w:r>
      <w:r w:rsidR="00DC034F" w:rsidRPr="00DC034F">
        <w:rPr>
          <w:rFonts w:ascii="Calibri" w:eastAsia="Calibri" w:hAnsi="Calibri" w:cs="Times New Roman"/>
          <w:color w:val="0000FF"/>
        </w:rPr>
        <w:t>.</w:t>
      </w:r>
      <w:bookmarkEnd w:id="25"/>
    </w:p>
    <w:p w14:paraId="58070AD4" w14:textId="6361C391" w:rsidR="00D724B7" w:rsidRPr="00D77E49" w:rsidRDefault="00D724B7" w:rsidP="00DC034F">
      <w:pPr>
        <w:autoSpaceDE w:val="0"/>
        <w:autoSpaceDN w:val="0"/>
        <w:adjustRightInd w:val="0"/>
        <w:spacing w:after="0" w:line="240" w:lineRule="auto"/>
        <w:rPr>
          <w:rFonts w:ascii="Calibri" w:eastAsia="Calibri" w:hAnsi="Calibri" w:cs="Times New Roman"/>
          <w:b/>
          <w:color w:val="0000FF"/>
        </w:rPr>
      </w:pPr>
      <w:r w:rsidRPr="00D77E49">
        <w:rPr>
          <w:rFonts w:ascii="Calibri" w:eastAsia="Calibri" w:hAnsi="Calibri" w:cs="Times New Roman"/>
          <w:b/>
          <w:color w:val="0000FF"/>
        </w:rPr>
        <w:t>Face Validity – Technical Expert Survey</w:t>
      </w:r>
      <w:r w:rsidR="00D77E49">
        <w:rPr>
          <w:rFonts w:ascii="Calibri" w:eastAsia="Calibri" w:hAnsi="Calibri" w:cs="Times New Roman"/>
          <w:b/>
          <w:color w:val="0000FF"/>
        </w:rPr>
        <w:t>:</w:t>
      </w:r>
      <w:r w:rsidRPr="00D77E49">
        <w:rPr>
          <w:rFonts w:ascii="Calibri" w:eastAsia="Calibri" w:hAnsi="Calibri" w:cs="Times New Roman"/>
          <w:color w:val="0000FF"/>
        </w:rPr>
        <w:t xml:space="preserve"> On March 27, 2017, RTI International, on behalf of the Centers for Medicare &amp; Medicaid Services (CMS), convened an in-person Technical Expert Panel (TEP) in Baltimore, MD, to seek expert input on the Inpatient Rehabilitation Facilities Quality Reporting Program (IRF QRP) quality measures, including the functional status performance measures. Prior to the TEP meeting, TEP members provided feedback on the importance, scientific soundness and usability of each of the performance measures using a 5-level Likert scale (high, moderately high, neutral, moderately low, low).</w:t>
      </w:r>
    </w:p>
    <w:p w14:paraId="6135926B" w14:textId="77777777" w:rsidR="00D724B7" w:rsidRDefault="00D724B7" w:rsidP="00DC034F">
      <w:pPr>
        <w:autoSpaceDE w:val="0"/>
        <w:autoSpaceDN w:val="0"/>
        <w:adjustRightInd w:val="0"/>
        <w:spacing w:after="0" w:line="240" w:lineRule="auto"/>
        <w:rPr>
          <w:rFonts w:ascii="Calibri" w:eastAsia="Calibri" w:hAnsi="Calibri" w:cs="Times New Roman"/>
          <w:b/>
          <w:color w:val="0000FF"/>
        </w:rPr>
      </w:pPr>
    </w:p>
    <w:p w14:paraId="36EE8D4C" w14:textId="773AAA4B" w:rsidR="000152E2" w:rsidRDefault="000152E2" w:rsidP="00DC034F">
      <w:pPr>
        <w:autoSpaceDE w:val="0"/>
        <w:autoSpaceDN w:val="0"/>
        <w:adjustRightInd w:val="0"/>
        <w:spacing w:after="0" w:line="240" w:lineRule="auto"/>
        <w:rPr>
          <w:color w:val="0000FF"/>
        </w:rPr>
      </w:pPr>
      <w:r>
        <w:rPr>
          <w:rFonts w:ascii="Calibri" w:eastAsia="Calibri" w:hAnsi="Calibri" w:cs="Times New Roman"/>
          <w:b/>
          <w:color w:val="0000FF"/>
        </w:rPr>
        <w:t>Data Element C</w:t>
      </w:r>
      <w:r w:rsidR="00DC034F" w:rsidRPr="00DC034F">
        <w:rPr>
          <w:rFonts w:ascii="Calibri" w:eastAsia="Calibri" w:hAnsi="Calibri" w:cs="Times New Roman"/>
          <w:b/>
          <w:color w:val="0000FF"/>
        </w:rPr>
        <w:t xml:space="preserve">onstruct Validity – </w:t>
      </w:r>
      <w:r w:rsidR="00F4395D" w:rsidRPr="00D77E49">
        <w:rPr>
          <w:rFonts w:ascii="Calibri" w:eastAsia="Calibri" w:hAnsi="Calibri" w:cs="Times New Roman"/>
          <w:b/>
          <w:color w:val="0000FF"/>
        </w:rPr>
        <w:t>Observed</w:t>
      </w:r>
      <w:r w:rsidR="00F4395D">
        <w:rPr>
          <w:rFonts w:ascii="Calibri" w:eastAsia="Calibri" w:hAnsi="Calibri" w:cs="Times New Roman"/>
          <w:b/>
          <w:color w:val="0000FF"/>
        </w:rPr>
        <w:t xml:space="preserve"> </w:t>
      </w:r>
      <w:r w:rsidR="00DC034F" w:rsidRPr="00DC034F">
        <w:rPr>
          <w:rFonts w:ascii="Calibri" w:eastAsia="Calibri" w:hAnsi="Calibri" w:cs="Times New Roman"/>
          <w:b/>
          <w:color w:val="0000FF"/>
        </w:rPr>
        <w:t xml:space="preserve">Discharge Mobility Scores </w:t>
      </w:r>
      <w:r w:rsidR="00F4395D">
        <w:rPr>
          <w:rFonts w:ascii="Calibri" w:eastAsia="Calibri" w:hAnsi="Calibri" w:cs="Times New Roman"/>
          <w:b/>
          <w:color w:val="0000FF"/>
        </w:rPr>
        <w:t>and</w:t>
      </w:r>
      <w:r w:rsidR="00DC034F" w:rsidRPr="00DC034F">
        <w:rPr>
          <w:rFonts w:ascii="Calibri" w:eastAsia="Calibri" w:hAnsi="Calibri" w:cs="Times New Roman"/>
          <w:b/>
          <w:color w:val="0000FF"/>
        </w:rPr>
        <w:t xml:space="preserve"> Discharge Destination</w:t>
      </w:r>
      <w:r w:rsidR="00F4395D">
        <w:rPr>
          <w:rFonts w:ascii="Calibri" w:eastAsia="Calibri" w:hAnsi="Calibri" w:cs="Times New Roman"/>
          <w:b/>
          <w:color w:val="0000FF"/>
        </w:rPr>
        <w:t xml:space="preserve"> (unit of analysis is patient stays)</w:t>
      </w:r>
      <w:r w:rsidR="00DC034F" w:rsidRPr="00DC034F">
        <w:rPr>
          <w:rFonts w:ascii="Calibri" w:eastAsia="Calibri" w:hAnsi="Calibri" w:cs="Times New Roman"/>
          <w:b/>
          <w:color w:val="0000FF"/>
        </w:rPr>
        <w:t xml:space="preserve">: </w:t>
      </w:r>
      <w:bookmarkStart w:id="26" w:name="_Hlk533964950"/>
      <w:r w:rsidR="00DC034F" w:rsidRPr="00DC034F">
        <w:rPr>
          <w:rFonts w:ascii="Calibri" w:eastAsia="Calibri" w:hAnsi="Calibri" w:cs="Times New Roman"/>
          <w:color w:val="0000FF"/>
        </w:rPr>
        <w:t xml:space="preserve">We tested the validity of the </w:t>
      </w:r>
      <w:r>
        <w:rPr>
          <w:rFonts w:ascii="Calibri" w:eastAsia="Calibri" w:hAnsi="Calibri" w:cs="Times New Roman"/>
          <w:color w:val="0000FF"/>
        </w:rPr>
        <w:t xml:space="preserve">mobility </w:t>
      </w:r>
      <w:r w:rsidR="00F4395D">
        <w:rPr>
          <w:rFonts w:ascii="Calibri" w:eastAsia="Calibri" w:hAnsi="Calibri" w:cs="Times New Roman"/>
          <w:color w:val="0000FF"/>
        </w:rPr>
        <w:t xml:space="preserve">data </w:t>
      </w:r>
      <w:r w:rsidR="00DC034F" w:rsidRPr="00DC034F">
        <w:rPr>
          <w:rFonts w:ascii="Calibri" w:eastAsia="Calibri" w:hAnsi="Calibri" w:cs="Times New Roman"/>
          <w:color w:val="0000FF"/>
        </w:rPr>
        <w:t xml:space="preserve">by examining the discharge function scores and whether patients were discharged to a community destination. </w:t>
      </w:r>
      <w:r w:rsidR="00DC034F" w:rsidRPr="00DC034F">
        <w:rPr>
          <w:rFonts w:ascii="Calibri" w:eastAsia="Calibri" w:hAnsi="Calibri"/>
          <w:color w:val="0000FF"/>
        </w:rPr>
        <w:t xml:space="preserve">IRFs provide intensive rehabilitation services to patients with a goal of maximizing patient functioning so that the patient can be ideally discharged home and avoid institutionalization. IRF patients who have higher abilities are more likely to be discharged to their home or another community-based setting compared to patients discharged to another post-acute care setting (e.g., skilled nursing facility, long-term care </w:t>
      </w:r>
      <w:bookmarkEnd w:id="26"/>
      <w:r w:rsidR="00DC034F" w:rsidRPr="00DC034F">
        <w:rPr>
          <w:rFonts w:ascii="Calibri" w:eastAsia="Calibri" w:hAnsi="Calibri"/>
          <w:color w:val="0000FF"/>
        </w:rPr>
        <w:t xml:space="preserve">hospital), nursing home, hospice, or an acute-care hospital. Therefore, we tested the construct validity of the mobility </w:t>
      </w:r>
      <w:r w:rsidR="00F4395D">
        <w:rPr>
          <w:rFonts w:ascii="Calibri" w:eastAsia="Calibri" w:hAnsi="Calibri"/>
          <w:color w:val="0000FF"/>
        </w:rPr>
        <w:t xml:space="preserve">data </w:t>
      </w:r>
      <w:r w:rsidR="00DC034F" w:rsidRPr="00DC034F">
        <w:rPr>
          <w:rFonts w:ascii="Calibri" w:eastAsia="Calibri" w:hAnsi="Calibri"/>
          <w:color w:val="0000FF"/>
        </w:rPr>
        <w:t xml:space="preserve">by examining the relation between </w:t>
      </w:r>
      <w:r w:rsidR="00DC034F" w:rsidRPr="00DC034F">
        <w:rPr>
          <w:color w:val="0000FF"/>
        </w:rPr>
        <w:t xml:space="preserve">discharge mobility scores and being discharged to the community, after excluding incomplete stays. </w:t>
      </w:r>
    </w:p>
    <w:p w14:paraId="5A05DBC9" w14:textId="77777777" w:rsidR="00E94725" w:rsidRDefault="00E94725" w:rsidP="00DC034F">
      <w:pPr>
        <w:autoSpaceDE w:val="0"/>
        <w:autoSpaceDN w:val="0"/>
        <w:adjustRightInd w:val="0"/>
        <w:spacing w:after="0" w:line="240" w:lineRule="auto"/>
        <w:rPr>
          <w:color w:val="0000FF"/>
        </w:rPr>
      </w:pPr>
    </w:p>
    <w:p w14:paraId="0074EE1E" w14:textId="668A8F0A" w:rsidR="00DC034F" w:rsidRPr="00DC034F" w:rsidRDefault="000152E2" w:rsidP="00DC034F">
      <w:pPr>
        <w:autoSpaceDE w:val="0"/>
        <w:autoSpaceDN w:val="0"/>
        <w:adjustRightInd w:val="0"/>
        <w:spacing w:after="0" w:line="240" w:lineRule="auto"/>
        <w:rPr>
          <w:rFonts w:ascii="Calibri" w:eastAsia="Calibri" w:hAnsi="Calibri" w:cs="Times New Roman"/>
          <w:color w:val="0000FF"/>
        </w:rPr>
      </w:pPr>
      <w:bookmarkStart w:id="27" w:name="_Hlk533775779"/>
      <w:bookmarkStart w:id="28" w:name="_Hlk533964994"/>
      <w:r>
        <w:rPr>
          <w:rFonts w:ascii="Calibri" w:eastAsia="Calibri" w:hAnsi="Calibri" w:cs="Times New Roman"/>
          <w:b/>
          <w:color w:val="0000FF"/>
        </w:rPr>
        <w:t>Scale/Instrument</w:t>
      </w:r>
      <w:r w:rsidRPr="00DC034F">
        <w:rPr>
          <w:rFonts w:ascii="Calibri" w:eastAsia="Calibri" w:hAnsi="Calibri" w:cs="Times New Roman"/>
          <w:b/>
          <w:color w:val="0000FF"/>
        </w:rPr>
        <w:t xml:space="preserve"> Construct Validity – </w:t>
      </w:r>
      <w:r>
        <w:rPr>
          <w:rFonts w:ascii="Calibri" w:eastAsia="Calibri" w:hAnsi="Calibri" w:cs="Times New Roman"/>
          <w:b/>
          <w:color w:val="0000FF"/>
        </w:rPr>
        <w:t xml:space="preserve">Observed </w:t>
      </w:r>
      <w:r w:rsidRPr="00DC034F">
        <w:rPr>
          <w:rFonts w:ascii="Calibri" w:eastAsia="Calibri" w:hAnsi="Calibri" w:cs="Times New Roman"/>
          <w:b/>
          <w:color w:val="0000FF"/>
        </w:rPr>
        <w:t xml:space="preserve">Discharge Mobility Scores </w:t>
      </w:r>
      <w:r>
        <w:rPr>
          <w:rFonts w:ascii="Calibri" w:eastAsia="Calibri" w:hAnsi="Calibri" w:cs="Times New Roman"/>
          <w:b/>
          <w:color w:val="0000FF"/>
        </w:rPr>
        <w:t>and</w:t>
      </w:r>
      <w:r w:rsidRPr="00DC034F">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DC034F">
        <w:rPr>
          <w:rFonts w:ascii="Calibri" w:eastAsia="Calibri" w:hAnsi="Calibri" w:cs="Times New Roman"/>
          <w:b/>
          <w:color w:val="0000FF"/>
        </w:rPr>
        <w:t xml:space="preserve">: </w:t>
      </w:r>
      <w:bookmarkStart w:id="29" w:name="_Hlk533775832"/>
      <w:bookmarkEnd w:id="27"/>
      <w:r w:rsidRPr="00DC034F">
        <w:rPr>
          <w:rFonts w:ascii="Calibri" w:eastAsia="Calibri" w:hAnsi="Calibri" w:cs="Times New Roman"/>
          <w:color w:val="0000FF"/>
        </w:rPr>
        <w:t>We tested the validity of the scale</w:t>
      </w:r>
      <w:r>
        <w:rPr>
          <w:rFonts w:ascii="Calibri" w:eastAsia="Calibri" w:hAnsi="Calibri" w:cs="Times New Roman"/>
          <w:color w:val="0000FF"/>
        </w:rPr>
        <w:t>/instrument</w:t>
      </w:r>
      <w:r w:rsidRPr="00DC034F">
        <w:rPr>
          <w:rFonts w:ascii="Calibri" w:eastAsia="Calibri" w:hAnsi="Calibri" w:cs="Times New Roman"/>
          <w:color w:val="0000FF"/>
        </w:rPr>
        <w:t xml:space="preserve"> </w:t>
      </w:r>
      <w:r>
        <w:rPr>
          <w:rFonts w:ascii="Calibri" w:eastAsia="Calibri" w:hAnsi="Calibri" w:cs="Times New Roman"/>
          <w:color w:val="0000FF"/>
        </w:rPr>
        <w:t xml:space="preserve">scores </w:t>
      </w:r>
      <w:r w:rsidRPr="00DC034F">
        <w:rPr>
          <w:rFonts w:ascii="Calibri" w:eastAsia="Calibri" w:hAnsi="Calibri" w:cs="Times New Roman"/>
          <w:color w:val="0000FF"/>
        </w:rPr>
        <w:t xml:space="preserve">by examining the discharge </w:t>
      </w:r>
      <w:r>
        <w:rPr>
          <w:rFonts w:ascii="Calibri" w:eastAsia="Calibri" w:hAnsi="Calibri" w:cs="Times New Roman"/>
          <w:color w:val="0000FF"/>
        </w:rPr>
        <w:t>mobility</w:t>
      </w:r>
      <w:r w:rsidRPr="00DC034F">
        <w:rPr>
          <w:rFonts w:ascii="Calibri" w:eastAsia="Calibri" w:hAnsi="Calibri" w:cs="Times New Roman"/>
          <w:color w:val="0000FF"/>
        </w:rPr>
        <w:t xml:space="preserve"> </w:t>
      </w:r>
      <w:r w:rsidR="00D037CE">
        <w:rPr>
          <w:rFonts w:ascii="Calibri" w:eastAsia="Calibri" w:hAnsi="Calibri" w:cs="Times New Roman"/>
          <w:color w:val="0000FF"/>
        </w:rPr>
        <w:t xml:space="preserve">scale </w:t>
      </w:r>
      <w:r w:rsidRPr="00DC034F">
        <w:rPr>
          <w:rFonts w:ascii="Calibri" w:eastAsia="Calibri" w:hAnsi="Calibri" w:cs="Times New Roman"/>
          <w:color w:val="0000FF"/>
        </w:rPr>
        <w:t xml:space="preserve">scores and whether patients were discharged to a community destination. </w:t>
      </w:r>
      <w:bookmarkEnd w:id="29"/>
      <w:r w:rsidR="00DC034F" w:rsidRPr="00DC034F">
        <w:rPr>
          <w:color w:val="0000FF"/>
        </w:rPr>
        <w:t>We ran a logistic regression model to examine the association between discharge mobility scores and the odds of a community discharge.</w:t>
      </w:r>
    </w:p>
    <w:bookmarkEnd w:id="28"/>
    <w:p w14:paraId="20DFA48E" w14:textId="77777777" w:rsidR="00DC034F" w:rsidRPr="00DC034F" w:rsidRDefault="00DC034F" w:rsidP="00DC034F">
      <w:pPr>
        <w:autoSpaceDE w:val="0"/>
        <w:autoSpaceDN w:val="0"/>
        <w:adjustRightInd w:val="0"/>
        <w:spacing w:after="0" w:line="240" w:lineRule="auto"/>
        <w:rPr>
          <w:b/>
          <w:color w:val="0000FF"/>
          <w:highlight w:val="yellow"/>
        </w:rPr>
      </w:pPr>
    </w:p>
    <w:p w14:paraId="3EB8A325" w14:textId="042A09FE" w:rsidR="00DC034F" w:rsidRPr="00DC034F" w:rsidRDefault="00DC034F" w:rsidP="00DC034F">
      <w:pPr>
        <w:autoSpaceDE w:val="0"/>
        <w:autoSpaceDN w:val="0"/>
        <w:adjustRightInd w:val="0"/>
        <w:spacing w:after="0" w:line="240" w:lineRule="auto"/>
        <w:rPr>
          <w:rFonts w:ascii="Calibri" w:eastAsia="Calibri" w:hAnsi="Calibri"/>
          <w:bCs/>
          <w:color w:val="0000FF"/>
        </w:rPr>
      </w:pPr>
      <w:bookmarkStart w:id="30" w:name="_Hlk534489177"/>
      <w:bookmarkStart w:id="31" w:name="_Hlk533965037"/>
      <w:r w:rsidRPr="00DC034F">
        <w:rPr>
          <w:b/>
          <w:color w:val="0000FF"/>
        </w:rPr>
        <w:t>Scale</w:t>
      </w:r>
      <w:r w:rsidR="00753438">
        <w:rPr>
          <w:b/>
          <w:color w:val="0000FF"/>
        </w:rPr>
        <w:t>/Instrument</w:t>
      </w:r>
      <w:r w:rsidRPr="00DC034F">
        <w:rPr>
          <w:b/>
          <w:color w:val="0000FF"/>
        </w:rPr>
        <w:t xml:space="preserve"> </w:t>
      </w:r>
      <w:r w:rsidRPr="00DC034F">
        <w:rPr>
          <w:rFonts w:ascii="Calibri" w:eastAsia="Calibri" w:hAnsi="Calibri" w:cs="Times New Roman"/>
          <w:b/>
          <w:color w:val="0000FF"/>
        </w:rPr>
        <w:t xml:space="preserve">Construct Validity </w:t>
      </w:r>
      <w:r w:rsidR="00753438">
        <w:rPr>
          <w:rFonts w:ascii="Calibri" w:eastAsia="Calibri" w:hAnsi="Calibri" w:cs="Times New Roman"/>
          <w:b/>
          <w:color w:val="0000FF"/>
        </w:rPr>
        <w:t>–</w:t>
      </w:r>
      <w:r w:rsidRPr="00DC034F">
        <w:rPr>
          <w:rFonts w:ascii="Calibri" w:eastAsia="Calibri" w:hAnsi="Calibri" w:cs="Times New Roman"/>
          <w:b/>
          <w:color w:val="0000FF"/>
        </w:rPr>
        <w:t xml:space="preserve"> </w:t>
      </w:r>
      <w:r w:rsidR="00753438">
        <w:rPr>
          <w:rFonts w:ascii="Calibri" w:eastAsia="Calibri" w:hAnsi="Calibri" w:cs="Times New Roman"/>
          <w:b/>
          <w:color w:val="0000FF"/>
        </w:rPr>
        <w:t>Data Element</w:t>
      </w:r>
      <w:r w:rsidR="00F8435F">
        <w:rPr>
          <w:rFonts w:ascii="Calibri" w:eastAsia="Calibri" w:hAnsi="Calibri" w:cs="Times New Roman"/>
          <w:b/>
          <w:color w:val="0000FF"/>
        </w:rPr>
        <w:t xml:space="preserve"> (Item)</w:t>
      </w:r>
      <w:r w:rsidR="00753438">
        <w:rPr>
          <w:rFonts w:ascii="Calibri" w:eastAsia="Calibri" w:hAnsi="Calibri" w:cs="Times New Roman"/>
          <w:b/>
          <w:color w:val="0000FF"/>
        </w:rPr>
        <w:t xml:space="preserve"> </w:t>
      </w:r>
      <w:r w:rsidRPr="00DC034F">
        <w:rPr>
          <w:rFonts w:ascii="Calibri" w:eastAsia="Calibri" w:hAnsi="Calibri" w:cs="Times New Roman"/>
          <w:b/>
          <w:color w:val="0000FF"/>
        </w:rPr>
        <w:t xml:space="preserve">Difficulty Ordering </w:t>
      </w:r>
      <w:r w:rsidR="00753438">
        <w:rPr>
          <w:rFonts w:ascii="Calibri" w:eastAsia="Calibri" w:hAnsi="Calibri" w:cs="Times New Roman"/>
          <w:b/>
          <w:color w:val="0000FF"/>
        </w:rPr>
        <w:t xml:space="preserve">Using </w:t>
      </w:r>
      <w:r w:rsidRPr="00DC034F">
        <w:rPr>
          <w:b/>
          <w:color w:val="0000FF"/>
        </w:rPr>
        <w:t>Rasch Analysis</w:t>
      </w:r>
      <w:r w:rsidR="00753438">
        <w:rPr>
          <w:b/>
          <w:color w:val="0000FF"/>
        </w:rPr>
        <w:t xml:space="preserve"> (unit of analysis is patient assessment data</w:t>
      </w:r>
      <w:r w:rsidRPr="00DC034F">
        <w:rPr>
          <w:b/>
          <w:color w:val="0000FF"/>
        </w:rPr>
        <w:t>)</w:t>
      </w:r>
      <w:r w:rsidRPr="00DC034F">
        <w:rPr>
          <w:rFonts w:ascii="Calibri" w:eastAsia="Calibri" w:hAnsi="Calibri" w:cs="Times New Roman"/>
          <w:b/>
          <w:color w:val="0000FF"/>
        </w:rPr>
        <w:t xml:space="preserve">: </w:t>
      </w:r>
      <w:bookmarkEnd w:id="30"/>
      <w:r w:rsidRPr="00DC034F">
        <w:rPr>
          <w:rFonts w:ascii="Calibri" w:eastAsia="Calibri" w:hAnsi="Calibri"/>
          <w:bCs/>
          <w:color w:val="0000FF"/>
        </w:rPr>
        <w:t xml:space="preserve">Rasch analysis uses </w:t>
      </w:r>
      <w:r w:rsidR="00F97CE2">
        <w:rPr>
          <w:rFonts w:ascii="Calibri" w:eastAsia="Calibri" w:hAnsi="Calibri"/>
          <w:bCs/>
          <w:color w:val="0000FF"/>
        </w:rPr>
        <w:t xml:space="preserve">item </w:t>
      </w:r>
      <w:r w:rsidRPr="00DC034F">
        <w:rPr>
          <w:rFonts w:ascii="Calibri" w:eastAsia="Calibri" w:hAnsi="Calibri"/>
          <w:bCs/>
          <w:color w:val="0000FF"/>
        </w:rPr>
        <w:t xml:space="preserve">data to determine how well </w:t>
      </w:r>
      <w:r w:rsidR="00F97CE2">
        <w:rPr>
          <w:rFonts w:ascii="Calibri" w:eastAsia="Calibri" w:hAnsi="Calibri"/>
          <w:bCs/>
          <w:color w:val="0000FF"/>
        </w:rPr>
        <w:t xml:space="preserve">items </w:t>
      </w:r>
      <w:r w:rsidRPr="00DC034F">
        <w:rPr>
          <w:rFonts w:ascii="Calibri" w:eastAsia="Calibri" w:hAnsi="Calibri"/>
          <w:bCs/>
          <w:color w:val="0000FF"/>
        </w:rPr>
        <w:t>in a scale</w:t>
      </w:r>
      <w:r w:rsidR="00F97CE2">
        <w:rPr>
          <w:rFonts w:ascii="Calibri" w:eastAsia="Calibri" w:hAnsi="Calibri"/>
          <w:bCs/>
          <w:color w:val="0000FF"/>
        </w:rPr>
        <w:t>/instrument</w:t>
      </w:r>
      <w:r w:rsidRPr="00DC034F">
        <w:rPr>
          <w:rFonts w:ascii="Calibri" w:eastAsia="Calibri" w:hAnsi="Calibri"/>
          <w:bCs/>
          <w:color w:val="0000FF"/>
        </w:rPr>
        <w:t xml:space="preserve"> function together to measure a construct.  </w:t>
      </w:r>
      <w:r w:rsidR="00EF44F4">
        <w:rPr>
          <w:rFonts w:ascii="Calibri" w:eastAsia="Calibri" w:hAnsi="Calibri"/>
          <w:bCs/>
          <w:color w:val="0000FF"/>
        </w:rPr>
        <w:t xml:space="preserve">In its base form, the Rasch model assumes that the probability of a code for a given item is a function of the patient’s mobility ability  and the item’s difficulty (how hard the activity is to accomplish independently). The Rasch extension that accounts for multiple response options also considers the difficulty of moving from one code category to another (i.e., a threshold). The information resulting from this function is interval in nature and expressed on the log-odds scale. </w:t>
      </w:r>
      <w:r w:rsidR="00EF44F4" w:rsidRPr="00216957">
        <w:rPr>
          <w:rFonts w:ascii="Calibri" w:eastAsia="Calibri" w:hAnsi="Calibri"/>
          <w:bCs/>
          <w:color w:val="0000FF"/>
        </w:rPr>
        <w:t>A</w:t>
      </w:r>
      <w:r w:rsidR="00EF44F4">
        <w:rPr>
          <w:rFonts w:ascii="Calibri" w:eastAsia="Calibri" w:hAnsi="Calibri"/>
          <w:bCs/>
          <w:color w:val="0000FF"/>
        </w:rPr>
        <w:t>lso, a</w:t>
      </w:r>
      <w:r w:rsidR="00EF44F4" w:rsidRPr="00216957">
        <w:rPr>
          <w:rFonts w:ascii="Calibri" w:eastAsia="Calibri" w:hAnsi="Calibri"/>
          <w:bCs/>
          <w:color w:val="0000FF"/>
        </w:rPr>
        <w:t xml:space="preserve">s </w:t>
      </w:r>
      <w:r w:rsidRPr="00DC034F">
        <w:rPr>
          <w:rFonts w:ascii="Calibri" w:eastAsia="Calibri" w:hAnsi="Calibri"/>
          <w:bCs/>
          <w:color w:val="0000FF"/>
        </w:rPr>
        <w:t>part of the analysis, Rasch methodology places persons and the items of interest on a “ruler” to enable evaluations of how well the items work together</w:t>
      </w:r>
      <w:r w:rsidR="00F97CE2">
        <w:rPr>
          <w:rFonts w:ascii="Calibri" w:eastAsia="Calibri" w:hAnsi="Calibri"/>
          <w:bCs/>
          <w:color w:val="0000FF"/>
        </w:rPr>
        <w:t xml:space="preserve">, </w:t>
      </w:r>
      <w:r w:rsidRPr="00DC034F">
        <w:rPr>
          <w:rFonts w:ascii="Calibri" w:eastAsia="Calibri" w:hAnsi="Calibri"/>
          <w:bCs/>
          <w:color w:val="0000FF"/>
        </w:rPr>
        <w:t xml:space="preserve">how difficult each item </w:t>
      </w:r>
      <w:r w:rsidR="00F540E7">
        <w:rPr>
          <w:rFonts w:ascii="Calibri" w:eastAsia="Calibri" w:hAnsi="Calibri"/>
          <w:bCs/>
          <w:color w:val="0000FF"/>
        </w:rPr>
        <w:t xml:space="preserve">is </w:t>
      </w:r>
      <w:r w:rsidRPr="00DC034F">
        <w:rPr>
          <w:rFonts w:ascii="Calibri" w:eastAsia="Calibri" w:hAnsi="Calibri"/>
          <w:bCs/>
          <w:color w:val="0000FF"/>
        </w:rPr>
        <w:t>relative to the other items in the scale</w:t>
      </w:r>
      <w:r w:rsidR="00F97CE2">
        <w:rPr>
          <w:rFonts w:ascii="Calibri" w:eastAsia="Calibri" w:hAnsi="Calibri"/>
          <w:bCs/>
          <w:color w:val="0000FF"/>
        </w:rPr>
        <w:t xml:space="preserve">/instrument, and how items </w:t>
      </w:r>
      <w:r w:rsidR="00D037CE">
        <w:rPr>
          <w:rFonts w:ascii="Calibri" w:eastAsia="Calibri" w:hAnsi="Calibri"/>
          <w:bCs/>
          <w:color w:val="0000FF"/>
        </w:rPr>
        <w:t xml:space="preserve">are </w:t>
      </w:r>
      <w:r w:rsidR="00F97CE2">
        <w:rPr>
          <w:rFonts w:ascii="Calibri" w:eastAsia="Calibri" w:hAnsi="Calibri"/>
          <w:bCs/>
          <w:color w:val="0000FF"/>
        </w:rPr>
        <w:t xml:space="preserve">ordered </w:t>
      </w:r>
      <w:r w:rsidRPr="00DC034F">
        <w:rPr>
          <w:rFonts w:ascii="Calibri" w:eastAsia="Calibri" w:hAnsi="Calibri"/>
          <w:bCs/>
          <w:color w:val="0000FF"/>
        </w:rPr>
        <w:t>from easy to difficult. We used Rasch measurement analysis to</w:t>
      </w:r>
      <w:r w:rsidRPr="00DC034F">
        <w:rPr>
          <w:bCs/>
          <w:color w:val="0000FF"/>
        </w:rPr>
        <w:t xml:space="preserve"> examine the mobility items</w:t>
      </w:r>
      <w:r w:rsidRPr="00DC034F">
        <w:rPr>
          <w:rFonts w:ascii="Calibri" w:eastAsia="Calibri" w:hAnsi="Calibri"/>
          <w:bCs/>
          <w:color w:val="0000FF"/>
        </w:rPr>
        <w:t>. We report IRF analysis results using a Rasch-derived mobility ruler that was developed using data from IRFs, skilled nursing facilities and long-term care hospitals. Using the Rasch-derived cross-setting “ruler” allows comparability of mobility item functioning within and across settings.</w:t>
      </w:r>
    </w:p>
    <w:p w14:paraId="4C579353" w14:textId="77777777" w:rsidR="00DC034F" w:rsidRPr="00DC034F" w:rsidRDefault="00DC034F" w:rsidP="00DC034F">
      <w:pPr>
        <w:autoSpaceDE w:val="0"/>
        <w:autoSpaceDN w:val="0"/>
        <w:adjustRightInd w:val="0"/>
        <w:spacing w:after="0" w:line="240" w:lineRule="auto"/>
        <w:rPr>
          <w:rFonts w:ascii="Calibri" w:eastAsia="Calibri" w:hAnsi="Calibri"/>
          <w:color w:val="0000FF"/>
          <w:highlight w:val="yellow"/>
        </w:rPr>
      </w:pPr>
    </w:p>
    <w:p w14:paraId="56BBC73E" w14:textId="77777777" w:rsidR="00DC034F" w:rsidRPr="00DC034F" w:rsidRDefault="00DC034F" w:rsidP="00DC034F">
      <w:pPr>
        <w:autoSpaceDE w:val="0"/>
        <w:autoSpaceDN w:val="0"/>
        <w:adjustRightInd w:val="0"/>
        <w:spacing w:after="0" w:line="240" w:lineRule="auto"/>
        <w:rPr>
          <w:rFonts w:ascii="Calibri" w:eastAsia="Calibri" w:hAnsi="Calibri"/>
          <w:color w:val="0000FF"/>
        </w:rPr>
      </w:pPr>
      <w:r w:rsidRPr="00DC034F">
        <w:rPr>
          <w:rFonts w:ascii="Calibri" w:eastAsia="Calibri" w:hAnsi="Calibri"/>
          <w:color w:val="0000FF"/>
        </w:rPr>
        <w:t xml:space="preserve">The ordering of items from easy (bottom) to difficult (top) provides the analysis-established item difficulty hierarchy. This hierarchy can be evaluated against item design specifications (i.e., the intended </w:t>
      </w:r>
      <w:r w:rsidRPr="00DC034F">
        <w:rPr>
          <w:rFonts w:ascii="Calibri" w:eastAsia="Calibri" w:hAnsi="Calibri"/>
          <w:color w:val="0000FF"/>
        </w:rPr>
        <w:lastRenderedPageBreak/>
        <w:t xml:space="preserve">construction of the items to be easy or difficult) and against expert clinical opinions as an indication of construct validity. If items are positioned into unexpected locations on the hierarchy, then the content of the items should be evaluated further and potentially modified. </w:t>
      </w:r>
      <w:bookmarkEnd w:id="31"/>
    </w:p>
    <w:p w14:paraId="7CD78B88" w14:textId="5723280F" w:rsidR="00DC034F" w:rsidRPr="00DC034F" w:rsidRDefault="00745539" w:rsidP="00DC034F">
      <w:pPr>
        <w:pStyle w:val="BodyText"/>
        <w:spacing w:after="0"/>
        <w:rPr>
          <w:color w:val="0000FF"/>
          <w:sz w:val="22"/>
        </w:rPr>
      </w:pPr>
      <w:bookmarkStart w:id="32" w:name="_Hlk534489399"/>
      <w:bookmarkStart w:id="33" w:name="_Hlk533965081"/>
      <w:r>
        <w:rPr>
          <w:b/>
          <w:color w:val="0000FF"/>
          <w:sz w:val="22"/>
        </w:rPr>
        <w:t xml:space="preserve">Data </w:t>
      </w:r>
      <w:r w:rsidR="00F8435F">
        <w:rPr>
          <w:b/>
          <w:color w:val="0000FF"/>
          <w:sz w:val="22"/>
        </w:rPr>
        <w:t>E</w:t>
      </w:r>
      <w:r>
        <w:rPr>
          <w:b/>
          <w:color w:val="0000FF"/>
          <w:sz w:val="22"/>
        </w:rPr>
        <w:t>lement</w:t>
      </w:r>
      <w:r w:rsidR="00F8435F">
        <w:rPr>
          <w:b/>
          <w:color w:val="0000FF"/>
          <w:sz w:val="22"/>
        </w:rPr>
        <w:t xml:space="preserve"> (Item)</w:t>
      </w:r>
      <w:r w:rsidR="00F97CE2">
        <w:rPr>
          <w:b/>
          <w:color w:val="0000FF"/>
          <w:sz w:val="22"/>
        </w:rPr>
        <w:t xml:space="preserve"> </w:t>
      </w:r>
      <w:r w:rsidR="00DC034F" w:rsidRPr="00DC034F">
        <w:rPr>
          <w:b/>
          <w:color w:val="0000FF"/>
          <w:sz w:val="22"/>
        </w:rPr>
        <w:t>and Scale</w:t>
      </w:r>
      <w:r w:rsidR="00F97CE2">
        <w:rPr>
          <w:b/>
          <w:color w:val="0000FF"/>
          <w:sz w:val="22"/>
        </w:rPr>
        <w:t>/Instrument</w:t>
      </w:r>
      <w:r w:rsidR="00DC034F" w:rsidRPr="00DC034F">
        <w:rPr>
          <w:b/>
          <w:color w:val="0000FF"/>
          <w:sz w:val="22"/>
        </w:rPr>
        <w:t xml:space="preserve"> Validity - </w:t>
      </w:r>
      <w:r w:rsidR="00DC034F" w:rsidRPr="00DC034F">
        <w:rPr>
          <w:rFonts w:eastAsia="Times New Roman"/>
          <w:b/>
          <w:color w:val="0000FF"/>
          <w:sz w:val="22"/>
        </w:rPr>
        <w:t xml:space="preserve">Fit Assessment </w:t>
      </w:r>
      <w:r w:rsidR="00DC034F" w:rsidRPr="00DC034F">
        <w:rPr>
          <w:b/>
          <w:color w:val="0000FF"/>
          <w:sz w:val="22"/>
        </w:rPr>
        <w:t>Analysis</w:t>
      </w:r>
      <w:r w:rsidR="00F97CE2">
        <w:rPr>
          <w:b/>
          <w:color w:val="0000FF"/>
          <w:sz w:val="22"/>
        </w:rPr>
        <w:t xml:space="preserve"> (unit of analysis is patient assessment data</w:t>
      </w:r>
      <w:r w:rsidR="00DC034F" w:rsidRPr="00DC034F">
        <w:rPr>
          <w:b/>
          <w:color w:val="0000FF"/>
          <w:sz w:val="22"/>
        </w:rPr>
        <w:t>)</w:t>
      </w:r>
      <w:r w:rsidR="00DC034F" w:rsidRPr="00DC034F">
        <w:rPr>
          <w:rFonts w:eastAsia="Times New Roman"/>
          <w:b/>
          <w:color w:val="0000FF"/>
          <w:sz w:val="22"/>
        </w:rPr>
        <w:t xml:space="preserve">: </w:t>
      </w:r>
      <w:bookmarkStart w:id="34" w:name="_Hlk534489858"/>
      <w:bookmarkEnd w:id="32"/>
      <w:r w:rsidR="00DC034F" w:rsidRPr="00DC034F">
        <w:rPr>
          <w:rFonts w:asciiTheme="minorHAnsi" w:hAnsiTheme="minorHAnsi" w:cstheme="minorHAnsi"/>
          <w:bCs/>
          <w:color w:val="0000FF"/>
          <w:sz w:val="22"/>
        </w:rPr>
        <w:t>Rasch analysis produces fit statistics that reflect whether unexpected responses are being coded for items within the scale</w:t>
      </w:r>
      <w:r w:rsidR="00F97CE2">
        <w:rPr>
          <w:rFonts w:asciiTheme="minorHAnsi" w:hAnsiTheme="minorHAnsi" w:cstheme="minorHAnsi"/>
          <w:bCs/>
          <w:color w:val="0000FF"/>
          <w:sz w:val="22"/>
        </w:rPr>
        <w:t>/instrument</w:t>
      </w:r>
      <w:r w:rsidR="00DC034F" w:rsidRPr="00DC034F">
        <w:rPr>
          <w:rFonts w:asciiTheme="minorHAnsi" w:hAnsiTheme="minorHAnsi" w:cstheme="minorHAnsi"/>
          <w:bCs/>
          <w:color w:val="0000FF"/>
          <w:sz w:val="22"/>
        </w:rPr>
        <w:t>.</w:t>
      </w:r>
      <w:r w:rsidR="00DC034F" w:rsidRPr="00DC034F">
        <w:rPr>
          <w:rFonts w:asciiTheme="minorHAnsi" w:hAnsiTheme="minorHAnsi" w:cstheme="minorHAnsi"/>
          <w:color w:val="0000FF"/>
          <w:sz w:val="22"/>
        </w:rPr>
        <w:t xml:space="preserve"> The Rasch model expects the difficult items to be harder (that is, have a greater need for assistance) for all patients.  In a similar way, patients with higher functional abilities are generally expected to need less assistance on all items. Items that don’t seem to function this way could show misfit, reflecting unexpected responses. There are two categories of fit, one designed more for outliers (outfit) and one designed for response unexpectedness near the item’s difficulty (infit). In general, a cut-off appropriate for statistically determining item misfit i</w:t>
      </w:r>
      <w:r w:rsidR="00E83349">
        <w:rPr>
          <w:rFonts w:asciiTheme="minorHAnsi" w:hAnsiTheme="minorHAnsi" w:cstheme="minorHAnsi"/>
          <w:color w:val="0000FF"/>
          <w:sz w:val="22"/>
        </w:rPr>
        <w:t>s</w:t>
      </w:r>
      <w:r w:rsidR="00DC034F" w:rsidRPr="00DC034F">
        <w:rPr>
          <w:rFonts w:asciiTheme="minorHAnsi" w:hAnsiTheme="minorHAnsi" w:cstheme="minorHAnsi"/>
          <w:color w:val="0000FF"/>
          <w:sz w:val="22"/>
        </w:rPr>
        <w:t xml:space="preserve"> infit and outfit mean square values are above 1.4 when looking at multiple-point response scales.  Items with fit values above 1.4 are unproductive for measurement but are not unusually “noisy” or degrade measurement.  Mean square values greater than 2.0 may potentially degrade measurement (Wright and Linacre, 1994). Misfit seen near the item difficulty, or large values of infit, are concerning because they indicate noise (unexpected responses) where the item should be the most productive for measurement.</w:t>
      </w:r>
    </w:p>
    <w:p w14:paraId="7410E3D4" w14:textId="77777777" w:rsidR="00DC034F" w:rsidRPr="00DC034F" w:rsidRDefault="00DC034F" w:rsidP="00DC034F">
      <w:pPr>
        <w:pStyle w:val="BodyText"/>
        <w:spacing w:before="0" w:after="0"/>
        <w:rPr>
          <w:bCs/>
          <w:color w:val="0000FF"/>
          <w:sz w:val="22"/>
          <w:highlight w:val="yellow"/>
        </w:rPr>
      </w:pPr>
    </w:p>
    <w:p w14:paraId="47012CEF" w14:textId="78BE2665" w:rsidR="00DC034F" w:rsidRDefault="00E83349" w:rsidP="00DC034F">
      <w:pPr>
        <w:pStyle w:val="BodyText"/>
        <w:spacing w:before="0" w:after="0"/>
        <w:rPr>
          <w:bCs/>
          <w:color w:val="0000FF"/>
          <w:sz w:val="22"/>
        </w:rPr>
      </w:pPr>
      <w:bookmarkStart w:id="35" w:name="_Hlk534615484"/>
      <w:r>
        <w:rPr>
          <w:b/>
          <w:color w:val="0000FF"/>
          <w:sz w:val="22"/>
        </w:rPr>
        <w:t xml:space="preserve">Data Element (Item) </w:t>
      </w:r>
      <w:r w:rsidRPr="00DC034F">
        <w:rPr>
          <w:b/>
          <w:color w:val="0000FF"/>
          <w:sz w:val="22"/>
        </w:rPr>
        <w:t>and Scale</w:t>
      </w:r>
      <w:r>
        <w:rPr>
          <w:b/>
          <w:color w:val="0000FF"/>
          <w:sz w:val="22"/>
        </w:rPr>
        <w:t>/Instrument</w:t>
      </w:r>
      <w:r w:rsidRPr="00DC034F">
        <w:rPr>
          <w:b/>
          <w:color w:val="0000FF"/>
          <w:sz w:val="22"/>
        </w:rPr>
        <w:t xml:space="preserve"> Validity - Response Option Assessment </w:t>
      </w:r>
      <w:r>
        <w:rPr>
          <w:b/>
          <w:color w:val="0000FF"/>
          <w:sz w:val="22"/>
        </w:rPr>
        <w:t xml:space="preserve">Using </w:t>
      </w:r>
      <w:r w:rsidRPr="00DC034F">
        <w:rPr>
          <w:b/>
          <w:color w:val="0000FF"/>
          <w:sz w:val="22"/>
        </w:rPr>
        <w:t>Rasch Analysis</w:t>
      </w:r>
      <w:r>
        <w:rPr>
          <w:b/>
          <w:color w:val="0000FF"/>
          <w:sz w:val="22"/>
        </w:rPr>
        <w:t xml:space="preserve"> (unit of analysis is patient assessment data</w:t>
      </w:r>
      <w:r w:rsidRPr="00DC034F">
        <w:rPr>
          <w:b/>
          <w:color w:val="0000FF"/>
          <w:sz w:val="22"/>
        </w:rPr>
        <w:t>)</w:t>
      </w:r>
      <w:r w:rsidRPr="00DC034F">
        <w:rPr>
          <w:rFonts w:eastAsia="Times New Roman"/>
          <w:b/>
          <w:color w:val="0000FF"/>
          <w:sz w:val="22"/>
        </w:rPr>
        <w:t xml:space="preserve">: </w:t>
      </w:r>
      <w:bookmarkEnd w:id="35"/>
      <w:r w:rsidR="00DC034F" w:rsidRPr="00DC034F">
        <w:rPr>
          <w:rFonts w:asciiTheme="minorHAnsi" w:hAnsiTheme="minorHAnsi" w:cstheme="minorHAnsi"/>
          <w:bCs/>
          <w:color w:val="0000FF"/>
          <w:sz w:val="22"/>
        </w:rPr>
        <w:t xml:space="preserve">Rasch analysis output reports the number and percent of patients by score level (06 - Independent to 01 - Dependent) for each item and the average mobility ability (i.e., scale-level ability) of those patients.  This allows us to examine if </w:t>
      </w:r>
      <w:r w:rsidR="00DC034F" w:rsidRPr="00DC034F">
        <w:rPr>
          <w:rFonts w:asciiTheme="minorHAnsi" w:hAnsiTheme="minorHAnsi" w:cstheme="minorHAnsi"/>
          <w:color w:val="0000FF"/>
          <w:sz w:val="22"/>
        </w:rPr>
        <w:t>the 6-point rating scale is operating as intended for the mobility items. In general, we expect that patients who have lower ability overall would have lower ability levels (i.e., lower scores) for each item.  Therefore, the average mobility ability</w:t>
      </w:r>
      <w:r w:rsidR="00F97CE2">
        <w:rPr>
          <w:rFonts w:asciiTheme="minorHAnsi" w:hAnsiTheme="minorHAnsi" w:cstheme="minorHAnsi"/>
          <w:color w:val="0000FF"/>
          <w:sz w:val="22"/>
        </w:rPr>
        <w:t xml:space="preserve"> </w:t>
      </w:r>
      <w:r w:rsidR="00DC034F" w:rsidRPr="00DC034F">
        <w:rPr>
          <w:rFonts w:asciiTheme="minorHAnsi" w:hAnsiTheme="minorHAnsi" w:cstheme="minorHAnsi"/>
          <w:color w:val="0000FF"/>
          <w:sz w:val="22"/>
        </w:rPr>
        <w:t xml:space="preserve">calibration </w:t>
      </w:r>
      <w:r w:rsidR="00F97CE2" w:rsidRPr="00DC034F">
        <w:rPr>
          <w:rFonts w:asciiTheme="minorHAnsi" w:hAnsiTheme="minorHAnsi" w:cstheme="minorHAnsi"/>
          <w:color w:val="0000FF"/>
          <w:sz w:val="22"/>
        </w:rPr>
        <w:t>(scale-level ability measure</w:t>
      </w:r>
      <w:r>
        <w:rPr>
          <w:rFonts w:asciiTheme="minorHAnsi" w:hAnsiTheme="minorHAnsi" w:cstheme="minorHAnsi"/>
          <w:color w:val="0000FF"/>
          <w:sz w:val="22"/>
        </w:rPr>
        <w:t xml:space="preserve"> </w:t>
      </w:r>
      <w:bookmarkStart w:id="36" w:name="_Hlk534615544"/>
      <w:r>
        <w:rPr>
          <w:rFonts w:asciiTheme="minorHAnsi" w:hAnsiTheme="minorHAnsi" w:cstheme="minorHAnsi"/>
          <w:color w:val="0000FF"/>
          <w:sz w:val="22"/>
        </w:rPr>
        <w:t>reported in logits</w:t>
      </w:r>
      <w:bookmarkEnd w:id="36"/>
      <w:r w:rsidR="00F97CE2">
        <w:rPr>
          <w:rFonts w:asciiTheme="minorHAnsi" w:hAnsiTheme="minorHAnsi" w:cstheme="minorHAnsi"/>
          <w:color w:val="0000FF"/>
          <w:sz w:val="22"/>
        </w:rPr>
        <w:t>)</w:t>
      </w:r>
      <w:r w:rsidR="00F97CE2" w:rsidRPr="00DC034F">
        <w:rPr>
          <w:rFonts w:asciiTheme="minorHAnsi" w:hAnsiTheme="minorHAnsi" w:cstheme="minorHAnsi"/>
          <w:color w:val="0000FF"/>
          <w:sz w:val="22"/>
        </w:rPr>
        <w:t xml:space="preserve"> </w:t>
      </w:r>
      <w:r w:rsidR="00DC034F" w:rsidRPr="00DC034F">
        <w:rPr>
          <w:rFonts w:asciiTheme="minorHAnsi" w:hAnsiTheme="minorHAnsi" w:cstheme="minorHAnsi"/>
          <w:color w:val="0000FF"/>
          <w:sz w:val="22"/>
        </w:rPr>
        <w:t>associated with the more dependent scores would be lower than those associated with the more independent scores</w:t>
      </w:r>
      <w:r w:rsidR="00DC034F" w:rsidRPr="00DC034F">
        <w:rPr>
          <w:bCs/>
          <w:color w:val="0000FF"/>
          <w:sz w:val="22"/>
        </w:rPr>
        <w:t>.</w:t>
      </w:r>
    </w:p>
    <w:bookmarkEnd w:id="33"/>
    <w:bookmarkEnd w:id="34"/>
    <w:p w14:paraId="13259C7A" w14:textId="77777777" w:rsidR="00DC034F" w:rsidRDefault="00DC034F" w:rsidP="00DC034F">
      <w:pPr>
        <w:pStyle w:val="BodyText"/>
        <w:spacing w:before="0" w:after="0"/>
        <w:rPr>
          <w:bCs/>
          <w:color w:val="0000FF"/>
          <w:sz w:val="22"/>
        </w:rPr>
      </w:pPr>
    </w:p>
    <w:p w14:paraId="3315A9DE" w14:textId="50347801" w:rsidR="00DC034F" w:rsidRPr="00634B68" w:rsidRDefault="00DC034F" w:rsidP="00634B68">
      <w:pPr>
        <w:spacing w:after="0" w:line="240" w:lineRule="auto"/>
        <w:outlineLvl w:val="4"/>
        <w:rPr>
          <w:rFonts w:cs="Arial"/>
          <w:color w:val="0000FF"/>
        </w:rPr>
      </w:pPr>
      <w:r w:rsidRPr="00CC19B1">
        <w:rPr>
          <w:rFonts w:eastAsia="Calibri" w:cs="Times New Roman"/>
          <w:b/>
          <w:bCs/>
          <w:color w:val="0000FF"/>
        </w:rPr>
        <w:t>Citation:</w:t>
      </w:r>
      <w:r w:rsidR="00F97CE2">
        <w:rPr>
          <w:rFonts w:eastAsia="Calibri" w:cs="Times New Roman"/>
          <w:b/>
          <w:bCs/>
          <w:color w:val="0000FF"/>
        </w:rPr>
        <w:t xml:space="preserve"> </w:t>
      </w:r>
      <w:r w:rsidRPr="00CC19B1">
        <w:rPr>
          <w:rFonts w:cs="Arial"/>
          <w:color w:val="0000FF"/>
        </w:rPr>
        <w:t xml:space="preserve">Wright BD, Linacre JM (1994) Reasonable mean-square fit values. </w:t>
      </w:r>
      <w:r w:rsidRPr="00CC19B1">
        <w:rPr>
          <w:rFonts w:cs="Arial"/>
          <w:i/>
          <w:iCs/>
          <w:color w:val="0000FF"/>
        </w:rPr>
        <w:t>Rasch Measurement Transactions.</w:t>
      </w:r>
      <w:r w:rsidRPr="00CC19B1">
        <w:rPr>
          <w:rFonts w:cs="Arial"/>
          <w:color w:val="0000FF"/>
        </w:rPr>
        <w:t xml:space="preserve"> 8:3 p.370. </w:t>
      </w:r>
      <w:hyperlink r:id="rId23" w:history="1">
        <w:r w:rsidRPr="00CC19B1">
          <w:rPr>
            <w:rStyle w:val="Hyperlink"/>
            <w:rFonts w:cs="Arial"/>
          </w:rPr>
          <w:t>http://www.rasch.org/rmt/rmt83b.htm</w:t>
        </w:r>
      </w:hyperlink>
    </w:p>
    <w:p w14:paraId="0CABCFDD" w14:textId="3A1D74C4" w:rsidR="00833325" w:rsidRDefault="00833325" w:rsidP="00DB3627">
      <w:pPr>
        <w:autoSpaceDE w:val="0"/>
        <w:autoSpaceDN w:val="0"/>
        <w:adjustRightInd w:val="0"/>
        <w:spacing w:after="0" w:line="240" w:lineRule="auto"/>
        <w:rPr>
          <w:rFonts w:cstheme="minorHAnsi"/>
          <w:bCs/>
        </w:rPr>
      </w:pPr>
    </w:p>
    <w:p w14:paraId="29CA5EBB" w14:textId="6F2355FA" w:rsidR="00906AC8" w:rsidRPr="00586CA4" w:rsidRDefault="00906AC8" w:rsidP="00906AC8">
      <w:pPr>
        <w:spacing w:line="240" w:lineRule="auto"/>
        <w:rPr>
          <w:rFonts w:cstheme="minorHAnsi"/>
          <w:color w:val="0000FF"/>
        </w:rPr>
      </w:pPr>
      <w:r w:rsidRPr="00586CA4">
        <w:rPr>
          <w:rFonts w:eastAsia="Calibri" w:cstheme="minorHAnsi"/>
          <w:b/>
          <w:color w:val="0000FF"/>
        </w:rPr>
        <w:t xml:space="preserve">Computed Performance Measure Score Validity – Association with The Joint Commission Stroke Rehabilitation Certification Status (unit of analysis is providers): </w:t>
      </w:r>
      <w:r w:rsidRPr="00586CA4">
        <w:rPr>
          <w:rFonts w:cstheme="minorHAnsi"/>
          <w:color w:val="0000FF"/>
        </w:rPr>
        <w:t xml:space="preserve">The goal of measuring performance is to make valid (credible) conclusions about quality (NQF Committee Guidebook). To examine the validity of </w:t>
      </w:r>
      <w:r w:rsidRPr="0051041D">
        <w:rPr>
          <w:rFonts w:cstheme="minorHAnsi"/>
          <w:color w:val="0000FF"/>
        </w:rPr>
        <w:t xml:space="preserve">the </w:t>
      </w:r>
      <w:r w:rsidRPr="00294D20">
        <w:rPr>
          <w:rFonts w:cstheme="minorHAnsi"/>
          <w:color w:val="0000FF"/>
        </w:rPr>
        <w:t>Change in Mobility</w:t>
      </w:r>
      <w:r w:rsidRPr="0051041D">
        <w:rPr>
          <w:rFonts w:cstheme="minorHAnsi"/>
          <w:color w:val="0000FF"/>
        </w:rPr>
        <w:t xml:space="preserve"> computed</w:t>
      </w:r>
      <w:r w:rsidRPr="00586CA4">
        <w:rPr>
          <w:rFonts w:cstheme="minorHAnsi"/>
          <w:color w:val="0000FF"/>
        </w:rPr>
        <w:t xml:space="preserve"> performance measure score, we conducted analyses using a structural measure of quality, whether or not an IRF obtained The Joint Commission’s Disease Specific Certification for Stroke Rehabilitation. As previously noted in Table 1, stroke is the most common primary medical condition for patients admitted to IRFs, </w:t>
      </w:r>
      <w:r>
        <w:rPr>
          <w:rFonts w:cstheme="minorHAnsi"/>
          <w:color w:val="0000FF"/>
        </w:rPr>
        <w:t>therefore</w:t>
      </w:r>
      <w:r w:rsidRPr="00586CA4">
        <w:rPr>
          <w:rFonts w:cstheme="minorHAnsi"/>
          <w:color w:val="0000FF"/>
        </w:rPr>
        <w:t xml:space="preserve"> stroke patient outcomes influence IRF performance measure scores. The Joint Commission’s Disease-Specific Care Certification evaluates clinical programs addressing: 1) Compliance with consensus-based national standards; 2) Effective use of evidence-based clinical practice guidelines to manage and optimize care; and 3) An organized approach to performance measurement and improvement activities. According to The Joint Commission, an entity that achieves Disease-Specific Certification has thoroughly demonstrated a high level of care for patients with that condition. We downloaded data from The Joint Commission’s website and we used an ‘effective date’ to identify IRFs that were certified during the calendar year 2017. More information about disease-specific certification, please see:   </w:t>
      </w:r>
      <w:hyperlink r:id="rId24" w:history="1">
        <w:r w:rsidRPr="00586CA4">
          <w:rPr>
            <w:rStyle w:val="Hyperlink"/>
            <w:rFonts w:cstheme="minorHAnsi"/>
            <w:color w:val="0000FF"/>
          </w:rPr>
          <w:t>https://www.jointcommission.org/certification/dsc_physical_medicine_rehabilitation.aspx</w:t>
        </w:r>
      </w:hyperlink>
    </w:p>
    <w:p w14:paraId="53A0EDDF" w14:textId="49B0CE4F" w:rsidR="00906AC8" w:rsidRPr="00586CA4" w:rsidRDefault="00906AC8" w:rsidP="00906AC8">
      <w:pPr>
        <w:autoSpaceDE w:val="0"/>
        <w:autoSpaceDN w:val="0"/>
        <w:adjustRightInd w:val="0"/>
        <w:spacing w:after="0" w:line="240" w:lineRule="auto"/>
        <w:rPr>
          <w:rFonts w:cstheme="minorHAnsi"/>
        </w:rPr>
      </w:pPr>
      <w:r w:rsidRPr="00586CA4">
        <w:rPr>
          <w:rFonts w:cstheme="minorHAnsi"/>
          <w:color w:val="0000FF"/>
        </w:rPr>
        <w:lastRenderedPageBreak/>
        <w:t>Our first analysis compared the mean and median computed performance measure scores for IRFs with and without stroke rehabilitation disease-specific certification</w:t>
      </w:r>
      <w:r w:rsidR="00EF44F4">
        <w:rPr>
          <w:rFonts w:cstheme="minorHAnsi"/>
          <w:color w:val="0000FF"/>
        </w:rPr>
        <w:t xml:space="preserve"> using a t-test and Kruskal-Wallis H test</w:t>
      </w:r>
      <w:r w:rsidRPr="00586CA4">
        <w:rPr>
          <w:rFonts w:cstheme="minorHAnsi"/>
          <w:color w:val="0000FF"/>
        </w:rPr>
        <w:t xml:space="preserve">. We expected that IRFs with certification would achieve higher mean and median performance measure scores compared to IRFs without certification. Second, we divided the IRF data into quintiles based on the performance measure scores and calculated the percentage of IRFs with certification by quintile. We expected that IRFs with the best performance scores </w:t>
      </w:r>
      <w:r>
        <w:rPr>
          <w:rFonts w:cstheme="minorHAnsi"/>
          <w:color w:val="0000FF"/>
        </w:rPr>
        <w:t xml:space="preserve">(quintile 5) </w:t>
      </w:r>
      <w:r w:rsidRPr="00586CA4">
        <w:rPr>
          <w:rFonts w:cstheme="minorHAnsi"/>
          <w:color w:val="0000FF"/>
        </w:rPr>
        <w:t xml:space="preserve">would have a higher percentage of certified IRFs compared to the </w:t>
      </w:r>
      <w:r>
        <w:rPr>
          <w:rFonts w:cstheme="minorHAnsi"/>
          <w:color w:val="0000FF"/>
        </w:rPr>
        <w:t xml:space="preserve">IRFs in </w:t>
      </w:r>
      <w:r w:rsidRPr="00586CA4">
        <w:rPr>
          <w:rFonts w:cstheme="minorHAnsi"/>
          <w:color w:val="0000FF"/>
        </w:rPr>
        <w:t xml:space="preserve">quintile </w:t>
      </w:r>
      <w:r>
        <w:rPr>
          <w:rFonts w:cstheme="minorHAnsi"/>
          <w:color w:val="0000FF"/>
        </w:rPr>
        <w:t xml:space="preserve">1 </w:t>
      </w:r>
      <w:r w:rsidRPr="00586CA4">
        <w:rPr>
          <w:rFonts w:cstheme="minorHAnsi"/>
          <w:color w:val="0000FF"/>
        </w:rPr>
        <w:t xml:space="preserve">with the least favorable performance measure scores. </w:t>
      </w:r>
    </w:p>
    <w:p w14:paraId="17155E2B" w14:textId="77777777" w:rsidR="00906AC8" w:rsidRPr="00A25024" w:rsidRDefault="00906AC8" w:rsidP="00DB3627">
      <w:pPr>
        <w:autoSpaceDE w:val="0"/>
        <w:autoSpaceDN w:val="0"/>
        <w:adjustRightInd w:val="0"/>
        <w:spacing w:after="0" w:line="240" w:lineRule="auto"/>
        <w:rPr>
          <w:rFonts w:cstheme="minorHAnsi"/>
          <w:bCs/>
        </w:rPr>
      </w:pPr>
    </w:p>
    <w:p w14:paraId="0CABCFDE" w14:textId="638F2F3F"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38EB5A3A" w14:textId="728793DF" w:rsidR="004C5930" w:rsidRDefault="004C5930" w:rsidP="004C5930">
      <w:pPr>
        <w:keepNext/>
        <w:spacing w:after="0" w:line="240" w:lineRule="auto"/>
        <w:outlineLvl w:val="4"/>
        <w:rPr>
          <w:rFonts w:ascii="Calibri" w:eastAsia="Calibri" w:hAnsi="Calibri" w:cs="Times New Roman"/>
          <w:b/>
          <w:color w:val="0000FF"/>
        </w:rPr>
      </w:pPr>
      <w:bookmarkStart w:id="37" w:name="_Hlk533965142"/>
      <w:r w:rsidRPr="00700D7C">
        <w:rPr>
          <w:rFonts w:ascii="Calibri" w:eastAsia="Calibri" w:hAnsi="Calibri" w:cs="Times New Roman"/>
          <w:b/>
          <w:color w:val="0000FF"/>
        </w:rPr>
        <w:t xml:space="preserve">Content Validity: Similarity of </w:t>
      </w:r>
      <w:r w:rsidR="00745539">
        <w:rPr>
          <w:rFonts w:ascii="Calibri" w:eastAsia="Calibri" w:hAnsi="Calibri" w:cs="Times New Roman"/>
          <w:b/>
          <w:color w:val="0000FF"/>
        </w:rPr>
        <w:t>Data element</w:t>
      </w:r>
      <w:r w:rsidRPr="00700D7C">
        <w:rPr>
          <w:rFonts w:ascii="Calibri" w:eastAsia="Calibri" w:hAnsi="Calibri" w:cs="Times New Roman"/>
          <w:b/>
          <w:color w:val="0000FF"/>
        </w:rPr>
        <w:t xml:space="preserve">s </w:t>
      </w:r>
      <w:r>
        <w:rPr>
          <w:rFonts w:ascii="Calibri" w:eastAsia="Calibri" w:hAnsi="Calibri" w:cs="Times New Roman"/>
          <w:b/>
          <w:color w:val="0000FF"/>
        </w:rPr>
        <w:t>A</w:t>
      </w:r>
      <w:r w:rsidRPr="00700D7C">
        <w:rPr>
          <w:rFonts w:ascii="Calibri" w:eastAsia="Calibri" w:hAnsi="Calibri" w:cs="Times New Roman"/>
          <w:b/>
          <w:color w:val="0000FF"/>
        </w:rPr>
        <w:t xml:space="preserve">cross </w:t>
      </w:r>
      <w:r>
        <w:rPr>
          <w:rFonts w:ascii="Calibri" w:eastAsia="Calibri" w:hAnsi="Calibri" w:cs="Times New Roman"/>
          <w:b/>
          <w:color w:val="0000FF"/>
        </w:rPr>
        <w:t>O</w:t>
      </w:r>
      <w:r w:rsidRPr="00700D7C">
        <w:rPr>
          <w:rFonts w:ascii="Calibri" w:eastAsia="Calibri" w:hAnsi="Calibri" w:cs="Times New Roman"/>
          <w:b/>
          <w:color w:val="0000FF"/>
        </w:rPr>
        <w:t xml:space="preserve">ther </w:t>
      </w:r>
      <w:r>
        <w:rPr>
          <w:rFonts w:ascii="Calibri" w:eastAsia="Calibri" w:hAnsi="Calibri" w:cs="Times New Roman"/>
          <w:b/>
          <w:color w:val="0000FF"/>
        </w:rPr>
        <w:t>Mobility</w:t>
      </w:r>
      <w:r w:rsidRPr="00700D7C">
        <w:rPr>
          <w:rFonts w:ascii="Calibri" w:eastAsia="Calibri" w:hAnsi="Calibri" w:cs="Times New Roman"/>
          <w:b/>
          <w:color w:val="0000FF"/>
        </w:rPr>
        <w:t xml:space="preserve"> </w:t>
      </w:r>
      <w:r>
        <w:rPr>
          <w:rFonts w:ascii="Calibri" w:eastAsia="Calibri" w:hAnsi="Calibri" w:cs="Times New Roman"/>
          <w:b/>
          <w:color w:val="0000FF"/>
        </w:rPr>
        <w:t>A</w:t>
      </w:r>
      <w:r w:rsidRPr="00700D7C">
        <w:rPr>
          <w:rFonts w:ascii="Calibri" w:eastAsia="Calibri" w:hAnsi="Calibri" w:cs="Times New Roman"/>
          <w:b/>
          <w:color w:val="0000FF"/>
        </w:rPr>
        <w:t xml:space="preserve">ssessment </w:t>
      </w:r>
      <w:r>
        <w:rPr>
          <w:rFonts w:ascii="Calibri" w:eastAsia="Calibri" w:hAnsi="Calibri" w:cs="Times New Roman"/>
          <w:b/>
          <w:color w:val="0000FF"/>
        </w:rPr>
        <w:t>I</w:t>
      </w:r>
      <w:r w:rsidRPr="00700D7C">
        <w:rPr>
          <w:rFonts w:ascii="Calibri" w:eastAsia="Calibri" w:hAnsi="Calibri" w:cs="Times New Roman"/>
          <w:b/>
          <w:color w:val="0000FF"/>
        </w:rPr>
        <w:t xml:space="preserve">nstruments. </w:t>
      </w:r>
    </w:p>
    <w:p w14:paraId="37F135CB" w14:textId="16685316" w:rsidR="004C5930" w:rsidRDefault="00F97CE2" w:rsidP="004C5930">
      <w:pPr>
        <w:keepNext/>
        <w:spacing w:after="0" w:line="240" w:lineRule="auto"/>
        <w:outlineLvl w:val="4"/>
        <w:rPr>
          <w:rFonts w:ascii="Calibri" w:eastAsia="Calibri" w:hAnsi="Calibri" w:cs="Times New Roman"/>
          <w:color w:val="0000FF"/>
        </w:rPr>
      </w:pPr>
      <w:bookmarkStart w:id="38" w:name="_Hlk533777859"/>
      <w:r>
        <w:rPr>
          <w:rFonts w:ascii="Calibri" w:eastAsia="Calibri" w:hAnsi="Calibri" w:cs="Times New Roman"/>
          <w:color w:val="0000FF"/>
        </w:rPr>
        <w:t>Many</w:t>
      </w:r>
      <w:r w:rsidR="004C5930">
        <w:rPr>
          <w:rFonts w:ascii="Calibri" w:eastAsia="Calibri" w:hAnsi="Calibri" w:cs="Times New Roman"/>
          <w:color w:val="0000FF"/>
        </w:rPr>
        <w:t xml:space="preserve"> functional status scales have been developed for research and clinical use. To address content validity, we have updated the table listing activities (</w:t>
      </w:r>
      <w:r>
        <w:rPr>
          <w:rFonts w:ascii="Calibri" w:eastAsia="Calibri" w:hAnsi="Calibri" w:cs="Times New Roman"/>
          <w:color w:val="0000FF"/>
        </w:rPr>
        <w:t>data elements</w:t>
      </w:r>
      <w:r w:rsidR="004C5930">
        <w:rPr>
          <w:rFonts w:ascii="Calibri" w:eastAsia="Calibri" w:hAnsi="Calibri" w:cs="Times New Roman"/>
          <w:color w:val="0000FF"/>
        </w:rPr>
        <w:t xml:space="preserve">) </w:t>
      </w:r>
      <w:r>
        <w:rPr>
          <w:rFonts w:ascii="Calibri" w:eastAsia="Calibri" w:hAnsi="Calibri" w:cs="Times New Roman"/>
          <w:color w:val="0000FF"/>
        </w:rPr>
        <w:t xml:space="preserve">used to calculate </w:t>
      </w:r>
      <w:r w:rsidR="00DC475A">
        <w:rPr>
          <w:rFonts w:ascii="Calibri" w:eastAsia="Calibri" w:hAnsi="Calibri" w:cs="Times New Roman"/>
          <w:color w:val="0000FF"/>
        </w:rPr>
        <w:t>the Change in Mobility performance measure and data elements include</w:t>
      </w:r>
      <w:r w:rsidR="004C5930">
        <w:rPr>
          <w:rFonts w:ascii="Calibri" w:eastAsia="Calibri" w:hAnsi="Calibri" w:cs="Times New Roman"/>
          <w:color w:val="0000FF"/>
        </w:rPr>
        <w:t>d in other functional assessment scales</w:t>
      </w:r>
      <w:r w:rsidR="00DC475A">
        <w:rPr>
          <w:rFonts w:ascii="Calibri" w:eastAsia="Calibri" w:hAnsi="Calibri" w:cs="Times New Roman"/>
          <w:color w:val="0000FF"/>
        </w:rPr>
        <w:t xml:space="preserve">. </w:t>
      </w:r>
      <w:r w:rsidR="004C5930" w:rsidRPr="00700D7C">
        <w:rPr>
          <w:rFonts w:ascii="Calibri" w:eastAsia="Calibri" w:hAnsi="Calibri" w:cs="Times New Roman"/>
          <w:b/>
          <w:color w:val="0000FF"/>
        </w:rPr>
        <w:t xml:space="preserve">Table </w:t>
      </w:r>
      <w:r w:rsidR="0093624C">
        <w:rPr>
          <w:rFonts w:ascii="Calibri" w:eastAsia="Calibri" w:hAnsi="Calibri" w:cs="Times New Roman"/>
          <w:b/>
          <w:color w:val="0000FF"/>
        </w:rPr>
        <w:t>4</w:t>
      </w:r>
      <w:r w:rsidR="00DC475A">
        <w:rPr>
          <w:rFonts w:ascii="Calibri" w:eastAsia="Calibri" w:hAnsi="Calibri" w:cs="Times New Roman"/>
          <w:b/>
          <w:color w:val="0000FF"/>
        </w:rPr>
        <w:t xml:space="preserve"> </w:t>
      </w:r>
      <w:r w:rsidR="004C5930" w:rsidRPr="00A20956">
        <w:rPr>
          <w:rFonts w:ascii="Calibri" w:eastAsia="Calibri" w:hAnsi="Calibri" w:cs="Times New Roman"/>
          <w:color w:val="0000FF"/>
        </w:rPr>
        <w:t>shows that</w:t>
      </w:r>
      <w:r w:rsidR="00DC475A">
        <w:rPr>
          <w:rFonts w:ascii="Calibri" w:eastAsia="Calibri" w:hAnsi="Calibri" w:cs="Times New Roman"/>
          <w:color w:val="0000FF"/>
        </w:rPr>
        <w:t xml:space="preserve"> </w:t>
      </w:r>
      <w:r w:rsidR="00E94725">
        <w:rPr>
          <w:rFonts w:ascii="Calibri" w:eastAsia="Calibri" w:hAnsi="Calibri" w:cs="Times New Roman"/>
          <w:color w:val="0000FF"/>
        </w:rPr>
        <w:t xml:space="preserve">the </w:t>
      </w:r>
      <w:r w:rsidR="00DC475A">
        <w:rPr>
          <w:rFonts w:ascii="Calibri" w:eastAsia="Calibri" w:hAnsi="Calibri" w:cs="Times New Roman"/>
          <w:color w:val="0000FF"/>
        </w:rPr>
        <w:t xml:space="preserve">Section GG </w:t>
      </w:r>
      <w:r w:rsidR="004C5930" w:rsidRPr="00A20956">
        <w:rPr>
          <w:rFonts w:ascii="Calibri" w:eastAsia="Calibri" w:hAnsi="Calibri" w:cs="Times New Roman"/>
          <w:color w:val="0000FF"/>
        </w:rPr>
        <w:t xml:space="preserve">mobility </w:t>
      </w:r>
      <w:r w:rsidR="00A20956" w:rsidRPr="00A20956">
        <w:rPr>
          <w:rFonts w:ascii="Calibri" w:eastAsia="Calibri" w:hAnsi="Calibri" w:cs="Times New Roman"/>
          <w:color w:val="0000FF"/>
        </w:rPr>
        <w:t>activities</w:t>
      </w:r>
      <w:r w:rsidR="00A20956">
        <w:rPr>
          <w:rFonts w:ascii="Calibri" w:eastAsia="Calibri" w:hAnsi="Calibri" w:cs="Times New Roman"/>
          <w:color w:val="0000FF"/>
        </w:rPr>
        <w:t xml:space="preserve"> </w:t>
      </w:r>
      <w:r w:rsidR="00DC475A">
        <w:rPr>
          <w:rFonts w:ascii="Calibri" w:eastAsia="Calibri" w:hAnsi="Calibri" w:cs="Times New Roman"/>
          <w:color w:val="0000FF"/>
        </w:rPr>
        <w:t>cover a wide range of mobility activities and that many of the activities included on other instruments (e.g., Chair/bed-to-chair transfer, Walk 150 feet)</w:t>
      </w:r>
      <w:r w:rsidR="00DC475A" w:rsidRPr="00A20956">
        <w:rPr>
          <w:rFonts w:ascii="Calibri" w:eastAsia="Calibri" w:hAnsi="Calibri" w:cs="Times New Roman"/>
          <w:color w:val="0000FF"/>
        </w:rPr>
        <w:t xml:space="preserve"> </w:t>
      </w:r>
      <w:r w:rsidR="00DC475A">
        <w:rPr>
          <w:rFonts w:ascii="Calibri" w:eastAsia="Calibri" w:hAnsi="Calibri" w:cs="Times New Roman"/>
          <w:color w:val="0000FF"/>
        </w:rPr>
        <w:t>are included in Section GG.</w:t>
      </w:r>
      <w:r w:rsidR="004C5930" w:rsidRPr="00700D7C">
        <w:rPr>
          <w:rFonts w:ascii="Calibri" w:eastAsia="Calibri" w:hAnsi="Calibri" w:cs="Times New Roman"/>
          <w:color w:val="0000FF"/>
        </w:rPr>
        <w:t xml:space="preserve"> </w:t>
      </w:r>
    </w:p>
    <w:bookmarkEnd w:id="38"/>
    <w:p w14:paraId="1D397D0D" w14:textId="77777777" w:rsidR="004C5930" w:rsidRPr="00700D7C" w:rsidRDefault="004C5930" w:rsidP="004C5930">
      <w:pPr>
        <w:keepNext/>
        <w:spacing w:after="0" w:line="240" w:lineRule="auto"/>
        <w:outlineLvl w:val="4"/>
        <w:rPr>
          <w:rFonts w:ascii="Calibri" w:eastAsia="Calibri" w:hAnsi="Calibri" w:cs="Times New Roman"/>
          <w:b/>
          <w:color w:val="0000FF"/>
        </w:rPr>
      </w:pPr>
    </w:p>
    <w:p w14:paraId="417F2BD2" w14:textId="4D2A588D" w:rsidR="004C5930" w:rsidRPr="00D60211" w:rsidRDefault="004C5930" w:rsidP="004C5930">
      <w:pPr>
        <w:pStyle w:val="ListParagraph"/>
        <w:spacing w:after="0"/>
        <w:ind w:left="0"/>
        <w:rPr>
          <w:rFonts w:cstheme="minorHAnsi"/>
          <w:b/>
          <w:bCs/>
          <w:iCs/>
          <w:color w:val="0000FF"/>
        </w:rPr>
      </w:pPr>
      <w:r w:rsidRPr="00A20956">
        <w:rPr>
          <w:rFonts w:eastAsia="Times New Roman" w:cstheme="minorHAnsi"/>
          <w:b/>
          <w:bCs/>
          <w:color w:val="0000FF"/>
        </w:rPr>
        <w:t xml:space="preserve">Table </w:t>
      </w:r>
      <w:r w:rsidR="0093624C">
        <w:rPr>
          <w:rFonts w:eastAsia="Times New Roman" w:cstheme="minorHAnsi"/>
          <w:b/>
          <w:bCs/>
          <w:color w:val="0000FF"/>
        </w:rPr>
        <w:t>4</w:t>
      </w:r>
      <w:r w:rsidRPr="00A20956">
        <w:rPr>
          <w:rFonts w:eastAsia="Times New Roman" w:cstheme="minorHAnsi"/>
          <w:b/>
          <w:bCs/>
          <w:color w:val="0000FF"/>
        </w:rPr>
        <w:t>.</w:t>
      </w:r>
      <w:r w:rsidRPr="00A20956">
        <w:rPr>
          <w:rFonts w:cstheme="minorHAnsi"/>
          <w:b/>
          <w:bCs/>
          <w:iCs/>
          <w:color w:val="0000FF"/>
        </w:rPr>
        <w:t xml:space="preserve"> </w:t>
      </w:r>
      <w:r w:rsidRPr="00A20956">
        <w:rPr>
          <w:rFonts w:eastAsia="Times New Roman" w:cstheme="minorHAnsi"/>
          <w:b/>
          <w:bCs/>
          <w:color w:val="0000FF"/>
        </w:rPr>
        <w:t>Comparison of Selected Mobility Activities (</w:t>
      </w:r>
      <w:r w:rsidR="00745539">
        <w:rPr>
          <w:rFonts w:eastAsia="Times New Roman" w:cstheme="minorHAnsi"/>
          <w:b/>
          <w:bCs/>
          <w:color w:val="0000FF"/>
        </w:rPr>
        <w:t xml:space="preserve">Data </w:t>
      </w:r>
      <w:r w:rsidR="00E94725">
        <w:rPr>
          <w:rFonts w:eastAsia="Times New Roman" w:cstheme="minorHAnsi"/>
          <w:b/>
          <w:bCs/>
          <w:color w:val="0000FF"/>
        </w:rPr>
        <w:t>E</w:t>
      </w:r>
      <w:r w:rsidR="00745539">
        <w:rPr>
          <w:rFonts w:eastAsia="Times New Roman" w:cstheme="minorHAnsi"/>
          <w:b/>
          <w:bCs/>
          <w:color w:val="0000FF"/>
        </w:rPr>
        <w:t>lement</w:t>
      </w:r>
      <w:r w:rsidRPr="00A20956">
        <w:rPr>
          <w:rFonts w:eastAsia="Times New Roman" w:cstheme="minorHAnsi"/>
          <w:b/>
          <w:bCs/>
          <w:color w:val="0000FF"/>
        </w:rPr>
        <w:t xml:space="preserve">s) for the Change in Mobility </w:t>
      </w:r>
      <w:r w:rsidR="00745539">
        <w:rPr>
          <w:rFonts w:eastAsia="Times New Roman" w:cstheme="minorHAnsi"/>
          <w:b/>
          <w:bCs/>
          <w:color w:val="0000FF"/>
        </w:rPr>
        <w:t>Performance measure</w:t>
      </w:r>
      <w:r w:rsidRPr="00A20956">
        <w:rPr>
          <w:rFonts w:eastAsia="Times New Roman" w:cstheme="minorHAnsi"/>
          <w:b/>
          <w:bCs/>
          <w:color w:val="0000FF"/>
        </w:rPr>
        <w:t xml:space="preserve"> and Other Functional Assessment Instruments.</w:t>
      </w:r>
    </w:p>
    <w:p w14:paraId="617D91ED" w14:textId="4359D58C" w:rsidR="00DC475A" w:rsidRPr="00D60211" w:rsidRDefault="00DC475A" w:rsidP="00DC475A">
      <w:pPr>
        <w:pStyle w:val="ListParagraph"/>
        <w:spacing w:after="0"/>
        <w:ind w:left="0"/>
        <w:rPr>
          <w:rFonts w:cstheme="minorHAnsi"/>
          <w:b/>
          <w:bCs/>
          <w:iCs/>
          <w:color w:val="0000FF"/>
        </w:rPr>
      </w:pPr>
    </w:p>
    <w:tbl>
      <w:tblPr>
        <w:tblW w:w="5051"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3603"/>
        <w:gridCol w:w="1082"/>
        <w:gridCol w:w="675"/>
        <w:gridCol w:w="672"/>
        <w:gridCol w:w="672"/>
        <w:gridCol w:w="669"/>
        <w:gridCol w:w="667"/>
        <w:gridCol w:w="655"/>
        <w:gridCol w:w="750"/>
      </w:tblGrid>
      <w:tr w:rsidR="00E740F3" w:rsidRPr="00533C0B" w14:paraId="4124F5E6" w14:textId="77777777" w:rsidTr="00D77E49">
        <w:trPr>
          <w:cantSplit/>
          <w:trHeight w:val="1862"/>
          <w:tblHeader/>
          <w:jc w:val="center"/>
        </w:trPr>
        <w:tc>
          <w:tcPr>
            <w:tcW w:w="1907" w:type="pct"/>
            <w:tcBorders>
              <w:top w:val="single" w:sz="4" w:space="0" w:color="auto"/>
              <w:bottom w:val="single" w:sz="4" w:space="0" w:color="auto"/>
            </w:tcBorders>
            <w:shd w:val="clear" w:color="auto" w:fill="DBE5F1" w:themeFill="accent1" w:themeFillTint="33"/>
            <w:vAlign w:val="center"/>
            <w:hideMark/>
          </w:tcPr>
          <w:p w14:paraId="29542337" w14:textId="6877040B" w:rsidR="00E740F3" w:rsidRPr="00533C0B" w:rsidRDefault="00E740F3" w:rsidP="004D3044">
            <w:pPr>
              <w:spacing w:after="0" w:line="240" w:lineRule="auto"/>
              <w:jc w:val="center"/>
              <w:rPr>
                <w:rFonts w:eastAsia="Times New Roman" w:cs="Times New Roman"/>
                <w:b/>
                <w:bCs/>
                <w:color w:val="0000FF"/>
                <w:sz w:val="20"/>
                <w:szCs w:val="20"/>
              </w:rPr>
            </w:pPr>
            <w:r>
              <w:rPr>
                <w:rFonts w:ascii="Calibri" w:eastAsia="Times New Roman" w:hAnsi="Calibri" w:cs="Times New Roman"/>
                <w:b/>
                <w:color w:val="0000FF"/>
                <w:sz w:val="20"/>
                <w:szCs w:val="20"/>
              </w:rPr>
              <w:t>Activity (Data Elements)</w:t>
            </w:r>
            <w:r w:rsidRPr="00533C0B">
              <w:rPr>
                <w:rFonts w:eastAsia="Times New Roman" w:cs="Times New Roman"/>
                <w:b/>
                <w:bCs/>
                <w:color w:val="0000FF"/>
                <w:sz w:val="20"/>
                <w:szCs w:val="20"/>
              </w:rPr>
              <w:t> </w:t>
            </w:r>
          </w:p>
        </w:tc>
        <w:tc>
          <w:tcPr>
            <w:tcW w:w="572" w:type="pct"/>
            <w:tcBorders>
              <w:top w:val="single" w:sz="4" w:space="0" w:color="auto"/>
              <w:bottom w:val="single" w:sz="4" w:space="0" w:color="auto"/>
            </w:tcBorders>
            <w:shd w:val="clear" w:color="auto" w:fill="B8CCE4" w:themeFill="accent1" w:themeFillTint="66"/>
            <w:noWrap/>
            <w:textDirection w:val="btLr"/>
            <w:vAlign w:val="center"/>
            <w:hideMark/>
          </w:tcPr>
          <w:p w14:paraId="1BD7C0F6" w14:textId="30F922F8" w:rsidR="00E740F3" w:rsidRPr="00533C0B" w:rsidRDefault="00E740F3" w:rsidP="004D3044">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Change in Mobility  GG Mobility Data Elements</w:t>
            </w:r>
          </w:p>
        </w:tc>
        <w:tc>
          <w:tcPr>
            <w:tcW w:w="357" w:type="pct"/>
            <w:tcBorders>
              <w:top w:val="single" w:sz="4" w:space="0" w:color="auto"/>
              <w:bottom w:val="single" w:sz="4" w:space="0" w:color="auto"/>
            </w:tcBorders>
            <w:shd w:val="clear" w:color="auto" w:fill="DBE5F1" w:themeFill="accent1" w:themeFillTint="33"/>
            <w:noWrap/>
            <w:textDirection w:val="btLr"/>
            <w:vAlign w:val="center"/>
            <w:hideMark/>
          </w:tcPr>
          <w:p w14:paraId="3F1257E3"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Barthel Index</w:t>
            </w:r>
          </w:p>
        </w:tc>
        <w:tc>
          <w:tcPr>
            <w:tcW w:w="356" w:type="pct"/>
            <w:tcBorders>
              <w:top w:val="single" w:sz="4" w:space="0" w:color="auto"/>
              <w:bottom w:val="single" w:sz="4" w:space="0" w:color="auto"/>
            </w:tcBorders>
            <w:shd w:val="clear" w:color="auto" w:fill="DBE5F1" w:themeFill="accent1" w:themeFillTint="33"/>
            <w:noWrap/>
            <w:textDirection w:val="btLr"/>
            <w:vAlign w:val="center"/>
            <w:hideMark/>
          </w:tcPr>
          <w:p w14:paraId="3DC273FC"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FIM® Instrument</w:t>
            </w:r>
          </w:p>
        </w:tc>
        <w:tc>
          <w:tcPr>
            <w:tcW w:w="356" w:type="pct"/>
            <w:tcBorders>
              <w:top w:val="single" w:sz="4" w:space="0" w:color="auto"/>
              <w:bottom w:val="single" w:sz="4" w:space="0" w:color="auto"/>
            </w:tcBorders>
            <w:shd w:val="clear" w:color="auto" w:fill="DBE5F1" w:themeFill="accent1" w:themeFillTint="33"/>
            <w:noWrap/>
            <w:textDirection w:val="btLr"/>
            <w:vAlign w:val="center"/>
            <w:hideMark/>
          </w:tcPr>
          <w:p w14:paraId="67E86030"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Katz ADL Scale</w:t>
            </w:r>
          </w:p>
        </w:tc>
        <w:tc>
          <w:tcPr>
            <w:tcW w:w="354" w:type="pct"/>
            <w:tcBorders>
              <w:top w:val="single" w:sz="4" w:space="0" w:color="auto"/>
              <w:bottom w:val="single" w:sz="4" w:space="0" w:color="auto"/>
            </w:tcBorders>
            <w:shd w:val="clear" w:color="auto" w:fill="DBE5F1" w:themeFill="accent1" w:themeFillTint="33"/>
            <w:textDirection w:val="btLr"/>
            <w:vAlign w:val="center"/>
          </w:tcPr>
          <w:p w14:paraId="58BF02E1"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FAM with FIM®</w:t>
            </w:r>
          </w:p>
          <w:p w14:paraId="32DE4BBA"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Instrument</w:t>
            </w:r>
          </w:p>
        </w:tc>
        <w:tc>
          <w:tcPr>
            <w:tcW w:w="353" w:type="pct"/>
            <w:tcBorders>
              <w:top w:val="single" w:sz="4" w:space="0" w:color="auto"/>
              <w:bottom w:val="single" w:sz="4" w:space="0" w:color="auto"/>
            </w:tcBorders>
            <w:shd w:val="clear" w:color="auto" w:fill="DBE5F1" w:themeFill="accent1" w:themeFillTint="33"/>
            <w:textDirection w:val="btLr"/>
            <w:vAlign w:val="center"/>
          </w:tcPr>
          <w:p w14:paraId="150BFE2F" w14:textId="77777777" w:rsidR="00E740F3" w:rsidRPr="00533C0B" w:rsidRDefault="00E740F3" w:rsidP="004D3044">
            <w:pPr>
              <w:spacing w:after="0" w:line="240" w:lineRule="auto"/>
              <w:ind w:left="113" w:right="113"/>
              <w:rPr>
                <w:rFonts w:eastAsia="Times New Roman" w:cs="Times New Roman"/>
                <w:b/>
                <w:bCs/>
                <w:color w:val="0000FF"/>
                <w:sz w:val="20"/>
                <w:szCs w:val="20"/>
              </w:rPr>
            </w:pPr>
            <w:r w:rsidRPr="00533C0B">
              <w:rPr>
                <w:rFonts w:eastAsia="Times New Roman" w:cs="Times New Roman"/>
                <w:b/>
                <w:bCs/>
                <w:color w:val="0000FF"/>
                <w:sz w:val="20"/>
                <w:szCs w:val="20"/>
              </w:rPr>
              <w:t>RICFAS with FIM® Instrument</w:t>
            </w:r>
          </w:p>
        </w:tc>
        <w:tc>
          <w:tcPr>
            <w:tcW w:w="347" w:type="pct"/>
            <w:tcBorders>
              <w:top w:val="single" w:sz="4" w:space="0" w:color="auto"/>
              <w:bottom w:val="single" w:sz="4" w:space="0" w:color="auto"/>
            </w:tcBorders>
            <w:shd w:val="clear" w:color="auto" w:fill="DBE5F1" w:themeFill="accent1" w:themeFillTint="33"/>
            <w:textDirection w:val="btLr"/>
          </w:tcPr>
          <w:p w14:paraId="69C53161" w14:textId="51E791CD" w:rsidR="00E740F3" w:rsidRPr="00533C0B" w:rsidRDefault="000677C5" w:rsidP="004D3044">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 xml:space="preserve">Minimum </w:t>
            </w:r>
            <w:r w:rsidR="00E740F3">
              <w:rPr>
                <w:rFonts w:eastAsia="Times New Roman" w:cs="Times New Roman"/>
                <w:b/>
                <w:bCs/>
                <w:color w:val="0000FF"/>
                <w:sz w:val="20"/>
                <w:szCs w:val="20"/>
              </w:rPr>
              <w:t>D</w:t>
            </w:r>
            <w:r>
              <w:rPr>
                <w:rFonts w:eastAsia="Times New Roman" w:cs="Times New Roman"/>
                <w:b/>
                <w:bCs/>
                <w:color w:val="0000FF"/>
                <w:sz w:val="20"/>
                <w:szCs w:val="20"/>
              </w:rPr>
              <w:t xml:space="preserve">ata </w:t>
            </w:r>
            <w:r w:rsidR="00E740F3">
              <w:rPr>
                <w:rFonts w:eastAsia="Times New Roman" w:cs="Times New Roman"/>
                <w:b/>
                <w:bCs/>
                <w:color w:val="0000FF"/>
                <w:sz w:val="20"/>
                <w:szCs w:val="20"/>
              </w:rPr>
              <w:t>S</w:t>
            </w:r>
            <w:r>
              <w:rPr>
                <w:rFonts w:eastAsia="Times New Roman" w:cs="Times New Roman"/>
                <w:b/>
                <w:bCs/>
                <w:color w:val="0000FF"/>
                <w:sz w:val="20"/>
                <w:szCs w:val="20"/>
              </w:rPr>
              <w:t>et</w:t>
            </w:r>
            <w:r w:rsidR="00E740F3">
              <w:rPr>
                <w:rFonts w:eastAsia="Times New Roman" w:cs="Times New Roman"/>
                <w:b/>
                <w:bCs/>
                <w:color w:val="0000FF"/>
                <w:sz w:val="20"/>
                <w:szCs w:val="20"/>
              </w:rPr>
              <w:t>: Section G</w:t>
            </w:r>
          </w:p>
        </w:tc>
        <w:tc>
          <w:tcPr>
            <w:tcW w:w="397" w:type="pct"/>
            <w:tcBorders>
              <w:top w:val="single" w:sz="4" w:space="0" w:color="auto"/>
              <w:bottom w:val="single" w:sz="4" w:space="0" w:color="auto"/>
            </w:tcBorders>
            <w:shd w:val="clear" w:color="auto" w:fill="DBE5F1" w:themeFill="accent1" w:themeFillTint="33"/>
            <w:textDirection w:val="btLr"/>
            <w:vAlign w:val="center"/>
          </w:tcPr>
          <w:p w14:paraId="0822FBDD" w14:textId="0F151E1F" w:rsidR="00E740F3" w:rsidRPr="00533C0B" w:rsidRDefault="00C210AB" w:rsidP="004D3044">
            <w:pPr>
              <w:spacing w:after="0" w:line="240" w:lineRule="auto"/>
              <w:ind w:left="113" w:right="113"/>
              <w:rPr>
                <w:rFonts w:eastAsia="Times New Roman" w:cs="Times New Roman"/>
                <w:b/>
                <w:bCs/>
                <w:color w:val="0000FF"/>
                <w:sz w:val="20"/>
                <w:szCs w:val="20"/>
              </w:rPr>
            </w:pPr>
            <w:r>
              <w:rPr>
                <w:rFonts w:eastAsia="Times New Roman" w:cs="Times New Roman"/>
                <w:b/>
                <w:bCs/>
                <w:color w:val="0000FF"/>
                <w:sz w:val="20"/>
                <w:szCs w:val="20"/>
              </w:rPr>
              <w:t>Lower Extremity Functional Scale</w:t>
            </w:r>
          </w:p>
        </w:tc>
      </w:tr>
      <w:tr w:rsidR="00EB2567" w:rsidRPr="00533C0B" w14:paraId="6A08CFBD" w14:textId="77777777" w:rsidTr="00D77E49">
        <w:trPr>
          <w:trHeight w:val="207"/>
          <w:jc w:val="center"/>
        </w:trPr>
        <w:tc>
          <w:tcPr>
            <w:tcW w:w="1907" w:type="pct"/>
            <w:tcBorders>
              <w:top w:val="single" w:sz="4" w:space="0" w:color="auto"/>
            </w:tcBorders>
            <w:shd w:val="clear" w:color="auto" w:fill="auto"/>
            <w:vAlign w:val="center"/>
            <w:hideMark/>
          </w:tcPr>
          <w:p w14:paraId="41FA3D44" w14:textId="77777777" w:rsidR="00EB2567"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Roll left and right</w:t>
            </w:r>
          </w:p>
          <w:p w14:paraId="380D22D5" w14:textId="77777777" w:rsidR="00EB2567" w:rsidRPr="00533C0B"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Rolling over d4107</w:t>
            </w:r>
          </w:p>
        </w:tc>
        <w:tc>
          <w:tcPr>
            <w:tcW w:w="572" w:type="pct"/>
            <w:tcBorders>
              <w:top w:val="single" w:sz="4" w:space="0" w:color="auto"/>
            </w:tcBorders>
            <w:shd w:val="clear" w:color="auto" w:fill="B8CCE4" w:themeFill="accent1" w:themeFillTint="66"/>
            <w:noWrap/>
            <w:vAlign w:val="center"/>
            <w:hideMark/>
          </w:tcPr>
          <w:p w14:paraId="6AFE2A01" w14:textId="77777777" w:rsidR="00EB2567" w:rsidRPr="00533C0B"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top w:val="single" w:sz="4" w:space="0" w:color="auto"/>
            </w:tcBorders>
            <w:shd w:val="clear" w:color="auto" w:fill="auto"/>
            <w:noWrap/>
            <w:vAlign w:val="center"/>
          </w:tcPr>
          <w:p w14:paraId="339E6665" w14:textId="77777777" w:rsidR="00EB2567" w:rsidRPr="00533C0B" w:rsidRDefault="00EB2567" w:rsidP="004D3044">
            <w:pPr>
              <w:spacing w:after="0" w:line="240" w:lineRule="auto"/>
              <w:jc w:val="center"/>
              <w:rPr>
                <w:rFonts w:eastAsia="Times New Roman" w:cs="Times New Roman"/>
                <w:color w:val="0000FF"/>
                <w:sz w:val="20"/>
                <w:szCs w:val="20"/>
              </w:rPr>
            </w:pPr>
          </w:p>
        </w:tc>
        <w:tc>
          <w:tcPr>
            <w:tcW w:w="356" w:type="pct"/>
            <w:tcBorders>
              <w:top w:val="single" w:sz="4" w:space="0" w:color="auto"/>
            </w:tcBorders>
            <w:shd w:val="clear" w:color="auto" w:fill="auto"/>
            <w:noWrap/>
            <w:vAlign w:val="center"/>
          </w:tcPr>
          <w:p w14:paraId="5ECAF83F" w14:textId="77777777" w:rsidR="00EB2567" w:rsidRPr="00533C0B" w:rsidRDefault="00EB2567" w:rsidP="004D3044">
            <w:pPr>
              <w:spacing w:after="0" w:line="240" w:lineRule="auto"/>
              <w:jc w:val="center"/>
              <w:rPr>
                <w:rFonts w:eastAsia="Times New Roman" w:cs="Times New Roman"/>
                <w:color w:val="0000FF"/>
                <w:sz w:val="20"/>
                <w:szCs w:val="20"/>
              </w:rPr>
            </w:pPr>
          </w:p>
        </w:tc>
        <w:tc>
          <w:tcPr>
            <w:tcW w:w="356" w:type="pct"/>
            <w:tcBorders>
              <w:top w:val="single" w:sz="4" w:space="0" w:color="auto"/>
            </w:tcBorders>
            <w:shd w:val="clear" w:color="auto" w:fill="auto"/>
            <w:noWrap/>
            <w:vAlign w:val="center"/>
          </w:tcPr>
          <w:p w14:paraId="2BA274A3" w14:textId="77777777" w:rsidR="00EB2567" w:rsidRPr="00533C0B" w:rsidRDefault="00EB2567" w:rsidP="004D3044">
            <w:pPr>
              <w:spacing w:after="0" w:line="240" w:lineRule="auto"/>
              <w:jc w:val="center"/>
              <w:rPr>
                <w:rFonts w:eastAsia="Times New Roman" w:cs="Times New Roman"/>
                <w:color w:val="0000FF"/>
                <w:sz w:val="20"/>
                <w:szCs w:val="20"/>
              </w:rPr>
            </w:pPr>
          </w:p>
        </w:tc>
        <w:tc>
          <w:tcPr>
            <w:tcW w:w="354" w:type="pct"/>
            <w:tcBorders>
              <w:top w:val="single" w:sz="4" w:space="0" w:color="auto"/>
            </w:tcBorders>
            <w:shd w:val="clear" w:color="auto" w:fill="auto"/>
            <w:vAlign w:val="center"/>
          </w:tcPr>
          <w:p w14:paraId="12614C56" w14:textId="77777777" w:rsidR="00EB2567" w:rsidRPr="00533C0B" w:rsidRDefault="00EB2567" w:rsidP="004D3044">
            <w:pPr>
              <w:spacing w:after="0" w:line="240" w:lineRule="auto"/>
              <w:jc w:val="center"/>
              <w:rPr>
                <w:rFonts w:eastAsia="Times New Roman" w:cs="Times New Roman"/>
                <w:color w:val="0000FF"/>
                <w:sz w:val="20"/>
                <w:szCs w:val="20"/>
              </w:rPr>
            </w:pPr>
          </w:p>
        </w:tc>
        <w:tc>
          <w:tcPr>
            <w:tcW w:w="353" w:type="pct"/>
            <w:tcBorders>
              <w:top w:val="single" w:sz="4" w:space="0" w:color="auto"/>
            </w:tcBorders>
            <w:shd w:val="clear" w:color="auto" w:fill="auto"/>
            <w:vAlign w:val="center"/>
          </w:tcPr>
          <w:p w14:paraId="39BA3EC8" w14:textId="77777777" w:rsidR="00EB2567" w:rsidRPr="00533C0B" w:rsidRDefault="00EB2567" w:rsidP="004D3044">
            <w:pPr>
              <w:spacing w:after="0" w:line="240" w:lineRule="auto"/>
              <w:jc w:val="center"/>
              <w:rPr>
                <w:rFonts w:eastAsia="Times New Roman" w:cs="Times New Roman"/>
                <w:color w:val="0000FF"/>
                <w:sz w:val="20"/>
                <w:szCs w:val="20"/>
              </w:rPr>
            </w:pPr>
          </w:p>
        </w:tc>
        <w:tc>
          <w:tcPr>
            <w:tcW w:w="347" w:type="pct"/>
            <w:vMerge w:val="restart"/>
            <w:tcBorders>
              <w:top w:val="single" w:sz="4" w:space="0" w:color="auto"/>
            </w:tcBorders>
            <w:vAlign w:val="center"/>
          </w:tcPr>
          <w:p w14:paraId="388F3494" w14:textId="20174011" w:rsidR="00EB2567"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tcBorders>
              <w:top w:val="single" w:sz="4" w:space="0" w:color="auto"/>
            </w:tcBorders>
            <w:shd w:val="clear" w:color="auto" w:fill="auto"/>
            <w:vAlign w:val="center"/>
          </w:tcPr>
          <w:p w14:paraId="390759B2" w14:textId="0D56B53A" w:rsidR="00EB2567" w:rsidRPr="00533C0B" w:rsidRDefault="00C210AB"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B2567" w:rsidRPr="00533C0B" w14:paraId="4A5C0727" w14:textId="77777777" w:rsidTr="00D77E49">
        <w:trPr>
          <w:trHeight w:val="414"/>
          <w:jc w:val="center"/>
        </w:trPr>
        <w:tc>
          <w:tcPr>
            <w:tcW w:w="1907" w:type="pct"/>
            <w:shd w:val="clear" w:color="auto" w:fill="auto"/>
            <w:vAlign w:val="center"/>
            <w:hideMark/>
          </w:tcPr>
          <w:p w14:paraId="6F1669D6" w14:textId="77777777" w:rsidR="00EB2567"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Sit to lying</w:t>
            </w:r>
          </w:p>
          <w:p w14:paraId="49E73153" w14:textId="77777777" w:rsidR="00EB2567" w:rsidRPr="00533C0B"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Lying down</w:t>
            </w:r>
            <w:r>
              <w:rPr>
                <w:rFonts w:eastAsia="Times New Roman" w:cs="Times New Roman"/>
                <w:b/>
                <w:color w:val="0000FF"/>
                <w:sz w:val="20"/>
                <w:szCs w:val="20"/>
              </w:rPr>
              <w:t xml:space="preserve"> </w:t>
            </w:r>
            <w:r>
              <w:rPr>
                <w:rFonts w:eastAsia="Times New Roman" w:cs="Times New Roman"/>
                <w:color w:val="0000FF"/>
                <w:sz w:val="20"/>
                <w:szCs w:val="20"/>
              </w:rPr>
              <w:t>d4100</w:t>
            </w:r>
          </w:p>
        </w:tc>
        <w:tc>
          <w:tcPr>
            <w:tcW w:w="572" w:type="pct"/>
            <w:shd w:val="clear" w:color="auto" w:fill="B8CCE4" w:themeFill="accent1" w:themeFillTint="66"/>
            <w:noWrap/>
            <w:vAlign w:val="center"/>
            <w:hideMark/>
          </w:tcPr>
          <w:p w14:paraId="455C1D49" w14:textId="77777777" w:rsidR="00EB2567" w:rsidRPr="00533C0B"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79DC5514"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56" w:type="pct"/>
            <w:vMerge w:val="restart"/>
            <w:shd w:val="clear" w:color="auto" w:fill="auto"/>
            <w:noWrap/>
            <w:vAlign w:val="center"/>
          </w:tcPr>
          <w:p w14:paraId="14B8DF1F" w14:textId="31EFC44F" w:rsidR="00EB2567" w:rsidRPr="00910627"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13546FAC"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54" w:type="pct"/>
            <w:vMerge w:val="restart"/>
            <w:shd w:val="clear" w:color="auto" w:fill="auto"/>
            <w:vAlign w:val="center"/>
          </w:tcPr>
          <w:p w14:paraId="294CD0EF" w14:textId="7A86AAE0" w:rsidR="00EB2567" w:rsidRPr="00910627"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3" w:type="pct"/>
            <w:vMerge w:val="restart"/>
            <w:shd w:val="clear" w:color="auto" w:fill="auto"/>
            <w:vAlign w:val="center"/>
          </w:tcPr>
          <w:p w14:paraId="02F82430" w14:textId="449F42C3" w:rsidR="00EB2567" w:rsidRPr="00910627"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7" w:type="pct"/>
            <w:vMerge/>
          </w:tcPr>
          <w:p w14:paraId="188D418B"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0491043B" w14:textId="68E0F112" w:rsidR="00EB2567" w:rsidRPr="00910627" w:rsidRDefault="00EB2567" w:rsidP="004D3044">
            <w:pPr>
              <w:spacing w:after="0" w:line="240" w:lineRule="auto"/>
              <w:jc w:val="center"/>
              <w:rPr>
                <w:rFonts w:eastAsia="Times New Roman" w:cs="Times New Roman"/>
                <w:color w:val="0000FF"/>
                <w:sz w:val="20"/>
                <w:szCs w:val="20"/>
              </w:rPr>
            </w:pPr>
          </w:p>
        </w:tc>
      </w:tr>
      <w:tr w:rsidR="00EB2567" w:rsidRPr="00533C0B" w14:paraId="1A4EC8B4" w14:textId="77777777" w:rsidTr="00D77E49">
        <w:trPr>
          <w:trHeight w:val="207"/>
          <w:jc w:val="center"/>
        </w:trPr>
        <w:tc>
          <w:tcPr>
            <w:tcW w:w="1907" w:type="pct"/>
            <w:shd w:val="clear" w:color="auto" w:fill="auto"/>
            <w:vAlign w:val="center"/>
            <w:hideMark/>
          </w:tcPr>
          <w:p w14:paraId="478B4B16" w14:textId="77777777" w:rsidR="00EB2567"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Lying to sitting on side of bed</w:t>
            </w:r>
          </w:p>
          <w:p w14:paraId="45CC5313" w14:textId="77777777" w:rsidR="00EB2567" w:rsidRPr="00533C0B" w:rsidRDefault="00EB2567"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Lying down</w:t>
            </w:r>
            <w:r>
              <w:rPr>
                <w:rFonts w:eastAsia="Times New Roman" w:cs="Times New Roman"/>
                <w:b/>
                <w:color w:val="0000FF"/>
                <w:sz w:val="20"/>
                <w:szCs w:val="20"/>
              </w:rPr>
              <w:t xml:space="preserve"> </w:t>
            </w:r>
            <w:r>
              <w:rPr>
                <w:rFonts w:eastAsia="Times New Roman" w:cs="Times New Roman"/>
                <w:color w:val="0000FF"/>
                <w:sz w:val="20"/>
                <w:szCs w:val="20"/>
              </w:rPr>
              <w:t>d4100</w:t>
            </w:r>
          </w:p>
        </w:tc>
        <w:tc>
          <w:tcPr>
            <w:tcW w:w="572" w:type="pct"/>
            <w:shd w:val="clear" w:color="auto" w:fill="B8CCE4" w:themeFill="accent1" w:themeFillTint="66"/>
            <w:noWrap/>
            <w:vAlign w:val="center"/>
            <w:hideMark/>
          </w:tcPr>
          <w:p w14:paraId="4A9BCFB3" w14:textId="77777777" w:rsidR="00EB2567" w:rsidRPr="00533C0B" w:rsidRDefault="00EB2567"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567BF106"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56" w:type="pct"/>
            <w:vMerge/>
            <w:shd w:val="clear" w:color="auto" w:fill="auto"/>
            <w:noWrap/>
            <w:vAlign w:val="center"/>
          </w:tcPr>
          <w:p w14:paraId="6BDA5BB4" w14:textId="01FBBF8A" w:rsidR="00EB2567" w:rsidRPr="00910627" w:rsidRDefault="00EB2567"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32FCF124"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2CBBC985" w14:textId="081075DF" w:rsidR="00EB2567" w:rsidRPr="00910627" w:rsidRDefault="00EB2567" w:rsidP="004D3044">
            <w:pPr>
              <w:spacing w:after="0" w:line="240" w:lineRule="auto"/>
              <w:jc w:val="center"/>
              <w:rPr>
                <w:rFonts w:eastAsia="Times New Roman" w:cs="Times New Roman"/>
                <w:color w:val="0000FF"/>
                <w:sz w:val="20"/>
                <w:szCs w:val="20"/>
              </w:rPr>
            </w:pPr>
          </w:p>
        </w:tc>
        <w:tc>
          <w:tcPr>
            <w:tcW w:w="353" w:type="pct"/>
            <w:vMerge/>
            <w:shd w:val="clear" w:color="auto" w:fill="auto"/>
            <w:vAlign w:val="center"/>
          </w:tcPr>
          <w:p w14:paraId="3B2ECC2F" w14:textId="44993551" w:rsidR="00EB2567" w:rsidRPr="00910627" w:rsidRDefault="00EB2567" w:rsidP="004D3044">
            <w:pPr>
              <w:spacing w:after="0" w:line="240" w:lineRule="auto"/>
              <w:jc w:val="center"/>
              <w:rPr>
                <w:rFonts w:eastAsia="Times New Roman" w:cs="Times New Roman"/>
                <w:color w:val="0000FF"/>
                <w:sz w:val="20"/>
                <w:szCs w:val="20"/>
              </w:rPr>
            </w:pPr>
          </w:p>
        </w:tc>
        <w:tc>
          <w:tcPr>
            <w:tcW w:w="347" w:type="pct"/>
            <w:vMerge/>
          </w:tcPr>
          <w:p w14:paraId="0026CC6F" w14:textId="77777777" w:rsidR="00EB2567" w:rsidRPr="00910627" w:rsidRDefault="00EB2567"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0D5BEAE3" w14:textId="7E182A97" w:rsidR="00EB2567" w:rsidRPr="00910627" w:rsidRDefault="00EB2567" w:rsidP="004D3044">
            <w:pPr>
              <w:spacing w:after="0" w:line="240" w:lineRule="auto"/>
              <w:jc w:val="center"/>
              <w:rPr>
                <w:rFonts w:eastAsia="Times New Roman" w:cs="Times New Roman"/>
                <w:color w:val="0000FF"/>
                <w:sz w:val="20"/>
                <w:szCs w:val="20"/>
              </w:rPr>
            </w:pPr>
          </w:p>
        </w:tc>
      </w:tr>
      <w:tr w:rsidR="00E740F3" w:rsidRPr="00533C0B" w14:paraId="7F1F39A0" w14:textId="77777777" w:rsidTr="00D77E49">
        <w:trPr>
          <w:trHeight w:val="305"/>
          <w:jc w:val="center"/>
        </w:trPr>
        <w:tc>
          <w:tcPr>
            <w:tcW w:w="1907" w:type="pct"/>
            <w:shd w:val="clear" w:color="auto" w:fill="auto"/>
            <w:vAlign w:val="center"/>
            <w:hideMark/>
          </w:tcPr>
          <w:p w14:paraId="5B766ABE"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Sit to stand</w:t>
            </w:r>
          </w:p>
          <w:p w14:paraId="68E9F48E" w14:textId="77777777" w:rsidR="00E740F3" w:rsidRPr="00533C0B"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7C1C2C">
              <w:rPr>
                <w:rFonts w:eastAsia="Times New Roman" w:cs="Times New Roman"/>
                <w:color w:val="0000FF"/>
                <w:sz w:val="20"/>
                <w:szCs w:val="20"/>
              </w:rPr>
              <w:t>Standing d4104</w:t>
            </w:r>
          </w:p>
          <w:p w14:paraId="7257DD40" w14:textId="77777777" w:rsidR="00E740F3" w:rsidRPr="00533C0B" w:rsidRDefault="00E740F3" w:rsidP="004D3044">
            <w:pPr>
              <w:spacing w:after="0" w:line="240" w:lineRule="auto"/>
              <w:rPr>
                <w:rFonts w:eastAsia="Times New Roman" w:cs="Times New Roman"/>
                <w:b/>
                <w:color w:val="0000FF"/>
                <w:sz w:val="20"/>
                <w:szCs w:val="20"/>
              </w:rPr>
            </w:pPr>
          </w:p>
        </w:tc>
        <w:tc>
          <w:tcPr>
            <w:tcW w:w="572" w:type="pct"/>
            <w:shd w:val="clear" w:color="auto" w:fill="B8CCE4" w:themeFill="accent1" w:themeFillTint="66"/>
            <w:noWrap/>
            <w:vAlign w:val="center"/>
            <w:hideMark/>
          </w:tcPr>
          <w:p w14:paraId="2FCFCF25"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524A91B0" w14:textId="77777777" w:rsidR="00E740F3" w:rsidRPr="00910627" w:rsidRDefault="00E740F3" w:rsidP="004D3044">
            <w:pPr>
              <w:spacing w:after="0" w:line="240" w:lineRule="auto"/>
              <w:jc w:val="center"/>
              <w:rPr>
                <w:rFonts w:eastAsia="Times New Roman" w:cs="Times New Roman"/>
                <w:color w:val="0000FF"/>
                <w:sz w:val="20"/>
                <w:szCs w:val="20"/>
              </w:rPr>
            </w:pPr>
          </w:p>
        </w:tc>
        <w:tc>
          <w:tcPr>
            <w:tcW w:w="356" w:type="pct"/>
            <w:vMerge/>
            <w:shd w:val="clear" w:color="auto" w:fill="auto"/>
            <w:noWrap/>
            <w:vAlign w:val="center"/>
          </w:tcPr>
          <w:p w14:paraId="11C3DF36" w14:textId="321CF7D9" w:rsidR="00E740F3" w:rsidRPr="00910627"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2256DF07" w14:textId="77777777" w:rsidR="00E740F3" w:rsidRPr="00910627" w:rsidRDefault="00E740F3" w:rsidP="004D3044">
            <w:pPr>
              <w:spacing w:after="0" w:line="240" w:lineRule="auto"/>
              <w:jc w:val="center"/>
              <w:rPr>
                <w:rFonts w:eastAsia="Times New Roman" w:cs="Times New Roman"/>
                <w:color w:val="0000FF"/>
                <w:sz w:val="20"/>
                <w:szCs w:val="20"/>
              </w:rPr>
            </w:pPr>
          </w:p>
        </w:tc>
        <w:tc>
          <w:tcPr>
            <w:tcW w:w="354" w:type="pct"/>
            <w:vMerge/>
            <w:shd w:val="clear" w:color="auto" w:fill="auto"/>
            <w:vAlign w:val="center"/>
          </w:tcPr>
          <w:p w14:paraId="79B6E329" w14:textId="5913C92B" w:rsidR="00E740F3" w:rsidRPr="00910627" w:rsidRDefault="00E740F3" w:rsidP="004D3044">
            <w:pPr>
              <w:spacing w:after="0" w:line="240" w:lineRule="auto"/>
              <w:jc w:val="center"/>
              <w:rPr>
                <w:rFonts w:eastAsia="Times New Roman" w:cs="Times New Roman"/>
                <w:color w:val="0000FF"/>
                <w:sz w:val="20"/>
                <w:szCs w:val="20"/>
              </w:rPr>
            </w:pPr>
          </w:p>
        </w:tc>
        <w:tc>
          <w:tcPr>
            <w:tcW w:w="353" w:type="pct"/>
            <w:vMerge/>
            <w:shd w:val="clear" w:color="auto" w:fill="auto"/>
            <w:vAlign w:val="center"/>
          </w:tcPr>
          <w:p w14:paraId="78359101" w14:textId="66FE3897" w:rsidR="00E740F3" w:rsidRPr="00910627" w:rsidRDefault="00E740F3" w:rsidP="004D3044">
            <w:pPr>
              <w:spacing w:after="0" w:line="240" w:lineRule="auto"/>
              <w:jc w:val="center"/>
              <w:rPr>
                <w:rFonts w:eastAsia="Times New Roman" w:cs="Times New Roman"/>
                <w:color w:val="0000FF"/>
                <w:sz w:val="20"/>
                <w:szCs w:val="20"/>
              </w:rPr>
            </w:pPr>
          </w:p>
        </w:tc>
        <w:tc>
          <w:tcPr>
            <w:tcW w:w="347" w:type="pct"/>
          </w:tcPr>
          <w:p w14:paraId="4621DB8B" w14:textId="77777777" w:rsidR="00E740F3" w:rsidRPr="00910627" w:rsidRDefault="00E740F3"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3A08CFF8" w14:textId="6B7D6F40" w:rsidR="00E740F3" w:rsidRPr="00910627" w:rsidRDefault="00E740F3" w:rsidP="004D3044">
            <w:pPr>
              <w:spacing w:after="0" w:line="240" w:lineRule="auto"/>
              <w:jc w:val="center"/>
              <w:rPr>
                <w:rFonts w:eastAsia="Times New Roman" w:cs="Times New Roman"/>
                <w:color w:val="0000FF"/>
                <w:sz w:val="20"/>
                <w:szCs w:val="20"/>
              </w:rPr>
            </w:pPr>
          </w:p>
        </w:tc>
      </w:tr>
      <w:tr w:rsidR="00E740F3" w:rsidRPr="00533C0B" w14:paraId="08E4F8C1" w14:textId="77777777" w:rsidTr="00D77E49">
        <w:trPr>
          <w:trHeight w:val="305"/>
          <w:jc w:val="center"/>
        </w:trPr>
        <w:tc>
          <w:tcPr>
            <w:tcW w:w="1907" w:type="pct"/>
            <w:shd w:val="clear" w:color="auto" w:fill="auto"/>
            <w:vAlign w:val="center"/>
          </w:tcPr>
          <w:p w14:paraId="6BF2BBD7"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Chair/bed-to-chair transfer</w:t>
            </w:r>
          </w:p>
          <w:p w14:paraId="5A1D05BD"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2" w:type="pct"/>
            <w:shd w:val="clear" w:color="auto" w:fill="B8CCE4" w:themeFill="accent1" w:themeFillTint="66"/>
            <w:noWrap/>
            <w:vAlign w:val="center"/>
          </w:tcPr>
          <w:p w14:paraId="26720D63"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0784DC2"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vMerge/>
            <w:shd w:val="clear" w:color="auto" w:fill="auto"/>
            <w:noWrap/>
            <w:vAlign w:val="center"/>
          </w:tcPr>
          <w:p w14:paraId="224BC732" w14:textId="21A62ADB" w:rsidR="00E740F3" w:rsidRPr="00910627"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0259A16"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vMerge/>
            <w:shd w:val="clear" w:color="auto" w:fill="auto"/>
            <w:vAlign w:val="center"/>
          </w:tcPr>
          <w:p w14:paraId="4D9529ED" w14:textId="3D37E593" w:rsidR="00E740F3" w:rsidRPr="00910627" w:rsidRDefault="00E740F3" w:rsidP="004D3044">
            <w:pPr>
              <w:spacing w:after="0" w:line="240" w:lineRule="auto"/>
              <w:jc w:val="center"/>
              <w:rPr>
                <w:rFonts w:eastAsia="Times New Roman" w:cs="Times New Roman"/>
                <w:color w:val="0000FF"/>
                <w:sz w:val="20"/>
                <w:szCs w:val="20"/>
              </w:rPr>
            </w:pPr>
          </w:p>
        </w:tc>
        <w:tc>
          <w:tcPr>
            <w:tcW w:w="353" w:type="pct"/>
            <w:vMerge/>
            <w:shd w:val="clear" w:color="auto" w:fill="auto"/>
            <w:vAlign w:val="center"/>
          </w:tcPr>
          <w:p w14:paraId="6E7648DA" w14:textId="57CE07C8" w:rsidR="00E740F3" w:rsidRPr="00910627" w:rsidRDefault="00E740F3" w:rsidP="004D3044">
            <w:pPr>
              <w:spacing w:after="0" w:line="240" w:lineRule="auto"/>
              <w:jc w:val="center"/>
              <w:rPr>
                <w:rFonts w:eastAsia="Times New Roman" w:cs="Times New Roman"/>
                <w:color w:val="0000FF"/>
                <w:sz w:val="20"/>
                <w:szCs w:val="20"/>
              </w:rPr>
            </w:pPr>
          </w:p>
        </w:tc>
        <w:tc>
          <w:tcPr>
            <w:tcW w:w="347" w:type="pct"/>
            <w:vAlign w:val="center"/>
          </w:tcPr>
          <w:p w14:paraId="6A84DCE1" w14:textId="47332247" w:rsidR="00E740F3" w:rsidRPr="00910627"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4AD5D8A4" w14:textId="1BF03DF0" w:rsidR="00E740F3" w:rsidRPr="00910627" w:rsidRDefault="00E740F3" w:rsidP="004D3044">
            <w:pPr>
              <w:spacing w:after="0" w:line="240" w:lineRule="auto"/>
              <w:jc w:val="center"/>
              <w:rPr>
                <w:rFonts w:eastAsia="Times New Roman" w:cs="Times New Roman"/>
                <w:color w:val="0000FF"/>
                <w:sz w:val="20"/>
                <w:szCs w:val="20"/>
              </w:rPr>
            </w:pPr>
          </w:p>
        </w:tc>
      </w:tr>
      <w:tr w:rsidR="00E740F3" w:rsidRPr="00533C0B" w14:paraId="7E91A84E" w14:textId="77777777" w:rsidTr="00D77E49">
        <w:trPr>
          <w:trHeight w:val="305"/>
          <w:jc w:val="center"/>
        </w:trPr>
        <w:tc>
          <w:tcPr>
            <w:tcW w:w="1907" w:type="pct"/>
            <w:shd w:val="clear" w:color="auto" w:fill="auto"/>
            <w:vAlign w:val="center"/>
          </w:tcPr>
          <w:p w14:paraId="5327AA2D"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Toilet transfer</w:t>
            </w:r>
          </w:p>
          <w:p w14:paraId="33B864AD"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2" w:type="pct"/>
            <w:shd w:val="clear" w:color="auto" w:fill="B8CCE4" w:themeFill="accent1" w:themeFillTint="66"/>
            <w:noWrap/>
            <w:vAlign w:val="center"/>
          </w:tcPr>
          <w:p w14:paraId="43FB2301"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147AB542"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42885AED"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0415078C"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4" w:type="pct"/>
            <w:shd w:val="clear" w:color="auto" w:fill="auto"/>
            <w:vAlign w:val="center"/>
          </w:tcPr>
          <w:p w14:paraId="35CF4A58"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3" w:type="pct"/>
            <w:shd w:val="clear" w:color="auto" w:fill="auto"/>
            <w:vAlign w:val="center"/>
          </w:tcPr>
          <w:p w14:paraId="6C63EC8E" w14:textId="77777777" w:rsidR="00E740F3" w:rsidRPr="00910627"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7" w:type="pct"/>
            <w:vAlign w:val="center"/>
          </w:tcPr>
          <w:p w14:paraId="420E1FE7" w14:textId="77777777" w:rsidR="00E740F3" w:rsidRPr="00910627" w:rsidRDefault="00E740F3" w:rsidP="00EB2567">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5076F494" w14:textId="061A8287" w:rsidR="00E740F3" w:rsidRPr="00910627" w:rsidRDefault="00E740F3" w:rsidP="004D3044">
            <w:pPr>
              <w:spacing w:after="0" w:line="240" w:lineRule="auto"/>
              <w:jc w:val="center"/>
              <w:rPr>
                <w:rFonts w:eastAsia="Times New Roman" w:cs="Times New Roman"/>
                <w:color w:val="0000FF"/>
                <w:sz w:val="20"/>
                <w:szCs w:val="20"/>
              </w:rPr>
            </w:pPr>
          </w:p>
        </w:tc>
      </w:tr>
      <w:tr w:rsidR="00E740F3" w:rsidRPr="00533C0B" w14:paraId="0DC50164" w14:textId="77777777" w:rsidTr="00D77E49">
        <w:trPr>
          <w:trHeight w:val="305"/>
          <w:jc w:val="center"/>
        </w:trPr>
        <w:tc>
          <w:tcPr>
            <w:tcW w:w="1907" w:type="pct"/>
            <w:shd w:val="clear" w:color="auto" w:fill="auto"/>
            <w:vAlign w:val="center"/>
          </w:tcPr>
          <w:p w14:paraId="34F2B0AC"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Car transfer</w:t>
            </w:r>
          </w:p>
          <w:p w14:paraId="5D708588"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Pr>
                <w:rFonts w:eastAsia="Times New Roman" w:cs="Times New Roman"/>
                <w:color w:val="0000FF"/>
                <w:sz w:val="20"/>
                <w:szCs w:val="20"/>
              </w:rPr>
              <w:t>Transferring oneself while sitting d4200</w:t>
            </w:r>
          </w:p>
        </w:tc>
        <w:tc>
          <w:tcPr>
            <w:tcW w:w="572" w:type="pct"/>
            <w:shd w:val="clear" w:color="auto" w:fill="B8CCE4" w:themeFill="accent1" w:themeFillTint="66"/>
            <w:noWrap/>
            <w:vAlign w:val="center"/>
          </w:tcPr>
          <w:p w14:paraId="40BFA473"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131494CA"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179CC807"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4B26252"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7A72E350"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3" w:type="pct"/>
            <w:shd w:val="clear" w:color="auto" w:fill="auto"/>
            <w:vAlign w:val="center"/>
          </w:tcPr>
          <w:p w14:paraId="24877A43"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7" w:type="pct"/>
            <w:vAlign w:val="center"/>
          </w:tcPr>
          <w:p w14:paraId="7175FCDF" w14:textId="77777777" w:rsidR="00E740F3" w:rsidRPr="00533C0B" w:rsidRDefault="00E740F3" w:rsidP="00EB2567">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7C6A1C1A" w14:textId="52733521" w:rsidR="00E740F3" w:rsidRPr="00533C0B" w:rsidRDefault="00C210AB"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740F3" w:rsidRPr="00533C0B" w14:paraId="43F9408A" w14:textId="77777777" w:rsidTr="00D77E49">
        <w:trPr>
          <w:trHeight w:val="305"/>
          <w:jc w:val="center"/>
        </w:trPr>
        <w:tc>
          <w:tcPr>
            <w:tcW w:w="1907" w:type="pct"/>
            <w:shd w:val="clear" w:color="auto" w:fill="auto"/>
            <w:vAlign w:val="center"/>
          </w:tcPr>
          <w:p w14:paraId="59D31B30"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Walk 10 feet</w:t>
            </w:r>
          </w:p>
          <w:p w14:paraId="12C6F3AE"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 short distance d4500</w:t>
            </w:r>
          </w:p>
        </w:tc>
        <w:tc>
          <w:tcPr>
            <w:tcW w:w="572" w:type="pct"/>
            <w:shd w:val="clear" w:color="auto" w:fill="B8CCE4" w:themeFill="accent1" w:themeFillTint="66"/>
            <w:noWrap/>
            <w:vAlign w:val="center"/>
          </w:tcPr>
          <w:p w14:paraId="757F1B9F"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2853928E"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292A2BBA"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51DC45C0"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0A6CC606"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3" w:type="pct"/>
            <w:shd w:val="clear" w:color="auto" w:fill="auto"/>
            <w:vAlign w:val="center"/>
          </w:tcPr>
          <w:p w14:paraId="09F57D8B"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47" w:type="pct"/>
            <w:vAlign w:val="center"/>
          </w:tcPr>
          <w:p w14:paraId="111026EC" w14:textId="7FC5399D" w:rsidR="00E740F3"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29DDFB2A" w14:textId="28CA22A2" w:rsidR="00E740F3" w:rsidRPr="00533C0B" w:rsidRDefault="00C210AB"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740F3" w:rsidRPr="00533C0B" w14:paraId="3F38C590" w14:textId="77777777" w:rsidTr="00D77E49">
        <w:trPr>
          <w:trHeight w:val="305"/>
          <w:jc w:val="center"/>
        </w:trPr>
        <w:tc>
          <w:tcPr>
            <w:tcW w:w="1907" w:type="pct"/>
            <w:shd w:val="clear" w:color="auto" w:fill="auto"/>
            <w:vAlign w:val="center"/>
          </w:tcPr>
          <w:p w14:paraId="4C2DD682"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Walk 50 feet with two turns</w:t>
            </w:r>
          </w:p>
          <w:p w14:paraId="158B140B" w14:textId="77777777" w:rsidR="00E740F3" w:rsidRPr="00233098"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lastRenderedPageBreak/>
              <w:t xml:space="preserve">ICF = </w:t>
            </w:r>
            <w:r w:rsidRPr="00233098">
              <w:rPr>
                <w:rFonts w:eastAsia="Times New Roman" w:cs="Times New Roman"/>
                <w:color w:val="0000FF"/>
                <w:sz w:val="20"/>
                <w:szCs w:val="20"/>
              </w:rPr>
              <w:t>Walking and moving, other specified and unspecified d469</w:t>
            </w:r>
          </w:p>
        </w:tc>
        <w:tc>
          <w:tcPr>
            <w:tcW w:w="572" w:type="pct"/>
            <w:shd w:val="clear" w:color="auto" w:fill="B8CCE4" w:themeFill="accent1" w:themeFillTint="66"/>
            <w:noWrap/>
            <w:vAlign w:val="center"/>
          </w:tcPr>
          <w:p w14:paraId="138CA32B"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lastRenderedPageBreak/>
              <w:sym w:font="Wingdings" w:char="F0FC"/>
            </w:r>
          </w:p>
        </w:tc>
        <w:tc>
          <w:tcPr>
            <w:tcW w:w="357" w:type="pct"/>
            <w:shd w:val="clear" w:color="auto" w:fill="auto"/>
            <w:noWrap/>
            <w:vAlign w:val="center"/>
          </w:tcPr>
          <w:p w14:paraId="155C72CE"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16ACF592"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0455A661"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64DC7D86"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3" w:type="pct"/>
            <w:shd w:val="clear" w:color="auto" w:fill="auto"/>
            <w:vAlign w:val="center"/>
          </w:tcPr>
          <w:p w14:paraId="79C876E9"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47" w:type="pct"/>
            <w:vAlign w:val="center"/>
          </w:tcPr>
          <w:p w14:paraId="4D2E255D" w14:textId="77777777" w:rsidR="00E740F3" w:rsidRPr="00533C0B" w:rsidRDefault="00E740F3" w:rsidP="00EB2567">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1A86C4CE" w14:textId="33B1F5C4" w:rsidR="00E740F3" w:rsidRPr="00533C0B" w:rsidRDefault="00E740F3" w:rsidP="004D3044">
            <w:pPr>
              <w:spacing w:after="0" w:line="240" w:lineRule="auto"/>
              <w:jc w:val="center"/>
              <w:rPr>
                <w:rFonts w:eastAsia="Times New Roman" w:cs="Times New Roman"/>
                <w:color w:val="0000FF"/>
                <w:sz w:val="20"/>
                <w:szCs w:val="20"/>
              </w:rPr>
            </w:pPr>
          </w:p>
        </w:tc>
      </w:tr>
      <w:tr w:rsidR="00E740F3" w:rsidRPr="00533C0B" w14:paraId="48A0B540" w14:textId="77777777" w:rsidTr="00D77E49">
        <w:trPr>
          <w:trHeight w:val="305"/>
          <w:jc w:val="center"/>
        </w:trPr>
        <w:tc>
          <w:tcPr>
            <w:tcW w:w="1907" w:type="pct"/>
            <w:shd w:val="clear" w:color="auto" w:fill="auto"/>
            <w:vAlign w:val="center"/>
          </w:tcPr>
          <w:p w14:paraId="7FFFFE06"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Walk 150 feet</w:t>
            </w:r>
          </w:p>
          <w:p w14:paraId="1AC12EC8" w14:textId="77777777" w:rsidR="00E740F3" w:rsidRPr="00233098"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 short distances d4500</w:t>
            </w:r>
          </w:p>
        </w:tc>
        <w:tc>
          <w:tcPr>
            <w:tcW w:w="572" w:type="pct"/>
            <w:shd w:val="clear" w:color="auto" w:fill="B8CCE4" w:themeFill="accent1" w:themeFillTint="66"/>
            <w:noWrap/>
            <w:vAlign w:val="center"/>
          </w:tcPr>
          <w:p w14:paraId="002C7937"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4532DC31"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4B3619E5"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758C4319"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20F71F47" w14:textId="5DDD5F18"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3" w:type="pct"/>
            <w:shd w:val="clear" w:color="auto" w:fill="auto"/>
            <w:vAlign w:val="center"/>
          </w:tcPr>
          <w:p w14:paraId="4377B0BF"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7" w:type="pct"/>
            <w:vAlign w:val="center"/>
          </w:tcPr>
          <w:p w14:paraId="314514B0" w14:textId="2B94A96E" w:rsidR="00E740F3"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97" w:type="pct"/>
            <w:shd w:val="clear" w:color="auto" w:fill="auto"/>
            <w:vAlign w:val="center"/>
          </w:tcPr>
          <w:p w14:paraId="61C473F0" w14:textId="6D9F6D0D" w:rsidR="00E740F3" w:rsidRPr="00533C0B" w:rsidRDefault="00C210AB"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740F3" w:rsidRPr="00533C0B" w14:paraId="0DA7B3B1" w14:textId="77777777" w:rsidTr="00D77E49">
        <w:trPr>
          <w:trHeight w:val="305"/>
          <w:jc w:val="center"/>
        </w:trPr>
        <w:tc>
          <w:tcPr>
            <w:tcW w:w="1907" w:type="pct"/>
            <w:shd w:val="clear" w:color="auto" w:fill="auto"/>
            <w:vAlign w:val="center"/>
          </w:tcPr>
          <w:p w14:paraId="585623C7"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Walking 10 feet on uneven surfaces</w:t>
            </w:r>
          </w:p>
          <w:p w14:paraId="7BA766BA" w14:textId="77777777" w:rsidR="00E740F3" w:rsidRPr="00233098"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Walking on different surfaces</w:t>
            </w:r>
            <w:r>
              <w:rPr>
                <w:rFonts w:eastAsia="Times New Roman" w:cs="Times New Roman"/>
                <w:color w:val="0000FF"/>
                <w:sz w:val="20"/>
                <w:szCs w:val="20"/>
              </w:rPr>
              <w:t xml:space="preserve"> </w:t>
            </w:r>
            <w:r w:rsidRPr="00233098">
              <w:rPr>
                <w:rFonts w:eastAsia="Times New Roman" w:cs="Times New Roman"/>
                <w:color w:val="0000FF"/>
                <w:sz w:val="20"/>
                <w:szCs w:val="20"/>
              </w:rPr>
              <w:t>d4502</w:t>
            </w:r>
          </w:p>
        </w:tc>
        <w:tc>
          <w:tcPr>
            <w:tcW w:w="572" w:type="pct"/>
            <w:shd w:val="clear" w:color="auto" w:fill="B8CCE4" w:themeFill="accent1" w:themeFillTint="66"/>
            <w:noWrap/>
            <w:vAlign w:val="center"/>
          </w:tcPr>
          <w:p w14:paraId="601CDAD0"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4E035778"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13F84BC"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2CD420F3"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6100DF78"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3" w:type="pct"/>
            <w:shd w:val="clear" w:color="auto" w:fill="auto"/>
            <w:vAlign w:val="center"/>
          </w:tcPr>
          <w:p w14:paraId="7989EC96"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47" w:type="pct"/>
            <w:vAlign w:val="center"/>
          </w:tcPr>
          <w:p w14:paraId="65E6CCB4" w14:textId="77777777" w:rsidR="00E740F3" w:rsidRPr="00533C0B" w:rsidRDefault="00E740F3" w:rsidP="00EB2567">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3B462935" w14:textId="42377DED" w:rsidR="00E740F3" w:rsidRPr="00533C0B" w:rsidRDefault="00E740F3" w:rsidP="004D3044">
            <w:pPr>
              <w:spacing w:after="0" w:line="240" w:lineRule="auto"/>
              <w:jc w:val="center"/>
              <w:rPr>
                <w:rFonts w:eastAsia="Times New Roman" w:cs="Times New Roman"/>
                <w:color w:val="0000FF"/>
                <w:sz w:val="20"/>
                <w:szCs w:val="20"/>
              </w:rPr>
            </w:pPr>
          </w:p>
        </w:tc>
      </w:tr>
      <w:tr w:rsidR="00E740F3" w:rsidRPr="00533C0B" w14:paraId="7260B457" w14:textId="77777777" w:rsidTr="00D77E49">
        <w:trPr>
          <w:trHeight w:val="305"/>
          <w:jc w:val="center"/>
        </w:trPr>
        <w:tc>
          <w:tcPr>
            <w:tcW w:w="1907" w:type="pct"/>
            <w:shd w:val="clear" w:color="auto" w:fill="auto"/>
            <w:vAlign w:val="center"/>
          </w:tcPr>
          <w:p w14:paraId="75A5542E"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1 step (curb)</w:t>
            </w:r>
          </w:p>
          <w:p w14:paraId="629B6278" w14:textId="77777777" w:rsidR="00E740F3" w:rsidRPr="00233098"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2" w:type="pct"/>
            <w:shd w:val="clear" w:color="auto" w:fill="B8CCE4" w:themeFill="accent1" w:themeFillTint="66"/>
            <w:noWrap/>
            <w:vAlign w:val="center"/>
          </w:tcPr>
          <w:p w14:paraId="7E1D75E0"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4B3FFBE0"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0AE909F"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3EF1234"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359A4B34"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3" w:type="pct"/>
            <w:shd w:val="clear" w:color="auto" w:fill="auto"/>
            <w:vAlign w:val="center"/>
          </w:tcPr>
          <w:p w14:paraId="7B43DC89"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47" w:type="pct"/>
          </w:tcPr>
          <w:p w14:paraId="0123C8E6"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75705B05" w14:textId="62480CE6" w:rsidR="00E740F3" w:rsidRPr="00533C0B" w:rsidRDefault="00E740F3" w:rsidP="004D3044">
            <w:pPr>
              <w:spacing w:after="0" w:line="240" w:lineRule="auto"/>
              <w:jc w:val="center"/>
              <w:rPr>
                <w:rFonts w:eastAsia="Times New Roman" w:cs="Times New Roman"/>
                <w:color w:val="0000FF"/>
                <w:sz w:val="20"/>
                <w:szCs w:val="20"/>
              </w:rPr>
            </w:pPr>
          </w:p>
        </w:tc>
      </w:tr>
      <w:tr w:rsidR="00E740F3" w:rsidRPr="00533C0B" w14:paraId="69CBB848" w14:textId="77777777" w:rsidTr="00D77E49">
        <w:trPr>
          <w:trHeight w:val="305"/>
          <w:jc w:val="center"/>
        </w:trPr>
        <w:tc>
          <w:tcPr>
            <w:tcW w:w="1907" w:type="pct"/>
            <w:shd w:val="clear" w:color="auto" w:fill="auto"/>
            <w:vAlign w:val="center"/>
          </w:tcPr>
          <w:p w14:paraId="02F3729B"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4 steps</w:t>
            </w:r>
          </w:p>
          <w:p w14:paraId="508067AB"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2" w:type="pct"/>
            <w:shd w:val="clear" w:color="auto" w:fill="B8CCE4" w:themeFill="accent1" w:themeFillTint="66"/>
            <w:noWrap/>
            <w:vAlign w:val="center"/>
          </w:tcPr>
          <w:p w14:paraId="6915F046"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09AFA684"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vMerge w:val="restart"/>
            <w:shd w:val="clear" w:color="auto" w:fill="auto"/>
            <w:noWrap/>
            <w:vAlign w:val="center"/>
          </w:tcPr>
          <w:p w14:paraId="3293DDCF" w14:textId="6F6FAE36"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6DB12F74"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vMerge w:val="restart"/>
            <w:shd w:val="clear" w:color="auto" w:fill="auto"/>
            <w:vAlign w:val="center"/>
          </w:tcPr>
          <w:p w14:paraId="41766C80" w14:textId="41A6650B"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3" w:type="pct"/>
            <w:vMerge w:val="restart"/>
            <w:shd w:val="clear" w:color="auto" w:fill="auto"/>
            <w:vAlign w:val="center"/>
          </w:tcPr>
          <w:p w14:paraId="772D51F9" w14:textId="7D6BEC44"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47" w:type="pct"/>
          </w:tcPr>
          <w:p w14:paraId="0028100E"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20AEB7BE" w14:textId="54DEBDE6" w:rsidR="00E740F3" w:rsidRPr="00533C0B" w:rsidRDefault="00E740F3" w:rsidP="004D3044">
            <w:pPr>
              <w:spacing w:after="0" w:line="240" w:lineRule="auto"/>
              <w:jc w:val="center"/>
              <w:rPr>
                <w:rFonts w:eastAsia="Times New Roman" w:cs="Times New Roman"/>
                <w:color w:val="0000FF"/>
                <w:sz w:val="20"/>
                <w:szCs w:val="20"/>
              </w:rPr>
            </w:pPr>
          </w:p>
        </w:tc>
      </w:tr>
      <w:tr w:rsidR="00E740F3" w:rsidRPr="00533C0B" w14:paraId="211E79FD" w14:textId="77777777" w:rsidTr="00D77E49">
        <w:trPr>
          <w:trHeight w:val="46"/>
          <w:jc w:val="center"/>
        </w:trPr>
        <w:tc>
          <w:tcPr>
            <w:tcW w:w="1907" w:type="pct"/>
            <w:tcBorders>
              <w:bottom w:val="dashed" w:sz="4" w:space="0" w:color="auto"/>
            </w:tcBorders>
            <w:shd w:val="clear" w:color="auto" w:fill="auto"/>
            <w:vAlign w:val="center"/>
          </w:tcPr>
          <w:p w14:paraId="47698E34"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12 steps</w:t>
            </w:r>
          </w:p>
          <w:p w14:paraId="378137E2"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Climbing d4551</w:t>
            </w:r>
          </w:p>
        </w:tc>
        <w:tc>
          <w:tcPr>
            <w:tcW w:w="572" w:type="pct"/>
            <w:tcBorders>
              <w:bottom w:val="dashed" w:sz="4" w:space="0" w:color="auto"/>
            </w:tcBorders>
            <w:shd w:val="clear" w:color="auto" w:fill="B8CCE4" w:themeFill="accent1" w:themeFillTint="66"/>
            <w:noWrap/>
            <w:vAlign w:val="center"/>
          </w:tcPr>
          <w:p w14:paraId="7349AE84"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bottom w:val="dashed" w:sz="4" w:space="0" w:color="auto"/>
            </w:tcBorders>
            <w:shd w:val="clear" w:color="auto" w:fill="auto"/>
            <w:noWrap/>
            <w:vAlign w:val="center"/>
          </w:tcPr>
          <w:p w14:paraId="6CB900DA"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vMerge/>
            <w:tcBorders>
              <w:bottom w:val="dashed" w:sz="4" w:space="0" w:color="auto"/>
            </w:tcBorders>
            <w:shd w:val="clear" w:color="auto" w:fill="auto"/>
            <w:noWrap/>
            <w:vAlign w:val="center"/>
          </w:tcPr>
          <w:p w14:paraId="106291A0" w14:textId="6E773D18" w:rsidR="00E740F3" w:rsidRPr="00533C0B" w:rsidRDefault="00E740F3" w:rsidP="004D3044">
            <w:pPr>
              <w:spacing w:after="0" w:line="240" w:lineRule="auto"/>
              <w:jc w:val="center"/>
              <w:rPr>
                <w:rFonts w:eastAsia="Times New Roman" w:cs="Times New Roman"/>
                <w:color w:val="0000FF"/>
                <w:sz w:val="20"/>
                <w:szCs w:val="20"/>
              </w:rPr>
            </w:pPr>
          </w:p>
        </w:tc>
        <w:tc>
          <w:tcPr>
            <w:tcW w:w="356" w:type="pct"/>
            <w:tcBorders>
              <w:bottom w:val="dashed" w:sz="4" w:space="0" w:color="auto"/>
            </w:tcBorders>
            <w:shd w:val="clear" w:color="auto" w:fill="auto"/>
            <w:noWrap/>
            <w:vAlign w:val="center"/>
          </w:tcPr>
          <w:p w14:paraId="3079664A"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vMerge/>
            <w:tcBorders>
              <w:bottom w:val="dashed" w:sz="4" w:space="0" w:color="auto"/>
            </w:tcBorders>
            <w:shd w:val="clear" w:color="auto" w:fill="auto"/>
            <w:vAlign w:val="center"/>
          </w:tcPr>
          <w:p w14:paraId="3C560371" w14:textId="683E85F8" w:rsidR="00E740F3" w:rsidRPr="00533C0B" w:rsidRDefault="00E740F3" w:rsidP="004D3044">
            <w:pPr>
              <w:spacing w:after="0" w:line="240" w:lineRule="auto"/>
              <w:jc w:val="center"/>
              <w:rPr>
                <w:rFonts w:eastAsia="Times New Roman" w:cs="Times New Roman"/>
                <w:color w:val="0000FF"/>
                <w:sz w:val="20"/>
                <w:szCs w:val="20"/>
              </w:rPr>
            </w:pPr>
          </w:p>
        </w:tc>
        <w:tc>
          <w:tcPr>
            <w:tcW w:w="353" w:type="pct"/>
            <w:vMerge/>
            <w:tcBorders>
              <w:bottom w:val="dashed" w:sz="4" w:space="0" w:color="auto"/>
            </w:tcBorders>
            <w:shd w:val="clear" w:color="auto" w:fill="auto"/>
            <w:vAlign w:val="center"/>
          </w:tcPr>
          <w:p w14:paraId="4ACEE8BB" w14:textId="5975207B" w:rsidR="00E740F3" w:rsidRPr="00533C0B" w:rsidRDefault="00E740F3" w:rsidP="004D3044">
            <w:pPr>
              <w:spacing w:after="0" w:line="240" w:lineRule="auto"/>
              <w:jc w:val="center"/>
              <w:rPr>
                <w:rFonts w:eastAsia="Times New Roman" w:cs="Times New Roman"/>
                <w:color w:val="0000FF"/>
                <w:sz w:val="20"/>
                <w:szCs w:val="20"/>
              </w:rPr>
            </w:pPr>
          </w:p>
        </w:tc>
        <w:tc>
          <w:tcPr>
            <w:tcW w:w="347" w:type="pct"/>
            <w:tcBorders>
              <w:bottom w:val="dashed" w:sz="4" w:space="0" w:color="auto"/>
            </w:tcBorders>
          </w:tcPr>
          <w:p w14:paraId="42A50DCB"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97" w:type="pct"/>
            <w:tcBorders>
              <w:bottom w:val="dashed" w:sz="4" w:space="0" w:color="auto"/>
            </w:tcBorders>
            <w:shd w:val="clear" w:color="auto" w:fill="auto"/>
            <w:vAlign w:val="center"/>
          </w:tcPr>
          <w:p w14:paraId="7EC3303C" w14:textId="18278183" w:rsidR="00E740F3" w:rsidRPr="00533C0B" w:rsidRDefault="00C210AB"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740F3" w:rsidRPr="00533C0B" w14:paraId="36C24030" w14:textId="77777777" w:rsidTr="00D77E49">
        <w:trPr>
          <w:trHeight w:val="305"/>
          <w:jc w:val="center"/>
        </w:trPr>
        <w:tc>
          <w:tcPr>
            <w:tcW w:w="1907" w:type="pct"/>
            <w:shd w:val="clear" w:color="auto" w:fill="auto"/>
            <w:vAlign w:val="center"/>
          </w:tcPr>
          <w:p w14:paraId="293AB30E" w14:textId="77777777" w:rsidR="00E740F3" w:rsidRDefault="00E740F3" w:rsidP="004D3044">
            <w:pPr>
              <w:spacing w:after="0" w:line="240" w:lineRule="auto"/>
              <w:rPr>
                <w:rFonts w:eastAsia="Times New Roman" w:cs="Times New Roman"/>
                <w:b/>
                <w:color w:val="0000FF"/>
                <w:sz w:val="20"/>
                <w:szCs w:val="20"/>
              </w:rPr>
            </w:pPr>
            <w:r>
              <w:rPr>
                <w:rFonts w:eastAsia="Times New Roman" w:cs="Times New Roman"/>
                <w:b/>
                <w:color w:val="0000FF"/>
                <w:sz w:val="20"/>
                <w:szCs w:val="20"/>
              </w:rPr>
              <w:t>Picking up object</w:t>
            </w:r>
          </w:p>
          <w:p w14:paraId="4BF3F940" w14:textId="77777777" w:rsidR="00E740F3" w:rsidRPr="00233098" w:rsidRDefault="00E740F3" w:rsidP="004D3044">
            <w:pPr>
              <w:spacing w:after="0" w:line="240" w:lineRule="auto"/>
              <w:rPr>
                <w:rFonts w:eastAsia="Times New Roman" w:cs="Times New Roman"/>
                <w:color w:val="0000FF"/>
                <w:sz w:val="20"/>
                <w:szCs w:val="20"/>
              </w:rPr>
            </w:pPr>
            <w:r>
              <w:rPr>
                <w:rFonts w:eastAsia="Times New Roman" w:cs="Times New Roman"/>
                <w:b/>
                <w:color w:val="0000FF"/>
                <w:sz w:val="20"/>
                <w:szCs w:val="20"/>
              </w:rPr>
              <w:t xml:space="preserve">ICF = </w:t>
            </w:r>
            <w:r w:rsidRPr="00233098">
              <w:rPr>
                <w:rFonts w:eastAsia="Times New Roman" w:cs="Times New Roman"/>
                <w:color w:val="0000FF"/>
                <w:sz w:val="20"/>
                <w:szCs w:val="20"/>
              </w:rPr>
              <w:t>Lifting</w:t>
            </w:r>
            <w:r>
              <w:rPr>
                <w:rFonts w:eastAsia="Times New Roman" w:cs="Times New Roman"/>
                <w:color w:val="0000FF"/>
                <w:sz w:val="20"/>
                <w:szCs w:val="20"/>
              </w:rPr>
              <w:t xml:space="preserve"> </w:t>
            </w:r>
            <w:r w:rsidRPr="00233098">
              <w:rPr>
                <w:rFonts w:eastAsia="Times New Roman" w:cs="Times New Roman"/>
                <w:color w:val="0000FF"/>
                <w:sz w:val="20"/>
                <w:szCs w:val="20"/>
              </w:rPr>
              <w:t>d4300</w:t>
            </w:r>
          </w:p>
        </w:tc>
        <w:tc>
          <w:tcPr>
            <w:tcW w:w="572" w:type="pct"/>
            <w:shd w:val="clear" w:color="auto" w:fill="B8CCE4" w:themeFill="accent1" w:themeFillTint="66"/>
            <w:noWrap/>
            <w:vAlign w:val="center"/>
          </w:tcPr>
          <w:p w14:paraId="69ADEBEE" w14:textId="77777777"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504107F0"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69DA7367"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7C8A21DD"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5A420741"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53" w:type="pct"/>
            <w:shd w:val="clear" w:color="auto" w:fill="auto"/>
            <w:vAlign w:val="center"/>
          </w:tcPr>
          <w:p w14:paraId="321D3F13"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47" w:type="pct"/>
          </w:tcPr>
          <w:p w14:paraId="442D55FD" w14:textId="77777777" w:rsidR="00E740F3" w:rsidRPr="00533C0B" w:rsidRDefault="00E740F3" w:rsidP="004D3044">
            <w:pPr>
              <w:spacing w:after="0" w:line="240" w:lineRule="auto"/>
              <w:jc w:val="center"/>
              <w:rPr>
                <w:rFonts w:eastAsia="Times New Roman" w:cs="Times New Roman"/>
                <w:color w:val="0000FF"/>
                <w:sz w:val="20"/>
                <w:szCs w:val="20"/>
              </w:rPr>
            </w:pPr>
          </w:p>
        </w:tc>
        <w:tc>
          <w:tcPr>
            <w:tcW w:w="397" w:type="pct"/>
            <w:shd w:val="clear" w:color="auto" w:fill="auto"/>
            <w:vAlign w:val="center"/>
          </w:tcPr>
          <w:p w14:paraId="27099C69" w14:textId="510EE9D4" w:rsidR="00E740F3" w:rsidRPr="00533C0B" w:rsidRDefault="00E740F3" w:rsidP="004D3044">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r>
      <w:tr w:rsidR="00EB2567" w:rsidRPr="00533C0B" w14:paraId="7E135F17" w14:textId="77777777" w:rsidTr="00D77E49">
        <w:trPr>
          <w:trHeight w:val="305"/>
          <w:jc w:val="center"/>
        </w:trPr>
        <w:tc>
          <w:tcPr>
            <w:tcW w:w="1907" w:type="pct"/>
            <w:shd w:val="clear" w:color="auto" w:fill="auto"/>
            <w:vAlign w:val="center"/>
          </w:tcPr>
          <w:p w14:paraId="697026F2" w14:textId="77777777" w:rsidR="00EB2567" w:rsidRPr="000677C5" w:rsidRDefault="00EB2567" w:rsidP="00EB2567">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Wheel 50 feet with 2 turns</w:t>
            </w:r>
          </w:p>
          <w:p w14:paraId="35C6708F" w14:textId="245061D6" w:rsidR="00EB2567" w:rsidRPr="000677C5" w:rsidRDefault="00EB2567" w:rsidP="00EB2567">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ICF </w:t>
            </w:r>
            <w:r w:rsidRPr="000677C5">
              <w:rPr>
                <w:rFonts w:eastAsia="Times New Roman" w:cs="Times New Roman"/>
                <w:color w:val="0000FF"/>
                <w:sz w:val="20"/>
                <w:szCs w:val="20"/>
              </w:rPr>
              <w:t xml:space="preserve">= </w:t>
            </w:r>
            <w:r w:rsidR="000677C5" w:rsidRPr="000677C5">
              <w:rPr>
                <w:rFonts w:eastAsia="Times New Roman" w:cs="Times New Roman"/>
                <w:color w:val="0000FF"/>
                <w:sz w:val="20"/>
                <w:szCs w:val="20"/>
              </w:rPr>
              <w:t>d465</w:t>
            </w:r>
          </w:p>
        </w:tc>
        <w:tc>
          <w:tcPr>
            <w:tcW w:w="572" w:type="pct"/>
            <w:shd w:val="clear" w:color="auto" w:fill="B8CCE4" w:themeFill="accent1" w:themeFillTint="66"/>
            <w:noWrap/>
            <w:vAlign w:val="center"/>
          </w:tcPr>
          <w:p w14:paraId="18D8F6D1" w14:textId="27D869BE" w:rsidR="00EB2567"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shd w:val="clear" w:color="auto" w:fill="auto"/>
            <w:noWrap/>
            <w:vAlign w:val="center"/>
          </w:tcPr>
          <w:p w14:paraId="568173BC" w14:textId="77777777" w:rsidR="00EB2567" w:rsidRPr="00533C0B" w:rsidRDefault="00EB2567" w:rsidP="00EB2567">
            <w:pPr>
              <w:spacing w:after="0" w:line="240" w:lineRule="auto"/>
              <w:jc w:val="center"/>
              <w:rPr>
                <w:rFonts w:eastAsia="Times New Roman" w:cs="Times New Roman"/>
                <w:color w:val="0000FF"/>
                <w:sz w:val="20"/>
                <w:szCs w:val="20"/>
              </w:rPr>
            </w:pPr>
          </w:p>
        </w:tc>
        <w:tc>
          <w:tcPr>
            <w:tcW w:w="356" w:type="pct"/>
            <w:shd w:val="clear" w:color="auto" w:fill="auto"/>
            <w:noWrap/>
            <w:vAlign w:val="center"/>
          </w:tcPr>
          <w:p w14:paraId="3F41DBE6" w14:textId="7FA6F825" w:rsidR="00EB2567"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shd w:val="clear" w:color="auto" w:fill="auto"/>
            <w:noWrap/>
            <w:vAlign w:val="center"/>
          </w:tcPr>
          <w:p w14:paraId="5C9DCFE8" w14:textId="77777777" w:rsidR="00EB2567" w:rsidRPr="00533C0B" w:rsidRDefault="00EB2567" w:rsidP="00EB2567">
            <w:pPr>
              <w:spacing w:after="0" w:line="240" w:lineRule="auto"/>
              <w:jc w:val="center"/>
              <w:rPr>
                <w:rFonts w:eastAsia="Times New Roman" w:cs="Times New Roman"/>
                <w:color w:val="0000FF"/>
                <w:sz w:val="20"/>
                <w:szCs w:val="20"/>
              </w:rPr>
            </w:pPr>
          </w:p>
        </w:tc>
        <w:tc>
          <w:tcPr>
            <w:tcW w:w="354" w:type="pct"/>
            <w:shd w:val="clear" w:color="auto" w:fill="auto"/>
            <w:vAlign w:val="center"/>
          </w:tcPr>
          <w:p w14:paraId="2D3DF0D1" w14:textId="7F82BF36"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53" w:type="pct"/>
            <w:shd w:val="clear" w:color="auto" w:fill="auto"/>
            <w:vAlign w:val="center"/>
          </w:tcPr>
          <w:p w14:paraId="3C4C4D3B" w14:textId="365299D6"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47" w:type="pct"/>
            <w:vAlign w:val="center"/>
          </w:tcPr>
          <w:p w14:paraId="563B98F7" w14:textId="6D0352DC"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97" w:type="pct"/>
            <w:shd w:val="clear" w:color="auto" w:fill="auto"/>
            <w:vAlign w:val="center"/>
          </w:tcPr>
          <w:p w14:paraId="47680EFA" w14:textId="77777777" w:rsidR="00EB2567" w:rsidRPr="00533C0B" w:rsidRDefault="00EB2567" w:rsidP="00EB2567">
            <w:pPr>
              <w:spacing w:after="0" w:line="240" w:lineRule="auto"/>
              <w:jc w:val="center"/>
              <w:rPr>
                <w:rFonts w:eastAsia="Times New Roman" w:cs="Times New Roman"/>
                <w:color w:val="0000FF"/>
                <w:sz w:val="20"/>
                <w:szCs w:val="20"/>
              </w:rPr>
            </w:pPr>
          </w:p>
        </w:tc>
      </w:tr>
      <w:tr w:rsidR="00EB2567" w:rsidRPr="00533C0B" w14:paraId="7A6D8607" w14:textId="77777777" w:rsidTr="00D77E49">
        <w:trPr>
          <w:trHeight w:val="305"/>
          <w:jc w:val="center"/>
        </w:trPr>
        <w:tc>
          <w:tcPr>
            <w:tcW w:w="1907" w:type="pct"/>
            <w:tcBorders>
              <w:bottom w:val="single" w:sz="4" w:space="0" w:color="auto"/>
            </w:tcBorders>
            <w:shd w:val="clear" w:color="auto" w:fill="auto"/>
            <w:vAlign w:val="center"/>
          </w:tcPr>
          <w:p w14:paraId="2193DBB9" w14:textId="77777777" w:rsidR="00EB2567" w:rsidRPr="000677C5" w:rsidRDefault="00EB2567" w:rsidP="00EB2567">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Wheel 150 feet </w:t>
            </w:r>
          </w:p>
          <w:p w14:paraId="64C9E988" w14:textId="0168E3EA" w:rsidR="00EB2567" w:rsidRPr="000677C5" w:rsidRDefault="00EB2567" w:rsidP="00EB2567">
            <w:pPr>
              <w:spacing w:after="0" w:line="240" w:lineRule="auto"/>
              <w:rPr>
                <w:rFonts w:eastAsia="Times New Roman" w:cs="Times New Roman"/>
                <w:b/>
                <w:color w:val="0000FF"/>
                <w:sz w:val="20"/>
                <w:szCs w:val="20"/>
              </w:rPr>
            </w:pPr>
            <w:r w:rsidRPr="000677C5">
              <w:rPr>
                <w:rFonts w:eastAsia="Times New Roman" w:cs="Times New Roman"/>
                <w:b/>
                <w:color w:val="0000FF"/>
                <w:sz w:val="20"/>
                <w:szCs w:val="20"/>
              </w:rPr>
              <w:t xml:space="preserve">ICF </w:t>
            </w:r>
            <w:r w:rsidRPr="000677C5">
              <w:rPr>
                <w:rFonts w:eastAsia="Times New Roman" w:cs="Times New Roman"/>
                <w:color w:val="0000FF"/>
                <w:sz w:val="20"/>
                <w:szCs w:val="20"/>
              </w:rPr>
              <w:t xml:space="preserve">= </w:t>
            </w:r>
            <w:r w:rsidR="000677C5" w:rsidRPr="000677C5">
              <w:rPr>
                <w:rFonts w:eastAsia="Times New Roman" w:cs="Times New Roman"/>
                <w:color w:val="0000FF"/>
                <w:sz w:val="20"/>
                <w:szCs w:val="20"/>
              </w:rPr>
              <w:t>d465</w:t>
            </w:r>
          </w:p>
        </w:tc>
        <w:tc>
          <w:tcPr>
            <w:tcW w:w="572" w:type="pct"/>
            <w:tcBorders>
              <w:bottom w:val="single" w:sz="4" w:space="0" w:color="auto"/>
            </w:tcBorders>
            <w:shd w:val="clear" w:color="auto" w:fill="B8CCE4" w:themeFill="accent1" w:themeFillTint="66"/>
            <w:noWrap/>
            <w:vAlign w:val="center"/>
          </w:tcPr>
          <w:p w14:paraId="3110F394" w14:textId="345D7039" w:rsidR="00EB2567"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7" w:type="pct"/>
            <w:tcBorders>
              <w:bottom w:val="single" w:sz="4" w:space="0" w:color="auto"/>
            </w:tcBorders>
            <w:shd w:val="clear" w:color="auto" w:fill="auto"/>
            <w:noWrap/>
            <w:vAlign w:val="center"/>
          </w:tcPr>
          <w:p w14:paraId="725D4131" w14:textId="77777777" w:rsidR="00EB2567" w:rsidRPr="00533C0B" w:rsidRDefault="00EB2567" w:rsidP="00EB2567">
            <w:pPr>
              <w:spacing w:after="0" w:line="240" w:lineRule="auto"/>
              <w:jc w:val="center"/>
              <w:rPr>
                <w:rFonts w:eastAsia="Times New Roman" w:cs="Times New Roman"/>
                <w:color w:val="0000FF"/>
                <w:sz w:val="20"/>
                <w:szCs w:val="20"/>
              </w:rPr>
            </w:pPr>
          </w:p>
        </w:tc>
        <w:tc>
          <w:tcPr>
            <w:tcW w:w="356" w:type="pct"/>
            <w:tcBorders>
              <w:bottom w:val="single" w:sz="4" w:space="0" w:color="auto"/>
            </w:tcBorders>
            <w:shd w:val="clear" w:color="auto" w:fill="auto"/>
            <w:noWrap/>
            <w:vAlign w:val="center"/>
          </w:tcPr>
          <w:p w14:paraId="7E9AD920" w14:textId="438AA18C" w:rsidR="00EB2567" w:rsidRPr="00533C0B" w:rsidRDefault="00EB2567" w:rsidP="00EB2567">
            <w:pPr>
              <w:spacing w:after="0" w:line="240" w:lineRule="auto"/>
              <w:jc w:val="center"/>
              <w:rPr>
                <w:rFonts w:eastAsia="Times New Roman" w:cs="Times New Roman"/>
                <w:color w:val="0000FF"/>
                <w:sz w:val="20"/>
                <w:szCs w:val="20"/>
              </w:rPr>
            </w:pPr>
            <w:r w:rsidRPr="00533C0B">
              <w:rPr>
                <w:rFonts w:eastAsia="Times New Roman" w:cs="Times New Roman"/>
                <w:color w:val="0000FF"/>
                <w:sz w:val="20"/>
                <w:szCs w:val="20"/>
              </w:rPr>
              <w:sym w:font="Wingdings" w:char="F0FC"/>
            </w:r>
          </w:p>
        </w:tc>
        <w:tc>
          <w:tcPr>
            <w:tcW w:w="356" w:type="pct"/>
            <w:tcBorders>
              <w:bottom w:val="single" w:sz="4" w:space="0" w:color="auto"/>
            </w:tcBorders>
            <w:shd w:val="clear" w:color="auto" w:fill="auto"/>
            <w:noWrap/>
            <w:vAlign w:val="center"/>
          </w:tcPr>
          <w:p w14:paraId="1588A939" w14:textId="77777777" w:rsidR="00EB2567" w:rsidRPr="00533C0B" w:rsidRDefault="00EB2567" w:rsidP="00EB2567">
            <w:pPr>
              <w:spacing w:after="0" w:line="240" w:lineRule="auto"/>
              <w:jc w:val="center"/>
              <w:rPr>
                <w:rFonts w:eastAsia="Times New Roman" w:cs="Times New Roman"/>
                <w:color w:val="0000FF"/>
                <w:sz w:val="20"/>
                <w:szCs w:val="20"/>
              </w:rPr>
            </w:pPr>
          </w:p>
        </w:tc>
        <w:tc>
          <w:tcPr>
            <w:tcW w:w="354" w:type="pct"/>
            <w:tcBorders>
              <w:bottom w:val="single" w:sz="4" w:space="0" w:color="auto"/>
            </w:tcBorders>
            <w:shd w:val="clear" w:color="auto" w:fill="auto"/>
            <w:vAlign w:val="center"/>
          </w:tcPr>
          <w:p w14:paraId="36D0A847" w14:textId="55EE6983"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53" w:type="pct"/>
            <w:tcBorders>
              <w:bottom w:val="single" w:sz="4" w:space="0" w:color="auto"/>
            </w:tcBorders>
            <w:shd w:val="clear" w:color="auto" w:fill="auto"/>
            <w:vAlign w:val="center"/>
          </w:tcPr>
          <w:p w14:paraId="7DD48AF3" w14:textId="19E47904"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47" w:type="pct"/>
            <w:tcBorders>
              <w:bottom w:val="single" w:sz="4" w:space="0" w:color="auto"/>
            </w:tcBorders>
            <w:vAlign w:val="center"/>
          </w:tcPr>
          <w:p w14:paraId="5DE38057" w14:textId="338EBBE8" w:rsidR="00EB2567" w:rsidRPr="00533C0B" w:rsidRDefault="00EB2567" w:rsidP="00EB2567">
            <w:pPr>
              <w:spacing w:after="0" w:line="240" w:lineRule="auto"/>
              <w:jc w:val="center"/>
              <w:rPr>
                <w:rFonts w:eastAsia="Times New Roman" w:cs="Times New Roman"/>
                <w:color w:val="0000FF"/>
                <w:sz w:val="20"/>
                <w:szCs w:val="20"/>
              </w:rPr>
            </w:pPr>
            <w:r w:rsidRPr="00A7152F">
              <w:rPr>
                <w:rFonts w:eastAsia="Times New Roman" w:cs="Times New Roman"/>
                <w:color w:val="0000FF"/>
                <w:sz w:val="20"/>
                <w:szCs w:val="20"/>
              </w:rPr>
              <w:sym w:font="Wingdings" w:char="F0FC"/>
            </w:r>
          </w:p>
        </w:tc>
        <w:tc>
          <w:tcPr>
            <w:tcW w:w="397" w:type="pct"/>
            <w:tcBorders>
              <w:bottom w:val="single" w:sz="4" w:space="0" w:color="auto"/>
            </w:tcBorders>
            <w:shd w:val="clear" w:color="auto" w:fill="auto"/>
            <w:vAlign w:val="center"/>
          </w:tcPr>
          <w:p w14:paraId="7BBF7161" w14:textId="77777777" w:rsidR="00EB2567" w:rsidRPr="00533C0B" w:rsidRDefault="00EB2567" w:rsidP="00EB2567">
            <w:pPr>
              <w:spacing w:after="0" w:line="240" w:lineRule="auto"/>
              <w:jc w:val="center"/>
              <w:rPr>
                <w:rFonts w:eastAsia="Times New Roman" w:cs="Times New Roman"/>
                <w:color w:val="0000FF"/>
                <w:sz w:val="20"/>
                <w:szCs w:val="20"/>
              </w:rPr>
            </w:pPr>
          </w:p>
        </w:tc>
      </w:tr>
    </w:tbl>
    <w:p w14:paraId="2FA30D14" w14:textId="7EC43F4B" w:rsidR="004C5930" w:rsidRPr="00D77E49" w:rsidRDefault="0032197B" w:rsidP="00092566">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 xml:space="preserve">Note: </w:t>
      </w:r>
      <w:r w:rsidR="000677C5" w:rsidRPr="00D77E49">
        <w:rPr>
          <w:rFonts w:cstheme="minorHAnsi"/>
          <w:bCs/>
          <w:color w:val="0000FF"/>
          <w:sz w:val="20"/>
          <w:szCs w:val="20"/>
        </w:rPr>
        <w:t xml:space="preserve">ADL = activity of daily living; </w:t>
      </w:r>
      <w:r w:rsidR="00EB2567" w:rsidRPr="00D77E49">
        <w:rPr>
          <w:rFonts w:cstheme="minorHAnsi"/>
          <w:bCs/>
          <w:color w:val="0000FF"/>
          <w:sz w:val="20"/>
          <w:szCs w:val="20"/>
        </w:rPr>
        <w:t>ICF = International Classification of Functioning</w:t>
      </w:r>
      <w:r w:rsidR="00C210AB" w:rsidRPr="00D77E49">
        <w:rPr>
          <w:rFonts w:cstheme="minorHAnsi"/>
          <w:bCs/>
          <w:color w:val="0000FF"/>
          <w:sz w:val="20"/>
          <w:szCs w:val="20"/>
        </w:rPr>
        <w:t xml:space="preserve">; </w:t>
      </w:r>
      <w:bookmarkStart w:id="39" w:name="_Hlk534234923"/>
      <w:r w:rsidR="00C210AB" w:rsidRPr="00D77E49">
        <w:rPr>
          <w:rFonts w:cstheme="minorHAnsi"/>
          <w:bCs/>
          <w:color w:val="0000FF"/>
          <w:sz w:val="20"/>
          <w:szCs w:val="20"/>
        </w:rPr>
        <w:t>FAM = Functional Assessment Measure; RICFAS = Rehabilitation Institute of Chicago Functional Assessment Scale</w:t>
      </w:r>
      <w:bookmarkEnd w:id="39"/>
    </w:p>
    <w:p w14:paraId="788778D8" w14:textId="77777777" w:rsidR="00EB2567" w:rsidRPr="00D77E49" w:rsidRDefault="00EB2567" w:rsidP="00092566">
      <w:pPr>
        <w:autoSpaceDE w:val="0"/>
        <w:autoSpaceDN w:val="0"/>
        <w:adjustRightInd w:val="0"/>
        <w:spacing w:after="0" w:line="240" w:lineRule="auto"/>
        <w:rPr>
          <w:rFonts w:cstheme="minorHAnsi"/>
          <w:bCs/>
          <w:sz w:val="20"/>
          <w:szCs w:val="20"/>
        </w:rPr>
      </w:pPr>
    </w:p>
    <w:p w14:paraId="7C8C10A7" w14:textId="20D6C7D0" w:rsidR="00174EDF" w:rsidRPr="00DD208F" w:rsidRDefault="00174EDF" w:rsidP="00EF4E28">
      <w:pPr>
        <w:autoSpaceDE w:val="0"/>
        <w:autoSpaceDN w:val="0"/>
        <w:adjustRightInd w:val="0"/>
        <w:spacing w:after="0" w:line="240" w:lineRule="auto"/>
        <w:rPr>
          <w:rFonts w:ascii="Calibri" w:eastAsia="Calibri" w:hAnsi="Calibri" w:cs="Times New Roman"/>
          <w:b/>
          <w:color w:val="0000FF"/>
        </w:rPr>
      </w:pPr>
      <w:r w:rsidRPr="00D77E49">
        <w:rPr>
          <w:rFonts w:ascii="Calibri" w:eastAsia="Calibri" w:hAnsi="Calibri" w:cs="Times New Roman"/>
          <w:b/>
          <w:color w:val="0000FF"/>
        </w:rPr>
        <w:t xml:space="preserve">Face Validity – Technical Expert Survey: </w:t>
      </w:r>
      <w:r w:rsidRPr="00D77E49">
        <w:rPr>
          <w:rFonts w:ascii="Calibri" w:eastAsia="Calibri" w:hAnsi="Calibri" w:cs="Times New Roman"/>
          <w:color w:val="0000FF"/>
        </w:rPr>
        <w:t xml:space="preserve">For the Change in Mobility performance measure, 71% of TEP </w:t>
      </w:r>
      <w:r w:rsidRPr="00DD208F">
        <w:rPr>
          <w:rFonts w:ascii="Calibri" w:eastAsia="Calibri" w:hAnsi="Calibri" w:cs="Times New Roman"/>
          <w:color w:val="0000FF"/>
        </w:rPr>
        <w:t>members rated the Measure Importance as High or Moderately High; 57% rated the Scientific Soundness as High or Moderately High, and 57% Rated Usability of the Measure as High.</w:t>
      </w:r>
      <w:r w:rsidR="00EF44F4" w:rsidRPr="00DD208F">
        <w:rPr>
          <w:rFonts w:ascii="Calibri" w:eastAsia="Calibri" w:hAnsi="Calibri" w:cs="Times New Roman"/>
          <w:color w:val="0000FF"/>
        </w:rPr>
        <w:t xml:space="preserve"> </w:t>
      </w:r>
      <w:r w:rsidR="00EF44F4" w:rsidRPr="00DD208F">
        <w:rPr>
          <w:color w:val="0000FF"/>
        </w:rPr>
        <w:t>We note that this survey was conducted prior to the TEP meeting, and thus represents perceptions before the TEP discussions about the measure details and, measure testing results. In addition, this TEP occurred approximately 8 months after the implementation of data collection when confidential feedback reports were not yet available to providers. Finally, with the goal of learning from experts in order to drive measure improvement efforts, for this TEP we invited representatives from organizations that had previously given feedback on the measure and that had competing measures. Thus, full support for the measure was not an expected outcome of the pre-TEP survey, and the survey provided TEP members an opportunity to give constructive feedback based on their initial perceptions before participating in the panel.</w:t>
      </w:r>
    </w:p>
    <w:p w14:paraId="3D800835" w14:textId="77777777" w:rsidR="00174EDF" w:rsidRPr="00DD208F" w:rsidRDefault="00174EDF" w:rsidP="00EF4E28">
      <w:pPr>
        <w:autoSpaceDE w:val="0"/>
        <w:autoSpaceDN w:val="0"/>
        <w:adjustRightInd w:val="0"/>
        <w:spacing w:after="0" w:line="240" w:lineRule="auto"/>
        <w:rPr>
          <w:rFonts w:ascii="Calibri" w:eastAsia="Calibri" w:hAnsi="Calibri" w:cs="Times New Roman"/>
          <w:b/>
          <w:color w:val="0000FF"/>
        </w:rPr>
      </w:pPr>
    </w:p>
    <w:p w14:paraId="6B10B7D6" w14:textId="2467CF14" w:rsidR="002131E2" w:rsidRDefault="00EF4E28" w:rsidP="00EF4E28">
      <w:pPr>
        <w:autoSpaceDE w:val="0"/>
        <w:autoSpaceDN w:val="0"/>
        <w:adjustRightInd w:val="0"/>
        <w:spacing w:after="0" w:line="240" w:lineRule="auto"/>
        <w:rPr>
          <w:color w:val="0000FF"/>
        </w:rPr>
      </w:pPr>
      <w:bookmarkStart w:id="40" w:name="_Hlk534490975"/>
      <w:r w:rsidRPr="00DD208F">
        <w:rPr>
          <w:rFonts w:ascii="Calibri" w:eastAsia="Calibri" w:hAnsi="Calibri" w:cs="Times New Roman"/>
          <w:b/>
          <w:color w:val="0000FF"/>
        </w:rPr>
        <w:t>Data Element</w:t>
      </w:r>
      <w:r w:rsidR="002131E2" w:rsidRPr="00DD208F">
        <w:rPr>
          <w:rFonts w:ascii="Calibri" w:eastAsia="Calibri" w:hAnsi="Calibri" w:cs="Times New Roman"/>
          <w:b/>
          <w:color w:val="0000FF"/>
        </w:rPr>
        <w:t xml:space="preserve"> Construct</w:t>
      </w:r>
      <w:r w:rsidR="002131E2" w:rsidRPr="00504AAB">
        <w:rPr>
          <w:rFonts w:ascii="Calibri" w:eastAsia="Calibri" w:hAnsi="Calibri" w:cs="Times New Roman"/>
          <w:b/>
          <w:color w:val="0000FF"/>
        </w:rPr>
        <w:t xml:space="preserve"> Validity: </w:t>
      </w:r>
      <w:r>
        <w:rPr>
          <w:rFonts w:ascii="Calibri" w:eastAsia="Calibri" w:hAnsi="Calibri" w:cs="Times New Roman"/>
          <w:b/>
          <w:color w:val="0000FF"/>
        </w:rPr>
        <w:t xml:space="preserve">Observed </w:t>
      </w:r>
      <w:r w:rsidR="002131E2"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002131E2" w:rsidRPr="00504AAB">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002131E2" w:rsidRPr="00504AAB">
        <w:rPr>
          <w:rFonts w:ascii="Calibri" w:eastAsia="Calibri" w:hAnsi="Calibri" w:cs="Times New Roman"/>
          <w:b/>
          <w:color w:val="0000FF"/>
        </w:rPr>
        <w:t xml:space="preserve">. </w:t>
      </w:r>
      <w:bookmarkStart w:id="41" w:name="_Hlk534491057"/>
      <w:bookmarkEnd w:id="40"/>
      <w:r w:rsidR="002131E2">
        <w:rPr>
          <w:color w:val="0000FF"/>
        </w:rPr>
        <w:t xml:space="preserve">As shown in </w:t>
      </w:r>
      <w:r w:rsidR="002131E2" w:rsidRPr="00C01F4D">
        <w:rPr>
          <w:b/>
          <w:color w:val="0000FF"/>
        </w:rPr>
        <w:t xml:space="preserve">Table </w:t>
      </w:r>
      <w:r w:rsidR="0093624C">
        <w:rPr>
          <w:b/>
          <w:color w:val="0000FF"/>
        </w:rPr>
        <w:t>5</w:t>
      </w:r>
      <w:r w:rsidR="002131E2">
        <w:rPr>
          <w:b/>
          <w:color w:val="0000FF"/>
        </w:rPr>
        <w:t>,</w:t>
      </w:r>
      <w:r w:rsidR="002131E2">
        <w:rPr>
          <w:color w:val="0000FF"/>
        </w:rPr>
        <w:t xml:space="preserve"> </w:t>
      </w:r>
      <w:r>
        <w:rPr>
          <w:color w:val="0000FF"/>
        </w:rPr>
        <w:t xml:space="preserve">patients with higher </w:t>
      </w:r>
      <w:r w:rsidR="002131E2" w:rsidRPr="00CF190B">
        <w:rPr>
          <w:color w:val="0000FF"/>
        </w:rPr>
        <w:t>discharge scores</w:t>
      </w:r>
      <w:r>
        <w:rPr>
          <w:color w:val="0000FF"/>
        </w:rPr>
        <w:t xml:space="preserve"> (</w:t>
      </w:r>
      <w:r w:rsidR="002131E2" w:rsidRPr="00CF190B">
        <w:rPr>
          <w:color w:val="0000FF"/>
        </w:rPr>
        <w:t>from 01</w:t>
      </w:r>
      <w:r w:rsidR="002131E2">
        <w:rPr>
          <w:color w:val="0000FF"/>
        </w:rPr>
        <w:t xml:space="preserve"> -</w:t>
      </w:r>
      <w:r w:rsidR="002131E2" w:rsidRPr="00CF190B">
        <w:rPr>
          <w:color w:val="0000FF"/>
        </w:rPr>
        <w:t xml:space="preserve"> Dependent to 06</w:t>
      </w:r>
      <w:r w:rsidR="002131E2">
        <w:rPr>
          <w:color w:val="0000FF"/>
        </w:rPr>
        <w:t xml:space="preserve"> </w:t>
      </w:r>
      <w:r>
        <w:rPr>
          <w:color w:val="0000FF"/>
        </w:rPr>
        <w:t>–</w:t>
      </w:r>
      <w:r w:rsidR="002131E2" w:rsidRPr="00CF190B">
        <w:rPr>
          <w:color w:val="0000FF"/>
        </w:rPr>
        <w:t xml:space="preserve"> Independent</w:t>
      </w:r>
      <w:r>
        <w:rPr>
          <w:color w:val="0000FF"/>
        </w:rPr>
        <w:t xml:space="preserve">) are more likely to be </w:t>
      </w:r>
      <w:r w:rsidR="002131E2" w:rsidRPr="00CF190B">
        <w:rPr>
          <w:color w:val="0000FF"/>
        </w:rPr>
        <w:t>discharged to the community</w:t>
      </w:r>
      <w:r w:rsidR="002131E2">
        <w:rPr>
          <w:color w:val="0000FF"/>
        </w:rPr>
        <w:t>, as expected</w:t>
      </w:r>
      <w:r w:rsidR="002131E2" w:rsidRPr="00CF190B">
        <w:rPr>
          <w:color w:val="0000FF"/>
        </w:rPr>
        <w:t xml:space="preserve">. </w:t>
      </w:r>
      <w:bookmarkEnd w:id="41"/>
      <w:r w:rsidR="002131E2" w:rsidRPr="00F12743">
        <w:rPr>
          <w:color w:val="0000FF"/>
        </w:rPr>
        <w:t xml:space="preserve">This occurs for each </w:t>
      </w:r>
      <w:r>
        <w:rPr>
          <w:color w:val="0000FF"/>
        </w:rPr>
        <w:t>mobility data element</w:t>
      </w:r>
      <w:r w:rsidR="002131E2" w:rsidRPr="00F12743">
        <w:rPr>
          <w:color w:val="0000FF"/>
        </w:rPr>
        <w:t xml:space="preserve"> for all score</w:t>
      </w:r>
      <w:r>
        <w:rPr>
          <w:color w:val="0000FF"/>
        </w:rPr>
        <w:t xml:space="preserve"> level</w:t>
      </w:r>
      <w:r w:rsidR="002131E2" w:rsidRPr="00F12743">
        <w:rPr>
          <w:color w:val="0000FF"/>
        </w:rPr>
        <w:t xml:space="preserve">s, with the exception of the </w:t>
      </w:r>
      <w:r w:rsidR="00745539">
        <w:rPr>
          <w:color w:val="0000FF"/>
        </w:rPr>
        <w:t>data element</w:t>
      </w:r>
      <w:r w:rsidR="002131E2" w:rsidRPr="00F12743">
        <w:rPr>
          <w:color w:val="0000FF"/>
        </w:rPr>
        <w:t xml:space="preserve"> </w:t>
      </w:r>
      <w:r w:rsidR="00F12743" w:rsidRPr="00F12743">
        <w:rPr>
          <w:color w:val="0000FF"/>
        </w:rPr>
        <w:t>Picking up object</w:t>
      </w:r>
      <w:r w:rsidR="002131E2" w:rsidRPr="00F12743">
        <w:rPr>
          <w:color w:val="0000FF"/>
        </w:rPr>
        <w:t xml:space="preserve"> level 1, which has a slightly higher percentage compared to level 2. A</w:t>
      </w:r>
      <w:r>
        <w:rPr>
          <w:color w:val="0000FF"/>
        </w:rPr>
        <w:t>lso</w:t>
      </w:r>
      <w:r w:rsidR="002131E2" w:rsidRPr="00F12743">
        <w:rPr>
          <w:color w:val="0000FF"/>
        </w:rPr>
        <w:t xml:space="preserve"> expected, for each of the </w:t>
      </w:r>
      <w:r w:rsidR="00F12743" w:rsidRPr="00F12743">
        <w:rPr>
          <w:color w:val="0000FF"/>
        </w:rPr>
        <w:t>mobility</w:t>
      </w:r>
      <w:r w:rsidR="002131E2" w:rsidRPr="00F12743">
        <w:rPr>
          <w:color w:val="0000FF"/>
        </w:rPr>
        <w:t xml:space="preserve"> </w:t>
      </w:r>
      <w:r>
        <w:rPr>
          <w:color w:val="0000FF"/>
        </w:rPr>
        <w:t>data elements</w:t>
      </w:r>
      <w:r w:rsidR="002131E2" w:rsidRPr="00F12743">
        <w:rPr>
          <w:color w:val="0000FF"/>
        </w:rPr>
        <w:t xml:space="preserve"> (</w:t>
      </w:r>
      <w:r w:rsidR="002131E2" w:rsidRPr="00F12743">
        <w:rPr>
          <w:b/>
          <w:color w:val="0000FF"/>
        </w:rPr>
        <w:t xml:space="preserve">Table </w:t>
      </w:r>
      <w:r w:rsidR="0093624C">
        <w:rPr>
          <w:b/>
          <w:color w:val="0000FF"/>
        </w:rPr>
        <w:t>5</w:t>
      </w:r>
      <w:r w:rsidR="002131E2" w:rsidRPr="00F12743">
        <w:rPr>
          <w:color w:val="0000FF"/>
        </w:rPr>
        <w:t>), patients who were coded as 06 - Independent, a high percentage were discharged to the community (</w:t>
      </w:r>
      <w:r w:rsidR="00ED5E07">
        <w:rPr>
          <w:color w:val="0000FF"/>
        </w:rPr>
        <w:t>74.7</w:t>
      </w:r>
      <w:r w:rsidR="002131E2" w:rsidRPr="00F12743">
        <w:rPr>
          <w:color w:val="0000FF"/>
        </w:rPr>
        <w:t>%</w:t>
      </w:r>
      <w:r w:rsidR="00ED5E07">
        <w:rPr>
          <w:color w:val="0000FF"/>
        </w:rPr>
        <w:t xml:space="preserve"> for Wheel 50 feet with two turns</w:t>
      </w:r>
      <w:r w:rsidR="002131E2" w:rsidRPr="00F12743">
        <w:rPr>
          <w:color w:val="0000FF"/>
        </w:rPr>
        <w:t xml:space="preserve"> to </w:t>
      </w:r>
      <w:r w:rsidR="00F12743" w:rsidRPr="00F12743">
        <w:rPr>
          <w:color w:val="0000FF"/>
        </w:rPr>
        <w:t>98.2</w:t>
      </w:r>
      <w:r w:rsidR="002131E2" w:rsidRPr="00F12743">
        <w:rPr>
          <w:color w:val="0000FF"/>
        </w:rPr>
        <w:t>%</w:t>
      </w:r>
      <w:r w:rsidR="00ED5E07">
        <w:rPr>
          <w:color w:val="0000FF"/>
        </w:rPr>
        <w:t xml:space="preserve"> for 12 Steps</w:t>
      </w:r>
      <w:r w:rsidR="002131E2" w:rsidRPr="00F12743">
        <w:rPr>
          <w:color w:val="0000FF"/>
        </w:rPr>
        <w:t>).</w:t>
      </w:r>
    </w:p>
    <w:p w14:paraId="7B697544" w14:textId="77777777" w:rsidR="002131E2" w:rsidRDefault="002131E2" w:rsidP="002131E2">
      <w:pPr>
        <w:pStyle w:val="NoSpacing"/>
        <w:contextualSpacing/>
        <w:rPr>
          <w:rFonts w:cstheme="minorBidi"/>
          <w:color w:val="0000FF"/>
        </w:rPr>
      </w:pPr>
      <w:bookmarkStart w:id="42" w:name="_Hlk533965273"/>
      <w:bookmarkEnd w:id="37"/>
    </w:p>
    <w:p w14:paraId="6AC00C01" w14:textId="77777777" w:rsidR="001679C6" w:rsidRPr="00124328" w:rsidRDefault="001679C6" w:rsidP="001679C6">
      <w:pPr>
        <w:pStyle w:val="NoSpacing"/>
        <w:contextualSpacing/>
        <w:rPr>
          <w:rFonts w:cstheme="minorBidi"/>
          <w:color w:val="0000FF"/>
        </w:rPr>
      </w:pPr>
      <w:bookmarkStart w:id="43" w:name="_Hlk534491791"/>
      <w:r w:rsidRPr="00DD3378">
        <w:rPr>
          <w:rFonts w:cstheme="minorBidi"/>
          <w:color w:val="0000FF"/>
        </w:rPr>
        <w:lastRenderedPageBreak/>
        <w:t xml:space="preserve">Findings and Interpretation: Mobility </w:t>
      </w:r>
      <w:r>
        <w:rPr>
          <w:rFonts w:cstheme="minorBidi"/>
          <w:color w:val="0000FF"/>
        </w:rPr>
        <w:t xml:space="preserve">item data </w:t>
      </w:r>
      <w:r w:rsidRPr="00DD3378">
        <w:rPr>
          <w:rFonts w:cstheme="minorBidi"/>
          <w:color w:val="0000FF"/>
        </w:rPr>
        <w:t xml:space="preserve">were </w:t>
      </w:r>
      <w:bookmarkStart w:id="44" w:name="_Hlk533778522"/>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discharged to a community setting, which supports the validity of the item</w:t>
      </w:r>
      <w:r>
        <w:rPr>
          <w:rFonts w:cstheme="minorBidi"/>
          <w:color w:val="0000FF"/>
        </w:rPr>
        <w:t xml:space="preserve"> data</w:t>
      </w:r>
      <w:r w:rsidRPr="00DD3378">
        <w:rPr>
          <w:rFonts w:cstheme="minorBidi"/>
          <w:color w:val="0000FF"/>
        </w:rPr>
        <w:t xml:space="preserve"> measuring functional abilities in the IRF population.</w:t>
      </w:r>
    </w:p>
    <w:bookmarkEnd w:id="43"/>
    <w:bookmarkEnd w:id="44"/>
    <w:p w14:paraId="5B81F410" w14:textId="77777777" w:rsidR="001679C6" w:rsidRDefault="001679C6" w:rsidP="00E87E34">
      <w:pPr>
        <w:spacing w:after="0"/>
        <w:rPr>
          <w:rFonts w:eastAsia="Times New Roman" w:cstheme="minorHAnsi"/>
          <w:b/>
          <w:bCs/>
          <w:color w:val="0000FF"/>
        </w:rPr>
      </w:pPr>
    </w:p>
    <w:p w14:paraId="65E1CFA1" w14:textId="2028E265" w:rsidR="00E87E34" w:rsidRPr="00800112" w:rsidRDefault="002131E2" w:rsidP="00E87E34">
      <w:pPr>
        <w:spacing w:after="0"/>
        <w:rPr>
          <w:rFonts w:cstheme="minorHAnsi"/>
          <w:b/>
          <w:color w:val="0000FF"/>
        </w:rPr>
      </w:pPr>
      <w:r w:rsidRPr="00800112">
        <w:rPr>
          <w:rFonts w:eastAsia="Times New Roman" w:cstheme="minorHAnsi"/>
          <w:b/>
          <w:bCs/>
          <w:color w:val="0000FF"/>
        </w:rPr>
        <w:t xml:space="preserve">Table </w:t>
      </w:r>
      <w:r w:rsidR="0093624C" w:rsidRPr="00800112">
        <w:rPr>
          <w:rFonts w:eastAsia="Times New Roman" w:cstheme="minorHAnsi"/>
          <w:b/>
          <w:bCs/>
          <w:color w:val="0000FF"/>
        </w:rPr>
        <w:t>5</w:t>
      </w:r>
      <w:r w:rsidRPr="00800112">
        <w:rPr>
          <w:rFonts w:eastAsia="Times New Roman" w:cstheme="minorHAnsi"/>
          <w:b/>
          <w:bCs/>
          <w:color w:val="0000FF"/>
        </w:rPr>
        <w:t xml:space="preserve">. </w:t>
      </w:r>
      <w:r w:rsidR="00EF4E28" w:rsidRPr="00800112">
        <w:rPr>
          <w:rFonts w:eastAsia="Times New Roman" w:cstheme="minorHAnsi"/>
          <w:b/>
          <w:bCs/>
          <w:color w:val="0000FF"/>
        </w:rPr>
        <w:t xml:space="preserve">Observed </w:t>
      </w:r>
      <w:r w:rsidRPr="00800112">
        <w:rPr>
          <w:rFonts w:cstheme="minorHAnsi"/>
          <w:b/>
          <w:color w:val="0000FF"/>
        </w:rPr>
        <w:t xml:space="preserve">Discharge Mobility </w:t>
      </w:r>
      <w:r w:rsidR="00745539" w:rsidRPr="00800112">
        <w:rPr>
          <w:rFonts w:cstheme="minorHAnsi"/>
          <w:b/>
          <w:color w:val="0000FF"/>
        </w:rPr>
        <w:t xml:space="preserve">Data </w:t>
      </w:r>
      <w:r w:rsidR="00E94725" w:rsidRPr="00800112">
        <w:rPr>
          <w:rFonts w:cstheme="minorHAnsi"/>
          <w:b/>
          <w:color w:val="0000FF"/>
        </w:rPr>
        <w:t>E</w:t>
      </w:r>
      <w:r w:rsidR="00745539" w:rsidRPr="00800112">
        <w:rPr>
          <w:rFonts w:cstheme="minorHAnsi"/>
          <w:b/>
          <w:color w:val="0000FF"/>
        </w:rPr>
        <w:t>lement</w:t>
      </w:r>
      <w:r w:rsidR="00EF4E28" w:rsidRPr="00800112">
        <w:rPr>
          <w:rFonts w:cstheme="minorHAnsi"/>
          <w:b/>
          <w:color w:val="0000FF"/>
        </w:rPr>
        <w:t xml:space="preserve"> </w:t>
      </w:r>
      <w:r w:rsidRPr="00800112">
        <w:rPr>
          <w:rFonts w:cstheme="minorHAnsi"/>
          <w:b/>
          <w:color w:val="0000FF"/>
        </w:rPr>
        <w:t xml:space="preserve">Scores </w:t>
      </w:r>
      <w:r w:rsidR="00EF4E28" w:rsidRPr="00800112">
        <w:rPr>
          <w:rFonts w:cstheme="minorHAnsi"/>
          <w:b/>
          <w:color w:val="0000FF"/>
        </w:rPr>
        <w:t xml:space="preserve">and </w:t>
      </w:r>
      <w:r w:rsidRPr="00800112">
        <w:rPr>
          <w:rFonts w:cstheme="minorHAnsi"/>
          <w:b/>
          <w:color w:val="0000FF"/>
        </w:rPr>
        <w:t>Discharge Location (n=4</w:t>
      </w:r>
      <w:r w:rsidR="00083F51" w:rsidRPr="00800112">
        <w:rPr>
          <w:rFonts w:cstheme="minorHAnsi"/>
          <w:b/>
          <w:color w:val="0000FF"/>
        </w:rPr>
        <w:t>37,619</w:t>
      </w:r>
      <w:r w:rsidRPr="00800112">
        <w:rPr>
          <w:rFonts w:cstheme="minorHAnsi"/>
          <w:b/>
          <w:color w:val="0000FF"/>
        </w:rPr>
        <w:t>)</w:t>
      </w:r>
    </w:p>
    <w:tbl>
      <w:tblPr>
        <w:tblW w:w="5000" w:type="pct"/>
        <w:tblLook w:val="0000" w:firstRow="0" w:lastRow="0" w:firstColumn="0" w:lastColumn="0" w:noHBand="0" w:noVBand="0"/>
      </w:tblPr>
      <w:tblGrid>
        <w:gridCol w:w="5670"/>
        <w:gridCol w:w="1687"/>
        <w:gridCol w:w="2003"/>
      </w:tblGrid>
      <w:tr w:rsidR="00E87E34" w:rsidRPr="00800112" w14:paraId="07CE7705" w14:textId="77777777" w:rsidTr="00C6669F">
        <w:trPr>
          <w:trHeight w:val="818"/>
          <w:tblHeader/>
        </w:trPr>
        <w:tc>
          <w:tcPr>
            <w:tcW w:w="3029" w:type="pct"/>
            <w:tcBorders>
              <w:top w:val="single" w:sz="12" w:space="0" w:color="auto"/>
              <w:bottom w:val="single" w:sz="2" w:space="0" w:color="auto"/>
            </w:tcBorders>
            <w:shd w:val="clear" w:color="auto" w:fill="auto"/>
          </w:tcPr>
          <w:p w14:paraId="22E7424F" w14:textId="77777777" w:rsidR="00E87E34" w:rsidRPr="0051041D" w:rsidRDefault="00E87E34" w:rsidP="00C6669F">
            <w:pPr>
              <w:autoSpaceDE w:val="0"/>
              <w:autoSpaceDN w:val="0"/>
              <w:adjustRightInd w:val="0"/>
              <w:spacing w:after="0" w:line="240" w:lineRule="auto"/>
              <w:jc w:val="center"/>
              <w:rPr>
                <w:rFonts w:cstheme="minorHAnsi"/>
                <w:b/>
                <w:bCs/>
                <w:color w:val="0000FF"/>
              </w:rPr>
            </w:pPr>
          </w:p>
        </w:tc>
        <w:tc>
          <w:tcPr>
            <w:tcW w:w="1971" w:type="pct"/>
            <w:gridSpan w:val="2"/>
            <w:tcBorders>
              <w:top w:val="single" w:sz="12" w:space="0" w:color="auto"/>
              <w:bottom w:val="single" w:sz="2" w:space="0" w:color="auto"/>
            </w:tcBorders>
            <w:shd w:val="clear" w:color="auto" w:fill="auto"/>
            <w:vAlign w:val="bottom"/>
          </w:tcPr>
          <w:p w14:paraId="1CE79CFB" w14:textId="77777777" w:rsidR="00E87E34" w:rsidRPr="0051041D" w:rsidRDefault="00E87E34" w:rsidP="00C6669F">
            <w:pPr>
              <w:autoSpaceDE w:val="0"/>
              <w:autoSpaceDN w:val="0"/>
              <w:adjustRightInd w:val="0"/>
              <w:spacing w:after="0" w:line="240" w:lineRule="auto"/>
              <w:jc w:val="center"/>
              <w:rPr>
                <w:rFonts w:cstheme="minorHAnsi"/>
                <w:b/>
                <w:bCs/>
                <w:color w:val="0000FF"/>
              </w:rPr>
            </w:pPr>
            <w:r w:rsidRPr="0051041D">
              <w:rPr>
                <w:rFonts w:cstheme="minorHAnsi"/>
                <w:b/>
                <w:bCs/>
                <w:color w:val="0000FF"/>
              </w:rPr>
              <w:t xml:space="preserve">Discharged to </w:t>
            </w:r>
          </w:p>
          <w:p w14:paraId="7C7DF936" w14:textId="77777777" w:rsidR="00E87E34" w:rsidRPr="0051041D" w:rsidRDefault="00E87E34" w:rsidP="00C6669F">
            <w:pPr>
              <w:autoSpaceDE w:val="0"/>
              <w:autoSpaceDN w:val="0"/>
              <w:adjustRightInd w:val="0"/>
              <w:spacing w:after="0" w:line="240" w:lineRule="auto"/>
              <w:jc w:val="center"/>
              <w:rPr>
                <w:rFonts w:cstheme="minorHAnsi"/>
                <w:b/>
                <w:bCs/>
                <w:color w:val="0000FF"/>
              </w:rPr>
            </w:pPr>
            <w:r w:rsidRPr="0051041D">
              <w:rPr>
                <w:rFonts w:cstheme="minorHAnsi"/>
                <w:b/>
                <w:bCs/>
                <w:color w:val="0000FF"/>
              </w:rPr>
              <w:t>Community</w:t>
            </w:r>
          </w:p>
        </w:tc>
      </w:tr>
      <w:tr w:rsidR="00E87E34" w:rsidRPr="00800112" w14:paraId="4508F3C4" w14:textId="77777777" w:rsidTr="00C6669F">
        <w:trPr>
          <w:trHeight w:val="283"/>
        </w:trPr>
        <w:tc>
          <w:tcPr>
            <w:tcW w:w="3029" w:type="pct"/>
          </w:tcPr>
          <w:p w14:paraId="16B8AB9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GG0170A3: Mobility - Roll Left and Right</w:t>
            </w:r>
          </w:p>
        </w:tc>
        <w:tc>
          <w:tcPr>
            <w:tcW w:w="901" w:type="pct"/>
          </w:tcPr>
          <w:p w14:paraId="459BC99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Pr>
          <w:p w14:paraId="0490E0B3"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4F2B4D53" w14:textId="77777777" w:rsidTr="00C6669F">
        <w:trPr>
          <w:trHeight w:val="283"/>
        </w:trPr>
        <w:tc>
          <w:tcPr>
            <w:tcW w:w="3029" w:type="pct"/>
          </w:tcPr>
          <w:p w14:paraId="037C7DA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59ECFBC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1,490 (32.0%)</w:t>
            </w:r>
          </w:p>
        </w:tc>
        <w:tc>
          <w:tcPr>
            <w:tcW w:w="1070" w:type="pct"/>
          </w:tcPr>
          <w:p w14:paraId="7384F80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291A375" wp14:editId="18388DE2">
                  <wp:extent cx="914400" cy="1809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53475C4" w14:textId="77777777" w:rsidTr="00C6669F">
        <w:trPr>
          <w:trHeight w:val="283"/>
        </w:trPr>
        <w:tc>
          <w:tcPr>
            <w:tcW w:w="3029" w:type="pct"/>
          </w:tcPr>
          <w:p w14:paraId="4B4258D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B58362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4,112 (35.5%)</w:t>
            </w:r>
          </w:p>
        </w:tc>
        <w:tc>
          <w:tcPr>
            <w:tcW w:w="1070" w:type="pct"/>
          </w:tcPr>
          <w:p w14:paraId="12237461"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CA7CA6D" wp14:editId="5C0DA1B2">
                  <wp:extent cx="914400" cy="1809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236958D" w14:textId="77777777" w:rsidTr="00C6669F">
        <w:trPr>
          <w:trHeight w:val="283"/>
        </w:trPr>
        <w:tc>
          <w:tcPr>
            <w:tcW w:w="3029" w:type="pct"/>
          </w:tcPr>
          <w:p w14:paraId="7896D9C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4E2ED2E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17,344 (53.4%)</w:t>
            </w:r>
          </w:p>
        </w:tc>
        <w:tc>
          <w:tcPr>
            <w:tcW w:w="1070" w:type="pct"/>
          </w:tcPr>
          <w:p w14:paraId="755E001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2010B4C" wp14:editId="4D1B3016">
                  <wp:extent cx="914400" cy="1809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6469FEA" w14:textId="77777777" w:rsidTr="00C6669F">
        <w:trPr>
          <w:trHeight w:val="283"/>
        </w:trPr>
        <w:tc>
          <w:tcPr>
            <w:tcW w:w="3029" w:type="pct"/>
          </w:tcPr>
          <w:p w14:paraId="73140D5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6351FCD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51,888 (69.9%)</w:t>
            </w:r>
          </w:p>
        </w:tc>
        <w:tc>
          <w:tcPr>
            <w:tcW w:w="1070" w:type="pct"/>
          </w:tcPr>
          <w:p w14:paraId="5B5D530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7108ECA" wp14:editId="4142AA35">
                  <wp:extent cx="914400" cy="1809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00B8B9B" w14:textId="77777777" w:rsidTr="00C6669F">
        <w:trPr>
          <w:trHeight w:val="283"/>
        </w:trPr>
        <w:tc>
          <w:tcPr>
            <w:tcW w:w="3029" w:type="pct"/>
          </w:tcPr>
          <w:p w14:paraId="7E71973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66C3168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12,456 (74.6%)</w:t>
            </w:r>
          </w:p>
        </w:tc>
        <w:tc>
          <w:tcPr>
            <w:tcW w:w="1070" w:type="pct"/>
          </w:tcPr>
          <w:p w14:paraId="6545564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5889064" wp14:editId="53181DB3">
                  <wp:extent cx="914400" cy="1809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EEB686D" w14:textId="77777777" w:rsidTr="00C6669F">
        <w:trPr>
          <w:trHeight w:val="283"/>
        </w:trPr>
        <w:tc>
          <w:tcPr>
            <w:tcW w:w="3029" w:type="pct"/>
            <w:tcBorders>
              <w:bottom w:val="single" w:sz="4" w:space="0" w:color="auto"/>
            </w:tcBorders>
          </w:tcPr>
          <w:p w14:paraId="45F77A6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4220552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265,002 (92.4%)</w:t>
            </w:r>
          </w:p>
        </w:tc>
        <w:tc>
          <w:tcPr>
            <w:tcW w:w="1070" w:type="pct"/>
            <w:tcBorders>
              <w:bottom w:val="single" w:sz="4" w:space="0" w:color="auto"/>
            </w:tcBorders>
          </w:tcPr>
          <w:p w14:paraId="6D6FA3C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F383FE8" wp14:editId="0BF885FE">
                  <wp:extent cx="914400" cy="1809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59521B32" w14:textId="77777777" w:rsidTr="00C6669F">
        <w:trPr>
          <w:trHeight w:val="283"/>
        </w:trPr>
        <w:tc>
          <w:tcPr>
            <w:tcW w:w="3029" w:type="pct"/>
            <w:tcBorders>
              <w:top w:val="single" w:sz="4" w:space="0" w:color="auto"/>
            </w:tcBorders>
          </w:tcPr>
          <w:p w14:paraId="58121B1A"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GG0170B3: Mobility - Sit to Lying</w:t>
            </w:r>
          </w:p>
        </w:tc>
        <w:tc>
          <w:tcPr>
            <w:tcW w:w="901" w:type="pct"/>
            <w:tcBorders>
              <w:top w:val="single" w:sz="4" w:space="0" w:color="auto"/>
            </w:tcBorders>
          </w:tcPr>
          <w:p w14:paraId="49A697E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171D47A4"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52FF5125" w14:textId="77777777" w:rsidTr="00C6669F">
        <w:trPr>
          <w:trHeight w:val="283"/>
        </w:trPr>
        <w:tc>
          <w:tcPr>
            <w:tcW w:w="3029" w:type="pct"/>
          </w:tcPr>
          <w:p w14:paraId="3DEA24F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5A99868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2,004 (30.0%)</w:t>
            </w:r>
          </w:p>
        </w:tc>
        <w:tc>
          <w:tcPr>
            <w:tcW w:w="1070" w:type="pct"/>
          </w:tcPr>
          <w:p w14:paraId="4ECABE9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8392B87" wp14:editId="2447B41C">
                  <wp:extent cx="914400" cy="1809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F077290" w14:textId="77777777" w:rsidTr="00C6669F">
        <w:trPr>
          <w:trHeight w:val="283"/>
        </w:trPr>
        <w:tc>
          <w:tcPr>
            <w:tcW w:w="3029" w:type="pct"/>
          </w:tcPr>
          <w:p w14:paraId="27D8D68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4ABBE7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5,056 (36.8%)</w:t>
            </w:r>
          </w:p>
        </w:tc>
        <w:tc>
          <w:tcPr>
            <w:tcW w:w="1070" w:type="pct"/>
          </w:tcPr>
          <w:p w14:paraId="0BB6632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DD55662" wp14:editId="2C5FE0FE">
                  <wp:extent cx="914400" cy="1809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A1B25ED" w14:textId="77777777" w:rsidTr="00C6669F">
        <w:trPr>
          <w:trHeight w:val="283"/>
        </w:trPr>
        <w:tc>
          <w:tcPr>
            <w:tcW w:w="3029" w:type="pct"/>
          </w:tcPr>
          <w:p w14:paraId="0BC2E784"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4F38675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22,852 (56.2%)</w:t>
            </w:r>
          </w:p>
        </w:tc>
        <w:tc>
          <w:tcPr>
            <w:tcW w:w="1070" w:type="pct"/>
          </w:tcPr>
          <w:p w14:paraId="41E0DA1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5473F9F" wp14:editId="49609E50">
                  <wp:extent cx="914400" cy="1809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FAD6AD7" w14:textId="77777777" w:rsidTr="00C6669F">
        <w:trPr>
          <w:trHeight w:val="283"/>
        </w:trPr>
        <w:tc>
          <w:tcPr>
            <w:tcW w:w="3029" w:type="pct"/>
          </w:tcPr>
          <w:p w14:paraId="2E8AEE2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22E048E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59,331 (72.3%)</w:t>
            </w:r>
          </w:p>
        </w:tc>
        <w:tc>
          <w:tcPr>
            <w:tcW w:w="1070" w:type="pct"/>
          </w:tcPr>
          <w:p w14:paraId="115AB3B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AA63E1A" wp14:editId="76A93985">
                  <wp:extent cx="914400" cy="18097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DB7E407" w14:textId="77777777" w:rsidTr="00C6669F">
        <w:trPr>
          <w:trHeight w:val="283"/>
        </w:trPr>
        <w:tc>
          <w:tcPr>
            <w:tcW w:w="3029" w:type="pct"/>
          </w:tcPr>
          <w:p w14:paraId="1AE8A18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6988C52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13,075 (76.3%)</w:t>
            </w:r>
          </w:p>
        </w:tc>
        <w:tc>
          <w:tcPr>
            <w:tcW w:w="1070" w:type="pct"/>
          </w:tcPr>
          <w:p w14:paraId="3F013E1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510877F" wp14:editId="762AE76E">
                  <wp:extent cx="914400" cy="18097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1C15858" w14:textId="77777777" w:rsidTr="00C6669F">
        <w:trPr>
          <w:trHeight w:val="283"/>
        </w:trPr>
        <w:tc>
          <w:tcPr>
            <w:tcW w:w="3029" w:type="pct"/>
            <w:tcBorders>
              <w:bottom w:val="single" w:sz="4" w:space="0" w:color="auto"/>
            </w:tcBorders>
          </w:tcPr>
          <w:p w14:paraId="02B3BB0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441BF21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256,067 (93.6%)</w:t>
            </w:r>
          </w:p>
        </w:tc>
        <w:tc>
          <w:tcPr>
            <w:tcW w:w="1070" w:type="pct"/>
            <w:tcBorders>
              <w:bottom w:val="single" w:sz="4" w:space="0" w:color="auto"/>
            </w:tcBorders>
          </w:tcPr>
          <w:p w14:paraId="7F23F6D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6FD4E0F" wp14:editId="1EA89342">
                  <wp:extent cx="914400" cy="1809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02A2100A" w14:textId="77777777" w:rsidTr="00C6669F">
        <w:trPr>
          <w:trHeight w:val="283"/>
        </w:trPr>
        <w:tc>
          <w:tcPr>
            <w:tcW w:w="3029" w:type="pct"/>
            <w:tcBorders>
              <w:top w:val="single" w:sz="4" w:space="0" w:color="auto"/>
            </w:tcBorders>
          </w:tcPr>
          <w:p w14:paraId="1166F154"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GG0170C3: Mobility - Lying to Sitting on Side of Bed</w:t>
            </w:r>
          </w:p>
        </w:tc>
        <w:tc>
          <w:tcPr>
            <w:tcW w:w="901" w:type="pct"/>
            <w:tcBorders>
              <w:top w:val="single" w:sz="4" w:space="0" w:color="auto"/>
            </w:tcBorders>
          </w:tcPr>
          <w:p w14:paraId="3544D05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2BF8CB75"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216C119A" w14:textId="77777777" w:rsidTr="00C6669F">
        <w:trPr>
          <w:trHeight w:val="283"/>
        </w:trPr>
        <w:tc>
          <w:tcPr>
            <w:tcW w:w="3029" w:type="pct"/>
          </w:tcPr>
          <w:p w14:paraId="1E4DFC84"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30DD263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1,990 (30.1%)</w:t>
            </w:r>
          </w:p>
        </w:tc>
        <w:tc>
          <w:tcPr>
            <w:tcW w:w="1070" w:type="pct"/>
          </w:tcPr>
          <w:p w14:paraId="2F105A7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425FD7A" wp14:editId="007A1B7F">
                  <wp:extent cx="914400" cy="1809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88ADDBF" w14:textId="77777777" w:rsidTr="00C6669F">
        <w:trPr>
          <w:trHeight w:val="283"/>
        </w:trPr>
        <w:tc>
          <w:tcPr>
            <w:tcW w:w="3029" w:type="pct"/>
          </w:tcPr>
          <w:p w14:paraId="49EC108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0042946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5,258 (37.1%)</w:t>
            </w:r>
          </w:p>
        </w:tc>
        <w:tc>
          <w:tcPr>
            <w:tcW w:w="1070" w:type="pct"/>
          </w:tcPr>
          <w:p w14:paraId="15444EA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77D995F" wp14:editId="5871C13B">
                  <wp:extent cx="914400" cy="18097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2F00AAE" w14:textId="77777777" w:rsidTr="00C6669F">
        <w:trPr>
          <w:trHeight w:val="283"/>
        </w:trPr>
        <w:tc>
          <w:tcPr>
            <w:tcW w:w="3029" w:type="pct"/>
          </w:tcPr>
          <w:p w14:paraId="0269D89D"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31A7BE3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22,569 (56.1%)</w:t>
            </w:r>
          </w:p>
        </w:tc>
        <w:tc>
          <w:tcPr>
            <w:tcW w:w="1070" w:type="pct"/>
          </w:tcPr>
          <w:p w14:paraId="0B38891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F0ED312" wp14:editId="16C41CD4">
                  <wp:extent cx="914400" cy="18097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BD4456A" w14:textId="77777777" w:rsidTr="00C6669F">
        <w:trPr>
          <w:trHeight w:val="283"/>
        </w:trPr>
        <w:tc>
          <w:tcPr>
            <w:tcW w:w="3029" w:type="pct"/>
          </w:tcPr>
          <w:p w14:paraId="1DD6681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4563FAA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61,051 (72.5%)</w:t>
            </w:r>
          </w:p>
        </w:tc>
        <w:tc>
          <w:tcPr>
            <w:tcW w:w="1070" w:type="pct"/>
          </w:tcPr>
          <w:p w14:paraId="27935FF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C92A8D5" wp14:editId="2163FFF2">
                  <wp:extent cx="914400" cy="180975"/>
                  <wp:effectExtent l="0" t="0" r="0"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65D6C34" w14:textId="77777777" w:rsidTr="00C6669F">
        <w:trPr>
          <w:trHeight w:val="283"/>
        </w:trPr>
        <w:tc>
          <w:tcPr>
            <w:tcW w:w="3029" w:type="pct"/>
          </w:tcPr>
          <w:p w14:paraId="7977DB6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062A08B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13,321 (76.9%)</w:t>
            </w:r>
          </w:p>
        </w:tc>
        <w:tc>
          <w:tcPr>
            <w:tcW w:w="1070" w:type="pct"/>
          </w:tcPr>
          <w:p w14:paraId="159C405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45EB777" wp14:editId="10B10DD3">
                  <wp:extent cx="914400" cy="1809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6F20010" w14:textId="77777777" w:rsidTr="00C6669F">
        <w:trPr>
          <w:trHeight w:val="283"/>
        </w:trPr>
        <w:tc>
          <w:tcPr>
            <w:tcW w:w="3029" w:type="pct"/>
            <w:tcBorders>
              <w:bottom w:val="single" w:sz="4" w:space="0" w:color="auto"/>
            </w:tcBorders>
          </w:tcPr>
          <w:p w14:paraId="690CC08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29422F3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254,227 (93.7%)</w:t>
            </w:r>
          </w:p>
        </w:tc>
        <w:tc>
          <w:tcPr>
            <w:tcW w:w="1070" w:type="pct"/>
            <w:tcBorders>
              <w:bottom w:val="single" w:sz="4" w:space="0" w:color="auto"/>
            </w:tcBorders>
          </w:tcPr>
          <w:p w14:paraId="6B1A31B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36C16F7" wp14:editId="14B9EE3B">
                  <wp:extent cx="914400" cy="18097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34223CF6" w14:textId="77777777" w:rsidTr="00C6669F">
        <w:trPr>
          <w:trHeight w:val="283"/>
        </w:trPr>
        <w:tc>
          <w:tcPr>
            <w:tcW w:w="3029" w:type="pct"/>
            <w:tcBorders>
              <w:top w:val="single" w:sz="4" w:space="0" w:color="auto"/>
            </w:tcBorders>
          </w:tcPr>
          <w:p w14:paraId="6CF943D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GG0170D3: Mobility - Sit to Stand</w:t>
            </w:r>
          </w:p>
        </w:tc>
        <w:tc>
          <w:tcPr>
            <w:tcW w:w="901" w:type="pct"/>
            <w:tcBorders>
              <w:top w:val="single" w:sz="4" w:space="0" w:color="auto"/>
            </w:tcBorders>
          </w:tcPr>
          <w:p w14:paraId="31ACB41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985FC06"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43C1489D" w14:textId="77777777" w:rsidTr="00C6669F">
        <w:trPr>
          <w:trHeight w:val="283"/>
        </w:trPr>
        <w:tc>
          <w:tcPr>
            <w:tcW w:w="3029" w:type="pct"/>
          </w:tcPr>
          <w:p w14:paraId="2089677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5253C9C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3,164 (33.4%)</w:t>
            </w:r>
          </w:p>
        </w:tc>
        <w:tc>
          <w:tcPr>
            <w:tcW w:w="1070" w:type="pct"/>
          </w:tcPr>
          <w:p w14:paraId="7370A6F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BF50182" wp14:editId="4147BB48">
                  <wp:extent cx="914400" cy="18097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625FEB0" w14:textId="77777777" w:rsidTr="00C6669F">
        <w:trPr>
          <w:trHeight w:val="283"/>
        </w:trPr>
        <w:tc>
          <w:tcPr>
            <w:tcW w:w="3029" w:type="pct"/>
          </w:tcPr>
          <w:p w14:paraId="690B799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7844656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5,570 (40.0%)</w:t>
            </w:r>
          </w:p>
        </w:tc>
        <w:tc>
          <w:tcPr>
            <w:tcW w:w="1070" w:type="pct"/>
          </w:tcPr>
          <w:p w14:paraId="72F4030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7E897F0" wp14:editId="3119C9C6">
                  <wp:extent cx="914400" cy="18097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08EE30B" w14:textId="77777777" w:rsidTr="00C6669F">
        <w:trPr>
          <w:trHeight w:val="283"/>
        </w:trPr>
        <w:tc>
          <w:tcPr>
            <w:tcW w:w="3029" w:type="pct"/>
          </w:tcPr>
          <w:p w14:paraId="4AA86E3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3A9A253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23,665 (55.8%)</w:t>
            </w:r>
          </w:p>
        </w:tc>
        <w:tc>
          <w:tcPr>
            <w:tcW w:w="1070" w:type="pct"/>
          </w:tcPr>
          <w:p w14:paraId="469300B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55E86DF" wp14:editId="5668FFF6">
                  <wp:extent cx="914400" cy="18097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F5D01CD" w14:textId="77777777" w:rsidTr="00C6669F">
        <w:trPr>
          <w:trHeight w:val="283"/>
        </w:trPr>
        <w:tc>
          <w:tcPr>
            <w:tcW w:w="3029" w:type="pct"/>
          </w:tcPr>
          <w:p w14:paraId="54A8D4D1"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6BF93C2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98,134 (77.5%)</w:t>
            </w:r>
          </w:p>
        </w:tc>
        <w:tc>
          <w:tcPr>
            <w:tcW w:w="1070" w:type="pct"/>
          </w:tcPr>
          <w:p w14:paraId="53848E8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530703D" wp14:editId="7E4E8EE7">
                  <wp:extent cx="914400" cy="180975"/>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9CCA33F" w14:textId="77777777" w:rsidTr="00C6669F">
        <w:trPr>
          <w:trHeight w:val="283"/>
        </w:trPr>
        <w:tc>
          <w:tcPr>
            <w:tcW w:w="3029" w:type="pct"/>
          </w:tcPr>
          <w:p w14:paraId="4E1ADBC1"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776D637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17,915 (82.6%)</w:t>
            </w:r>
          </w:p>
        </w:tc>
        <w:tc>
          <w:tcPr>
            <w:tcW w:w="1070" w:type="pct"/>
          </w:tcPr>
          <w:p w14:paraId="3A8E8D3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6CD1D58" wp14:editId="25EB8253">
                  <wp:extent cx="914400" cy="180975"/>
                  <wp:effectExtent l="0" t="0" r="0"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304320B" w14:textId="77777777" w:rsidTr="00C6669F">
        <w:trPr>
          <w:trHeight w:val="283"/>
        </w:trPr>
        <w:tc>
          <w:tcPr>
            <w:tcW w:w="3029" w:type="pct"/>
            <w:tcBorders>
              <w:bottom w:val="single" w:sz="4" w:space="0" w:color="auto"/>
            </w:tcBorders>
          </w:tcPr>
          <w:p w14:paraId="0A9F4BB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1C280B7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207,327 (96.4%)</w:t>
            </w:r>
          </w:p>
        </w:tc>
        <w:tc>
          <w:tcPr>
            <w:tcW w:w="1070" w:type="pct"/>
            <w:tcBorders>
              <w:bottom w:val="single" w:sz="4" w:space="0" w:color="auto"/>
            </w:tcBorders>
          </w:tcPr>
          <w:p w14:paraId="474D7EB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6F37D52" wp14:editId="561BA474">
                  <wp:extent cx="914400" cy="180975"/>
                  <wp:effectExtent l="0" t="0" r="0"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355AAA67" w14:textId="77777777" w:rsidTr="00C6669F">
        <w:trPr>
          <w:trHeight w:val="283"/>
        </w:trPr>
        <w:tc>
          <w:tcPr>
            <w:tcW w:w="3029" w:type="pct"/>
            <w:tcBorders>
              <w:top w:val="single" w:sz="4" w:space="0" w:color="auto"/>
            </w:tcBorders>
          </w:tcPr>
          <w:p w14:paraId="53007C81"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GG0170E3: Mobility - Chair/Bed-to-Chair Transfer</w:t>
            </w:r>
          </w:p>
        </w:tc>
        <w:tc>
          <w:tcPr>
            <w:tcW w:w="901" w:type="pct"/>
            <w:tcBorders>
              <w:top w:val="single" w:sz="4" w:space="0" w:color="auto"/>
            </w:tcBorders>
          </w:tcPr>
          <w:p w14:paraId="54B536A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6FEBB0D"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7CFDB7C2" w14:textId="77777777" w:rsidTr="00C6669F">
        <w:trPr>
          <w:trHeight w:val="283"/>
        </w:trPr>
        <w:tc>
          <w:tcPr>
            <w:tcW w:w="3029" w:type="pct"/>
          </w:tcPr>
          <w:p w14:paraId="7248129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51FE67F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3,381 (29.9%)</w:t>
            </w:r>
          </w:p>
        </w:tc>
        <w:tc>
          <w:tcPr>
            <w:tcW w:w="1070" w:type="pct"/>
          </w:tcPr>
          <w:p w14:paraId="27E7A6F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D80E508" wp14:editId="54DF5D84">
                  <wp:extent cx="914400" cy="180975"/>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299142D" w14:textId="77777777" w:rsidTr="00C6669F">
        <w:trPr>
          <w:trHeight w:val="283"/>
        </w:trPr>
        <w:tc>
          <w:tcPr>
            <w:tcW w:w="3029" w:type="pct"/>
          </w:tcPr>
          <w:p w14:paraId="2C7F7FB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3254760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5,729 (38.5%)</w:t>
            </w:r>
          </w:p>
        </w:tc>
        <w:tc>
          <w:tcPr>
            <w:tcW w:w="1070" w:type="pct"/>
          </w:tcPr>
          <w:p w14:paraId="6D4030B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813634D" wp14:editId="3AD54C5A">
                  <wp:extent cx="914400" cy="18097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71CEB58" w14:textId="77777777" w:rsidTr="00C6669F">
        <w:trPr>
          <w:trHeight w:val="283"/>
        </w:trPr>
        <w:tc>
          <w:tcPr>
            <w:tcW w:w="3029" w:type="pct"/>
          </w:tcPr>
          <w:p w14:paraId="55A7D16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221901B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27,735 (58.3%)</w:t>
            </w:r>
          </w:p>
        </w:tc>
        <w:tc>
          <w:tcPr>
            <w:tcW w:w="1070" w:type="pct"/>
          </w:tcPr>
          <w:p w14:paraId="34644E4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3DEE832" wp14:editId="397E954A">
                  <wp:extent cx="914400" cy="180975"/>
                  <wp:effectExtent l="0" t="0" r="0"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CDC8829" w14:textId="77777777" w:rsidTr="00C6669F">
        <w:trPr>
          <w:trHeight w:val="283"/>
        </w:trPr>
        <w:tc>
          <w:tcPr>
            <w:tcW w:w="3029" w:type="pct"/>
          </w:tcPr>
          <w:p w14:paraId="7B7D3CB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0E906AE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103,772 (78.5%)</w:t>
            </w:r>
          </w:p>
        </w:tc>
        <w:tc>
          <w:tcPr>
            <w:tcW w:w="1070" w:type="pct"/>
          </w:tcPr>
          <w:p w14:paraId="556272D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8320A87" wp14:editId="42CAC44B">
                  <wp:extent cx="914400" cy="180975"/>
                  <wp:effectExtent l="0" t="0" r="0"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5DCFE6A" w14:textId="77777777" w:rsidTr="00C6669F">
        <w:trPr>
          <w:trHeight w:val="283"/>
        </w:trPr>
        <w:tc>
          <w:tcPr>
            <w:tcW w:w="3029" w:type="pct"/>
          </w:tcPr>
          <w:p w14:paraId="73604F81"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50D6F40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20,489 (83.3%)</w:t>
            </w:r>
          </w:p>
        </w:tc>
        <w:tc>
          <w:tcPr>
            <w:tcW w:w="1070" w:type="pct"/>
          </w:tcPr>
          <w:p w14:paraId="615DC86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7D9569F" wp14:editId="67DD08BF">
                  <wp:extent cx="91440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59138AB" w14:textId="77777777" w:rsidTr="00C6669F">
        <w:trPr>
          <w:trHeight w:val="283"/>
        </w:trPr>
        <w:tc>
          <w:tcPr>
            <w:tcW w:w="3029" w:type="pct"/>
            <w:tcBorders>
              <w:bottom w:val="single" w:sz="4" w:space="0" w:color="auto"/>
            </w:tcBorders>
          </w:tcPr>
          <w:p w14:paraId="6A1905C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lastRenderedPageBreak/>
              <w:t>06-Independent</w:t>
            </w:r>
          </w:p>
        </w:tc>
        <w:tc>
          <w:tcPr>
            <w:tcW w:w="901" w:type="pct"/>
            <w:tcBorders>
              <w:bottom w:val="single" w:sz="4" w:space="0" w:color="auto"/>
            </w:tcBorders>
          </w:tcPr>
          <w:p w14:paraId="5D001C0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198,512 (96.8%)</w:t>
            </w:r>
          </w:p>
        </w:tc>
        <w:tc>
          <w:tcPr>
            <w:tcW w:w="1070" w:type="pct"/>
            <w:tcBorders>
              <w:bottom w:val="single" w:sz="4" w:space="0" w:color="auto"/>
            </w:tcBorders>
          </w:tcPr>
          <w:p w14:paraId="684120B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5A57250" wp14:editId="571F2241">
                  <wp:extent cx="914400" cy="18097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3007E82C" w14:textId="77777777" w:rsidTr="00C6669F">
        <w:trPr>
          <w:trHeight w:val="283"/>
        </w:trPr>
        <w:tc>
          <w:tcPr>
            <w:tcW w:w="3029" w:type="pct"/>
            <w:tcBorders>
              <w:top w:val="single" w:sz="4" w:space="0" w:color="auto"/>
            </w:tcBorders>
          </w:tcPr>
          <w:p w14:paraId="4F37BB5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GG0170F3: Mobility - Toilet Transfer</w:t>
            </w:r>
          </w:p>
        </w:tc>
        <w:tc>
          <w:tcPr>
            <w:tcW w:w="901" w:type="pct"/>
            <w:tcBorders>
              <w:top w:val="single" w:sz="4" w:space="0" w:color="auto"/>
            </w:tcBorders>
          </w:tcPr>
          <w:p w14:paraId="281A831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1C241A0B"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67D151E2" w14:textId="77777777" w:rsidTr="00C6669F">
        <w:trPr>
          <w:trHeight w:val="283"/>
        </w:trPr>
        <w:tc>
          <w:tcPr>
            <w:tcW w:w="3029" w:type="pct"/>
          </w:tcPr>
          <w:p w14:paraId="3A62A11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74CB100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4,107 (30.8%)</w:t>
            </w:r>
          </w:p>
        </w:tc>
        <w:tc>
          <w:tcPr>
            <w:tcW w:w="1070" w:type="pct"/>
          </w:tcPr>
          <w:p w14:paraId="2D31BAA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072047C" wp14:editId="1122DFF8">
                  <wp:extent cx="914400" cy="18097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44D7776" w14:textId="77777777" w:rsidTr="00C6669F">
        <w:trPr>
          <w:trHeight w:val="283"/>
        </w:trPr>
        <w:tc>
          <w:tcPr>
            <w:tcW w:w="3029" w:type="pct"/>
          </w:tcPr>
          <w:p w14:paraId="643F290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66171C1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5,678 (41.7%)</w:t>
            </w:r>
          </w:p>
        </w:tc>
        <w:tc>
          <w:tcPr>
            <w:tcW w:w="1070" w:type="pct"/>
          </w:tcPr>
          <w:p w14:paraId="1F9E3B1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1F6D52F" wp14:editId="755D265E">
                  <wp:extent cx="914400" cy="180975"/>
                  <wp:effectExtent l="0" t="0" r="0"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41659AD1" w14:textId="77777777" w:rsidTr="00C6669F">
        <w:trPr>
          <w:trHeight w:val="283"/>
        </w:trPr>
        <w:tc>
          <w:tcPr>
            <w:tcW w:w="3029" w:type="pct"/>
          </w:tcPr>
          <w:p w14:paraId="7AECB3B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65B883F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26,934 (60.2%)</w:t>
            </w:r>
          </w:p>
        </w:tc>
        <w:tc>
          <w:tcPr>
            <w:tcW w:w="1070" w:type="pct"/>
          </w:tcPr>
          <w:p w14:paraId="72ABBC5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195CA22" wp14:editId="3A7826A3">
                  <wp:extent cx="914400" cy="18097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BA23848" w14:textId="77777777" w:rsidTr="00C6669F">
        <w:trPr>
          <w:trHeight w:val="283"/>
        </w:trPr>
        <w:tc>
          <w:tcPr>
            <w:tcW w:w="3029" w:type="pct"/>
          </w:tcPr>
          <w:p w14:paraId="71F120C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4A82B4B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102,930 (79.3%)</w:t>
            </w:r>
          </w:p>
        </w:tc>
        <w:tc>
          <w:tcPr>
            <w:tcW w:w="1070" w:type="pct"/>
          </w:tcPr>
          <w:p w14:paraId="135B2B8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E6EFC1B" wp14:editId="72CA56D2">
                  <wp:extent cx="914400" cy="180975"/>
                  <wp:effectExtent l="0" t="0" r="0"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C26A539" w14:textId="77777777" w:rsidTr="00C6669F">
        <w:trPr>
          <w:trHeight w:val="283"/>
        </w:trPr>
        <w:tc>
          <w:tcPr>
            <w:tcW w:w="3029" w:type="pct"/>
          </w:tcPr>
          <w:p w14:paraId="0955F24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413B881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26,907 (84.8%)</w:t>
            </w:r>
          </w:p>
        </w:tc>
        <w:tc>
          <w:tcPr>
            <w:tcW w:w="1070" w:type="pct"/>
          </w:tcPr>
          <w:p w14:paraId="23E1E54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771AD46" wp14:editId="3F11415A">
                  <wp:extent cx="914400" cy="1809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F4BBA52" w14:textId="77777777" w:rsidTr="00C6669F">
        <w:trPr>
          <w:trHeight w:val="283"/>
        </w:trPr>
        <w:tc>
          <w:tcPr>
            <w:tcW w:w="3029" w:type="pct"/>
            <w:tcBorders>
              <w:bottom w:val="single" w:sz="4" w:space="0" w:color="auto"/>
            </w:tcBorders>
          </w:tcPr>
          <w:p w14:paraId="619D44E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69698A3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187,683 (97.0%)</w:t>
            </w:r>
          </w:p>
        </w:tc>
        <w:tc>
          <w:tcPr>
            <w:tcW w:w="1070" w:type="pct"/>
            <w:tcBorders>
              <w:bottom w:val="single" w:sz="4" w:space="0" w:color="auto"/>
            </w:tcBorders>
          </w:tcPr>
          <w:p w14:paraId="10E9401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404FB41" wp14:editId="1E27B320">
                  <wp:extent cx="914400" cy="18097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03A670F7" w14:textId="77777777" w:rsidTr="00C6669F">
        <w:trPr>
          <w:trHeight w:val="283"/>
        </w:trPr>
        <w:tc>
          <w:tcPr>
            <w:tcW w:w="3029" w:type="pct"/>
            <w:tcBorders>
              <w:top w:val="single" w:sz="4" w:space="0" w:color="auto"/>
            </w:tcBorders>
          </w:tcPr>
          <w:p w14:paraId="7737B613"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GG0170G3: Mobility - Car Transfer</w:t>
            </w:r>
          </w:p>
        </w:tc>
        <w:tc>
          <w:tcPr>
            <w:tcW w:w="901" w:type="pct"/>
            <w:tcBorders>
              <w:top w:val="single" w:sz="4" w:space="0" w:color="auto"/>
            </w:tcBorders>
          </w:tcPr>
          <w:p w14:paraId="2F50F26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F6F80A1"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2E6CD027" w14:textId="77777777" w:rsidTr="00C6669F">
        <w:trPr>
          <w:trHeight w:val="283"/>
        </w:trPr>
        <w:tc>
          <w:tcPr>
            <w:tcW w:w="3029" w:type="pct"/>
          </w:tcPr>
          <w:p w14:paraId="23486A5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2C24E87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3,485 (47.9%)</w:t>
            </w:r>
          </w:p>
        </w:tc>
        <w:tc>
          <w:tcPr>
            <w:tcW w:w="1070" w:type="pct"/>
          </w:tcPr>
          <w:p w14:paraId="1EF815E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40F832D" wp14:editId="12284A2A">
                  <wp:extent cx="914400" cy="180975"/>
                  <wp:effectExtent l="0" t="0" r="0" b="952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ECC5E85" w14:textId="77777777" w:rsidTr="00C6669F">
        <w:trPr>
          <w:trHeight w:val="283"/>
        </w:trPr>
        <w:tc>
          <w:tcPr>
            <w:tcW w:w="3029" w:type="pct"/>
          </w:tcPr>
          <w:p w14:paraId="1F7A397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2EFB672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4,598 (58.7%)</w:t>
            </w:r>
          </w:p>
        </w:tc>
        <w:tc>
          <w:tcPr>
            <w:tcW w:w="1070" w:type="pct"/>
          </w:tcPr>
          <w:p w14:paraId="7DB0B2E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EB1E7A1" wp14:editId="7A0FD211">
                  <wp:extent cx="914400" cy="18097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43A4A2D" w14:textId="77777777" w:rsidTr="00C6669F">
        <w:trPr>
          <w:trHeight w:val="283"/>
        </w:trPr>
        <w:tc>
          <w:tcPr>
            <w:tcW w:w="3029" w:type="pct"/>
          </w:tcPr>
          <w:p w14:paraId="0153186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6BDC7D5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30,433 (73.8%)</w:t>
            </w:r>
          </w:p>
        </w:tc>
        <w:tc>
          <w:tcPr>
            <w:tcW w:w="1070" w:type="pct"/>
          </w:tcPr>
          <w:p w14:paraId="04C13C7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BFADA6C" wp14:editId="719A5200">
                  <wp:extent cx="914400" cy="1809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F9B564C" w14:textId="77777777" w:rsidTr="00C6669F">
        <w:trPr>
          <w:trHeight w:val="283"/>
        </w:trPr>
        <w:tc>
          <w:tcPr>
            <w:tcW w:w="3029" w:type="pct"/>
          </w:tcPr>
          <w:p w14:paraId="4B3C4DC1"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637FC1C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116,982 (88.2%)</w:t>
            </w:r>
          </w:p>
        </w:tc>
        <w:tc>
          <w:tcPr>
            <w:tcW w:w="1070" w:type="pct"/>
          </w:tcPr>
          <w:p w14:paraId="373AA36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848B200" wp14:editId="27E18856">
                  <wp:extent cx="914400" cy="180975"/>
                  <wp:effectExtent l="0" t="0" r="0"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84B73F2" w14:textId="77777777" w:rsidTr="00C6669F">
        <w:trPr>
          <w:trHeight w:val="283"/>
        </w:trPr>
        <w:tc>
          <w:tcPr>
            <w:tcW w:w="3029" w:type="pct"/>
          </w:tcPr>
          <w:p w14:paraId="654A7E1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75D357E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24,032 (92.5%)</w:t>
            </w:r>
          </w:p>
        </w:tc>
        <w:tc>
          <w:tcPr>
            <w:tcW w:w="1070" w:type="pct"/>
          </w:tcPr>
          <w:p w14:paraId="47E0DB5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2381905" wp14:editId="0D249D20">
                  <wp:extent cx="914400" cy="180975"/>
                  <wp:effectExtent l="0" t="0" r="0"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CC96F27" w14:textId="77777777" w:rsidTr="00C6669F">
        <w:trPr>
          <w:trHeight w:val="283"/>
        </w:trPr>
        <w:tc>
          <w:tcPr>
            <w:tcW w:w="3029" w:type="pct"/>
            <w:tcBorders>
              <w:bottom w:val="single" w:sz="4" w:space="0" w:color="auto"/>
            </w:tcBorders>
          </w:tcPr>
          <w:p w14:paraId="21ABCE80"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571DD83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107,985 (97.7%)</w:t>
            </w:r>
          </w:p>
        </w:tc>
        <w:tc>
          <w:tcPr>
            <w:tcW w:w="1070" w:type="pct"/>
            <w:tcBorders>
              <w:bottom w:val="single" w:sz="4" w:space="0" w:color="auto"/>
            </w:tcBorders>
          </w:tcPr>
          <w:p w14:paraId="2EFBCBE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0AC92F7" wp14:editId="078EEC5E">
                  <wp:extent cx="914400" cy="180975"/>
                  <wp:effectExtent l="0" t="0" r="0"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5CF1E213" w14:textId="77777777" w:rsidTr="00C6669F">
        <w:trPr>
          <w:trHeight w:val="283"/>
        </w:trPr>
        <w:tc>
          <w:tcPr>
            <w:tcW w:w="3029" w:type="pct"/>
            <w:tcBorders>
              <w:top w:val="single" w:sz="4" w:space="0" w:color="auto"/>
            </w:tcBorders>
          </w:tcPr>
          <w:p w14:paraId="26B9DAAD"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GG0170I3: Mobility - Walk 10 Feet</w:t>
            </w:r>
          </w:p>
        </w:tc>
        <w:tc>
          <w:tcPr>
            <w:tcW w:w="901" w:type="pct"/>
            <w:tcBorders>
              <w:top w:val="single" w:sz="4" w:space="0" w:color="auto"/>
            </w:tcBorders>
          </w:tcPr>
          <w:p w14:paraId="4306D87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78AB4137"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1B71DF4C" w14:textId="77777777" w:rsidTr="00C6669F">
        <w:trPr>
          <w:trHeight w:val="283"/>
        </w:trPr>
        <w:tc>
          <w:tcPr>
            <w:tcW w:w="3029" w:type="pct"/>
          </w:tcPr>
          <w:p w14:paraId="467ADFE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72ED459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3,619 (40.1%)</w:t>
            </w:r>
          </w:p>
        </w:tc>
        <w:tc>
          <w:tcPr>
            <w:tcW w:w="1070" w:type="pct"/>
          </w:tcPr>
          <w:p w14:paraId="13937811"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10E9570" wp14:editId="7787A182">
                  <wp:extent cx="914400" cy="180975"/>
                  <wp:effectExtent l="0" t="0" r="0" b="952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A823E8B" w14:textId="77777777" w:rsidTr="00C6669F">
        <w:trPr>
          <w:trHeight w:val="283"/>
        </w:trPr>
        <w:tc>
          <w:tcPr>
            <w:tcW w:w="3029" w:type="pct"/>
          </w:tcPr>
          <w:p w14:paraId="7A90262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07145AD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2,709 (46.6%)</w:t>
            </w:r>
          </w:p>
        </w:tc>
        <w:tc>
          <w:tcPr>
            <w:tcW w:w="1070" w:type="pct"/>
          </w:tcPr>
          <w:p w14:paraId="32EDDE9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94BDE6E" wp14:editId="5EA0F282">
                  <wp:extent cx="914400" cy="180975"/>
                  <wp:effectExtent l="0" t="0" r="0" b="952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E111EBC" w14:textId="77777777" w:rsidTr="00C6669F">
        <w:trPr>
          <w:trHeight w:val="283"/>
        </w:trPr>
        <w:tc>
          <w:tcPr>
            <w:tcW w:w="3029" w:type="pct"/>
          </w:tcPr>
          <w:p w14:paraId="21A650F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047CA78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19,772 (61.1%)</w:t>
            </w:r>
          </w:p>
        </w:tc>
        <w:tc>
          <w:tcPr>
            <w:tcW w:w="1070" w:type="pct"/>
          </w:tcPr>
          <w:p w14:paraId="3D3324A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F84492E" wp14:editId="70F84F63">
                  <wp:extent cx="914400" cy="180975"/>
                  <wp:effectExtent l="0" t="0" r="0"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476374FA" w14:textId="77777777" w:rsidTr="00C6669F">
        <w:trPr>
          <w:trHeight w:val="283"/>
        </w:trPr>
        <w:tc>
          <w:tcPr>
            <w:tcW w:w="3029" w:type="pct"/>
          </w:tcPr>
          <w:p w14:paraId="21D501D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03B566F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118,746 (80.4%)</w:t>
            </w:r>
          </w:p>
        </w:tc>
        <w:tc>
          <w:tcPr>
            <w:tcW w:w="1070" w:type="pct"/>
          </w:tcPr>
          <w:p w14:paraId="613B9F8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10A7577" wp14:editId="09490A4F">
                  <wp:extent cx="914400" cy="180975"/>
                  <wp:effectExtent l="0" t="0" r="0" b="952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49CFD23" w14:textId="77777777" w:rsidTr="00C6669F">
        <w:trPr>
          <w:trHeight w:val="283"/>
        </w:trPr>
        <w:tc>
          <w:tcPr>
            <w:tcW w:w="3029" w:type="pct"/>
          </w:tcPr>
          <w:p w14:paraId="4D8B757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7A26E7A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18,456 (85.6%)</w:t>
            </w:r>
          </w:p>
        </w:tc>
        <w:tc>
          <w:tcPr>
            <w:tcW w:w="1070" w:type="pct"/>
          </w:tcPr>
          <w:p w14:paraId="4191775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21D3564" wp14:editId="4596279D">
                  <wp:extent cx="914400" cy="180975"/>
                  <wp:effectExtent l="0" t="0" r="0" b="952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E8D546C" w14:textId="77777777" w:rsidTr="00C6669F">
        <w:trPr>
          <w:trHeight w:val="283"/>
        </w:trPr>
        <w:tc>
          <w:tcPr>
            <w:tcW w:w="3029" w:type="pct"/>
            <w:tcBorders>
              <w:bottom w:val="single" w:sz="4" w:space="0" w:color="auto"/>
            </w:tcBorders>
          </w:tcPr>
          <w:p w14:paraId="15A7CCB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6165F16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176,666 (97.4%)</w:t>
            </w:r>
          </w:p>
        </w:tc>
        <w:tc>
          <w:tcPr>
            <w:tcW w:w="1070" w:type="pct"/>
            <w:tcBorders>
              <w:bottom w:val="single" w:sz="4" w:space="0" w:color="auto"/>
            </w:tcBorders>
          </w:tcPr>
          <w:p w14:paraId="1EEBFE7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C7A91F2" wp14:editId="753DB792">
                  <wp:extent cx="914400" cy="180975"/>
                  <wp:effectExtent l="0" t="0" r="0" b="952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480AC923" w14:textId="77777777" w:rsidTr="00C6669F">
        <w:trPr>
          <w:trHeight w:val="283"/>
        </w:trPr>
        <w:tc>
          <w:tcPr>
            <w:tcW w:w="3029" w:type="pct"/>
            <w:tcBorders>
              <w:top w:val="single" w:sz="4" w:space="0" w:color="auto"/>
            </w:tcBorders>
          </w:tcPr>
          <w:p w14:paraId="6EEC9A7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GG0170J3: Mobility - Walk 50 Feet with Two Turns</w:t>
            </w:r>
          </w:p>
        </w:tc>
        <w:tc>
          <w:tcPr>
            <w:tcW w:w="901" w:type="pct"/>
            <w:tcBorders>
              <w:top w:val="single" w:sz="4" w:space="0" w:color="auto"/>
            </w:tcBorders>
          </w:tcPr>
          <w:p w14:paraId="05EF6C6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D1F624C"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4BBCC91B" w14:textId="77777777" w:rsidTr="00C6669F">
        <w:trPr>
          <w:trHeight w:val="283"/>
        </w:trPr>
        <w:tc>
          <w:tcPr>
            <w:tcW w:w="3029" w:type="pct"/>
          </w:tcPr>
          <w:p w14:paraId="60D3212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1EAB9C0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2,846 (46.2%)</w:t>
            </w:r>
          </w:p>
        </w:tc>
        <w:tc>
          <w:tcPr>
            <w:tcW w:w="1070" w:type="pct"/>
          </w:tcPr>
          <w:p w14:paraId="388E721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BB840E4" wp14:editId="469E578D">
                  <wp:extent cx="914400" cy="180975"/>
                  <wp:effectExtent l="0" t="0" r="0" b="9525"/>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950D85E" w14:textId="77777777" w:rsidTr="00C6669F">
        <w:trPr>
          <w:trHeight w:val="283"/>
        </w:trPr>
        <w:tc>
          <w:tcPr>
            <w:tcW w:w="3029" w:type="pct"/>
          </w:tcPr>
          <w:p w14:paraId="247BF35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23324F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1,303 (53.5%)</w:t>
            </w:r>
          </w:p>
        </w:tc>
        <w:tc>
          <w:tcPr>
            <w:tcW w:w="1070" w:type="pct"/>
          </w:tcPr>
          <w:p w14:paraId="3F1E528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3918534" wp14:editId="40AFF295">
                  <wp:extent cx="914400" cy="180975"/>
                  <wp:effectExtent l="0" t="0" r="0"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1A3C1D9" w14:textId="77777777" w:rsidTr="00C6669F">
        <w:trPr>
          <w:trHeight w:val="283"/>
        </w:trPr>
        <w:tc>
          <w:tcPr>
            <w:tcW w:w="3029" w:type="pct"/>
          </w:tcPr>
          <w:p w14:paraId="7D89410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159069D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15,118 (63.8%)</w:t>
            </w:r>
          </w:p>
        </w:tc>
        <w:tc>
          <w:tcPr>
            <w:tcW w:w="1070" w:type="pct"/>
          </w:tcPr>
          <w:p w14:paraId="6038E48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8FA1E0A" wp14:editId="6E5F2C4A">
                  <wp:extent cx="914400" cy="180975"/>
                  <wp:effectExtent l="0" t="0" r="0"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B7B3325" w14:textId="77777777" w:rsidTr="00C6669F">
        <w:trPr>
          <w:trHeight w:val="283"/>
        </w:trPr>
        <w:tc>
          <w:tcPr>
            <w:tcW w:w="3029" w:type="pct"/>
          </w:tcPr>
          <w:p w14:paraId="02505B2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5FC5BF4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115,178 (82.0%)</w:t>
            </w:r>
          </w:p>
        </w:tc>
        <w:tc>
          <w:tcPr>
            <w:tcW w:w="1070" w:type="pct"/>
          </w:tcPr>
          <w:p w14:paraId="404829D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432F7BC" wp14:editId="4256D405">
                  <wp:extent cx="914400" cy="180975"/>
                  <wp:effectExtent l="0" t="0" r="0"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BE0816D" w14:textId="77777777" w:rsidTr="00C6669F">
        <w:trPr>
          <w:trHeight w:val="283"/>
        </w:trPr>
        <w:tc>
          <w:tcPr>
            <w:tcW w:w="3029" w:type="pct"/>
          </w:tcPr>
          <w:p w14:paraId="3065D1D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4D2FA57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18,301 (86.4%)</w:t>
            </w:r>
          </w:p>
        </w:tc>
        <w:tc>
          <w:tcPr>
            <w:tcW w:w="1070" w:type="pct"/>
          </w:tcPr>
          <w:p w14:paraId="37EC360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8108CCD" wp14:editId="4DF644CD">
                  <wp:extent cx="914400" cy="180975"/>
                  <wp:effectExtent l="0" t="0" r="0"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4E29091C" w14:textId="77777777" w:rsidTr="00C6669F">
        <w:trPr>
          <w:trHeight w:val="283"/>
        </w:trPr>
        <w:tc>
          <w:tcPr>
            <w:tcW w:w="3029" w:type="pct"/>
            <w:tcBorders>
              <w:bottom w:val="single" w:sz="4" w:space="0" w:color="auto"/>
            </w:tcBorders>
          </w:tcPr>
          <w:p w14:paraId="6ED2343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112A51D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170,483 (97.6%)</w:t>
            </w:r>
          </w:p>
        </w:tc>
        <w:tc>
          <w:tcPr>
            <w:tcW w:w="1070" w:type="pct"/>
            <w:tcBorders>
              <w:bottom w:val="single" w:sz="4" w:space="0" w:color="auto"/>
            </w:tcBorders>
          </w:tcPr>
          <w:p w14:paraId="1F92649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BBA4C61" wp14:editId="35111243">
                  <wp:extent cx="914400" cy="180975"/>
                  <wp:effectExtent l="0" t="0" r="0"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5B1533FA" w14:textId="77777777" w:rsidTr="00C6669F">
        <w:trPr>
          <w:trHeight w:val="283"/>
        </w:trPr>
        <w:tc>
          <w:tcPr>
            <w:tcW w:w="3029" w:type="pct"/>
            <w:tcBorders>
              <w:top w:val="single" w:sz="4" w:space="0" w:color="auto"/>
            </w:tcBorders>
          </w:tcPr>
          <w:p w14:paraId="174F495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GG0170K3: Mobility - Walk 150 Feet</w:t>
            </w:r>
          </w:p>
        </w:tc>
        <w:tc>
          <w:tcPr>
            <w:tcW w:w="901" w:type="pct"/>
            <w:tcBorders>
              <w:top w:val="single" w:sz="4" w:space="0" w:color="auto"/>
            </w:tcBorders>
          </w:tcPr>
          <w:p w14:paraId="57BE7EF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2192E62"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51B2D97F" w14:textId="77777777" w:rsidTr="00C6669F">
        <w:trPr>
          <w:trHeight w:val="283"/>
        </w:trPr>
        <w:tc>
          <w:tcPr>
            <w:tcW w:w="3029" w:type="pct"/>
          </w:tcPr>
          <w:p w14:paraId="5777D782"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2B93805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4,856 (58.9%)</w:t>
            </w:r>
          </w:p>
        </w:tc>
        <w:tc>
          <w:tcPr>
            <w:tcW w:w="1070" w:type="pct"/>
          </w:tcPr>
          <w:p w14:paraId="54AED1C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AF652E7" wp14:editId="06D75B76">
                  <wp:extent cx="914400" cy="180975"/>
                  <wp:effectExtent l="0" t="0" r="0" b="952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1B2AB6C" w14:textId="77777777" w:rsidTr="00C6669F">
        <w:trPr>
          <w:trHeight w:val="283"/>
        </w:trPr>
        <w:tc>
          <w:tcPr>
            <w:tcW w:w="3029" w:type="pct"/>
          </w:tcPr>
          <w:p w14:paraId="554EAFE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6C032A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945 (63.3%)</w:t>
            </w:r>
          </w:p>
        </w:tc>
        <w:tc>
          <w:tcPr>
            <w:tcW w:w="1070" w:type="pct"/>
          </w:tcPr>
          <w:p w14:paraId="5663E771"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EDC74F1" wp14:editId="3A7F086F">
                  <wp:extent cx="914400" cy="180975"/>
                  <wp:effectExtent l="0" t="0" r="0" b="9525"/>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B1AD725" w14:textId="77777777" w:rsidTr="00C6669F">
        <w:trPr>
          <w:trHeight w:val="283"/>
        </w:trPr>
        <w:tc>
          <w:tcPr>
            <w:tcW w:w="3029" w:type="pct"/>
          </w:tcPr>
          <w:p w14:paraId="4E67321D"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67FA613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8,910 (68.1%)</w:t>
            </w:r>
          </w:p>
        </w:tc>
        <w:tc>
          <w:tcPr>
            <w:tcW w:w="1070" w:type="pct"/>
          </w:tcPr>
          <w:p w14:paraId="0B71782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6735DB8" wp14:editId="02DF3C0E">
                  <wp:extent cx="914400" cy="180975"/>
                  <wp:effectExtent l="0" t="0" r="0" b="9525"/>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C78D7A8" w14:textId="77777777" w:rsidTr="00C6669F">
        <w:trPr>
          <w:trHeight w:val="283"/>
        </w:trPr>
        <w:tc>
          <w:tcPr>
            <w:tcW w:w="3029" w:type="pct"/>
          </w:tcPr>
          <w:p w14:paraId="6FBC66A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29BB080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101,044 (84.8%)</w:t>
            </w:r>
          </w:p>
        </w:tc>
        <w:tc>
          <w:tcPr>
            <w:tcW w:w="1070" w:type="pct"/>
          </w:tcPr>
          <w:p w14:paraId="0730F6C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90FA141" wp14:editId="77AA0EFB">
                  <wp:extent cx="914400" cy="180975"/>
                  <wp:effectExtent l="0" t="0" r="0" b="952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03525181" w14:textId="77777777" w:rsidTr="00C6669F">
        <w:trPr>
          <w:trHeight w:val="283"/>
        </w:trPr>
        <w:tc>
          <w:tcPr>
            <w:tcW w:w="3029" w:type="pct"/>
          </w:tcPr>
          <w:p w14:paraId="42F6494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7D6635B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16,832 (88.1%)</w:t>
            </w:r>
          </w:p>
        </w:tc>
        <w:tc>
          <w:tcPr>
            <w:tcW w:w="1070" w:type="pct"/>
          </w:tcPr>
          <w:p w14:paraId="55283A5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20DB841" wp14:editId="7362863A">
                  <wp:extent cx="914400" cy="180975"/>
                  <wp:effectExtent l="0" t="0" r="0" b="952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BD0EFB8" w14:textId="77777777" w:rsidTr="00C6669F">
        <w:trPr>
          <w:trHeight w:val="283"/>
        </w:trPr>
        <w:tc>
          <w:tcPr>
            <w:tcW w:w="3029" w:type="pct"/>
            <w:tcBorders>
              <w:bottom w:val="single" w:sz="4" w:space="0" w:color="auto"/>
            </w:tcBorders>
          </w:tcPr>
          <w:p w14:paraId="080D830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0969649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153,237 (97.8%)</w:t>
            </w:r>
          </w:p>
        </w:tc>
        <w:tc>
          <w:tcPr>
            <w:tcW w:w="1070" w:type="pct"/>
            <w:tcBorders>
              <w:bottom w:val="single" w:sz="4" w:space="0" w:color="auto"/>
            </w:tcBorders>
          </w:tcPr>
          <w:p w14:paraId="2B45B22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5C45F80" wp14:editId="799071DC">
                  <wp:extent cx="914400" cy="180975"/>
                  <wp:effectExtent l="0" t="0" r="0" b="952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66F4418F" w14:textId="77777777" w:rsidTr="00C6669F">
        <w:trPr>
          <w:trHeight w:val="283"/>
        </w:trPr>
        <w:tc>
          <w:tcPr>
            <w:tcW w:w="3029" w:type="pct"/>
            <w:tcBorders>
              <w:top w:val="single" w:sz="4" w:space="0" w:color="auto"/>
            </w:tcBorders>
          </w:tcPr>
          <w:p w14:paraId="09893F7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GG0170L3: Mobility - Walking 10 Feet on Uneven Surfaces</w:t>
            </w:r>
          </w:p>
        </w:tc>
        <w:tc>
          <w:tcPr>
            <w:tcW w:w="901" w:type="pct"/>
            <w:tcBorders>
              <w:top w:val="single" w:sz="4" w:space="0" w:color="auto"/>
            </w:tcBorders>
          </w:tcPr>
          <w:p w14:paraId="71544EA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4A59829B"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076C0FBC" w14:textId="77777777" w:rsidTr="00C6669F">
        <w:trPr>
          <w:trHeight w:val="283"/>
        </w:trPr>
        <w:tc>
          <w:tcPr>
            <w:tcW w:w="3029" w:type="pct"/>
          </w:tcPr>
          <w:p w14:paraId="4383EF34"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377C791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3,771 (59.9%)</w:t>
            </w:r>
          </w:p>
        </w:tc>
        <w:tc>
          <w:tcPr>
            <w:tcW w:w="1070" w:type="pct"/>
          </w:tcPr>
          <w:p w14:paraId="3D3DD04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56D0640" wp14:editId="32958C82">
                  <wp:extent cx="914400" cy="180975"/>
                  <wp:effectExtent l="0" t="0" r="0" b="9525"/>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7DF2C4A" w14:textId="77777777" w:rsidTr="00C6669F">
        <w:trPr>
          <w:trHeight w:val="283"/>
        </w:trPr>
        <w:tc>
          <w:tcPr>
            <w:tcW w:w="3029" w:type="pct"/>
          </w:tcPr>
          <w:p w14:paraId="57A44DE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554D700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971 (60.1%)</w:t>
            </w:r>
          </w:p>
        </w:tc>
        <w:tc>
          <w:tcPr>
            <w:tcW w:w="1070" w:type="pct"/>
          </w:tcPr>
          <w:p w14:paraId="16CED57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E3C271A" wp14:editId="54B4DC0C">
                  <wp:extent cx="914400" cy="180975"/>
                  <wp:effectExtent l="0" t="0" r="0" b="952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49FB29A5" w14:textId="77777777" w:rsidTr="00C6669F">
        <w:trPr>
          <w:trHeight w:val="283"/>
        </w:trPr>
        <w:tc>
          <w:tcPr>
            <w:tcW w:w="3029" w:type="pct"/>
          </w:tcPr>
          <w:p w14:paraId="67B2DD5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53E3016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16,976 (74.5%)</w:t>
            </w:r>
          </w:p>
        </w:tc>
        <w:tc>
          <w:tcPr>
            <w:tcW w:w="1070" w:type="pct"/>
          </w:tcPr>
          <w:p w14:paraId="46B9338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96A9CC4" wp14:editId="4A0CCDF7">
                  <wp:extent cx="914400" cy="180975"/>
                  <wp:effectExtent l="0" t="0" r="0" b="9525"/>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49D3658" w14:textId="77777777" w:rsidTr="00C6669F">
        <w:trPr>
          <w:trHeight w:val="283"/>
        </w:trPr>
        <w:tc>
          <w:tcPr>
            <w:tcW w:w="3029" w:type="pct"/>
          </w:tcPr>
          <w:p w14:paraId="43798A1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lastRenderedPageBreak/>
              <w:t>04-Supervision or touching assistance</w:t>
            </w:r>
          </w:p>
        </w:tc>
        <w:tc>
          <w:tcPr>
            <w:tcW w:w="901" w:type="pct"/>
          </w:tcPr>
          <w:p w14:paraId="28B3647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118,575 (88.5%)</w:t>
            </w:r>
          </w:p>
        </w:tc>
        <w:tc>
          <w:tcPr>
            <w:tcW w:w="1070" w:type="pct"/>
          </w:tcPr>
          <w:p w14:paraId="052196A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8465080" wp14:editId="6C8B1B2F">
                  <wp:extent cx="914400" cy="180975"/>
                  <wp:effectExtent l="0" t="0" r="0" b="9525"/>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2DEAAD4" w14:textId="77777777" w:rsidTr="00C6669F">
        <w:trPr>
          <w:trHeight w:val="283"/>
        </w:trPr>
        <w:tc>
          <w:tcPr>
            <w:tcW w:w="3029" w:type="pct"/>
          </w:tcPr>
          <w:p w14:paraId="4E3AB83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3DBA05B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14,764 (91.8%)</w:t>
            </w:r>
          </w:p>
        </w:tc>
        <w:tc>
          <w:tcPr>
            <w:tcW w:w="1070" w:type="pct"/>
          </w:tcPr>
          <w:p w14:paraId="2479773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F9ECE5D" wp14:editId="7A5F9C06">
                  <wp:extent cx="914400" cy="180975"/>
                  <wp:effectExtent l="0" t="0" r="0" b="9525"/>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99B4102" w14:textId="77777777" w:rsidTr="00C6669F">
        <w:trPr>
          <w:trHeight w:val="283"/>
        </w:trPr>
        <w:tc>
          <w:tcPr>
            <w:tcW w:w="3029" w:type="pct"/>
            <w:tcBorders>
              <w:bottom w:val="single" w:sz="4" w:space="0" w:color="auto"/>
            </w:tcBorders>
          </w:tcPr>
          <w:p w14:paraId="134C75EA"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77543EE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109,986 (98.0%)</w:t>
            </w:r>
          </w:p>
        </w:tc>
        <w:tc>
          <w:tcPr>
            <w:tcW w:w="1070" w:type="pct"/>
            <w:tcBorders>
              <w:bottom w:val="single" w:sz="4" w:space="0" w:color="auto"/>
            </w:tcBorders>
          </w:tcPr>
          <w:p w14:paraId="75FD831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0F19501" wp14:editId="0EEE26E6">
                  <wp:extent cx="914400" cy="180975"/>
                  <wp:effectExtent l="0" t="0" r="0" b="9525"/>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76604271" w14:textId="77777777" w:rsidTr="00C6669F">
        <w:trPr>
          <w:trHeight w:val="283"/>
        </w:trPr>
        <w:tc>
          <w:tcPr>
            <w:tcW w:w="3029" w:type="pct"/>
            <w:tcBorders>
              <w:top w:val="single" w:sz="4" w:space="0" w:color="auto"/>
            </w:tcBorders>
          </w:tcPr>
          <w:p w14:paraId="7419A4FE" w14:textId="24AAD399"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GG0170M3: Mobility - 1 Step (Curb)</w:t>
            </w:r>
          </w:p>
        </w:tc>
        <w:tc>
          <w:tcPr>
            <w:tcW w:w="901" w:type="pct"/>
            <w:tcBorders>
              <w:top w:val="single" w:sz="4" w:space="0" w:color="auto"/>
            </w:tcBorders>
          </w:tcPr>
          <w:p w14:paraId="16DB981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0167637C"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095A018B" w14:textId="77777777" w:rsidTr="00C6669F">
        <w:trPr>
          <w:trHeight w:val="283"/>
        </w:trPr>
        <w:tc>
          <w:tcPr>
            <w:tcW w:w="3029" w:type="pct"/>
          </w:tcPr>
          <w:p w14:paraId="65E1E44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2600887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5,353 (60.0%)</w:t>
            </w:r>
          </w:p>
        </w:tc>
        <w:tc>
          <w:tcPr>
            <w:tcW w:w="1070" w:type="pct"/>
          </w:tcPr>
          <w:p w14:paraId="7D7EED1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1570FBB" wp14:editId="64037264">
                  <wp:extent cx="914400" cy="180975"/>
                  <wp:effectExtent l="0" t="0" r="0" b="952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4C57209" w14:textId="77777777" w:rsidTr="00C6669F">
        <w:trPr>
          <w:trHeight w:val="283"/>
        </w:trPr>
        <w:tc>
          <w:tcPr>
            <w:tcW w:w="3029" w:type="pct"/>
          </w:tcPr>
          <w:p w14:paraId="5CF9ECEA"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7B02A86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3,241 (67.3%)</w:t>
            </w:r>
          </w:p>
        </w:tc>
        <w:tc>
          <w:tcPr>
            <w:tcW w:w="1070" w:type="pct"/>
          </w:tcPr>
          <w:p w14:paraId="300401C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3485106" wp14:editId="38594632">
                  <wp:extent cx="914400" cy="180975"/>
                  <wp:effectExtent l="0" t="0" r="0" b="952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0B73E0E" w14:textId="77777777" w:rsidTr="00C6669F">
        <w:trPr>
          <w:trHeight w:val="283"/>
        </w:trPr>
        <w:tc>
          <w:tcPr>
            <w:tcW w:w="3029" w:type="pct"/>
          </w:tcPr>
          <w:p w14:paraId="45B479F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37B7E98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33,423 (77.4%)</w:t>
            </w:r>
          </w:p>
        </w:tc>
        <w:tc>
          <w:tcPr>
            <w:tcW w:w="1070" w:type="pct"/>
          </w:tcPr>
          <w:p w14:paraId="25859524" w14:textId="07E7A0B7" w:rsidR="00E87E34" w:rsidRPr="0051041D" w:rsidRDefault="003D0AF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C4D903F" wp14:editId="7D5A2FC5">
                  <wp:extent cx="914400" cy="180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5484E7C4" w14:textId="77777777" w:rsidTr="00C6669F">
        <w:trPr>
          <w:trHeight w:val="283"/>
        </w:trPr>
        <w:tc>
          <w:tcPr>
            <w:tcW w:w="3029" w:type="pct"/>
          </w:tcPr>
          <w:p w14:paraId="60D4467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4AA164C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141,104 (89.3%)</w:t>
            </w:r>
          </w:p>
        </w:tc>
        <w:tc>
          <w:tcPr>
            <w:tcW w:w="1070" w:type="pct"/>
          </w:tcPr>
          <w:p w14:paraId="2CA5178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4A5B2B8" wp14:editId="53C60EF7">
                  <wp:extent cx="914400" cy="180975"/>
                  <wp:effectExtent l="0" t="0" r="0" b="9525"/>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3F9A299" w14:textId="77777777" w:rsidTr="00C6669F">
        <w:trPr>
          <w:trHeight w:val="283"/>
        </w:trPr>
        <w:tc>
          <w:tcPr>
            <w:tcW w:w="3029" w:type="pct"/>
          </w:tcPr>
          <w:p w14:paraId="09BC33D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141E106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16,957 (92.5%)</w:t>
            </w:r>
          </w:p>
        </w:tc>
        <w:tc>
          <w:tcPr>
            <w:tcW w:w="1070" w:type="pct"/>
          </w:tcPr>
          <w:p w14:paraId="60673F7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038F690" wp14:editId="5457F489">
                  <wp:extent cx="914400" cy="180975"/>
                  <wp:effectExtent l="0" t="0" r="0" b="9525"/>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876E1DE" w14:textId="77777777" w:rsidTr="00C6669F">
        <w:trPr>
          <w:trHeight w:val="283"/>
        </w:trPr>
        <w:tc>
          <w:tcPr>
            <w:tcW w:w="3029" w:type="pct"/>
            <w:tcBorders>
              <w:bottom w:val="single" w:sz="4" w:space="0" w:color="auto"/>
            </w:tcBorders>
          </w:tcPr>
          <w:p w14:paraId="4ADFAB8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01C48C9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97,639 (98.1%)</w:t>
            </w:r>
          </w:p>
        </w:tc>
        <w:tc>
          <w:tcPr>
            <w:tcW w:w="1070" w:type="pct"/>
            <w:tcBorders>
              <w:bottom w:val="single" w:sz="4" w:space="0" w:color="auto"/>
            </w:tcBorders>
          </w:tcPr>
          <w:p w14:paraId="6C529DA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D4D2048" wp14:editId="22DC554E">
                  <wp:extent cx="914400" cy="180975"/>
                  <wp:effectExtent l="0" t="0" r="0" b="9525"/>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030A9E72" w14:textId="77777777" w:rsidTr="00C6669F">
        <w:trPr>
          <w:trHeight w:val="283"/>
        </w:trPr>
        <w:tc>
          <w:tcPr>
            <w:tcW w:w="3029" w:type="pct"/>
            <w:tcBorders>
              <w:top w:val="single" w:sz="4" w:space="0" w:color="auto"/>
            </w:tcBorders>
          </w:tcPr>
          <w:p w14:paraId="43C3D618"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GG0170N3: Mobility - 4 Steps</w:t>
            </w:r>
          </w:p>
        </w:tc>
        <w:tc>
          <w:tcPr>
            <w:tcW w:w="901" w:type="pct"/>
            <w:tcBorders>
              <w:top w:val="single" w:sz="4" w:space="0" w:color="auto"/>
            </w:tcBorders>
          </w:tcPr>
          <w:p w14:paraId="4AF9256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531C62E4"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0446977F" w14:textId="77777777" w:rsidTr="00C6669F">
        <w:trPr>
          <w:trHeight w:val="283"/>
        </w:trPr>
        <w:tc>
          <w:tcPr>
            <w:tcW w:w="3029" w:type="pct"/>
          </w:tcPr>
          <w:p w14:paraId="496D382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7E11227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5,000 (61.6%)</w:t>
            </w:r>
          </w:p>
        </w:tc>
        <w:tc>
          <w:tcPr>
            <w:tcW w:w="1070" w:type="pct"/>
          </w:tcPr>
          <w:p w14:paraId="7264135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79C1616E" wp14:editId="0AC3BFD6">
                  <wp:extent cx="914400" cy="180975"/>
                  <wp:effectExtent l="0" t="0" r="0" b="9525"/>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8E3B10E" w14:textId="77777777" w:rsidTr="00C6669F">
        <w:trPr>
          <w:trHeight w:val="283"/>
        </w:trPr>
        <w:tc>
          <w:tcPr>
            <w:tcW w:w="3029" w:type="pct"/>
          </w:tcPr>
          <w:p w14:paraId="232EA11B"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EE7449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2,484 (67.0%)</w:t>
            </w:r>
          </w:p>
        </w:tc>
        <w:tc>
          <w:tcPr>
            <w:tcW w:w="1070" w:type="pct"/>
          </w:tcPr>
          <w:p w14:paraId="193F9FD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2A3266C" wp14:editId="1805C11F">
                  <wp:extent cx="914400" cy="180975"/>
                  <wp:effectExtent l="0" t="0" r="0" b="952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D4F8C99" w14:textId="77777777" w:rsidTr="00C6669F">
        <w:trPr>
          <w:trHeight w:val="283"/>
        </w:trPr>
        <w:tc>
          <w:tcPr>
            <w:tcW w:w="3029" w:type="pct"/>
          </w:tcPr>
          <w:p w14:paraId="120C3789"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79BB474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26,318 (76.0%)</w:t>
            </w:r>
          </w:p>
        </w:tc>
        <w:tc>
          <w:tcPr>
            <w:tcW w:w="1070" w:type="pct"/>
          </w:tcPr>
          <w:p w14:paraId="20A96334"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FCE8B78" wp14:editId="21C93FD4">
                  <wp:extent cx="914400" cy="180975"/>
                  <wp:effectExtent l="0" t="0" r="0" b="9525"/>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7F0BEFB" w14:textId="77777777" w:rsidTr="00C6669F">
        <w:trPr>
          <w:trHeight w:val="283"/>
        </w:trPr>
        <w:tc>
          <w:tcPr>
            <w:tcW w:w="3029" w:type="pct"/>
          </w:tcPr>
          <w:p w14:paraId="0FD180B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734453C8"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133,571 (88.6%)</w:t>
            </w:r>
          </w:p>
        </w:tc>
        <w:tc>
          <w:tcPr>
            <w:tcW w:w="1070" w:type="pct"/>
          </w:tcPr>
          <w:p w14:paraId="1F4F154C"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0A27B90" wp14:editId="346B0B18">
                  <wp:extent cx="914400" cy="180975"/>
                  <wp:effectExtent l="0" t="0" r="0" b="9525"/>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578D89C" w14:textId="77777777" w:rsidTr="00C6669F">
        <w:trPr>
          <w:trHeight w:val="283"/>
        </w:trPr>
        <w:tc>
          <w:tcPr>
            <w:tcW w:w="3029" w:type="pct"/>
          </w:tcPr>
          <w:p w14:paraId="29DB69C5"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61756216"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16,658 (92.1%)</w:t>
            </w:r>
          </w:p>
        </w:tc>
        <w:tc>
          <w:tcPr>
            <w:tcW w:w="1070" w:type="pct"/>
          </w:tcPr>
          <w:p w14:paraId="6F40D6A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9957203" wp14:editId="45438BD8">
                  <wp:extent cx="914400" cy="180975"/>
                  <wp:effectExtent l="0" t="0" r="0" b="9525"/>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615FFDD" w14:textId="77777777" w:rsidTr="00C6669F">
        <w:trPr>
          <w:trHeight w:val="283"/>
        </w:trPr>
        <w:tc>
          <w:tcPr>
            <w:tcW w:w="3029" w:type="pct"/>
          </w:tcPr>
          <w:p w14:paraId="281A94D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Pr>
          <w:p w14:paraId="1ECCD07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100,988 (98.0%)</w:t>
            </w:r>
          </w:p>
        </w:tc>
        <w:tc>
          <w:tcPr>
            <w:tcW w:w="1070" w:type="pct"/>
          </w:tcPr>
          <w:p w14:paraId="3266A00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B58C47F" wp14:editId="27770C9D">
                  <wp:extent cx="914400" cy="180975"/>
                  <wp:effectExtent l="0" t="0" r="0" b="952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0177C19B" w14:textId="77777777" w:rsidTr="00C6669F">
        <w:trPr>
          <w:trHeight w:val="283"/>
        </w:trPr>
        <w:tc>
          <w:tcPr>
            <w:tcW w:w="3029" w:type="pct"/>
            <w:tcBorders>
              <w:top w:val="single" w:sz="4" w:space="0" w:color="auto"/>
            </w:tcBorders>
          </w:tcPr>
          <w:p w14:paraId="35059A87"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GG0170O3: Mobility - 12 Steps</w:t>
            </w:r>
          </w:p>
        </w:tc>
        <w:tc>
          <w:tcPr>
            <w:tcW w:w="901" w:type="pct"/>
            <w:tcBorders>
              <w:top w:val="single" w:sz="4" w:space="0" w:color="auto"/>
            </w:tcBorders>
          </w:tcPr>
          <w:p w14:paraId="3305ED5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056EA9E1"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477F2BDC" w14:textId="77777777" w:rsidTr="00C6669F">
        <w:trPr>
          <w:trHeight w:val="283"/>
        </w:trPr>
        <w:tc>
          <w:tcPr>
            <w:tcW w:w="3029" w:type="pct"/>
          </w:tcPr>
          <w:p w14:paraId="6A4B18D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5E05FA61"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8,253 (70.7%)</w:t>
            </w:r>
          </w:p>
        </w:tc>
        <w:tc>
          <w:tcPr>
            <w:tcW w:w="1070" w:type="pct"/>
          </w:tcPr>
          <w:p w14:paraId="2663389A"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1D2B99A9" wp14:editId="2CB2ABD5">
                  <wp:extent cx="914400" cy="180975"/>
                  <wp:effectExtent l="0" t="0" r="0" b="9525"/>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48FF0FF" w14:textId="77777777" w:rsidTr="00C6669F">
        <w:trPr>
          <w:trHeight w:val="283"/>
        </w:trPr>
        <w:tc>
          <w:tcPr>
            <w:tcW w:w="3029" w:type="pct"/>
          </w:tcPr>
          <w:p w14:paraId="74C26E6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62139E8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1,276 (75.7%)</w:t>
            </w:r>
          </w:p>
        </w:tc>
        <w:tc>
          <w:tcPr>
            <w:tcW w:w="1070" w:type="pct"/>
          </w:tcPr>
          <w:p w14:paraId="25B53A72"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5D76D023" wp14:editId="321BACAD">
                  <wp:extent cx="914400" cy="180975"/>
                  <wp:effectExtent l="0" t="0" r="0" b="9525"/>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3CAFECB1" w14:textId="77777777" w:rsidTr="00C6669F">
        <w:trPr>
          <w:trHeight w:val="283"/>
        </w:trPr>
        <w:tc>
          <w:tcPr>
            <w:tcW w:w="3029" w:type="pct"/>
          </w:tcPr>
          <w:p w14:paraId="111D285A"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26A1C3A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10,665 (79.9%)</w:t>
            </w:r>
          </w:p>
        </w:tc>
        <w:tc>
          <w:tcPr>
            <w:tcW w:w="1070" w:type="pct"/>
          </w:tcPr>
          <w:p w14:paraId="26DB0DD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ABC3A24" wp14:editId="520F7A5A">
                  <wp:extent cx="914400" cy="180975"/>
                  <wp:effectExtent l="0" t="0" r="0" b="9525"/>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25849C40" w14:textId="77777777" w:rsidTr="00C6669F">
        <w:trPr>
          <w:trHeight w:val="283"/>
        </w:trPr>
        <w:tc>
          <w:tcPr>
            <w:tcW w:w="3029" w:type="pct"/>
          </w:tcPr>
          <w:p w14:paraId="4418237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6D16161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94,221 (90.4%)</w:t>
            </w:r>
          </w:p>
        </w:tc>
        <w:tc>
          <w:tcPr>
            <w:tcW w:w="1070" w:type="pct"/>
          </w:tcPr>
          <w:p w14:paraId="0359C26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6D5B187" wp14:editId="3F0851EC">
                  <wp:extent cx="914400" cy="180975"/>
                  <wp:effectExtent l="0" t="0" r="0" b="9525"/>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93D820F" w14:textId="77777777" w:rsidTr="00C6669F">
        <w:trPr>
          <w:trHeight w:val="283"/>
        </w:trPr>
        <w:tc>
          <w:tcPr>
            <w:tcW w:w="3029" w:type="pct"/>
          </w:tcPr>
          <w:p w14:paraId="6B6B161E"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063C790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13,157 (92.7%)</w:t>
            </w:r>
          </w:p>
        </w:tc>
        <w:tc>
          <w:tcPr>
            <w:tcW w:w="1070" w:type="pct"/>
          </w:tcPr>
          <w:p w14:paraId="58FCE72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3D3BA852" wp14:editId="34B5269C">
                  <wp:extent cx="914400" cy="180975"/>
                  <wp:effectExtent l="0" t="0" r="0" b="9525"/>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642E843D" w14:textId="77777777" w:rsidTr="00C6669F">
        <w:trPr>
          <w:trHeight w:val="283"/>
        </w:trPr>
        <w:tc>
          <w:tcPr>
            <w:tcW w:w="3029" w:type="pct"/>
            <w:tcBorders>
              <w:bottom w:val="single" w:sz="4" w:space="0" w:color="auto"/>
            </w:tcBorders>
          </w:tcPr>
          <w:p w14:paraId="47B37C0D"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4BAAC94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87,641 (98.2%)</w:t>
            </w:r>
          </w:p>
        </w:tc>
        <w:tc>
          <w:tcPr>
            <w:tcW w:w="1070" w:type="pct"/>
            <w:tcBorders>
              <w:bottom w:val="single" w:sz="4" w:space="0" w:color="auto"/>
            </w:tcBorders>
          </w:tcPr>
          <w:p w14:paraId="71F8785D"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496F9D4" wp14:editId="4EFAF49C">
                  <wp:extent cx="914400" cy="180975"/>
                  <wp:effectExtent l="0" t="0" r="0" b="9525"/>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E87E34" w:rsidRPr="00800112" w14:paraId="110A5F01" w14:textId="77777777" w:rsidTr="00C6669F">
        <w:trPr>
          <w:trHeight w:val="283"/>
        </w:trPr>
        <w:tc>
          <w:tcPr>
            <w:tcW w:w="3029" w:type="pct"/>
            <w:tcBorders>
              <w:top w:val="single" w:sz="4" w:space="0" w:color="auto"/>
            </w:tcBorders>
          </w:tcPr>
          <w:p w14:paraId="67940D1F"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GG0170P3: Mobility - Picking Up Object</w:t>
            </w:r>
          </w:p>
        </w:tc>
        <w:tc>
          <w:tcPr>
            <w:tcW w:w="901" w:type="pct"/>
            <w:tcBorders>
              <w:top w:val="single" w:sz="4" w:space="0" w:color="auto"/>
            </w:tcBorders>
          </w:tcPr>
          <w:p w14:paraId="35C84CDB"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60394B4B" w14:textId="77777777" w:rsidR="00E87E34" w:rsidRPr="0051041D" w:rsidRDefault="00E87E34" w:rsidP="00C6669F">
            <w:pPr>
              <w:autoSpaceDE w:val="0"/>
              <w:autoSpaceDN w:val="0"/>
              <w:adjustRightInd w:val="0"/>
              <w:spacing w:after="0" w:line="240" w:lineRule="auto"/>
              <w:jc w:val="center"/>
              <w:rPr>
                <w:rFonts w:cstheme="minorHAnsi"/>
                <w:noProof/>
                <w:color w:val="0000FF"/>
                <w:sz w:val="20"/>
                <w:szCs w:val="20"/>
              </w:rPr>
            </w:pPr>
          </w:p>
        </w:tc>
      </w:tr>
      <w:tr w:rsidR="00800112" w:rsidRPr="00800112" w14:paraId="24EB8D92" w14:textId="77777777" w:rsidTr="00C6669F">
        <w:trPr>
          <w:trHeight w:val="283"/>
        </w:trPr>
        <w:tc>
          <w:tcPr>
            <w:tcW w:w="3029" w:type="pct"/>
          </w:tcPr>
          <w:p w14:paraId="55EB6C4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43A59B2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8,765 (69.0%)</w:t>
            </w:r>
          </w:p>
        </w:tc>
        <w:tc>
          <w:tcPr>
            <w:tcW w:w="1070" w:type="pct"/>
          </w:tcPr>
          <w:p w14:paraId="433D622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C86E02A" wp14:editId="2D52566B">
                  <wp:extent cx="914400" cy="180975"/>
                  <wp:effectExtent l="0" t="0" r="0" b="9525"/>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49024A34" w14:textId="77777777" w:rsidTr="00C6669F">
        <w:trPr>
          <w:trHeight w:val="283"/>
        </w:trPr>
        <w:tc>
          <w:tcPr>
            <w:tcW w:w="3029" w:type="pct"/>
          </w:tcPr>
          <w:p w14:paraId="7BA2E93C"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33DAA2C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3,298 (67.1%)</w:t>
            </w:r>
          </w:p>
        </w:tc>
        <w:tc>
          <w:tcPr>
            <w:tcW w:w="1070" w:type="pct"/>
          </w:tcPr>
          <w:p w14:paraId="65A3690F"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4ACA1253" wp14:editId="452DD09F">
                  <wp:extent cx="914400" cy="180975"/>
                  <wp:effectExtent l="0" t="0" r="0"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1E5EB2C9" w14:textId="77777777" w:rsidTr="00C6669F">
        <w:trPr>
          <w:trHeight w:val="283"/>
        </w:trPr>
        <w:tc>
          <w:tcPr>
            <w:tcW w:w="3029" w:type="pct"/>
          </w:tcPr>
          <w:p w14:paraId="77E579FD"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3985DB9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15,563 (77.0%)</w:t>
            </w:r>
          </w:p>
        </w:tc>
        <w:tc>
          <w:tcPr>
            <w:tcW w:w="1070" w:type="pct"/>
          </w:tcPr>
          <w:p w14:paraId="5F461349"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9A92EC5" wp14:editId="3A73E839">
                  <wp:extent cx="914400" cy="180975"/>
                  <wp:effectExtent l="0" t="0" r="0"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C6F1AD1" w14:textId="77777777" w:rsidTr="00C6669F">
        <w:trPr>
          <w:trHeight w:val="283"/>
        </w:trPr>
        <w:tc>
          <w:tcPr>
            <w:tcW w:w="3029" w:type="pct"/>
          </w:tcPr>
          <w:p w14:paraId="31FD85A3"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65FC9607"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85,526 (87.7%)</w:t>
            </w:r>
          </w:p>
        </w:tc>
        <w:tc>
          <w:tcPr>
            <w:tcW w:w="1070" w:type="pct"/>
          </w:tcPr>
          <w:p w14:paraId="26148640"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0BA0B671" wp14:editId="2F83B776">
                  <wp:extent cx="914400" cy="180975"/>
                  <wp:effectExtent l="0" t="0" r="0"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7656754" w14:textId="77777777" w:rsidTr="00681B33">
        <w:trPr>
          <w:trHeight w:val="283"/>
        </w:trPr>
        <w:tc>
          <w:tcPr>
            <w:tcW w:w="3029" w:type="pct"/>
          </w:tcPr>
          <w:p w14:paraId="4D64AE6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2A835D3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14,199 (90.4%)</w:t>
            </w:r>
          </w:p>
        </w:tc>
        <w:tc>
          <w:tcPr>
            <w:tcW w:w="1070" w:type="pct"/>
          </w:tcPr>
          <w:p w14:paraId="0C9CD35E"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6B21FC5C" wp14:editId="11DB551A">
                  <wp:extent cx="914400" cy="180975"/>
                  <wp:effectExtent l="0" t="0" r="0"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800112" w:rsidRPr="00800112" w14:paraId="751A2359" w14:textId="77777777" w:rsidTr="00681B33">
        <w:trPr>
          <w:trHeight w:val="283"/>
        </w:trPr>
        <w:tc>
          <w:tcPr>
            <w:tcW w:w="3029" w:type="pct"/>
            <w:tcBorders>
              <w:bottom w:val="single" w:sz="4" w:space="0" w:color="auto"/>
            </w:tcBorders>
          </w:tcPr>
          <w:p w14:paraId="083A0BD6" w14:textId="77777777" w:rsidR="00E87E34" w:rsidRPr="0051041D" w:rsidRDefault="00E87E34" w:rsidP="00C6669F">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35E4D035"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114,842 (96.9%)</w:t>
            </w:r>
          </w:p>
        </w:tc>
        <w:tc>
          <w:tcPr>
            <w:tcW w:w="1070" w:type="pct"/>
            <w:tcBorders>
              <w:bottom w:val="single" w:sz="4" w:space="0" w:color="auto"/>
            </w:tcBorders>
          </w:tcPr>
          <w:p w14:paraId="26145553" w14:textId="77777777" w:rsidR="00E87E34" w:rsidRPr="0051041D" w:rsidRDefault="00E87E34" w:rsidP="00C6669F">
            <w:pPr>
              <w:autoSpaceDE w:val="0"/>
              <w:autoSpaceDN w:val="0"/>
              <w:adjustRightInd w:val="0"/>
              <w:spacing w:after="0" w:line="240" w:lineRule="auto"/>
              <w:jc w:val="center"/>
              <w:rPr>
                <w:rFonts w:cstheme="minorHAnsi"/>
                <w:color w:val="0000FF"/>
                <w:sz w:val="20"/>
                <w:szCs w:val="20"/>
              </w:rPr>
            </w:pPr>
            <w:r w:rsidRPr="0051041D">
              <w:rPr>
                <w:rFonts w:cstheme="minorHAnsi"/>
                <w:noProof/>
                <w:color w:val="0000FF"/>
                <w:sz w:val="20"/>
                <w:szCs w:val="20"/>
              </w:rPr>
              <w:drawing>
                <wp:inline distT="0" distB="0" distL="0" distR="0" wp14:anchorId="265C8DB4" wp14:editId="47B50244">
                  <wp:extent cx="914400" cy="180975"/>
                  <wp:effectExtent l="0" t="0" r="0"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14400" cy="180975"/>
                          </a:xfrm>
                          <a:prstGeom prst="rect">
                            <a:avLst/>
                          </a:prstGeom>
                          <a:noFill/>
                          <a:ln>
                            <a:noFill/>
                          </a:ln>
                        </pic:spPr>
                      </pic:pic>
                    </a:graphicData>
                  </a:graphic>
                </wp:inline>
              </w:drawing>
            </w:r>
          </w:p>
        </w:tc>
      </w:tr>
      <w:tr w:rsidR="00681B33" w:rsidRPr="00800112" w14:paraId="48E37AD2" w14:textId="77777777" w:rsidTr="00681B33">
        <w:trPr>
          <w:trHeight w:val="283"/>
        </w:trPr>
        <w:tc>
          <w:tcPr>
            <w:tcW w:w="3029" w:type="pct"/>
            <w:tcBorders>
              <w:top w:val="single" w:sz="4" w:space="0" w:color="auto"/>
            </w:tcBorders>
          </w:tcPr>
          <w:p w14:paraId="2F9F7713" w14:textId="59E9CEA8"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GG0170R3: Mobility – Wheel 50 Feet with Two Turns</w:t>
            </w:r>
            <w:r w:rsidR="003C15EC" w:rsidRPr="0051041D">
              <w:rPr>
                <w:rFonts w:cstheme="minorHAnsi"/>
                <w:b/>
                <w:bCs/>
                <w:color w:val="0000FF"/>
                <w:sz w:val="20"/>
                <w:szCs w:val="20"/>
              </w:rPr>
              <w:t>*</w:t>
            </w:r>
          </w:p>
        </w:tc>
        <w:tc>
          <w:tcPr>
            <w:tcW w:w="901" w:type="pct"/>
            <w:tcBorders>
              <w:top w:val="single" w:sz="4" w:space="0" w:color="auto"/>
            </w:tcBorders>
          </w:tcPr>
          <w:p w14:paraId="13A7D11F" w14:textId="77777777" w:rsidR="00681B33" w:rsidRPr="0051041D" w:rsidRDefault="00681B33" w:rsidP="00681B33">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280E5519" w14:textId="77777777" w:rsidR="00681B33" w:rsidRPr="0051041D" w:rsidRDefault="00681B33" w:rsidP="00681B33">
            <w:pPr>
              <w:autoSpaceDE w:val="0"/>
              <w:autoSpaceDN w:val="0"/>
              <w:adjustRightInd w:val="0"/>
              <w:spacing w:after="0" w:line="240" w:lineRule="auto"/>
              <w:jc w:val="center"/>
              <w:rPr>
                <w:rFonts w:cstheme="minorHAnsi"/>
                <w:noProof/>
                <w:color w:val="0000FF"/>
                <w:sz w:val="20"/>
                <w:szCs w:val="20"/>
              </w:rPr>
            </w:pPr>
          </w:p>
        </w:tc>
      </w:tr>
      <w:tr w:rsidR="00800112" w:rsidRPr="00800112" w14:paraId="4B22E4CC" w14:textId="77777777" w:rsidTr="00681B33">
        <w:trPr>
          <w:trHeight w:val="283"/>
        </w:trPr>
        <w:tc>
          <w:tcPr>
            <w:tcW w:w="3029" w:type="pct"/>
          </w:tcPr>
          <w:p w14:paraId="59EBA2DA" w14:textId="76501E21"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3FD379DC" w14:textId="2CD5AAF7"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1,050 (29.9%)</w:t>
            </w:r>
          </w:p>
        </w:tc>
        <w:tc>
          <w:tcPr>
            <w:tcW w:w="1070" w:type="pct"/>
          </w:tcPr>
          <w:p w14:paraId="2EF6BFA5" w14:textId="026E449B"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5E5E5100" wp14:editId="5F600A0C">
                  <wp:extent cx="914400"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4F60576B" w14:textId="77777777" w:rsidTr="00681B33">
        <w:trPr>
          <w:trHeight w:val="283"/>
        </w:trPr>
        <w:tc>
          <w:tcPr>
            <w:tcW w:w="3029" w:type="pct"/>
          </w:tcPr>
          <w:p w14:paraId="14B0475F" w14:textId="7AA0C12F"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02-Substantial/maximal assistance</w:t>
            </w:r>
          </w:p>
        </w:tc>
        <w:tc>
          <w:tcPr>
            <w:tcW w:w="901" w:type="pct"/>
          </w:tcPr>
          <w:p w14:paraId="49AEB225" w14:textId="6CAE64E8"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546 (33.4%)</w:t>
            </w:r>
          </w:p>
        </w:tc>
        <w:tc>
          <w:tcPr>
            <w:tcW w:w="1070" w:type="pct"/>
          </w:tcPr>
          <w:p w14:paraId="4DF51CD8" w14:textId="4C91AA27"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54F2F62D" wp14:editId="5836E23A">
                  <wp:extent cx="914400" cy="171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5BB148BA" w14:textId="77777777" w:rsidTr="00681B33">
        <w:trPr>
          <w:trHeight w:val="283"/>
        </w:trPr>
        <w:tc>
          <w:tcPr>
            <w:tcW w:w="3029" w:type="pct"/>
          </w:tcPr>
          <w:p w14:paraId="3E06929E" w14:textId="0420292E"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1D337CB6" w14:textId="275D8488"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1,026 (35.8%)</w:t>
            </w:r>
          </w:p>
        </w:tc>
        <w:tc>
          <w:tcPr>
            <w:tcW w:w="1070" w:type="pct"/>
          </w:tcPr>
          <w:p w14:paraId="5B440644" w14:textId="668ED21D"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7F08DB76" wp14:editId="1BE2CAE7">
                  <wp:extent cx="91440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40591CE2" w14:textId="77777777" w:rsidTr="00681B33">
        <w:trPr>
          <w:trHeight w:val="283"/>
        </w:trPr>
        <w:tc>
          <w:tcPr>
            <w:tcW w:w="3029" w:type="pct"/>
          </w:tcPr>
          <w:p w14:paraId="3B3FE23C" w14:textId="60D87BFC"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1CD6E965" w14:textId="1CB47139"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2,689 (45.8%)</w:t>
            </w:r>
          </w:p>
        </w:tc>
        <w:tc>
          <w:tcPr>
            <w:tcW w:w="1070" w:type="pct"/>
          </w:tcPr>
          <w:p w14:paraId="7BC49A1C" w14:textId="3B7C2CC7"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6320441F" wp14:editId="01ABEBA8">
                  <wp:extent cx="914400" cy="171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2F35D061" w14:textId="77777777" w:rsidTr="00681B33">
        <w:trPr>
          <w:trHeight w:val="283"/>
        </w:trPr>
        <w:tc>
          <w:tcPr>
            <w:tcW w:w="3029" w:type="pct"/>
          </w:tcPr>
          <w:p w14:paraId="35B5D58E" w14:textId="6C196E2D"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1BCE7F0E" w14:textId="2B812139"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766 (52.4%)</w:t>
            </w:r>
          </w:p>
        </w:tc>
        <w:tc>
          <w:tcPr>
            <w:tcW w:w="1070" w:type="pct"/>
          </w:tcPr>
          <w:p w14:paraId="5BED0716" w14:textId="53114B44"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42DBEF26" wp14:editId="0910581F">
                  <wp:extent cx="914400" cy="1714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680F5792" w14:textId="77777777" w:rsidTr="00681B33">
        <w:trPr>
          <w:trHeight w:val="283"/>
        </w:trPr>
        <w:tc>
          <w:tcPr>
            <w:tcW w:w="3029" w:type="pct"/>
            <w:tcBorders>
              <w:bottom w:val="single" w:sz="4" w:space="0" w:color="auto"/>
            </w:tcBorders>
          </w:tcPr>
          <w:p w14:paraId="0F6553A3" w14:textId="26A4A950"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3D465853" w14:textId="7CADE0C8"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8,828 (74.7%)</w:t>
            </w:r>
          </w:p>
        </w:tc>
        <w:tc>
          <w:tcPr>
            <w:tcW w:w="1070" w:type="pct"/>
            <w:tcBorders>
              <w:bottom w:val="single" w:sz="4" w:space="0" w:color="auto"/>
            </w:tcBorders>
          </w:tcPr>
          <w:p w14:paraId="4EB74643" w14:textId="21D48F7A"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73F658FE" wp14:editId="0B24E792">
                  <wp:extent cx="914400" cy="171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681B33" w:rsidRPr="00800112" w14:paraId="48D988A2" w14:textId="77777777" w:rsidTr="00681B33">
        <w:trPr>
          <w:trHeight w:val="283"/>
        </w:trPr>
        <w:tc>
          <w:tcPr>
            <w:tcW w:w="3029" w:type="pct"/>
            <w:tcBorders>
              <w:top w:val="single" w:sz="4" w:space="0" w:color="auto"/>
            </w:tcBorders>
          </w:tcPr>
          <w:p w14:paraId="487672A3" w14:textId="4649CEFC"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b/>
                <w:bCs/>
                <w:color w:val="0000FF"/>
                <w:sz w:val="20"/>
                <w:szCs w:val="20"/>
              </w:rPr>
              <w:t>GG0170S3: Mobility – Wheel 150 Feet</w:t>
            </w:r>
            <w:r w:rsidR="003C15EC" w:rsidRPr="0051041D">
              <w:rPr>
                <w:rFonts w:cstheme="minorHAnsi"/>
                <w:b/>
                <w:bCs/>
                <w:color w:val="0000FF"/>
                <w:sz w:val="20"/>
                <w:szCs w:val="20"/>
              </w:rPr>
              <w:t>*</w:t>
            </w:r>
          </w:p>
        </w:tc>
        <w:tc>
          <w:tcPr>
            <w:tcW w:w="901" w:type="pct"/>
            <w:tcBorders>
              <w:top w:val="single" w:sz="4" w:space="0" w:color="auto"/>
            </w:tcBorders>
          </w:tcPr>
          <w:p w14:paraId="0318ABBD" w14:textId="77777777" w:rsidR="00681B33" w:rsidRPr="0051041D" w:rsidRDefault="00681B33" w:rsidP="00681B33">
            <w:pPr>
              <w:autoSpaceDE w:val="0"/>
              <w:autoSpaceDN w:val="0"/>
              <w:adjustRightInd w:val="0"/>
              <w:spacing w:after="0" w:line="240" w:lineRule="auto"/>
              <w:jc w:val="center"/>
              <w:rPr>
                <w:rFonts w:cstheme="minorHAnsi"/>
                <w:color w:val="0000FF"/>
                <w:sz w:val="20"/>
                <w:szCs w:val="20"/>
              </w:rPr>
            </w:pPr>
          </w:p>
        </w:tc>
        <w:tc>
          <w:tcPr>
            <w:tcW w:w="1070" w:type="pct"/>
            <w:tcBorders>
              <w:top w:val="single" w:sz="4" w:space="0" w:color="auto"/>
            </w:tcBorders>
          </w:tcPr>
          <w:p w14:paraId="648120F0" w14:textId="77777777" w:rsidR="00681B33" w:rsidRPr="0051041D" w:rsidRDefault="00681B33" w:rsidP="00681B33">
            <w:pPr>
              <w:autoSpaceDE w:val="0"/>
              <w:autoSpaceDN w:val="0"/>
              <w:adjustRightInd w:val="0"/>
              <w:spacing w:after="0" w:line="240" w:lineRule="auto"/>
              <w:jc w:val="center"/>
              <w:rPr>
                <w:rFonts w:cstheme="minorHAnsi"/>
                <w:noProof/>
                <w:color w:val="0000FF"/>
                <w:sz w:val="20"/>
                <w:szCs w:val="20"/>
              </w:rPr>
            </w:pPr>
          </w:p>
        </w:tc>
      </w:tr>
      <w:tr w:rsidR="00800112" w:rsidRPr="00800112" w14:paraId="7F2095E4" w14:textId="77777777" w:rsidTr="00681B33">
        <w:trPr>
          <w:trHeight w:val="283"/>
        </w:trPr>
        <w:tc>
          <w:tcPr>
            <w:tcW w:w="3029" w:type="pct"/>
          </w:tcPr>
          <w:p w14:paraId="5C5B797B" w14:textId="2B7E9D9D"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01-Dependent</w:t>
            </w:r>
          </w:p>
        </w:tc>
        <w:tc>
          <w:tcPr>
            <w:tcW w:w="901" w:type="pct"/>
          </w:tcPr>
          <w:p w14:paraId="3C503A3A" w14:textId="1E82B088"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1,298 (31.7%)</w:t>
            </w:r>
          </w:p>
        </w:tc>
        <w:tc>
          <w:tcPr>
            <w:tcW w:w="1070" w:type="pct"/>
          </w:tcPr>
          <w:p w14:paraId="6CD6950A" w14:textId="679B72A2"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2C507993" wp14:editId="226068A6">
                  <wp:extent cx="914400" cy="171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4A459DA1" w14:textId="77777777" w:rsidTr="00681B33">
        <w:trPr>
          <w:trHeight w:val="283"/>
        </w:trPr>
        <w:tc>
          <w:tcPr>
            <w:tcW w:w="3029" w:type="pct"/>
          </w:tcPr>
          <w:p w14:paraId="2023565F" w14:textId="3371569E"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lastRenderedPageBreak/>
              <w:t>02-Substantial/maximal assistance</w:t>
            </w:r>
          </w:p>
        </w:tc>
        <w:tc>
          <w:tcPr>
            <w:tcW w:w="901" w:type="pct"/>
          </w:tcPr>
          <w:p w14:paraId="06B54ECF" w14:textId="216C656B"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428 (37.6%)</w:t>
            </w:r>
          </w:p>
        </w:tc>
        <w:tc>
          <w:tcPr>
            <w:tcW w:w="1070" w:type="pct"/>
          </w:tcPr>
          <w:p w14:paraId="749D1BEF" w14:textId="4A2B17EA"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0BEF8256" wp14:editId="6C4FBDA3">
                  <wp:extent cx="91440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2225E98D" w14:textId="77777777" w:rsidTr="00681B33">
        <w:trPr>
          <w:trHeight w:val="283"/>
        </w:trPr>
        <w:tc>
          <w:tcPr>
            <w:tcW w:w="3029" w:type="pct"/>
          </w:tcPr>
          <w:p w14:paraId="6BBD026D" w14:textId="1E14C949"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03-Partial/moderate assistance</w:t>
            </w:r>
          </w:p>
        </w:tc>
        <w:tc>
          <w:tcPr>
            <w:tcW w:w="901" w:type="pct"/>
          </w:tcPr>
          <w:p w14:paraId="4D1300BD" w14:textId="3C7B0486"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656 (39.3%)</w:t>
            </w:r>
          </w:p>
        </w:tc>
        <w:tc>
          <w:tcPr>
            <w:tcW w:w="1070" w:type="pct"/>
          </w:tcPr>
          <w:p w14:paraId="6D103749" w14:textId="2421BD56"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70032EAF" wp14:editId="76A7F2FD">
                  <wp:extent cx="914400" cy="171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35216A70" w14:textId="77777777" w:rsidTr="00681B33">
        <w:trPr>
          <w:trHeight w:val="283"/>
        </w:trPr>
        <w:tc>
          <w:tcPr>
            <w:tcW w:w="3029" w:type="pct"/>
          </w:tcPr>
          <w:p w14:paraId="237D8DC8" w14:textId="1E7ABFDA"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04-Supervision or touching assistance</w:t>
            </w:r>
          </w:p>
        </w:tc>
        <w:tc>
          <w:tcPr>
            <w:tcW w:w="901" w:type="pct"/>
          </w:tcPr>
          <w:p w14:paraId="22B4F70B" w14:textId="23831A53"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2,192 (48.3%)</w:t>
            </w:r>
          </w:p>
        </w:tc>
        <w:tc>
          <w:tcPr>
            <w:tcW w:w="1070" w:type="pct"/>
          </w:tcPr>
          <w:p w14:paraId="13761C1E" w14:textId="0D882AD9"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4C55E9B9" wp14:editId="03DB4239">
                  <wp:extent cx="914400" cy="1714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14B26D7C" w14:textId="77777777" w:rsidTr="00681B33">
        <w:trPr>
          <w:trHeight w:val="283"/>
        </w:trPr>
        <w:tc>
          <w:tcPr>
            <w:tcW w:w="3029" w:type="pct"/>
          </w:tcPr>
          <w:p w14:paraId="5DFD25B9" w14:textId="661EC8DD"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05-Setup or clean-up assistance</w:t>
            </w:r>
          </w:p>
        </w:tc>
        <w:tc>
          <w:tcPr>
            <w:tcW w:w="901" w:type="pct"/>
          </w:tcPr>
          <w:p w14:paraId="539D1EA5" w14:textId="505DAA2D" w:rsidR="003C15EC" w:rsidRPr="0051041D" w:rsidRDefault="003C15EC" w:rsidP="003C15EC">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657 (53.8%)</w:t>
            </w:r>
          </w:p>
        </w:tc>
        <w:tc>
          <w:tcPr>
            <w:tcW w:w="1070" w:type="pct"/>
          </w:tcPr>
          <w:p w14:paraId="4DAD841F" w14:textId="6DAF9440"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406E7F14" wp14:editId="36A4DC98">
                  <wp:extent cx="914400" cy="1714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r w:rsidR="00800112" w:rsidRPr="00800112" w14:paraId="467D1AB5" w14:textId="77777777" w:rsidTr="00C6669F">
        <w:trPr>
          <w:trHeight w:val="283"/>
        </w:trPr>
        <w:tc>
          <w:tcPr>
            <w:tcW w:w="3029" w:type="pct"/>
            <w:tcBorders>
              <w:bottom w:val="single" w:sz="4" w:space="0" w:color="auto"/>
            </w:tcBorders>
          </w:tcPr>
          <w:p w14:paraId="28F18E04" w14:textId="460CA8BE" w:rsidR="00681B33" w:rsidRPr="0051041D" w:rsidRDefault="00681B33" w:rsidP="00681B33">
            <w:pPr>
              <w:autoSpaceDE w:val="0"/>
              <w:autoSpaceDN w:val="0"/>
              <w:adjustRightInd w:val="0"/>
              <w:spacing w:after="0" w:line="240" w:lineRule="auto"/>
              <w:rPr>
                <w:rFonts w:cstheme="minorHAnsi"/>
                <w:color w:val="0000FF"/>
                <w:sz w:val="20"/>
                <w:szCs w:val="20"/>
              </w:rPr>
            </w:pPr>
            <w:r w:rsidRPr="0051041D">
              <w:rPr>
                <w:rFonts w:cstheme="minorHAnsi"/>
                <w:color w:val="0000FF"/>
                <w:sz w:val="20"/>
                <w:szCs w:val="20"/>
              </w:rPr>
              <w:t>06-Independent</w:t>
            </w:r>
          </w:p>
        </w:tc>
        <w:tc>
          <w:tcPr>
            <w:tcW w:w="901" w:type="pct"/>
            <w:tcBorders>
              <w:bottom w:val="single" w:sz="4" w:space="0" w:color="auto"/>
            </w:tcBorders>
          </w:tcPr>
          <w:p w14:paraId="55E1FDAD" w14:textId="39401678" w:rsidR="00681B33" w:rsidRPr="0051041D" w:rsidRDefault="003C15EC" w:rsidP="00681B33">
            <w:pPr>
              <w:autoSpaceDE w:val="0"/>
              <w:autoSpaceDN w:val="0"/>
              <w:adjustRightInd w:val="0"/>
              <w:spacing w:after="0" w:line="240" w:lineRule="auto"/>
              <w:jc w:val="center"/>
              <w:rPr>
                <w:rFonts w:cstheme="minorHAnsi"/>
                <w:color w:val="0000FF"/>
                <w:sz w:val="20"/>
                <w:szCs w:val="20"/>
              </w:rPr>
            </w:pPr>
            <w:r w:rsidRPr="0051041D">
              <w:rPr>
                <w:rFonts w:cstheme="minorHAnsi"/>
                <w:color w:val="0000FF"/>
                <w:sz w:val="20"/>
                <w:szCs w:val="20"/>
              </w:rPr>
              <w:t>8,454 (</w:t>
            </w:r>
            <w:r w:rsidR="00DE2432" w:rsidRPr="0051041D">
              <w:rPr>
                <w:rFonts w:cstheme="minorHAnsi"/>
                <w:color w:val="0000FF"/>
                <w:sz w:val="20"/>
                <w:szCs w:val="20"/>
              </w:rPr>
              <w:t>75.2%)</w:t>
            </w:r>
          </w:p>
        </w:tc>
        <w:tc>
          <w:tcPr>
            <w:tcW w:w="1070" w:type="pct"/>
            <w:tcBorders>
              <w:bottom w:val="single" w:sz="4" w:space="0" w:color="auto"/>
            </w:tcBorders>
          </w:tcPr>
          <w:p w14:paraId="59CDC7F6" w14:textId="2A3CAF75" w:rsidR="00681B33" w:rsidRPr="0051041D" w:rsidRDefault="003D0AF4" w:rsidP="00681B33">
            <w:pPr>
              <w:autoSpaceDE w:val="0"/>
              <w:autoSpaceDN w:val="0"/>
              <w:adjustRightInd w:val="0"/>
              <w:spacing w:after="0" w:line="240" w:lineRule="auto"/>
              <w:jc w:val="center"/>
              <w:rPr>
                <w:rFonts w:cstheme="minorHAnsi"/>
                <w:noProof/>
                <w:color w:val="0000FF"/>
                <w:sz w:val="20"/>
                <w:szCs w:val="20"/>
              </w:rPr>
            </w:pPr>
            <w:r w:rsidRPr="0051041D">
              <w:rPr>
                <w:rFonts w:cstheme="minorHAnsi"/>
                <w:noProof/>
                <w:color w:val="0000FF"/>
                <w:sz w:val="20"/>
                <w:szCs w:val="20"/>
              </w:rPr>
              <w:drawing>
                <wp:inline distT="0" distB="0" distL="0" distR="0" wp14:anchorId="4A411C3D" wp14:editId="458F6C5B">
                  <wp:extent cx="914400" cy="171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914400" cy="171450"/>
                          </a:xfrm>
                          <a:prstGeom prst="rect">
                            <a:avLst/>
                          </a:prstGeom>
                          <a:noFill/>
                          <a:ln>
                            <a:noFill/>
                          </a:ln>
                        </pic:spPr>
                      </pic:pic>
                    </a:graphicData>
                  </a:graphic>
                </wp:inline>
              </w:drawing>
            </w:r>
          </w:p>
        </w:tc>
      </w:tr>
    </w:tbl>
    <w:p w14:paraId="33505577" w14:textId="54CDD3ED" w:rsidR="00E87E34" w:rsidRPr="00E06BB2" w:rsidRDefault="00E87E34" w:rsidP="00E87E34">
      <w:pPr>
        <w:pStyle w:val="NoSpacing"/>
        <w:ind w:right="720"/>
        <w:contextualSpacing/>
        <w:rPr>
          <w:rFonts w:asciiTheme="minorHAnsi" w:hAnsiTheme="minorHAnsi" w:cstheme="minorHAnsi"/>
          <w:color w:val="0000FF"/>
          <w:sz w:val="20"/>
        </w:rPr>
      </w:pPr>
      <w:r w:rsidRPr="0051041D">
        <w:rPr>
          <w:rFonts w:asciiTheme="minorHAnsi" w:hAnsiTheme="minorHAnsi" w:cstheme="minorHAnsi"/>
          <w:color w:val="0000FF"/>
          <w:sz w:val="20"/>
        </w:rPr>
        <w:t>Notes: Values reported as frequency (percent); Incomplete stays are excluded</w:t>
      </w:r>
      <w:bookmarkStart w:id="45" w:name="_Hlk533105829"/>
      <w:r w:rsidR="00ED5E07" w:rsidRPr="0051041D">
        <w:rPr>
          <w:rFonts w:asciiTheme="minorHAnsi" w:hAnsiTheme="minorHAnsi" w:cstheme="minorHAnsi"/>
          <w:color w:val="0000FF"/>
          <w:sz w:val="20"/>
        </w:rPr>
        <w:t xml:space="preserve">; Activity not attempted </w:t>
      </w:r>
      <w:r w:rsidR="00ED5E07" w:rsidRPr="00E06BB2">
        <w:rPr>
          <w:rFonts w:asciiTheme="minorHAnsi" w:hAnsiTheme="minorHAnsi" w:cstheme="minorHAnsi"/>
          <w:color w:val="0000FF"/>
          <w:sz w:val="20"/>
        </w:rPr>
        <w:t>codes not shown.</w:t>
      </w:r>
      <w:bookmarkEnd w:id="45"/>
    </w:p>
    <w:p w14:paraId="6D3428E0" w14:textId="23996D7C" w:rsidR="003C15EC" w:rsidRPr="00E06BB2" w:rsidRDefault="003C15EC" w:rsidP="00E87E34">
      <w:pPr>
        <w:pStyle w:val="NoSpacing"/>
        <w:ind w:right="720"/>
        <w:contextualSpacing/>
        <w:rPr>
          <w:rFonts w:asciiTheme="minorHAnsi" w:hAnsiTheme="minorHAnsi" w:cstheme="minorHAnsi"/>
          <w:color w:val="0000FF"/>
          <w:sz w:val="20"/>
        </w:rPr>
      </w:pPr>
      <w:r w:rsidRPr="00E06BB2">
        <w:rPr>
          <w:rFonts w:asciiTheme="minorHAnsi" w:hAnsiTheme="minorHAnsi" w:cstheme="minorHAnsi"/>
          <w:color w:val="0000FF"/>
          <w:sz w:val="20"/>
        </w:rPr>
        <w:t>*</w:t>
      </w:r>
      <w:r w:rsidR="00EF4E28" w:rsidRPr="00E06BB2">
        <w:rPr>
          <w:rFonts w:asciiTheme="minorHAnsi" w:hAnsiTheme="minorHAnsi" w:cstheme="minorHAnsi"/>
          <w:color w:val="0000FF"/>
          <w:sz w:val="20"/>
        </w:rPr>
        <w:t xml:space="preserve">Wheelchair data elements </w:t>
      </w:r>
      <w:r w:rsidRPr="00E06BB2">
        <w:rPr>
          <w:rFonts w:asciiTheme="minorHAnsi" w:hAnsiTheme="minorHAnsi" w:cstheme="minorHAnsi"/>
          <w:color w:val="0000FF"/>
          <w:sz w:val="20"/>
        </w:rPr>
        <w:t>Include only patients who are not walking on discharge</w:t>
      </w:r>
      <w:r w:rsidR="00ED5E07" w:rsidRPr="00E06BB2">
        <w:rPr>
          <w:rFonts w:asciiTheme="minorHAnsi" w:hAnsiTheme="minorHAnsi" w:cstheme="minorHAnsi"/>
          <w:color w:val="0000FF"/>
          <w:sz w:val="20"/>
        </w:rPr>
        <w:t xml:space="preserve"> (n = 31,026)</w:t>
      </w:r>
      <w:r w:rsidRPr="00E06BB2">
        <w:rPr>
          <w:rFonts w:asciiTheme="minorHAnsi" w:hAnsiTheme="minorHAnsi" w:cstheme="minorHAnsi"/>
          <w:color w:val="0000FF"/>
          <w:sz w:val="20"/>
        </w:rPr>
        <w:t>.</w:t>
      </w:r>
    </w:p>
    <w:p w14:paraId="2BEB8C79" w14:textId="3E8D1B99" w:rsidR="00E87E34" w:rsidRPr="00E06BB2" w:rsidRDefault="00E87E34" w:rsidP="00E87E34">
      <w:pPr>
        <w:pStyle w:val="NoSpacing"/>
        <w:ind w:right="720"/>
        <w:contextualSpacing/>
        <w:rPr>
          <w:rFonts w:asciiTheme="minorHAnsi" w:hAnsiTheme="minorHAnsi" w:cstheme="minorHAnsi"/>
          <w:color w:val="0000FF"/>
          <w:sz w:val="20"/>
        </w:rPr>
      </w:pPr>
      <w:r w:rsidRPr="00E06BB2">
        <w:rPr>
          <w:rFonts w:asciiTheme="minorHAnsi" w:hAnsiTheme="minorHAnsi" w:cstheme="minorHAnsi"/>
          <w:color w:val="0000FF"/>
          <w:sz w:val="20"/>
        </w:rPr>
        <w:t>Source: RTI analysis of IRF-PAI, January</w:t>
      </w:r>
      <w:r w:rsidR="00083F51" w:rsidRPr="00E06BB2">
        <w:rPr>
          <w:rFonts w:asciiTheme="minorHAnsi" w:hAnsiTheme="minorHAnsi" w:cstheme="minorHAnsi"/>
          <w:color w:val="0000FF"/>
          <w:sz w:val="20"/>
        </w:rPr>
        <w:t xml:space="preserve"> </w:t>
      </w:r>
      <w:r w:rsidRPr="00E06BB2">
        <w:rPr>
          <w:rFonts w:asciiTheme="minorHAnsi" w:hAnsiTheme="minorHAnsi" w:cstheme="minorHAnsi"/>
          <w:color w:val="0000FF"/>
          <w:sz w:val="20"/>
        </w:rPr>
        <w:t>– December 2017. (Program reference: LP63).</w:t>
      </w:r>
    </w:p>
    <w:p w14:paraId="79504FDF" w14:textId="7D93BE60" w:rsidR="002131E2" w:rsidRPr="00800112" w:rsidRDefault="002131E2" w:rsidP="00092566">
      <w:pPr>
        <w:autoSpaceDE w:val="0"/>
        <w:autoSpaceDN w:val="0"/>
        <w:adjustRightInd w:val="0"/>
        <w:spacing w:after="0" w:line="240" w:lineRule="auto"/>
        <w:rPr>
          <w:rFonts w:cstheme="minorHAnsi"/>
          <w:bCs/>
        </w:rPr>
      </w:pPr>
    </w:p>
    <w:p w14:paraId="6DE760C8" w14:textId="2D332F5F" w:rsidR="002131E2" w:rsidRDefault="00EF4E28" w:rsidP="002131E2">
      <w:pPr>
        <w:autoSpaceDE w:val="0"/>
        <w:autoSpaceDN w:val="0"/>
        <w:adjustRightInd w:val="0"/>
        <w:spacing w:after="0" w:line="240" w:lineRule="auto"/>
        <w:rPr>
          <w:rFonts w:ascii="Calibri" w:eastAsia="Calibri" w:hAnsi="Calibri"/>
          <w:color w:val="0000FF"/>
        </w:rPr>
      </w:pPr>
      <w:bookmarkStart w:id="46" w:name="_Hlk534491879"/>
      <w:bookmarkStart w:id="47" w:name="_Hlk533778345"/>
      <w:bookmarkStart w:id="48" w:name="_Hlk533965322"/>
      <w:bookmarkEnd w:id="42"/>
      <w:r>
        <w:rPr>
          <w:rFonts w:ascii="Calibri" w:eastAsia="Calibri" w:hAnsi="Calibri" w:cs="Times New Roman"/>
          <w:b/>
          <w:color w:val="0000FF"/>
        </w:rPr>
        <w:t xml:space="preserve">Scale/Instrument </w:t>
      </w:r>
      <w:r w:rsidRPr="00504AAB">
        <w:rPr>
          <w:rFonts w:ascii="Calibri" w:eastAsia="Calibri" w:hAnsi="Calibri" w:cs="Times New Roman"/>
          <w:b/>
          <w:color w:val="0000FF"/>
        </w:rPr>
        <w:t xml:space="preserve">Construct Validity: </w:t>
      </w:r>
      <w:r>
        <w:rPr>
          <w:rFonts w:ascii="Calibri" w:eastAsia="Calibri" w:hAnsi="Calibri" w:cs="Times New Roman"/>
          <w:b/>
          <w:color w:val="0000FF"/>
        </w:rPr>
        <w:t xml:space="preserve">Observed </w:t>
      </w:r>
      <w:r w:rsidRPr="00504AAB">
        <w:rPr>
          <w:rFonts w:ascii="Calibri" w:eastAsia="Calibri" w:hAnsi="Calibri" w:cs="Times New Roman"/>
          <w:b/>
          <w:color w:val="0000FF"/>
        </w:rPr>
        <w:t xml:space="preserve">Discharge Functional Ability </w:t>
      </w:r>
      <w:r>
        <w:rPr>
          <w:rFonts w:ascii="Calibri" w:eastAsia="Calibri" w:hAnsi="Calibri" w:cs="Times New Roman"/>
          <w:b/>
          <w:color w:val="0000FF"/>
        </w:rPr>
        <w:t>and</w:t>
      </w:r>
      <w:r w:rsidRPr="00504AAB">
        <w:rPr>
          <w:rFonts w:ascii="Calibri" w:eastAsia="Calibri" w:hAnsi="Calibri" w:cs="Times New Roman"/>
          <w:b/>
          <w:color w:val="0000FF"/>
        </w:rPr>
        <w:t xml:space="preserve"> Discharge Destination</w:t>
      </w:r>
      <w:r>
        <w:rPr>
          <w:rFonts w:ascii="Calibri" w:eastAsia="Calibri" w:hAnsi="Calibri" w:cs="Times New Roman"/>
          <w:b/>
          <w:color w:val="0000FF"/>
        </w:rPr>
        <w:t xml:space="preserve"> (unit of analysis is patient stays)</w:t>
      </w:r>
      <w:r w:rsidRPr="00504AAB">
        <w:rPr>
          <w:rFonts w:ascii="Calibri" w:eastAsia="Calibri" w:hAnsi="Calibri" w:cs="Times New Roman"/>
          <w:b/>
          <w:color w:val="0000FF"/>
        </w:rPr>
        <w:t xml:space="preserve">. </w:t>
      </w:r>
      <w:bookmarkStart w:id="49" w:name="_Hlk534491975"/>
      <w:bookmarkEnd w:id="46"/>
      <w:r w:rsidR="002131E2" w:rsidRPr="006355FD">
        <w:rPr>
          <w:rFonts w:ascii="Calibri" w:eastAsia="Calibri" w:hAnsi="Calibri"/>
          <w:b/>
          <w:color w:val="0000FF"/>
        </w:rPr>
        <w:t xml:space="preserve">Table </w:t>
      </w:r>
      <w:r w:rsidR="0093624C">
        <w:rPr>
          <w:rFonts w:ascii="Calibri" w:eastAsia="Calibri" w:hAnsi="Calibri"/>
          <w:b/>
          <w:color w:val="0000FF"/>
        </w:rPr>
        <w:t>6</w:t>
      </w:r>
      <w:r w:rsidR="002131E2" w:rsidRPr="0014141F">
        <w:rPr>
          <w:rFonts w:ascii="Calibri" w:eastAsia="Calibri" w:hAnsi="Calibri"/>
          <w:color w:val="0000FF"/>
        </w:rPr>
        <w:t xml:space="preserve"> </w:t>
      </w:r>
      <w:bookmarkEnd w:id="47"/>
      <w:r w:rsidR="002131E2" w:rsidRPr="0014141F">
        <w:rPr>
          <w:rFonts w:ascii="Calibri" w:eastAsia="Calibri" w:hAnsi="Calibri"/>
          <w:color w:val="0000FF"/>
        </w:rPr>
        <w:t xml:space="preserve">displays the single variable logistic regression results </w:t>
      </w:r>
      <w:r w:rsidR="002131E2">
        <w:rPr>
          <w:rFonts w:ascii="Calibri" w:eastAsia="Calibri" w:hAnsi="Calibri"/>
          <w:color w:val="0000FF"/>
        </w:rPr>
        <w:t xml:space="preserve">with </w:t>
      </w:r>
      <w:r w:rsidR="00800112">
        <w:rPr>
          <w:rFonts w:ascii="Calibri" w:eastAsia="Calibri" w:hAnsi="Calibri"/>
          <w:color w:val="0000FF"/>
        </w:rPr>
        <w:t xml:space="preserve">observed </w:t>
      </w:r>
      <w:r w:rsidR="002131E2" w:rsidRPr="0014141F">
        <w:rPr>
          <w:rFonts w:ascii="Calibri" w:eastAsia="Calibri" w:hAnsi="Calibri"/>
          <w:color w:val="0000FF"/>
        </w:rPr>
        <w:t xml:space="preserve">discharge </w:t>
      </w:r>
      <w:r w:rsidR="002131E2">
        <w:rPr>
          <w:rFonts w:ascii="Calibri" w:eastAsia="Calibri" w:hAnsi="Calibri"/>
          <w:color w:val="0000FF"/>
        </w:rPr>
        <w:t>mobility</w:t>
      </w:r>
      <w:r w:rsidR="002131E2" w:rsidRPr="0014141F">
        <w:rPr>
          <w:rFonts w:ascii="Calibri" w:eastAsia="Calibri" w:hAnsi="Calibri"/>
          <w:color w:val="0000FF"/>
        </w:rPr>
        <w:t xml:space="preserve"> </w:t>
      </w:r>
      <w:r w:rsidR="00800112">
        <w:rPr>
          <w:rFonts w:ascii="Calibri" w:eastAsia="Calibri" w:hAnsi="Calibri"/>
          <w:color w:val="0000FF"/>
        </w:rPr>
        <w:t xml:space="preserve">scale </w:t>
      </w:r>
      <w:r w:rsidR="002131E2" w:rsidRPr="0014141F">
        <w:rPr>
          <w:rFonts w:ascii="Calibri" w:eastAsia="Calibri" w:hAnsi="Calibri"/>
          <w:color w:val="0000FF"/>
        </w:rPr>
        <w:t>score</w:t>
      </w:r>
      <w:r w:rsidR="002131E2">
        <w:rPr>
          <w:rFonts w:ascii="Calibri" w:eastAsia="Calibri" w:hAnsi="Calibri"/>
          <w:color w:val="0000FF"/>
        </w:rPr>
        <w:t>s</w:t>
      </w:r>
      <w:r w:rsidR="002131E2" w:rsidRPr="0014141F">
        <w:rPr>
          <w:rFonts w:ascii="Calibri" w:eastAsia="Calibri" w:hAnsi="Calibri"/>
          <w:color w:val="0000FF"/>
        </w:rPr>
        <w:t xml:space="preserve"> </w:t>
      </w:r>
      <w:r w:rsidR="002131E2">
        <w:rPr>
          <w:rFonts w:ascii="Calibri" w:eastAsia="Calibri" w:hAnsi="Calibri"/>
          <w:color w:val="0000FF"/>
        </w:rPr>
        <w:t>a</w:t>
      </w:r>
      <w:r>
        <w:rPr>
          <w:rFonts w:ascii="Calibri" w:eastAsia="Calibri" w:hAnsi="Calibri"/>
          <w:color w:val="0000FF"/>
        </w:rPr>
        <w:t>s</w:t>
      </w:r>
      <w:r w:rsidR="002131E2">
        <w:rPr>
          <w:rFonts w:ascii="Calibri" w:eastAsia="Calibri" w:hAnsi="Calibri"/>
          <w:color w:val="0000FF"/>
        </w:rPr>
        <w:t xml:space="preserve"> the independent variable and </w:t>
      </w:r>
      <w:r w:rsidR="002131E2" w:rsidRPr="0014141F">
        <w:rPr>
          <w:rFonts w:ascii="Calibri" w:eastAsia="Calibri" w:hAnsi="Calibri"/>
          <w:color w:val="0000FF"/>
        </w:rPr>
        <w:t xml:space="preserve">a dichotomous dependent variable indicating whether the </w:t>
      </w:r>
      <w:bookmarkEnd w:id="49"/>
      <w:r w:rsidR="002131E2" w:rsidRPr="0014141F">
        <w:rPr>
          <w:rFonts w:ascii="Calibri" w:eastAsia="Calibri" w:hAnsi="Calibri"/>
          <w:color w:val="0000FF"/>
        </w:rPr>
        <w:t xml:space="preserve">IRF patient was discharged to the community or not. </w:t>
      </w:r>
      <w:r w:rsidR="00C6476E">
        <w:rPr>
          <w:rFonts w:ascii="Calibri" w:eastAsia="Calibri" w:hAnsi="Calibri"/>
          <w:color w:val="0000FF"/>
        </w:rPr>
        <w:t xml:space="preserve">The mobility scale score is the sum of the 15 mobility data element scores after recoding; the discharge mobility scale scores can range from 15 to 90. </w:t>
      </w:r>
      <w:r w:rsidR="002131E2" w:rsidRPr="00DD3378">
        <w:rPr>
          <w:rFonts w:ascii="Calibri" w:eastAsia="Calibri" w:hAnsi="Calibri"/>
          <w:color w:val="0000FF"/>
        </w:rPr>
        <w:t xml:space="preserve">The results show that, on average, a one-unit increase in discharge </w:t>
      </w:r>
      <w:r w:rsidR="00DD3378" w:rsidRPr="00DD3378">
        <w:rPr>
          <w:rFonts w:ascii="Calibri" w:eastAsia="Calibri" w:hAnsi="Calibri"/>
          <w:color w:val="0000FF"/>
        </w:rPr>
        <w:t>mobility</w:t>
      </w:r>
      <w:r w:rsidR="002131E2" w:rsidRPr="00DD3378">
        <w:rPr>
          <w:rFonts w:ascii="Calibri" w:eastAsia="Calibri" w:hAnsi="Calibri"/>
          <w:color w:val="0000FF"/>
        </w:rPr>
        <w:t xml:space="preserve"> score is associated with a </w:t>
      </w:r>
      <w:r w:rsidR="00DD3378" w:rsidRPr="00DD3378">
        <w:rPr>
          <w:rFonts w:ascii="Calibri" w:eastAsia="Calibri" w:hAnsi="Calibri"/>
          <w:color w:val="0000FF"/>
        </w:rPr>
        <w:t>7</w:t>
      </w:r>
      <w:r w:rsidR="002131E2" w:rsidRPr="00DD3378">
        <w:rPr>
          <w:rFonts w:ascii="Calibri" w:eastAsia="Calibri" w:hAnsi="Calibri"/>
          <w:color w:val="0000FF"/>
        </w:rPr>
        <w:t xml:space="preserve"> percent increase in the odds of being discharged to the community (OR = 1.</w:t>
      </w:r>
      <w:r w:rsidR="00DD3378" w:rsidRPr="00DD3378">
        <w:rPr>
          <w:rFonts w:ascii="Calibri" w:eastAsia="Calibri" w:hAnsi="Calibri"/>
          <w:color w:val="0000FF"/>
        </w:rPr>
        <w:t>072</w:t>
      </w:r>
      <w:r w:rsidR="002131E2" w:rsidRPr="00DD3378">
        <w:rPr>
          <w:rFonts w:ascii="Calibri" w:eastAsia="Calibri" w:hAnsi="Calibri"/>
          <w:color w:val="0000FF"/>
        </w:rPr>
        <w:t xml:space="preserve">; </w:t>
      </w:r>
      <w:r w:rsidR="002131E2" w:rsidRPr="006956EC">
        <w:rPr>
          <w:rFonts w:ascii="Calibri" w:eastAsia="Calibri" w:hAnsi="Calibri"/>
          <w:i/>
          <w:color w:val="0000FF"/>
        </w:rPr>
        <w:t>p</w:t>
      </w:r>
      <w:r w:rsidR="002131E2" w:rsidRPr="00DD3378">
        <w:rPr>
          <w:rFonts w:ascii="Calibri" w:eastAsia="Calibri" w:hAnsi="Calibri"/>
          <w:color w:val="0000FF"/>
        </w:rPr>
        <w:t>-value &lt;0.001).</w:t>
      </w:r>
      <w:r w:rsidR="002131E2" w:rsidRPr="0014141F">
        <w:rPr>
          <w:rFonts w:ascii="Calibri" w:eastAsia="Calibri" w:hAnsi="Calibri"/>
          <w:color w:val="0000FF"/>
        </w:rPr>
        <w:t xml:space="preserve"> </w:t>
      </w:r>
      <w:bookmarkStart w:id="50" w:name="_Ref469401372"/>
      <w:bookmarkStart w:id="51" w:name="_Ref469401369"/>
      <w:bookmarkStart w:id="52" w:name="_Toc473487405"/>
    </w:p>
    <w:bookmarkEnd w:id="48"/>
    <w:p w14:paraId="6078D99B" w14:textId="3934747A" w:rsidR="002131E2" w:rsidRDefault="002131E2" w:rsidP="002131E2">
      <w:pPr>
        <w:autoSpaceDE w:val="0"/>
        <w:autoSpaceDN w:val="0"/>
        <w:adjustRightInd w:val="0"/>
        <w:spacing w:after="0" w:line="240" w:lineRule="auto"/>
        <w:rPr>
          <w:rFonts w:ascii="Calibri" w:eastAsia="Calibri" w:hAnsi="Calibri"/>
          <w:color w:val="0000FF"/>
        </w:rPr>
      </w:pPr>
    </w:p>
    <w:p w14:paraId="08DDB1CC" w14:textId="77777777" w:rsidR="001679C6" w:rsidRPr="00124328" w:rsidRDefault="001679C6" w:rsidP="001679C6">
      <w:pPr>
        <w:pStyle w:val="NoSpacing"/>
        <w:contextualSpacing/>
        <w:rPr>
          <w:rFonts w:cstheme="minorBidi"/>
          <w:color w:val="0000FF"/>
        </w:rPr>
      </w:pPr>
      <w:bookmarkStart w:id="53" w:name="_Hlk534492049"/>
      <w:r w:rsidRPr="00DD3378">
        <w:rPr>
          <w:rFonts w:cstheme="minorBidi"/>
          <w:color w:val="0000FF"/>
        </w:rPr>
        <w:t xml:space="preserve">Findings and Interpretation: Mobility </w:t>
      </w:r>
      <w:bookmarkStart w:id="54" w:name="_Hlk533778687"/>
      <w:r>
        <w:rPr>
          <w:rFonts w:cstheme="minorBidi"/>
          <w:color w:val="0000FF"/>
        </w:rPr>
        <w:t>scale/instrument scores were</w:t>
      </w:r>
      <w:r w:rsidRPr="00DD3378">
        <w:rPr>
          <w:rFonts w:cstheme="minorBidi"/>
          <w:color w:val="0000FF"/>
        </w:rPr>
        <w:t xml:space="preserve"> </w:t>
      </w:r>
      <w:r>
        <w:rPr>
          <w:rFonts w:cstheme="minorBidi"/>
          <w:color w:val="0000FF"/>
        </w:rPr>
        <w:t>positively associated with</w:t>
      </w:r>
      <w:r w:rsidRPr="00DD3378">
        <w:rPr>
          <w:rFonts w:cstheme="minorBidi"/>
          <w:color w:val="0000FF"/>
        </w:rPr>
        <w:t xml:space="preserve"> discharge destination, as expected. Specifically, we found patients who had higher </w:t>
      </w:r>
      <w:r>
        <w:rPr>
          <w:rFonts w:cstheme="minorBidi"/>
          <w:color w:val="0000FF"/>
        </w:rPr>
        <w:t xml:space="preserve">observed </w:t>
      </w:r>
      <w:r w:rsidRPr="00DD3378">
        <w:rPr>
          <w:rFonts w:cstheme="minorBidi"/>
          <w:color w:val="0000FF"/>
        </w:rPr>
        <w:t xml:space="preserve">scores at discharge </w:t>
      </w:r>
      <w:r>
        <w:rPr>
          <w:rFonts w:cstheme="minorBidi"/>
          <w:color w:val="0000FF"/>
        </w:rPr>
        <w:t xml:space="preserve">were more likely to be </w:t>
      </w:r>
      <w:r w:rsidRPr="00DD3378">
        <w:rPr>
          <w:rFonts w:cstheme="minorBidi"/>
          <w:color w:val="0000FF"/>
        </w:rPr>
        <w:t xml:space="preserve">discharged to a community setting, which supports the validity of the </w:t>
      </w:r>
      <w:r>
        <w:rPr>
          <w:rFonts w:cstheme="minorBidi"/>
          <w:color w:val="0000FF"/>
        </w:rPr>
        <w:t>scale/instrument data</w:t>
      </w:r>
      <w:r w:rsidRPr="00DD3378">
        <w:rPr>
          <w:rFonts w:cstheme="minorBidi"/>
          <w:color w:val="0000FF"/>
        </w:rPr>
        <w:t xml:space="preserve"> measuring functional abilities in the IRF population.</w:t>
      </w:r>
    </w:p>
    <w:bookmarkEnd w:id="53"/>
    <w:bookmarkEnd w:id="54"/>
    <w:p w14:paraId="2C6545F0" w14:textId="77777777" w:rsidR="001679C6" w:rsidRPr="0014141F" w:rsidRDefault="001679C6" w:rsidP="002131E2">
      <w:pPr>
        <w:autoSpaceDE w:val="0"/>
        <w:autoSpaceDN w:val="0"/>
        <w:adjustRightInd w:val="0"/>
        <w:spacing w:after="0" w:line="240" w:lineRule="auto"/>
        <w:rPr>
          <w:rFonts w:ascii="Calibri" w:eastAsia="Calibri" w:hAnsi="Calibri"/>
          <w:color w:val="0000FF"/>
        </w:rPr>
      </w:pPr>
    </w:p>
    <w:p w14:paraId="17410061" w14:textId="67811156" w:rsidR="002131E2" w:rsidRPr="00144804" w:rsidRDefault="002131E2" w:rsidP="002131E2">
      <w:pPr>
        <w:pStyle w:val="Caption"/>
        <w:ind w:left="720" w:right="720" w:hanging="720"/>
        <w:rPr>
          <w:rFonts w:ascii="Calibri" w:eastAsia="Calibri" w:hAnsi="Calibri" w:cstheme="minorBidi"/>
          <w:bCs w:val="0"/>
          <w:color w:val="0000FF"/>
        </w:rPr>
      </w:pPr>
      <w:bookmarkStart w:id="55" w:name="_Ref480809600"/>
      <w:bookmarkStart w:id="56" w:name="_Toc482953584"/>
      <w:bookmarkStart w:id="57" w:name="_Hlk533965349"/>
      <w:bookmarkEnd w:id="50"/>
      <w:r w:rsidRPr="00144804">
        <w:rPr>
          <w:rFonts w:ascii="Calibri" w:eastAsia="Calibri" w:hAnsi="Calibri" w:cstheme="minorBidi"/>
          <w:bCs w:val="0"/>
          <w:color w:val="0000FF"/>
        </w:rPr>
        <w:t xml:space="preserve">Table </w:t>
      </w:r>
      <w:bookmarkEnd w:id="55"/>
      <w:r w:rsidR="0093624C">
        <w:rPr>
          <w:rFonts w:ascii="Calibri" w:eastAsia="Calibri" w:hAnsi="Calibri" w:cstheme="minorBidi"/>
          <w:bCs w:val="0"/>
          <w:color w:val="0000FF"/>
        </w:rPr>
        <w:t>6</w:t>
      </w:r>
      <w:r w:rsidRPr="00144804">
        <w:rPr>
          <w:rFonts w:ascii="Calibri" w:eastAsia="Calibri" w:hAnsi="Calibri" w:cstheme="minorBidi"/>
          <w:bCs w:val="0"/>
          <w:color w:val="0000FF"/>
        </w:rPr>
        <w:t xml:space="preserve">. Coefficient and Odds Ratio for Discharge to Community </w:t>
      </w:r>
      <w:bookmarkEnd w:id="51"/>
      <w:bookmarkEnd w:id="52"/>
      <w:r w:rsidR="004D3044">
        <w:rPr>
          <w:rFonts w:ascii="Calibri" w:eastAsia="Calibri" w:hAnsi="Calibri" w:cstheme="minorBidi"/>
          <w:bCs w:val="0"/>
          <w:color w:val="0000FF"/>
        </w:rPr>
        <w:t>Model (</w:t>
      </w:r>
      <w:r w:rsidRPr="00144804">
        <w:rPr>
          <w:rFonts w:ascii="Calibri" w:eastAsia="Calibri" w:hAnsi="Calibri" w:cstheme="minorBidi"/>
          <w:bCs w:val="0"/>
          <w:color w:val="0000FF"/>
        </w:rPr>
        <w:t>n=</w:t>
      </w:r>
      <w:r w:rsidRPr="00F12743">
        <w:rPr>
          <w:rFonts w:ascii="Calibri" w:eastAsia="Calibri" w:hAnsi="Calibri" w:cstheme="minorBidi"/>
          <w:bCs w:val="0"/>
          <w:color w:val="0000FF"/>
        </w:rPr>
        <w:t>437,19)</w:t>
      </w:r>
      <w:bookmarkEnd w:id="56"/>
    </w:p>
    <w:tbl>
      <w:tblPr>
        <w:tblW w:w="0" w:type="auto"/>
        <w:tblLook w:val="04A0" w:firstRow="1" w:lastRow="0" w:firstColumn="1" w:lastColumn="0" w:noHBand="0" w:noVBand="1"/>
      </w:tblPr>
      <w:tblGrid>
        <w:gridCol w:w="3690"/>
        <w:gridCol w:w="2543"/>
        <w:gridCol w:w="3117"/>
      </w:tblGrid>
      <w:tr w:rsidR="002131E2" w14:paraId="08A5BD1D" w14:textId="77777777" w:rsidTr="00210A4F">
        <w:tc>
          <w:tcPr>
            <w:tcW w:w="3690" w:type="dxa"/>
            <w:tcBorders>
              <w:top w:val="single" w:sz="4" w:space="0" w:color="auto"/>
              <w:bottom w:val="single" w:sz="4" w:space="0" w:color="auto"/>
            </w:tcBorders>
          </w:tcPr>
          <w:p w14:paraId="33B84063" w14:textId="77777777" w:rsidR="002131E2" w:rsidRPr="00E01A30" w:rsidRDefault="002131E2" w:rsidP="00882BFF">
            <w:pPr>
              <w:rPr>
                <w:rFonts w:ascii="Calibri" w:eastAsia="Calibri" w:hAnsi="Calibri"/>
                <w:b/>
                <w:color w:val="0000FF"/>
              </w:rPr>
            </w:pPr>
            <w:r w:rsidRPr="00E01A30">
              <w:rPr>
                <w:rFonts w:ascii="Calibri" w:eastAsia="Calibri" w:hAnsi="Calibri"/>
                <w:b/>
                <w:color w:val="0000FF"/>
              </w:rPr>
              <w:t>Independent Variable</w:t>
            </w:r>
          </w:p>
        </w:tc>
        <w:tc>
          <w:tcPr>
            <w:tcW w:w="2543" w:type="dxa"/>
            <w:tcBorders>
              <w:top w:val="single" w:sz="4" w:space="0" w:color="auto"/>
              <w:bottom w:val="single" w:sz="4" w:space="0" w:color="auto"/>
            </w:tcBorders>
          </w:tcPr>
          <w:p w14:paraId="3E8AE3D1" w14:textId="77777777" w:rsidR="002131E2" w:rsidRPr="00E01A30" w:rsidRDefault="002131E2" w:rsidP="00882BFF">
            <w:pPr>
              <w:jc w:val="center"/>
              <w:rPr>
                <w:rFonts w:ascii="Calibri" w:eastAsia="Calibri" w:hAnsi="Calibri"/>
                <w:b/>
                <w:color w:val="0000FF"/>
              </w:rPr>
            </w:pPr>
            <w:r w:rsidRPr="00E01A30">
              <w:rPr>
                <w:rFonts w:ascii="Calibri" w:eastAsia="Calibri" w:hAnsi="Calibri"/>
                <w:b/>
                <w:color w:val="0000FF"/>
              </w:rPr>
              <w:t>Value</w:t>
            </w:r>
          </w:p>
        </w:tc>
        <w:tc>
          <w:tcPr>
            <w:tcW w:w="3117" w:type="dxa"/>
            <w:tcBorders>
              <w:top w:val="single" w:sz="4" w:space="0" w:color="auto"/>
              <w:bottom w:val="single" w:sz="4" w:space="0" w:color="auto"/>
            </w:tcBorders>
          </w:tcPr>
          <w:p w14:paraId="71529832" w14:textId="77777777" w:rsidR="002131E2" w:rsidRPr="00E01A30" w:rsidRDefault="002131E2" w:rsidP="00882BFF">
            <w:pPr>
              <w:jc w:val="center"/>
              <w:rPr>
                <w:rFonts w:ascii="Calibri" w:eastAsia="Calibri" w:hAnsi="Calibri"/>
                <w:b/>
                <w:color w:val="0000FF"/>
              </w:rPr>
            </w:pPr>
            <w:r w:rsidRPr="00E01A30">
              <w:rPr>
                <w:rFonts w:ascii="Calibri" w:eastAsia="Calibri" w:hAnsi="Calibri"/>
                <w:b/>
                <w:color w:val="0000FF"/>
              </w:rPr>
              <w:t>95% Confidence Interval</w:t>
            </w:r>
          </w:p>
        </w:tc>
      </w:tr>
      <w:tr w:rsidR="002131E2" w14:paraId="7E960AD9" w14:textId="77777777" w:rsidTr="00210A4F">
        <w:tc>
          <w:tcPr>
            <w:tcW w:w="3690" w:type="dxa"/>
            <w:tcBorders>
              <w:top w:val="single" w:sz="4" w:space="0" w:color="auto"/>
            </w:tcBorders>
          </w:tcPr>
          <w:p w14:paraId="5954BA41" w14:textId="1997A805" w:rsidR="002131E2" w:rsidRPr="00E01A30" w:rsidRDefault="00210A4F" w:rsidP="00882BFF">
            <w:pPr>
              <w:rPr>
                <w:rFonts w:ascii="Calibri" w:eastAsia="Calibri" w:hAnsi="Calibri"/>
                <w:color w:val="0000FF"/>
              </w:rPr>
            </w:pPr>
            <w:r>
              <w:rPr>
                <w:rFonts w:ascii="Calibri" w:eastAsia="Calibri" w:hAnsi="Calibri"/>
                <w:color w:val="0000FF"/>
              </w:rPr>
              <w:t xml:space="preserve">Observed </w:t>
            </w:r>
            <w:r w:rsidR="002131E2" w:rsidRPr="00E01A30">
              <w:rPr>
                <w:rFonts w:ascii="Calibri" w:eastAsia="Calibri" w:hAnsi="Calibri"/>
                <w:color w:val="0000FF"/>
              </w:rPr>
              <w:t xml:space="preserve">Discharge </w:t>
            </w:r>
            <w:r w:rsidR="00ED7ED1">
              <w:rPr>
                <w:rFonts w:ascii="Calibri" w:eastAsia="Calibri" w:hAnsi="Calibri"/>
                <w:color w:val="0000FF"/>
              </w:rPr>
              <w:t>Mobility</w:t>
            </w:r>
            <w:r w:rsidR="002131E2" w:rsidRPr="00E01A30">
              <w:rPr>
                <w:rFonts w:ascii="Calibri" w:eastAsia="Calibri" w:hAnsi="Calibri"/>
                <w:color w:val="0000FF"/>
              </w:rPr>
              <w:t xml:space="preserve"> Score</w:t>
            </w:r>
          </w:p>
        </w:tc>
        <w:tc>
          <w:tcPr>
            <w:tcW w:w="2543" w:type="dxa"/>
            <w:tcBorders>
              <w:top w:val="single" w:sz="4" w:space="0" w:color="auto"/>
            </w:tcBorders>
          </w:tcPr>
          <w:p w14:paraId="227A3CB6" w14:textId="77777777" w:rsidR="002131E2" w:rsidRPr="00E01A30" w:rsidRDefault="002131E2" w:rsidP="00882BFF">
            <w:pPr>
              <w:jc w:val="center"/>
              <w:rPr>
                <w:rFonts w:ascii="Calibri" w:eastAsia="Calibri" w:hAnsi="Calibri"/>
                <w:color w:val="0000FF"/>
              </w:rPr>
            </w:pPr>
          </w:p>
        </w:tc>
        <w:tc>
          <w:tcPr>
            <w:tcW w:w="3117" w:type="dxa"/>
            <w:tcBorders>
              <w:top w:val="single" w:sz="4" w:space="0" w:color="auto"/>
            </w:tcBorders>
          </w:tcPr>
          <w:p w14:paraId="4677D793" w14:textId="77777777" w:rsidR="002131E2" w:rsidRPr="00E01A30" w:rsidRDefault="002131E2" w:rsidP="00882BFF">
            <w:pPr>
              <w:jc w:val="center"/>
              <w:rPr>
                <w:rFonts w:ascii="Calibri" w:eastAsia="Calibri" w:hAnsi="Calibri"/>
                <w:color w:val="0000FF"/>
              </w:rPr>
            </w:pPr>
          </w:p>
        </w:tc>
      </w:tr>
      <w:tr w:rsidR="002131E2" w14:paraId="42CEA629" w14:textId="77777777" w:rsidTr="00210A4F">
        <w:tc>
          <w:tcPr>
            <w:tcW w:w="3690" w:type="dxa"/>
          </w:tcPr>
          <w:p w14:paraId="5D2B2EFA" w14:textId="77777777" w:rsidR="002131E2" w:rsidRPr="00E01A30" w:rsidRDefault="002131E2" w:rsidP="00882BFF">
            <w:pPr>
              <w:rPr>
                <w:rFonts w:ascii="Calibri" w:eastAsia="Calibri" w:hAnsi="Calibri"/>
                <w:color w:val="0000FF"/>
              </w:rPr>
            </w:pPr>
            <w:r w:rsidRPr="00E01A30">
              <w:rPr>
                <w:rFonts w:ascii="Calibri" w:eastAsia="Calibri" w:hAnsi="Calibri"/>
                <w:color w:val="0000FF"/>
              </w:rPr>
              <w:t xml:space="preserve">      Coefficient </w:t>
            </w:r>
          </w:p>
        </w:tc>
        <w:tc>
          <w:tcPr>
            <w:tcW w:w="2543" w:type="dxa"/>
          </w:tcPr>
          <w:p w14:paraId="5CB6084E" w14:textId="61EAED14" w:rsidR="002131E2" w:rsidRPr="00E0226D" w:rsidRDefault="002131E2" w:rsidP="00882BFF">
            <w:pPr>
              <w:jc w:val="center"/>
              <w:rPr>
                <w:rFonts w:ascii="Calibri" w:eastAsia="Calibri" w:hAnsi="Calibri"/>
                <w:color w:val="0000FF"/>
                <w:highlight w:val="yellow"/>
              </w:rPr>
            </w:pPr>
            <w:r w:rsidRPr="00DD3378">
              <w:rPr>
                <w:rFonts w:ascii="Calibri" w:eastAsia="Calibri" w:hAnsi="Calibri"/>
                <w:color w:val="0000FF"/>
              </w:rPr>
              <w:t>0.</w:t>
            </w:r>
            <w:r w:rsidR="00DD3378" w:rsidRPr="00DD3378">
              <w:rPr>
                <w:rFonts w:ascii="Calibri" w:eastAsia="Calibri" w:hAnsi="Calibri"/>
                <w:color w:val="0000FF"/>
              </w:rPr>
              <w:t>069</w:t>
            </w:r>
          </w:p>
        </w:tc>
        <w:tc>
          <w:tcPr>
            <w:tcW w:w="3117" w:type="dxa"/>
          </w:tcPr>
          <w:p w14:paraId="4E699038" w14:textId="77777777" w:rsidR="002131E2" w:rsidRPr="00E01A30" w:rsidRDefault="002131E2" w:rsidP="00882BFF">
            <w:pPr>
              <w:jc w:val="center"/>
              <w:rPr>
                <w:rFonts w:ascii="Calibri" w:eastAsia="Calibri" w:hAnsi="Calibri"/>
                <w:color w:val="0000FF"/>
              </w:rPr>
            </w:pPr>
          </w:p>
        </w:tc>
      </w:tr>
      <w:tr w:rsidR="002131E2" w14:paraId="54988226" w14:textId="77777777" w:rsidTr="00210A4F">
        <w:tc>
          <w:tcPr>
            <w:tcW w:w="3690" w:type="dxa"/>
            <w:tcBorders>
              <w:bottom w:val="single" w:sz="4" w:space="0" w:color="auto"/>
            </w:tcBorders>
          </w:tcPr>
          <w:p w14:paraId="0CC9495D" w14:textId="77777777" w:rsidR="002131E2" w:rsidRPr="00E01A30" w:rsidRDefault="002131E2" w:rsidP="00882BFF">
            <w:pPr>
              <w:rPr>
                <w:rFonts w:ascii="Calibri" w:eastAsia="Calibri" w:hAnsi="Calibri"/>
                <w:color w:val="0000FF"/>
              </w:rPr>
            </w:pPr>
            <w:r w:rsidRPr="00E01A30">
              <w:rPr>
                <w:rFonts w:ascii="Calibri" w:eastAsia="Calibri" w:hAnsi="Calibri"/>
                <w:color w:val="0000FF"/>
              </w:rPr>
              <w:t xml:space="preserve">      Odds Ratio</w:t>
            </w:r>
          </w:p>
        </w:tc>
        <w:tc>
          <w:tcPr>
            <w:tcW w:w="2543" w:type="dxa"/>
            <w:tcBorders>
              <w:bottom w:val="single" w:sz="4" w:space="0" w:color="auto"/>
            </w:tcBorders>
          </w:tcPr>
          <w:p w14:paraId="21103FCA" w14:textId="59278D7A" w:rsidR="002131E2" w:rsidRPr="00E0226D" w:rsidRDefault="002131E2" w:rsidP="00882BFF">
            <w:pPr>
              <w:jc w:val="center"/>
              <w:rPr>
                <w:rFonts w:ascii="Calibri" w:eastAsia="Calibri" w:hAnsi="Calibri"/>
                <w:color w:val="0000FF"/>
                <w:highlight w:val="yellow"/>
              </w:rPr>
            </w:pPr>
            <w:r w:rsidRPr="00DD3378">
              <w:rPr>
                <w:rFonts w:ascii="Calibri" w:eastAsia="Calibri" w:hAnsi="Calibri"/>
                <w:color w:val="0000FF"/>
              </w:rPr>
              <w:t>1.</w:t>
            </w:r>
            <w:r w:rsidR="00DD3378" w:rsidRPr="00DD3378">
              <w:rPr>
                <w:rFonts w:ascii="Calibri" w:eastAsia="Calibri" w:hAnsi="Calibri"/>
                <w:color w:val="0000FF"/>
              </w:rPr>
              <w:t>072</w:t>
            </w:r>
          </w:p>
        </w:tc>
        <w:tc>
          <w:tcPr>
            <w:tcW w:w="3117" w:type="dxa"/>
            <w:tcBorders>
              <w:bottom w:val="single" w:sz="4" w:space="0" w:color="auto"/>
            </w:tcBorders>
          </w:tcPr>
          <w:p w14:paraId="076BFB68" w14:textId="021A28FA" w:rsidR="002131E2" w:rsidRPr="00E01A30" w:rsidRDefault="002131E2" w:rsidP="00882BFF">
            <w:pPr>
              <w:jc w:val="center"/>
              <w:rPr>
                <w:rFonts w:ascii="Calibri" w:eastAsia="Calibri" w:hAnsi="Calibri"/>
                <w:color w:val="0000FF"/>
              </w:rPr>
            </w:pPr>
            <w:r w:rsidRPr="00DD3378">
              <w:rPr>
                <w:rFonts w:ascii="Calibri" w:eastAsia="Calibri" w:hAnsi="Calibri"/>
                <w:color w:val="0000FF"/>
              </w:rPr>
              <w:t>1.</w:t>
            </w:r>
            <w:r w:rsidR="00DD3378" w:rsidRPr="00DD3378">
              <w:rPr>
                <w:rFonts w:ascii="Calibri" w:eastAsia="Calibri" w:hAnsi="Calibri"/>
                <w:color w:val="0000FF"/>
              </w:rPr>
              <w:t>071</w:t>
            </w:r>
            <w:r w:rsidRPr="00DD3378">
              <w:rPr>
                <w:rFonts w:ascii="Calibri" w:eastAsia="Calibri" w:hAnsi="Calibri"/>
                <w:color w:val="0000FF"/>
              </w:rPr>
              <w:t xml:space="preserve"> – 1.</w:t>
            </w:r>
            <w:r w:rsidR="00DD3378" w:rsidRPr="00DD3378">
              <w:rPr>
                <w:rFonts w:ascii="Calibri" w:eastAsia="Calibri" w:hAnsi="Calibri"/>
                <w:color w:val="0000FF"/>
              </w:rPr>
              <w:t>072</w:t>
            </w:r>
          </w:p>
        </w:tc>
      </w:tr>
    </w:tbl>
    <w:p w14:paraId="79C5BC93" w14:textId="6A0324D2" w:rsidR="002131E2" w:rsidRPr="00E01A30" w:rsidRDefault="002131E2" w:rsidP="002131E2">
      <w:pPr>
        <w:pStyle w:val="NoSpacing"/>
        <w:ind w:right="720"/>
        <w:contextualSpacing/>
        <w:rPr>
          <w:rFonts w:cstheme="minorBidi"/>
          <w:color w:val="0000FF"/>
          <w:sz w:val="20"/>
        </w:rPr>
      </w:pPr>
      <w:r w:rsidRPr="00E01A30">
        <w:rPr>
          <w:rFonts w:cstheme="minorBidi"/>
          <w:color w:val="0000FF"/>
          <w:sz w:val="20"/>
        </w:rPr>
        <w:t xml:space="preserve">Note: </w:t>
      </w:r>
      <w:r w:rsidR="00F12743">
        <w:rPr>
          <w:rFonts w:cstheme="minorBidi"/>
          <w:color w:val="0000FF"/>
          <w:sz w:val="20"/>
        </w:rPr>
        <w:t xml:space="preserve">Observed </w:t>
      </w:r>
      <w:r w:rsidR="00DD3378">
        <w:rPr>
          <w:rFonts w:cstheme="minorBidi"/>
          <w:color w:val="0000FF"/>
          <w:sz w:val="20"/>
        </w:rPr>
        <w:t>d</w:t>
      </w:r>
      <w:r w:rsidR="00F12743">
        <w:rPr>
          <w:rFonts w:cstheme="minorBidi"/>
          <w:color w:val="0000FF"/>
          <w:sz w:val="20"/>
        </w:rPr>
        <w:t xml:space="preserve">ischarge </w:t>
      </w:r>
      <w:r w:rsidR="00DD3378">
        <w:rPr>
          <w:rFonts w:cstheme="minorBidi"/>
          <w:color w:val="0000FF"/>
          <w:sz w:val="20"/>
        </w:rPr>
        <w:t>m</w:t>
      </w:r>
      <w:r>
        <w:rPr>
          <w:rFonts w:cstheme="minorBidi"/>
          <w:color w:val="0000FF"/>
          <w:sz w:val="20"/>
        </w:rPr>
        <w:t>obility</w:t>
      </w:r>
      <w:r w:rsidRPr="00E01A30">
        <w:rPr>
          <w:rFonts w:cstheme="minorBidi"/>
          <w:color w:val="0000FF"/>
          <w:sz w:val="20"/>
        </w:rPr>
        <w:t xml:space="preserve"> score range = </w:t>
      </w:r>
      <w:r>
        <w:rPr>
          <w:rFonts w:cstheme="minorBidi"/>
          <w:color w:val="0000FF"/>
          <w:sz w:val="20"/>
        </w:rPr>
        <w:t>15</w:t>
      </w:r>
      <w:r w:rsidRPr="00E01A30">
        <w:rPr>
          <w:rFonts w:cstheme="minorBidi"/>
          <w:color w:val="0000FF"/>
          <w:sz w:val="20"/>
        </w:rPr>
        <w:t xml:space="preserve"> – </w:t>
      </w:r>
      <w:r>
        <w:rPr>
          <w:rFonts w:cstheme="minorBidi"/>
          <w:color w:val="0000FF"/>
          <w:sz w:val="20"/>
        </w:rPr>
        <w:t>90</w:t>
      </w:r>
      <w:r w:rsidRPr="00E01A30">
        <w:rPr>
          <w:rFonts w:cstheme="minorBidi"/>
          <w:color w:val="0000FF"/>
          <w:sz w:val="20"/>
        </w:rPr>
        <w:t>; Incomplete stays were excluded.</w:t>
      </w:r>
    </w:p>
    <w:p w14:paraId="31E04C43" w14:textId="1D6FA4D6" w:rsidR="002131E2" w:rsidRPr="00E01A30" w:rsidRDefault="002131E2" w:rsidP="002131E2">
      <w:pPr>
        <w:pStyle w:val="NoSpacing"/>
        <w:ind w:right="720"/>
        <w:contextualSpacing/>
        <w:rPr>
          <w:rFonts w:cstheme="minorBidi"/>
          <w:color w:val="0000FF"/>
          <w:sz w:val="20"/>
        </w:rPr>
      </w:pPr>
      <w:r w:rsidRPr="00E01A30">
        <w:rPr>
          <w:rFonts w:cstheme="minorBidi"/>
          <w:color w:val="0000FF"/>
          <w:sz w:val="20"/>
        </w:rPr>
        <w:t xml:space="preserve">Source: RTI analysis of IRF-PAI, January – December 2017. (Program reference: </w:t>
      </w:r>
      <w:r w:rsidRPr="00681B33">
        <w:rPr>
          <w:rFonts w:cstheme="minorBidi"/>
          <w:color w:val="0000FF"/>
          <w:sz w:val="20"/>
        </w:rPr>
        <w:t>LP63</w:t>
      </w:r>
      <w:r w:rsidRPr="00E01A30">
        <w:rPr>
          <w:rFonts w:cstheme="minorBidi"/>
          <w:color w:val="0000FF"/>
          <w:sz w:val="20"/>
        </w:rPr>
        <w:t>).</w:t>
      </w:r>
    </w:p>
    <w:p w14:paraId="386A7611" w14:textId="77777777" w:rsidR="00DD208F" w:rsidRDefault="00DD208F" w:rsidP="00092566">
      <w:pPr>
        <w:autoSpaceDE w:val="0"/>
        <w:autoSpaceDN w:val="0"/>
        <w:adjustRightInd w:val="0"/>
        <w:spacing w:after="0" w:line="240" w:lineRule="auto"/>
        <w:rPr>
          <w:rFonts w:ascii="Calibri" w:eastAsia="Calibri" w:hAnsi="Calibri" w:cs="Times New Roman"/>
          <w:b/>
          <w:color w:val="0000FF"/>
        </w:rPr>
      </w:pPr>
      <w:bookmarkStart w:id="58" w:name="_Hlk534492086"/>
    </w:p>
    <w:p w14:paraId="58B8CE40" w14:textId="0B96EF64" w:rsidR="009803CA" w:rsidRDefault="009803CA" w:rsidP="00092566">
      <w:pPr>
        <w:autoSpaceDE w:val="0"/>
        <w:autoSpaceDN w:val="0"/>
        <w:adjustRightInd w:val="0"/>
        <w:spacing w:after="0" w:line="240" w:lineRule="auto"/>
        <w:rPr>
          <w:rFonts w:ascii="Calibri" w:eastAsia="Calibri" w:hAnsi="Calibri" w:cs="Times New Roman"/>
          <w:b/>
          <w:color w:val="0000FF"/>
        </w:rPr>
      </w:pPr>
      <w:r>
        <w:rPr>
          <w:rFonts w:ascii="Calibri" w:eastAsia="Calibri" w:hAnsi="Calibri" w:cs="Times New Roman"/>
          <w:b/>
          <w:color w:val="0000FF"/>
        </w:rPr>
        <w:t>Scale</w:t>
      </w:r>
      <w:r w:rsidR="004D3044">
        <w:rPr>
          <w:rFonts w:ascii="Calibri" w:eastAsia="Calibri" w:hAnsi="Calibri" w:cs="Times New Roman"/>
          <w:b/>
          <w:color w:val="0000FF"/>
        </w:rPr>
        <w:t>/Instrument</w:t>
      </w:r>
      <w:r>
        <w:rPr>
          <w:rFonts w:ascii="Calibri" w:eastAsia="Calibri" w:hAnsi="Calibri" w:cs="Times New Roman"/>
          <w:b/>
          <w:color w:val="0000FF"/>
        </w:rPr>
        <w:t xml:space="preserve"> </w:t>
      </w:r>
      <w:r w:rsidRPr="00720E63">
        <w:rPr>
          <w:rFonts w:ascii="Calibri" w:eastAsia="Calibri" w:hAnsi="Calibri" w:cs="Times New Roman"/>
          <w:b/>
          <w:color w:val="0000FF"/>
        </w:rPr>
        <w:t>Construct Validity:</w:t>
      </w:r>
      <w:r w:rsidR="00F8435F">
        <w:rPr>
          <w:rFonts w:ascii="Calibri" w:eastAsia="Calibri" w:hAnsi="Calibri" w:cs="Times New Roman"/>
          <w:b/>
          <w:color w:val="0000FF"/>
        </w:rPr>
        <w:t xml:space="preserve"> Data Element</w:t>
      </w:r>
      <w:r w:rsidRPr="00720E63">
        <w:rPr>
          <w:rFonts w:ascii="Calibri" w:eastAsia="Calibri" w:hAnsi="Calibri" w:cs="Times New Roman"/>
          <w:b/>
          <w:color w:val="0000FF"/>
        </w:rPr>
        <w:t xml:space="preserve"> </w:t>
      </w:r>
      <w:r w:rsidR="00F8435F">
        <w:rPr>
          <w:rFonts w:ascii="Calibri" w:eastAsia="Calibri" w:hAnsi="Calibri" w:cs="Times New Roman"/>
          <w:b/>
          <w:color w:val="0000FF"/>
        </w:rPr>
        <w:t>(</w:t>
      </w:r>
      <w:r w:rsidRPr="00720E63">
        <w:rPr>
          <w:rFonts w:ascii="Calibri" w:eastAsia="Calibri" w:hAnsi="Calibri" w:cs="Times New Roman"/>
          <w:b/>
          <w:color w:val="0000FF"/>
        </w:rPr>
        <w:t>Item</w:t>
      </w:r>
      <w:r w:rsidR="00F8435F">
        <w:rPr>
          <w:rFonts w:ascii="Calibri" w:eastAsia="Calibri" w:hAnsi="Calibri" w:cs="Times New Roman"/>
          <w:b/>
          <w:color w:val="0000FF"/>
        </w:rPr>
        <w:t>)</w:t>
      </w:r>
      <w:r w:rsidRPr="00720E63">
        <w:rPr>
          <w:rFonts w:ascii="Calibri" w:eastAsia="Calibri" w:hAnsi="Calibri" w:cs="Times New Roman"/>
          <w:b/>
          <w:color w:val="0000FF"/>
        </w:rPr>
        <w:t xml:space="preserve"> Difficulty Ordering </w:t>
      </w:r>
      <w:r w:rsidR="004D3044">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sidR="004D3044">
        <w:rPr>
          <w:rFonts w:ascii="Calibri" w:eastAsia="Calibri" w:hAnsi="Calibri" w:cs="Times New Roman"/>
          <w:b/>
          <w:color w:val="0000FF"/>
        </w:rPr>
        <w:t xml:space="preserve"> (</w:t>
      </w:r>
      <w:r w:rsidR="004010E2">
        <w:rPr>
          <w:rFonts w:ascii="Calibri" w:eastAsia="Calibri" w:hAnsi="Calibri" w:cs="Times New Roman"/>
          <w:b/>
          <w:color w:val="0000FF"/>
        </w:rPr>
        <w:t>unit of analysis is patient assessment data</w:t>
      </w:r>
      <w:r w:rsidRPr="00720E63">
        <w:rPr>
          <w:rFonts w:ascii="Calibri" w:eastAsia="Calibri" w:hAnsi="Calibri" w:cs="Times New Roman"/>
          <w:b/>
          <w:color w:val="0000FF"/>
        </w:rPr>
        <w:t>):</w:t>
      </w:r>
      <w:r>
        <w:rPr>
          <w:rFonts w:ascii="Calibri" w:eastAsia="Calibri" w:hAnsi="Calibri" w:cs="Times New Roman"/>
          <w:b/>
          <w:color w:val="0000FF"/>
        </w:rPr>
        <w:t xml:space="preserve"> </w:t>
      </w:r>
      <w:bookmarkEnd w:id="58"/>
      <w:r w:rsidR="00C6476E" w:rsidRPr="009C75C9">
        <w:rPr>
          <w:rFonts w:ascii="Calibri" w:eastAsia="Calibri" w:hAnsi="Calibri" w:cs="Times New Roman"/>
          <w:color w:val="0000FF"/>
        </w:rPr>
        <w:t>We used</w:t>
      </w:r>
      <w:r w:rsidR="00C6476E" w:rsidRPr="009C75C9">
        <w:rPr>
          <w:rFonts w:ascii="Calibri" w:eastAsia="Calibri" w:hAnsi="Calibri" w:cs="Times New Roman"/>
          <w:b/>
          <w:color w:val="0000FF"/>
        </w:rPr>
        <w:t xml:space="preserve"> </w:t>
      </w:r>
      <w:r w:rsidR="00C6476E" w:rsidRPr="009C75C9">
        <w:rPr>
          <w:rFonts w:ascii="Calibri" w:eastAsia="Calibri" w:hAnsi="Calibri"/>
          <w:bCs/>
          <w:color w:val="0000FF"/>
        </w:rPr>
        <w:t xml:space="preserve">Rasch analysis to determine how well the </w:t>
      </w:r>
      <w:r w:rsidR="00C6476E">
        <w:rPr>
          <w:rFonts w:ascii="Calibri" w:eastAsia="Calibri" w:hAnsi="Calibri"/>
          <w:bCs/>
          <w:color w:val="0000FF"/>
        </w:rPr>
        <w:t xml:space="preserve">mobility </w:t>
      </w:r>
      <w:r w:rsidR="00C6476E" w:rsidRPr="009C75C9">
        <w:rPr>
          <w:rFonts w:ascii="Calibri" w:eastAsia="Calibri" w:hAnsi="Calibri"/>
          <w:bCs/>
          <w:color w:val="0000FF"/>
        </w:rPr>
        <w:t xml:space="preserve">items work together to measure the construct of </w:t>
      </w:r>
      <w:r w:rsidR="00C6476E">
        <w:rPr>
          <w:rFonts w:ascii="Calibri" w:eastAsia="Calibri" w:hAnsi="Calibri"/>
          <w:bCs/>
          <w:color w:val="0000FF"/>
        </w:rPr>
        <w:t>mobility</w:t>
      </w:r>
      <w:r w:rsidR="00C6476E" w:rsidRPr="009C75C9">
        <w:rPr>
          <w:rFonts w:ascii="Calibri" w:eastAsia="Calibri" w:hAnsi="Calibri"/>
          <w:bCs/>
          <w:color w:val="0000FF"/>
        </w:rPr>
        <w:t xml:space="preserve">. Rasch analysis creates a </w:t>
      </w:r>
      <w:r w:rsidR="00C6476E">
        <w:rPr>
          <w:rFonts w:ascii="Calibri" w:eastAsia="Calibri" w:hAnsi="Calibri"/>
          <w:bCs/>
          <w:color w:val="0000FF"/>
        </w:rPr>
        <w:t xml:space="preserve">mobility </w:t>
      </w:r>
      <w:r w:rsidR="00C6476E" w:rsidRPr="009C75C9">
        <w:rPr>
          <w:rFonts w:ascii="Calibri" w:eastAsia="Calibri" w:hAnsi="Calibri"/>
          <w:bCs/>
          <w:color w:val="0000FF"/>
        </w:rPr>
        <w:t xml:space="preserve"> ruler </w:t>
      </w:r>
      <w:r w:rsidR="00C6476E">
        <w:rPr>
          <w:rFonts w:ascii="Calibri" w:eastAsia="Calibri" w:hAnsi="Calibri"/>
          <w:bCs/>
          <w:color w:val="0000FF"/>
        </w:rPr>
        <w:t xml:space="preserve">using log odd units (i.e., logits) </w:t>
      </w:r>
      <w:r w:rsidR="00C6476E" w:rsidRPr="003F6B46">
        <w:rPr>
          <w:rFonts w:eastAsia="Calibri" w:cstheme="minorHAnsi"/>
          <w:bCs/>
          <w:color w:val="0000FF"/>
        </w:rPr>
        <w:t>centered at the value 0.  A “logit” (</w:t>
      </w:r>
      <w:r w:rsidR="00C6476E" w:rsidRPr="00DD208F">
        <w:rPr>
          <w:rFonts w:cstheme="minorHAnsi"/>
          <w:color w:val="0000FF"/>
        </w:rPr>
        <w:t xml:space="preserve">a contraction of "Log-Odds Unit") is a linear scale </w:t>
      </w:r>
      <w:r w:rsidR="00C6476E" w:rsidRPr="00DD208F">
        <w:rPr>
          <w:rFonts w:ascii="Calibri" w:eastAsia="Calibri" w:hAnsi="Calibri"/>
          <w:bCs/>
          <w:color w:val="0000FF"/>
        </w:rPr>
        <w:t xml:space="preserve">We report IRF testing results using a </w:t>
      </w:r>
      <w:bookmarkStart w:id="59" w:name="OLE_LINK1"/>
      <w:bookmarkStart w:id="60" w:name="OLE_LINK2"/>
      <w:bookmarkStart w:id="61" w:name="OLE_LINK3"/>
      <w:r w:rsidR="00C6476E" w:rsidRPr="00DD208F">
        <w:rPr>
          <w:rFonts w:ascii="Calibri" w:eastAsia="Calibri" w:hAnsi="Calibri"/>
          <w:bCs/>
          <w:color w:val="0000FF"/>
        </w:rPr>
        <w:t xml:space="preserve">Rasch-derived mobility ruler </w:t>
      </w:r>
      <w:bookmarkEnd w:id="59"/>
      <w:bookmarkEnd w:id="60"/>
      <w:bookmarkEnd w:id="61"/>
      <w:r w:rsidR="00C6476E" w:rsidRPr="00DD208F">
        <w:rPr>
          <w:rFonts w:ascii="Calibri" w:eastAsia="Calibri" w:hAnsi="Calibri"/>
          <w:bCs/>
          <w:color w:val="0000FF"/>
        </w:rPr>
        <w:t xml:space="preserve">that was developed using data from IRFs, skilled nursing facilities and long-term care hospitals. </w:t>
      </w:r>
      <w:r w:rsidRPr="00DD208F">
        <w:rPr>
          <w:rFonts w:ascii="Calibri" w:eastAsia="Calibri" w:hAnsi="Calibri"/>
          <w:color w:val="0000FF"/>
        </w:rPr>
        <w:t>T</w:t>
      </w:r>
      <w:r w:rsidRPr="00720E63">
        <w:rPr>
          <w:rFonts w:ascii="Calibri" w:eastAsia="Calibri" w:hAnsi="Calibri"/>
          <w:color w:val="0000FF"/>
        </w:rPr>
        <w:t xml:space="preserve">he </w:t>
      </w:r>
      <w:r>
        <w:rPr>
          <w:rFonts w:ascii="Calibri" w:eastAsia="Calibri" w:hAnsi="Calibri"/>
          <w:color w:val="0000FF"/>
        </w:rPr>
        <w:t xml:space="preserve">analysis of the Section GG mobility data show that the </w:t>
      </w:r>
      <w:r w:rsidRPr="00720E63">
        <w:rPr>
          <w:rFonts w:ascii="Calibri" w:eastAsia="Calibri" w:hAnsi="Calibri"/>
          <w:color w:val="0000FF"/>
        </w:rPr>
        <w:t xml:space="preserve">placement of each </w:t>
      </w:r>
      <w:r>
        <w:rPr>
          <w:rFonts w:ascii="Calibri" w:eastAsia="Calibri" w:hAnsi="Calibri"/>
          <w:color w:val="0000FF"/>
        </w:rPr>
        <w:t>mobility</w:t>
      </w:r>
      <w:r w:rsidRPr="00720E63">
        <w:rPr>
          <w:rFonts w:ascii="Calibri" w:eastAsia="Calibri" w:hAnsi="Calibri"/>
          <w:color w:val="0000FF"/>
        </w:rPr>
        <w:t xml:space="preserve"> item on the</w:t>
      </w:r>
      <w:r>
        <w:rPr>
          <w:rFonts w:ascii="Calibri" w:eastAsia="Calibri" w:hAnsi="Calibri"/>
          <w:color w:val="0000FF"/>
        </w:rPr>
        <w:t xml:space="preserve"> cross-setting</w:t>
      </w:r>
      <w:r w:rsidRPr="00720E63">
        <w:rPr>
          <w:rFonts w:ascii="Calibri" w:eastAsia="Calibri" w:hAnsi="Calibri"/>
          <w:color w:val="0000FF"/>
        </w:rPr>
        <w:t xml:space="preserve"> </w:t>
      </w:r>
      <w:r>
        <w:rPr>
          <w:rFonts w:ascii="Calibri" w:eastAsia="Calibri" w:hAnsi="Calibri"/>
          <w:color w:val="0000FF"/>
        </w:rPr>
        <w:t>mobility</w:t>
      </w:r>
      <w:r w:rsidRPr="00720E63">
        <w:rPr>
          <w:rFonts w:ascii="Calibri" w:eastAsia="Calibri" w:hAnsi="Calibri"/>
          <w:color w:val="0000FF"/>
        </w:rPr>
        <w:t xml:space="preserve"> “ruler” ma</w:t>
      </w:r>
      <w:r>
        <w:rPr>
          <w:rFonts w:ascii="Calibri" w:eastAsia="Calibri" w:hAnsi="Calibri"/>
          <w:color w:val="0000FF"/>
        </w:rPr>
        <w:t>k</w:t>
      </w:r>
      <w:r w:rsidRPr="00720E63">
        <w:rPr>
          <w:rFonts w:ascii="Calibri" w:eastAsia="Calibri" w:hAnsi="Calibri"/>
          <w:color w:val="0000FF"/>
        </w:rPr>
        <w:t xml:space="preserve">e sense clinically and </w:t>
      </w:r>
      <w:r>
        <w:rPr>
          <w:rFonts w:ascii="Calibri" w:eastAsia="Calibri" w:hAnsi="Calibri"/>
          <w:color w:val="0000FF"/>
        </w:rPr>
        <w:t>are</w:t>
      </w:r>
      <w:r w:rsidRPr="00720E63">
        <w:rPr>
          <w:rFonts w:ascii="Calibri" w:eastAsia="Calibri" w:hAnsi="Calibri"/>
          <w:color w:val="0000FF"/>
        </w:rPr>
        <w:t xml:space="preserve"> consistent with </w:t>
      </w:r>
      <w:r>
        <w:rPr>
          <w:rFonts w:ascii="Calibri" w:eastAsia="Calibri" w:hAnsi="Calibri"/>
          <w:color w:val="0000FF"/>
        </w:rPr>
        <w:t xml:space="preserve">previous analyses of </w:t>
      </w:r>
      <w:r w:rsidRPr="00720E63">
        <w:rPr>
          <w:rFonts w:ascii="Calibri" w:eastAsia="Calibri" w:hAnsi="Calibri"/>
          <w:color w:val="0000FF"/>
        </w:rPr>
        <w:t>other functional assessment scales.</w:t>
      </w:r>
      <w:r w:rsidRPr="00CC19B1">
        <w:t xml:space="preserve"> </w:t>
      </w:r>
      <w:r w:rsidRPr="00CC19B1">
        <w:rPr>
          <w:rFonts w:ascii="Calibri" w:eastAsia="Calibri" w:hAnsi="Calibri"/>
          <w:color w:val="0000FF"/>
        </w:rPr>
        <w:lastRenderedPageBreak/>
        <w:t xml:space="preserve">That is, the order of items from easy to difficult (item hierarchy), is consistent with task difficulties.  </w:t>
      </w:r>
      <w:r w:rsidRPr="00720E63">
        <w:rPr>
          <w:rFonts w:ascii="Calibri" w:eastAsia="Calibri" w:hAnsi="Calibri"/>
          <w:color w:val="0000FF"/>
        </w:rPr>
        <w:t xml:space="preserve">The order of the items by difficulty level, with the hardest activity listed first, is as </w:t>
      </w:r>
      <w:r w:rsidRPr="00DD3378">
        <w:rPr>
          <w:rFonts w:ascii="Calibri" w:eastAsia="Calibri" w:hAnsi="Calibri"/>
          <w:color w:val="0000FF"/>
        </w:rPr>
        <w:t>follows:</w:t>
      </w:r>
    </w:p>
    <w:bookmarkEnd w:id="57"/>
    <w:p w14:paraId="5911B750" w14:textId="693AFA6E" w:rsidR="009803CA" w:rsidRDefault="009803CA" w:rsidP="00092566">
      <w:pPr>
        <w:autoSpaceDE w:val="0"/>
        <w:autoSpaceDN w:val="0"/>
        <w:adjustRightInd w:val="0"/>
        <w:spacing w:after="0" w:line="240" w:lineRule="auto"/>
        <w:rPr>
          <w:rFonts w:cstheme="minorHAnsi"/>
          <w:bCs/>
          <w:i/>
        </w:rPr>
      </w:pPr>
    </w:p>
    <w:p w14:paraId="0259D23B" w14:textId="30467062"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12 Steps (most difficult activity)</w:t>
      </w:r>
    </w:p>
    <w:p w14:paraId="4AE2D44F"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Curb</w:t>
      </w:r>
    </w:p>
    <w:p w14:paraId="7AF7C15A"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4 Steps</w:t>
      </w:r>
    </w:p>
    <w:p w14:paraId="0DC184B2" w14:textId="5E9FFE04"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Pick</w:t>
      </w:r>
      <w:r w:rsidR="00E94725">
        <w:rPr>
          <w:rFonts w:ascii="Calibri" w:eastAsia="Calibri" w:hAnsi="Calibri"/>
          <w:color w:val="0000FF"/>
          <w:sz w:val="20"/>
        </w:rPr>
        <w:t>ing</w:t>
      </w:r>
      <w:r w:rsidRPr="0081784C">
        <w:rPr>
          <w:rFonts w:ascii="Calibri" w:eastAsia="Calibri" w:hAnsi="Calibri"/>
          <w:color w:val="0000FF"/>
          <w:sz w:val="20"/>
        </w:rPr>
        <w:t xml:space="preserve"> Up Object</w:t>
      </w:r>
    </w:p>
    <w:p w14:paraId="540C62D3"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10ft Uneven</w:t>
      </w:r>
    </w:p>
    <w:p w14:paraId="7A382166"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150ft</w:t>
      </w:r>
    </w:p>
    <w:p w14:paraId="566643B5"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Car Transfer</w:t>
      </w:r>
    </w:p>
    <w:p w14:paraId="2C40681F"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50ft Two Turns</w:t>
      </w:r>
    </w:p>
    <w:p w14:paraId="3DE74048"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Walk 10ft</w:t>
      </w:r>
    </w:p>
    <w:p w14:paraId="6B99EDE2"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Toilet Transfer</w:t>
      </w:r>
    </w:p>
    <w:p w14:paraId="0B47EE3E"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Chair Transfer</w:t>
      </w:r>
    </w:p>
    <w:p w14:paraId="618B6CCE"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Sit to Stand</w:t>
      </w:r>
    </w:p>
    <w:p w14:paraId="3CDA0216"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Lying to Sitting</w:t>
      </w:r>
    </w:p>
    <w:p w14:paraId="128EEB60" w14:textId="77777777"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Sit to Lying</w:t>
      </w:r>
    </w:p>
    <w:p w14:paraId="0FE86C23" w14:textId="430DF86C" w:rsidR="0081784C" w:rsidRPr="0081784C" w:rsidRDefault="0081784C" w:rsidP="0081784C">
      <w:pPr>
        <w:autoSpaceDE w:val="0"/>
        <w:autoSpaceDN w:val="0"/>
        <w:adjustRightInd w:val="0"/>
        <w:spacing w:after="0" w:line="240" w:lineRule="auto"/>
        <w:jc w:val="center"/>
        <w:rPr>
          <w:rFonts w:ascii="Calibri" w:eastAsia="Calibri" w:hAnsi="Calibri"/>
          <w:color w:val="0000FF"/>
          <w:sz w:val="20"/>
        </w:rPr>
      </w:pPr>
      <w:r w:rsidRPr="0081784C">
        <w:rPr>
          <w:rFonts w:ascii="Calibri" w:eastAsia="Calibri" w:hAnsi="Calibri"/>
          <w:color w:val="0000FF"/>
          <w:sz w:val="20"/>
        </w:rPr>
        <w:t>Roll Left &amp; Right (easiest activity)</w:t>
      </w:r>
    </w:p>
    <w:p w14:paraId="16A63C09" w14:textId="77777777" w:rsidR="0081784C" w:rsidRPr="0081784C" w:rsidRDefault="0081784C" w:rsidP="00092566">
      <w:pPr>
        <w:autoSpaceDE w:val="0"/>
        <w:autoSpaceDN w:val="0"/>
        <w:adjustRightInd w:val="0"/>
        <w:spacing w:after="0" w:line="240" w:lineRule="auto"/>
        <w:rPr>
          <w:rFonts w:cstheme="minorHAnsi"/>
          <w:bCs/>
        </w:rPr>
      </w:pPr>
    </w:p>
    <w:p w14:paraId="502D6BB6" w14:textId="70989E62" w:rsidR="009803CA" w:rsidRPr="00720E63" w:rsidRDefault="009803CA" w:rsidP="009803CA">
      <w:pPr>
        <w:spacing w:after="0" w:line="240" w:lineRule="auto"/>
        <w:outlineLvl w:val="4"/>
        <w:rPr>
          <w:color w:val="0000FF"/>
        </w:rPr>
      </w:pPr>
      <w:bookmarkStart w:id="62" w:name="_Hlk534492179"/>
      <w:r w:rsidRPr="00720E63">
        <w:rPr>
          <w:b/>
          <w:bCs/>
          <w:color w:val="0000FF"/>
        </w:rPr>
        <w:t xml:space="preserve">Figure 1 </w:t>
      </w:r>
      <w:r w:rsidRPr="00720E63">
        <w:rPr>
          <w:color w:val="0000FF"/>
        </w:rPr>
        <w:t xml:space="preserve">reports the item hierarchy, the patient distribution and the rating scale scores in one graphic. </w:t>
      </w:r>
      <w:r w:rsidR="00C6476E">
        <w:rPr>
          <w:rFonts w:ascii="Calibri" w:eastAsia="Calibri" w:hAnsi="Calibri" w:cs="Times New Roman"/>
          <w:color w:val="0000FF"/>
        </w:rPr>
        <w:t xml:space="preserve">In addition, </w:t>
      </w:r>
      <w:r w:rsidR="00C6476E">
        <w:rPr>
          <w:rFonts w:ascii="Calibri" w:eastAsia="Calibri" w:hAnsi="Calibri" w:cs="Times New Roman"/>
          <w:b/>
          <w:color w:val="0000FF"/>
        </w:rPr>
        <w:t xml:space="preserve">Figure 1 </w:t>
      </w:r>
      <w:r w:rsidR="00C6476E" w:rsidRPr="0044102F">
        <w:rPr>
          <w:rFonts w:ascii="Calibri" w:eastAsia="Calibri" w:hAnsi="Calibri" w:cs="Times New Roman"/>
          <w:color w:val="0000FF"/>
        </w:rPr>
        <w:t>is presented on the</w:t>
      </w:r>
      <w:r w:rsidR="00C6476E">
        <w:rPr>
          <w:rFonts w:ascii="Calibri" w:eastAsia="Calibri" w:hAnsi="Calibri" w:cs="Times New Roman"/>
          <w:b/>
          <w:color w:val="0000FF"/>
        </w:rPr>
        <w:t xml:space="preserve"> </w:t>
      </w:r>
      <w:r w:rsidR="00C6476E">
        <w:rPr>
          <w:rFonts w:ascii="Calibri" w:eastAsia="Calibri" w:hAnsi="Calibri"/>
          <w:bCs/>
          <w:color w:val="0000FF"/>
        </w:rPr>
        <w:t xml:space="preserve">Rasch-derived mobility ruler, expressed in logits and centered at a value of 0, as described previously. </w:t>
      </w:r>
      <w:r w:rsidRPr="00720E63">
        <w:rPr>
          <w:color w:val="0000FF"/>
        </w:rPr>
        <w:t xml:space="preserve">It shows the overall expected score placement on the </w:t>
      </w:r>
      <w:r>
        <w:rPr>
          <w:color w:val="0000FF"/>
        </w:rPr>
        <w:t>mobility</w:t>
      </w:r>
      <w:r w:rsidRPr="00720E63">
        <w:rPr>
          <w:color w:val="0000FF"/>
        </w:rPr>
        <w:t xml:space="preserve"> “ruler” for each item. </w:t>
      </w:r>
      <w:r>
        <w:rPr>
          <w:color w:val="0000FF"/>
        </w:rPr>
        <w:t>The ruler values, ranging from -</w:t>
      </w:r>
      <w:r w:rsidR="006357F1">
        <w:rPr>
          <w:color w:val="0000FF"/>
        </w:rPr>
        <w:t>9</w:t>
      </w:r>
      <w:r>
        <w:rPr>
          <w:color w:val="0000FF"/>
        </w:rPr>
        <w:t xml:space="preserve"> to +7 logits</w:t>
      </w:r>
      <w:r w:rsidR="00C03309">
        <w:rPr>
          <w:color w:val="0000FF"/>
        </w:rPr>
        <w:t>,</w:t>
      </w:r>
      <w:r>
        <w:rPr>
          <w:color w:val="0000FF"/>
        </w:rPr>
        <w:t xml:space="preserve"> are shown on the top and bottom vertical lines. </w:t>
      </w:r>
      <w:r w:rsidRPr="00720E63">
        <w:rPr>
          <w:color w:val="0000FF"/>
        </w:rPr>
        <w:t>The difficulty order</w:t>
      </w:r>
      <w:r w:rsidR="00210A4F">
        <w:rPr>
          <w:color w:val="0000FF"/>
        </w:rPr>
        <w:t xml:space="preserve"> (item hierarchy)</w:t>
      </w:r>
      <w:r w:rsidRPr="00720E63">
        <w:rPr>
          <w:color w:val="0000FF"/>
        </w:rPr>
        <w:t xml:space="preserve">, from easy (bottom) to difficult (top), is shown on the right side of the graphic. For each item presented on the right, the overall expected placement of the score options (from “1” for “dependent” to “6” for “independent”) are shown along the ruler. Each item is presented on a row and the scores begin with the most dependent (represented by the “1”) on the far-left graphic boundary and the most independent (represented by “6”) on far-right graphic boundary. Finally, the threshold between two score options is represented by a colon (:) and is where a patient has an equal chance of </w:t>
      </w:r>
      <w:r>
        <w:rPr>
          <w:color w:val="0000FF"/>
        </w:rPr>
        <w:t xml:space="preserve">being </w:t>
      </w:r>
      <w:r w:rsidRPr="00720E63">
        <w:rPr>
          <w:color w:val="0000FF"/>
        </w:rPr>
        <w:t xml:space="preserve">in either the higher or lower category. Use of the “ruler” allows visualization of the scores for each </w:t>
      </w:r>
      <w:r>
        <w:rPr>
          <w:color w:val="0000FF"/>
        </w:rPr>
        <w:t>mobility</w:t>
      </w:r>
      <w:r w:rsidRPr="00720E63">
        <w:rPr>
          <w:color w:val="0000FF"/>
        </w:rPr>
        <w:t xml:space="preserve"> item in relation to the scores of other </w:t>
      </w:r>
      <w:r>
        <w:rPr>
          <w:color w:val="0000FF"/>
        </w:rPr>
        <w:t>mobility</w:t>
      </w:r>
      <w:r w:rsidRPr="00720E63">
        <w:rPr>
          <w:color w:val="0000FF"/>
        </w:rPr>
        <w:t xml:space="preserve"> items. The letters at the bottom of </w:t>
      </w:r>
      <w:r w:rsidRPr="00720E63">
        <w:rPr>
          <w:b/>
          <w:bCs/>
          <w:color w:val="0000FF"/>
        </w:rPr>
        <w:t>Figure 1</w:t>
      </w:r>
      <w:r w:rsidRPr="00720E63">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bookmarkEnd w:id="62"/>
    <w:p w14:paraId="5BFB3BAE" w14:textId="27C2ED6B" w:rsidR="009803CA" w:rsidRDefault="009803CA" w:rsidP="00092566">
      <w:pPr>
        <w:autoSpaceDE w:val="0"/>
        <w:autoSpaceDN w:val="0"/>
        <w:adjustRightInd w:val="0"/>
        <w:spacing w:after="0" w:line="240" w:lineRule="auto"/>
        <w:rPr>
          <w:rFonts w:cstheme="minorHAnsi"/>
          <w:bCs/>
        </w:rPr>
      </w:pPr>
    </w:p>
    <w:p w14:paraId="1D0AF6D9" w14:textId="77777777" w:rsidR="001679C6" w:rsidRDefault="001679C6" w:rsidP="001679C6">
      <w:pPr>
        <w:spacing w:after="0" w:line="240" w:lineRule="auto"/>
        <w:rPr>
          <w:sz w:val="20"/>
          <w:szCs w:val="20"/>
        </w:rPr>
      </w:pPr>
      <w:r w:rsidRPr="00B237FD">
        <w:rPr>
          <w:rFonts w:ascii="Calibri" w:eastAsia="Calibri" w:hAnsi="Calibri"/>
          <w:color w:val="0000FF"/>
        </w:rPr>
        <w:t xml:space="preserve">Findings and Interpretation: The item hierarchy listing and </w:t>
      </w:r>
      <w:r w:rsidRPr="00B237FD">
        <w:rPr>
          <w:rFonts w:ascii="Calibri" w:eastAsia="Calibri" w:hAnsi="Calibri"/>
          <w:b/>
          <w:color w:val="0000FF"/>
        </w:rPr>
        <w:t>Figure 1</w:t>
      </w:r>
      <w:r w:rsidRPr="00B237FD">
        <w:rPr>
          <w:rFonts w:ascii="Calibri" w:eastAsia="Calibri" w:hAnsi="Calibri"/>
          <w:color w:val="0000FF"/>
        </w:rPr>
        <w:t xml:space="preserve"> illustrate that the mobility items fall along the cross-setting “ruler” as expected and are consistent with clinical findings from applications in the field and other functional assessment instruments.</w:t>
      </w:r>
      <w:r w:rsidRPr="00CC19B1">
        <w:rPr>
          <w:rFonts w:ascii="Calibri" w:eastAsia="Calibri" w:hAnsi="Calibri"/>
          <w:color w:val="0000FF"/>
        </w:rPr>
        <w:t xml:space="preserve">  </w:t>
      </w:r>
    </w:p>
    <w:p w14:paraId="6B26A500" w14:textId="77777777" w:rsidR="001679C6" w:rsidRDefault="001679C6">
      <w:pPr>
        <w:rPr>
          <w:b/>
          <w:color w:val="0000FF"/>
        </w:rPr>
      </w:pPr>
      <w:r>
        <w:rPr>
          <w:b/>
          <w:color w:val="0000FF"/>
        </w:rPr>
        <w:br w:type="page"/>
      </w:r>
    </w:p>
    <w:p w14:paraId="31F249E5" w14:textId="23AAD128" w:rsidR="009803CA" w:rsidRPr="00C03309" w:rsidRDefault="009803CA" w:rsidP="009803CA">
      <w:pPr>
        <w:rPr>
          <w:b/>
          <w:color w:val="0000FF"/>
        </w:rPr>
      </w:pPr>
      <w:r w:rsidRPr="00D93D3D">
        <w:rPr>
          <w:b/>
          <w:color w:val="0000FF"/>
        </w:rPr>
        <w:lastRenderedPageBreak/>
        <w:t xml:space="preserve">Figure 1. </w:t>
      </w:r>
      <w:r w:rsidR="004010E2">
        <w:rPr>
          <w:b/>
          <w:color w:val="0000FF"/>
        </w:rPr>
        <w:t xml:space="preserve">IRF </w:t>
      </w:r>
      <w:r w:rsidRPr="00C03309">
        <w:rPr>
          <w:b/>
          <w:color w:val="0000FF"/>
        </w:rPr>
        <w:t>Mobility IRF Item</w:t>
      </w:r>
      <w:r w:rsidR="004010E2" w:rsidRPr="00C03309">
        <w:rPr>
          <w:b/>
          <w:color w:val="0000FF"/>
        </w:rPr>
        <w:t>s</w:t>
      </w:r>
      <w:r w:rsidRPr="00C03309">
        <w:rPr>
          <w:b/>
          <w:color w:val="0000FF"/>
        </w:rPr>
        <w:t xml:space="preserve"> – Anchored on the </w:t>
      </w:r>
      <w:r w:rsidR="004010E2" w:rsidRPr="00C03309">
        <w:rPr>
          <w:b/>
          <w:color w:val="0000FF"/>
        </w:rPr>
        <w:t>C</w:t>
      </w:r>
      <w:r w:rsidRPr="00C03309">
        <w:rPr>
          <w:b/>
          <w:color w:val="0000FF"/>
        </w:rPr>
        <w:t>ross-</w:t>
      </w:r>
      <w:r w:rsidR="004010E2" w:rsidRPr="00C03309">
        <w:rPr>
          <w:b/>
          <w:color w:val="0000FF"/>
        </w:rPr>
        <w:t>S</w:t>
      </w:r>
      <w:r w:rsidRPr="00C03309">
        <w:rPr>
          <w:b/>
          <w:color w:val="0000FF"/>
        </w:rPr>
        <w:t xml:space="preserve">etting </w:t>
      </w:r>
      <w:r w:rsidR="004010E2" w:rsidRPr="00C03309">
        <w:rPr>
          <w:b/>
          <w:color w:val="0000FF"/>
        </w:rPr>
        <w:t>M</w:t>
      </w:r>
      <w:r w:rsidRPr="00C03309">
        <w:rPr>
          <w:b/>
          <w:color w:val="0000FF"/>
        </w:rPr>
        <w:t xml:space="preserve">obility </w:t>
      </w:r>
      <w:r w:rsidR="004010E2" w:rsidRPr="00C03309">
        <w:rPr>
          <w:b/>
          <w:color w:val="0000FF"/>
        </w:rPr>
        <w:t>R</w:t>
      </w:r>
      <w:r w:rsidRPr="00C03309">
        <w:rPr>
          <w:b/>
          <w:color w:val="0000FF"/>
        </w:rPr>
        <w:t>uler</w:t>
      </w:r>
    </w:p>
    <w:p w14:paraId="2BBF5883" w14:textId="77777777" w:rsidR="00B237FD" w:rsidRPr="006956EC" w:rsidRDefault="00B237FD" w:rsidP="00B237FD">
      <w:pPr>
        <w:spacing w:after="0" w:line="240" w:lineRule="auto"/>
        <w:rPr>
          <w:color w:val="0000FF"/>
          <w:sz w:val="20"/>
          <w:szCs w:val="20"/>
        </w:rPr>
      </w:pPr>
    </w:p>
    <w:p w14:paraId="66B3603F" w14:textId="77777777" w:rsidR="00B237FD" w:rsidRPr="006956EC" w:rsidRDefault="00B237FD" w:rsidP="00B237FD">
      <w:pPr>
        <w:spacing w:after="0" w:line="240" w:lineRule="auto"/>
        <w:rPr>
          <w:rFonts w:ascii="Courier New" w:hAnsi="Courier New" w:cs="Courier New"/>
          <w:color w:val="0000FF"/>
          <w:sz w:val="16"/>
          <w:szCs w:val="16"/>
        </w:rPr>
      </w:pPr>
      <w:bookmarkStart w:id="63" w:name="_Hlk534616084"/>
      <w:r w:rsidRPr="006956EC">
        <w:rPr>
          <w:rFonts w:ascii="Courier New" w:hAnsi="Courier New" w:cs="Courier New"/>
          <w:color w:val="0000FF"/>
          <w:sz w:val="16"/>
          <w:szCs w:val="16"/>
        </w:rPr>
        <w:t>-9    -7     -5     -3     -1      1      3      5      7</w:t>
      </w:r>
    </w:p>
    <w:p w14:paraId="0A8035BE"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NUM   ITEM</w:t>
      </w:r>
    </w:p>
    <w:p w14:paraId="739A803A" w14:textId="05E543B1"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24* ST</w:t>
      </w:r>
      <w:r w:rsidR="00C03309">
        <w:rPr>
          <w:rFonts w:ascii="Courier New" w:hAnsi="Courier New" w:cs="Courier New"/>
          <w:color w:val="0000FF"/>
          <w:sz w:val="16"/>
          <w:szCs w:val="16"/>
        </w:rPr>
        <w:t>E</w:t>
      </w:r>
      <w:r w:rsidRPr="006956EC">
        <w:rPr>
          <w:rFonts w:ascii="Courier New" w:hAnsi="Courier New" w:cs="Courier New"/>
          <w:color w:val="0000FF"/>
          <w:sz w:val="16"/>
          <w:szCs w:val="16"/>
        </w:rPr>
        <w:t>P</w:t>
      </w:r>
      <w:r w:rsidR="00C03309">
        <w:rPr>
          <w:rFonts w:ascii="Courier New" w:hAnsi="Courier New" w:cs="Courier New"/>
          <w:color w:val="0000FF"/>
          <w:sz w:val="16"/>
          <w:szCs w:val="16"/>
        </w:rPr>
        <w:t xml:space="preserve"> </w:t>
      </w:r>
      <w:r w:rsidRPr="006956EC">
        <w:rPr>
          <w:rFonts w:ascii="Courier New" w:hAnsi="Courier New" w:cs="Courier New"/>
          <w:color w:val="0000FF"/>
          <w:sz w:val="16"/>
          <w:szCs w:val="16"/>
        </w:rPr>
        <w:t>12</w:t>
      </w:r>
    </w:p>
    <w:p w14:paraId="093638D8"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002F6F0B" w14:textId="25BCC7D8"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1  :   2   :    3    :     4   : 5  : 6  6   22* </w:t>
      </w:r>
      <w:r w:rsidR="00C03309">
        <w:rPr>
          <w:rFonts w:ascii="Courier New" w:hAnsi="Courier New" w:cs="Courier New"/>
          <w:color w:val="0000FF"/>
          <w:sz w:val="16"/>
          <w:szCs w:val="16"/>
        </w:rPr>
        <w:t>CURB</w:t>
      </w:r>
    </w:p>
    <w:p w14:paraId="36C3B1CB" w14:textId="7C8E7CAB"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23* ST</w:t>
      </w:r>
      <w:r w:rsidR="0051041D">
        <w:rPr>
          <w:rFonts w:ascii="Courier New" w:hAnsi="Courier New" w:cs="Courier New"/>
          <w:color w:val="0000FF"/>
          <w:sz w:val="16"/>
          <w:szCs w:val="16"/>
        </w:rPr>
        <w:t>E</w:t>
      </w:r>
      <w:r w:rsidRPr="006956EC">
        <w:rPr>
          <w:rFonts w:ascii="Courier New" w:hAnsi="Courier New" w:cs="Courier New"/>
          <w:color w:val="0000FF"/>
          <w:sz w:val="16"/>
          <w:szCs w:val="16"/>
        </w:rPr>
        <w:t>P</w:t>
      </w:r>
      <w:r w:rsidR="0051041D">
        <w:rPr>
          <w:rFonts w:ascii="Courier New" w:hAnsi="Courier New" w:cs="Courier New"/>
          <w:color w:val="0000FF"/>
          <w:sz w:val="16"/>
          <w:szCs w:val="16"/>
        </w:rPr>
        <w:t xml:space="preserve"> </w:t>
      </w:r>
      <w:r w:rsidRPr="006956EC">
        <w:rPr>
          <w:rFonts w:ascii="Courier New" w:hAnsi="Courier New" w:cs="Courier New"/>
          <w:color w:val="0000FF"/>
          <w:sz w:val="16"/>
          <w:szCs w:val="16"/>
        </w:rPr>
        <w:t>4</w:t>
      </w:r>
    </w:p>
    <w:p w14:paraId="0C888674" w14:textId="01E996FF"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25* P</w:t>
      </w:r>
      <w:r w:rsidR="0051041D">
        <w:rPr>
          <w:rFonts w:ascii="Courier New" w:hAnsi="Courier New" w:cs="Courier New"/>
          <w:color w:val="0000FF"/>
          <w:sz w:val="16"/>
          <w:szCs w:val="16"/>
        </w:rPr>
        <w:t>I</w:t>
      </w:r>
      <w:r w:rsidRPr="006956EC">
        <w:rPr>
          <w:rFonts w:ascii="Courier New" w:hAnsi="Courier New" w:cs="Courier New"/>
          <w:color w:val="0000FF"/>
          <w:sz w:val="16"/>
          <w:szCs w:val="16"/>
        </w:rPr>
        <w:t>CK</w:t>
      </w:r>
      <w:r w:rsidR="0051041D">
        <w:rPr>
          <w:rFonts w:ascii="Courier New" w:hAnsi="Courier New" w:cs="Courier New"/>
          <w:color w:val="0000FF"/>
          <w:sz w:val="16"/>
          <w:szCs w:val="16"/>
        </w:rPr>
        <w:t xml:space="preserve"> U</w:t>
      </w:r>
      <w:r w:rsidRPr="006956EC">
        <w:rPr>
          <w:rFonts w:ascii="Courier New" w:hAnsi="Courier New" w:cs="Courier New"/>
          <w:color w:val="0000FF"/>
          <w:sz w:val="16"/>
          <w:szCs w:val="16"/>
        </w:rPr>
        <w:t>P</w:t>
      </w:r>
      <w:r w:rsidR="0051041D">
        <w:rPr>
          <w:rFonts w:ascii="Courier New" w:hAnsi="Courier New" w:cs="Courier New"/>
          <w:color w:val="0000FF"/>
          <w:sz w:val="16"/>
          <w:szCs w:val="16"/>
        </w:rPr>
        <w:t xml:space="preserve"> </w:t>
      </w:r>
      <w:r w:rsidRPr="006956EC">
        <w:rPr>
          <w:rFonts w:ascii="Courier New" w:hAnsi="Courier New" w:cs="Courier New"/>
          <w:color w:val="0000FF"/>
          <w:sz w:val="16"/>
          <w:szCs w:val="16"/>
        </w:rPr>
        <w:t>OBJ</w:t>
      </w:r>
      <w:r w:rsidR="0051041D">
        <w:rPr>
          <w:rFonts w:ascii="Courier New" w:hAnsi="Courier New" w:cs="Courier New"/>
          <w:color w:val="0000FF"/>
          <w:sz w:val="16"/>
          <w:szCs w:val="16"/>
        </w:rPr>
        <w:t>ECT</w:t>
      </w:r>
    </w:p>
    <w:p w14:paraId="6C9AB980" w14:textId="4E5C3554"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21* WLK</w:t>
      </w:r>
      <w:r w:rsidR="0051041D">
        <w:rPr>
          <w:rFonts w:ascii="Courier New" w:hAnsi="Courier New" w:cs="Courier New"/>
          <w:color w:val="0000FF"/>
          <w:sz w:val="16"/>
          <w:szCs w:val="16"/>
        </w:rPr>
        <w:t xml:space="preserve"> </w:t>
      </w:r>
      <w:r w:rsidRPr="006956EC">
        <w:rPr>
          <w:rFonts w:ascii="Courier New" w:hAnsi="Courier New" w:cs="Courier New"/>
          <w:color w:val="0000FF"/>
          <w:sz w:val="16"/>
          <w:szCs w:val="16"/>
        </w:rPr>
        <w:t>10</w:t>
      </w:r>
      <w:r w:rsidR="0051041D">
        <w:rPr>
          <w:rFonts w:ascii="Courier New" w:hAnsi="Courier New" w:cs="Courier New"/>
          <w:color w:val="0000FF"/>
          <w:sz w:val="16"/>
          <w:szCs w:val="16"/>
        </w:rPr>
        <w:t xml:space="preserve"> FEET </w:t>
      </w:r>
      <w:r w:rsidRPr="006956EC">
        <w:rPr>
          <w:rFonts w:ascii="Courier New" w:hAnsi="Courier New" w:cs="Courier New"/>
          <w:color w:val="0000FF"/>
          <w:sz w:val="16"/>
          <w:szCs w:val="16"/>
        </w:rPr>
        <w:t>U</w:t>
      </w:r>
      <w:r w:rsidR="0051041D">
        <w:rPr>
          <w:rFonts w:ascii="Courier New" w:hAnsi="Courier New" w:cs="Courier New"/>
          <w:color w:val="0000FF"/>
          <w:sz w:val="16"/>
          <w:szCs w:val="16"/>
        </w:rPr>
        <w:t>NEVEN SURFACE</w:t>
      </w:r>
    </w:p>
    <w:p w14:paraId="06CB4788" w14:textId="7EF1030F"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10* WLK</w:t>
      </w:r>
      <w:r w:rsidR="006956EC">
        <w:rPr>
          <w:rFonts w:ascii="Courier New" w:hAnsi="Courier New" w:cs="Courier New"/>
          <w:color w:val="0000FF"/>
          <w:sz w:val="16"/>
          <w:szCs w:val="16"/>
        </w:rPr>
        <w:t xml:space="preserve"> </w:t>
      </w:r>
      <w:r w:rsidRPr="006956EC">
        <w:rPr>
          <w:rFonts w:ascii="Courier New" w:hAnsi="Courier New" w:cs="Courier New"/>
          <w:color w:val="0000FF"/>
          <w:sz w:val="16"/>
          <w:szCs w:val="16"/>
        </w:rPr>
        <w:t>150</w:t>
      </w:r>
      <w:r w:rsidR="006956EC">
        <w:rPr>
          <w:rFonts w:ascii="Courier New" w:hAnsi="Courier New" w:cs="Courier New"/>
          <w:color w:val="0000FF"/>
          <w:sz w:val="16"/>
          <w:szCs w:val="16"/>
        </w:rPr>
        <w:t xml:space="preserve"> FEET</w:t>
      </w:r>
    </w:p>
    <w:p w14:paraId="3F83F2C4" w14:textId="195FD902"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20* CAR</w:t>
      </w:r>
      <w:r w:rsidR="006956EC">
        <w:rPr>
          <w:rFonts w:ascii="Courier New" w:hAnsi="Courier New" w:cs="Courier New"/>
          <w:color w:val="0000FF"/>
          <w:sz w:val="16"/>
          <w:szCs w:val="16"/>
        </w:rPr>
        <w:t xml:space="preserve"> TRANSFER</w:t>
      </w:r>
    </w:p>
    <w:p w14:paraId="4405122F"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11976BC5" w14:textId="588BB3B9"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9* WLK</w:t>
      </w:r>
      <w:r w:rsidR="006956EC">
        <w:rPr>
          <w:rFonts w:ascii="Courier New" w:hAnsi="Courier New" w:cs="Courier New"/>
          <w:color w:val="0000FF"/>
          <w:sz w:val="16"/>
          <w:szCs w:val="16"/>
        </w:rPr>
        <w:t xml:space="preserve"> </w:t>
      </w:r>
      <w:r w:rsidRPr="006956EC">
        <w:rPr>
          <w:rFonts w:ascii="Courier New" w:hAnsi="Courier New" w:cs="Courier New"/>
          <w:color w:val="0000FF"/>
          <w:sz w:val="16"/>
          <w:szCs w:val="16"/>
        </w:rPr>
        <w:t>50</w:t>
      </w:r>
      <w:r w:rsidR="006956EC">
        <w:rPr>
          <w:rFonts w:ascii="Courier New" w:hAnsi="Courier New" w:cs="Courier New"/>
          <w:color w:val="0000FF"/>
          <w:sz w:val="16"/>
          <w:szCs w:val="16"/>
        </w:rPr>
        <w:t xml:space="preserve"> FEET WITH TWO TURNS</w:t>
      </w:r>
    </w:p>
    <w:p w14:paraId="790E1E1C" w14:textId="58B7283A"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15* WLK</w:t>
      </w:r>
      <w:r w:rsidR="006956EC">
        <w:rPr>
          <w:rFonts w:ascii="Courier New" w:hAnsi="Courier New" w:cs="Courier New"/>
          <w:color w:val="0000FF"/>
          <w:sz w:val="16"/>
          <w:szCs w:val="16"/>
        </w:rPr>
        <w:t xml:space="preserve"> </w:t>
      </w:r>
      <w:r w:rsidRPr="006956EC">
        <w:rPr>
          <w:rFonts w:ascii="Courier New" w:hAnsi="Courier New" w:cs="Courier New"/>
          <w:color w:val="0000FF"/>
          <w:sz w:val="16"/>
          <w:szCs w:val="16"/>
        </w:rPr>
        <w:t>10</w:t>
      </w:r>
      <w:r w:rsidR="006956EC">
        <w:rPr>
          <w:rFonts w:ascii="Courier New" w:hAnsi="Courier New" w:cs="Courier New"/>
          <w:color w:val="0000FF"/>
          <w:sz w:val="16"/>
          <w:szCs w:val="16"/>
        </w:rPr>
        <w:t xml:space="preserve"> FEET</w:t>
      </w:r>
    </w:p>
    <w:p w14:paraId="2DA60532" w14:textId="1823EF92"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8* TOIL</w:t>
      </w:r>
      <w:r w:rsidR="006956EC">
        <w:rPr>
          <w:rFonts w:ascii="Courier New" w:hAnsi="Courier New" w:cs="Courier New"/>
          <w:color w:val="0000FF"/>
          <w:sz w:val="16"/>
          <w:szCs w:val="16"/>
        </w:rPr>
        <w:t>E</w:t>
      </w:r>
      <w:r w:rsidRPr="006956EC">
        <w:rPr>
          <w:rFonts w:ascii="Courier New" w:hAnsi="Courier New" w:cs="Courier New"/>
          <w:color w:val="0000FF"/>
          <w:sz w:val="16"/>
          <w:szCs w:val="16"/>
        </w:rPr>
        <w:t>T</w:t>
      </w:r>
      <w:r w:rsidR="006956EC">
        <w:rPr>
          <w:rFonts w:ascii="Courier New" w:hAnsi="Courier New" w:cs="Courier New"/>
          <w:color w:val="0000FF"/>
          <w:sz w:val="16"/>
          <w:szCs w:val="16"/>
        </w:rPr>
        <w:t xml:space="preserve"> TRANSFER</w:t>
      </w:r>
    </w:p>
    <w:p w14:paraId="55220DBA" w14:textId="2D20AEDD"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7* CH</w:t>
      </w:r>
      <w:r w:rsidR="006956EC">
        <w:rPr>
          <w:rFonts w:ascii="Courier New" w:hAnsi="Courier New" w:cs="Courier New"/>
          <w:color w:val="0000FF"/>
          <w:sz w:val="16"/>
          <w:szCs w:val="16"/>
        </w:rPr>
        <w:t>AI</w:t>
      </w:r>
      <w:r w:rsidRPr="006956EC">
        <w:rPr>
          <w:rFonts w:ascii="Courier New" w:hAnsi="Courier New" w:cs="Courier New"/>
          <w:color w:val="0000FF"/>
          <w:sz w:val="16"/>
          <w:szCs w:val="16"/>
        </w:rPr>
        <w:t>R</w:t>
      </w:r>
      <w:r w:rsidR="006956EC">
        <w:rPr>
          <w:rFonts w:ascii="Courier New" w:hAnsi="Courier New" w:cs="Courier New"/>
          <w:color w:val="0000FF"/>
          <w:sz w:val="16"/>
          <w:szCs w:val="16"/>
        </w:rPr>
        <w:t xml:space="preserve"> TRANSFER</w:t>
      </w:r>
      <w:r w:rsidR="006956EC" w:rsidRPr="006956EC">
        <w:rPr>
          <w:rFonts w:ascii="Courier New" w:hAnsi="Courier New" w:cs="Courier New"/>
          <w:color w:val="0000FF"/>
          <w:sz w:val="16"/>
          <w:szCs w:val="16"/>
        </w:rPr>
        <w:t xml:space="preserve"> </w:t>
      </w:r>
    </w:p>
    <w:p w14:paraId="16758C1D" w14:textId="2D85E2C1"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1        1  :    2  :    3    :     4   :  5 : 6        6    6* </w:t>
      </w:r>
      <w:r w:rsidR="006956EC">
        <w:rPr>
          <w:rFonts w:ascii="Courier New" w:hAnsi="Courier New" w:cs="Courier New"/>
          <w:color w:val="0000FF"/>
          <w:sz w:val="16"/>
          <w:szCs w:val="16"/>
        </w:rPr>
        <w:t xml:space="preserve">SIT TO </w:t>
      </w:r>
      <w:r w:rsidRPr="006956EC">
        <w:rPr>
          <w:rFonts w:ascii="Courier New" w:hAnsi="Courier New" w:cs="Courier New"/>
          <w:color w:val="0000FF"/>
          <w:sz w:val="16"/>
          <w:szCs w:val="16"/>
        </w:rPr>
        <w:t>STAND</w:t>
      </w:r>
    </w:p>
    <w:p w14:paraId="368CEB75"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5731C6D0"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2BA4F534" w14:textId="4A63C5D4"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5* LY</w:t>
      </w:r>
      <w:r w:rsidR="006956EC">
        <w:rPr>
          <w:rFonts w:ascii="Courier New" w:hAnsi="Courier New" w:cs="Courier New"/>
          <w:color w:val="0000FF"/>
          <w:sz w:val="16"/>
          <w:szCs w:val="16"/>
        </w:rPr>
        <w:t>I</w:t>
      </w:r>
      <w:r w:rsidRPr="006956EC">
        <w:rPr>
          <w:rFonts w:ascii="Courier New" w:hAnsi="Courier New" w:cs="Courier New"/>
          <w:color w:val="0000FF"/>
          <w:sz w:val="16"/>
          <w:szCs w:val="16"/>
        </w:rPr>
        <w:t>NG</w:t>
      </w:r>
      <w:r w:rsidR="006956EC">
        <w:rPr>
          <w:rFonts w:ascii="Courier New" w:hAnsi="Courier New" w:cs="Courier New"/>
          <w:color w:val="0000FF"/>
          <w:sz w:val="16"/>
          <w:szCs w:val="16"/>
        </w:rPr>
        <w:t xml:space="preserve"> TO SITTING </w:t>
      </w:r>
    </w:p>
    <w:p w14:paraId="725F84FC" w14:textId="2AE6F293"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4* SIT</w:t>
      </w:r>
      <w:r w:rsidR="006956EC">
        <w:rPr>
          <w:rFonts w:ascii="Courier New" w:hAnsi="Courier New" w:cs="Courier New"/>
          <w:color w:val="0000FF"/>
          <w:sz w:val="16"/>
          <w:szCs w:val="16"/>
        </w:rPr>
        <w:t xml:space="preserve"> TO LYING</w:t>
      </w:r>
    </w:p>
    <w:p w14:paraId="557DA11F"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4F9AF98D"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w:t>
      </w:r>
    </w:p>
    <w:p w14:paraId="07648785" w14:textId="4BAE8734"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1  1  :   2   :    3    :     4   :  5 : 6              6   14* ROLL</w:t>
      </w:r>
      <w:r w:rsidR="006956EC">
        <w:rPr>
          <w:rFonts w:ascii="Courier New" w:hAnsi="Courier New" w:cs="Courier New"/>
          <w:color w:val="0000FF"/>
          <w:sz w:val="16"/>
          <w:szCs w:val="16"/>
        </w:rPr>
        <w:t xml:space="preserve"> LEFT AND RIGHT</w:t>
      </w:r>
    </w:p>
    <w:p w14:paraId="36AF9F02"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NUM   ITEM</w:t>
      </w:r>
    </w:p>
    <w:p w14:paraId="0A73D138"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-9    -7     -5     -3     -1      1      3      5      7</w:t>
      </w:r>
    </w:p>
    <w:p w14:paraId="31226D2A"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 xml:space="preserve">      T            S             M            S</w:t>
      </w:r>
    </w:p>
    <w:p w14:paraId="10C2AE38" w14:textId="77777777" w:rsidR="00B237FD" w:rsidRPr="006956EC" w:rsidRDefault="00B237FD" w:rsidP="00B237FD">
      <w:pPr>
        <w:spacing w:after="0" w:line="240" w:lineRule="auto"/>
        <w:rPr>
          <w:rFonts w:ascii="Courier New" w:hAnsi="Courier New" w:cs="Courier New"/>
          <w:color w:val="0000FF"/>
          <w:sz w:val="16"/>
          <w:szCs w:val="16"/>
        </w:rPr>
      </w:pPr>
      <w:r w:rsidRPr="006956EC">
        <w:rPr>
          <w:rFonts w:ascii="Courier New" w:hAnsi="Courier New" w:cs="Courier New"/>
          <w:color w:val="0000FF"/>
          <w:sz w:val="16"/>
          <w:szCs w:val="16"/>
        </w:rPr>
        <w:t>0             10    20  30  40  50  60 70   80   90    99  PERCENTILE</w:t>
      </w:r>
    </w:p>
    <w:bookmarkEnd w:id="63"/>
    <w:p w14:paraId="68839D76" w14:textId="1C3C9C59" w:rsidR="009803CA" w:rsidRPr="00C03309" w:rsidRDefault="009803CA" w:rsidP="009803CA">
      <w:pPr>
        <w:rPr>
          <w:b/>
          <w:color w:val="0000FF"/>
        </w:rPr>
      </w:pPr>
    </w:p>
    <w:p w14:paraId="42BE8CDD" w14:textId="7A091903" w:rsidR="009803CA" w:rsidRPr="00720E63" w:rsidRDefault="009803CA" w:rsidP="009803CA">
      <w:pPr>
        <w:spacing w:line="240" w:lineRule="auto"/>
        <w:rPr>
          <w:rFonts w:ascii="Calibri" w:eastAsia="Calibri" w:hAnsi="Calibri"/>
          <w:color w:val="0000FF"/>
        </w:rPr>
      </w:pPr>
      <w:bookmarkStart w:id="64" w:name="_Hlk534492560"/>
      <w:bookmarkStart w:id="65" w:name="_Hlk533965433"/>
      <w:r w:rsidRPr="00720E63">
        <w:rPr>
          <w:b/>
          <w:color w:val="0000FF"/>
        </w:rPr>
        <w:t>Scale</w:t>
      </w:r>
      <w:r w:rsidR="004010E2">
        <w:rPr>
          <w:b/>
          <w:color w:val="0000FF"/>
        </w:rPr>
        <w:t>/Instrument</w:t>
      </w:r>
      <w:r w:rsidRPr="00720E63">
        <w:rPr>
          <w:b/>
          <w:color w:val="0000FF"/>
        </w:rPr>
        <w:t xml:space="preserve"> Validity - </w:t>
      </w:r>
      <w:r w:rsidRPr="00720E63">
        <w:rPr>
          <w:rFonts w:ascii="Calibri" w:eastAsia="Calibri" w:hAnsi="Calibri" w:cs="Times New Roman"/>
          <w:b/>
          <w:color w:val="0000FF"/>
        </w:rPr>
        <w:t xml:space="preserve">Fit Assessment </w:t>
      </w:r>
      <w:r>
        <w:rPr>
          <w:rFonts w:ascii="Calibri" w:eastAsia="Calibri" w:hAnsi="Calibri" w:cs="Times New Roman"/>
          <w:b/>
          <w:color w:val="0000FF"/>
        </w:rPr>
        <w:t xml:space="preserve">Using </w:t>
      </w:r>
      <w:r w:rsidRPr="00720E63">
        <w:rPr>
          <w:rFonts w:ascii="Calibri" w:eastAsia="Calibri" w:hAnsi="Calibri" w:cs="Times New Roman"/>
          <w:b/>
          <w:color w:val="0000FF"/>
        </w:rPr>
        <w:t>Rasch Analysis</w:t>
      </w:r>
      <w:r w:rsidR="004010E2">
        <w:rPr>
          <w:rFonts w:ascii="Calibri" w:eastAsia="Calibri" w:hAnsi="Calibri" w:cs="Times New Roman"/>
          <w:b/>
          <w:color w:val="0000FF"/>
        </w:rPr>
        <w:t xml:space="preserve"> (unit of analysis is patient assessment data)</w:t>
      </w:r>
      <w:r w:rsidRPr="00720E63">
        <w:rPr>
          <w:rFonts w:ascii="Calibri" w:eastAsia="Calibri" w:hAnsi="Calibri" w:cs="Times New Roman"/>
          <w:b/>
          <w:color w:val="0000FF"/>
        </w:rPr>
        <w:t xml:space="preserve">: </w:t>
      </w:r>
      <w:bookmarkEnd w:id="64"/>
      <w:r w:rsidR="00C6476E">
        <w:rPr>
          <w:rFonts w:ascii="Calibri" w:eastAsia="Calibri" w:hAnsi="Calibri" w:cs="Times New Roman"/>
          <w:color w:val="0000FF"/>
        </w:rPr>
        <w:t xml:space="preserve">Ideal measurement construction would mean data fit the Rasch model exactly. In reality, empirical data will differ from the model. Rasch fit statistics describe how well the observed data (e.g. patient’s scores on the mobility items) fit the model, and characterize the magnitude that unexpected scores (i.e., unmodelled noise) are found in the data. Fit statistics have an expected value of 1.0 and can range from 0 to infinity. Values lower than 1.0 indicate overfit (over prediction) of the Rasch model and values greater than 1.0 indicate underfit of the model (e.g., noise). </w:t>
      </w:r>
      <w:r w:rsidR="00C6476E" w:rsidRPr="00216957">
        <w:rPr>
          <w:rFonts w:cstheme="minorHAnsi"/>
          <w:color w:val="0000FF"/>
        </w:rPr>
        <w:t>There are two categories of fit</w:t>
      </w:r>
      <w:r w:rsidR="00C6476E">
        <w:rPr>
          <w:rFonts w:cstheme="minorHAnsi"/>
          <w:color w:val="0000FF"/>
        </w:rPr>
        <w:t>. Outfit is</w:t>
      </w:r>
      <w:r w:rsidR="00C6476E" w:rsidRPr="00216957">
        <w:rPr>
          <w:rFonts w:cstheme="minorHAnsi"/>
          <w:color w:val="0000FF"/>
        </w:rPr>
        <w:t xml:space="preserve"> designed more for outliers (</w:t>
      </w:r>
      <w:r w:rsidR="00C6476E">
        <w:rPr>
          <w:rFonts w:cstheme="minorHAnsi"/>
          <w:color w:val="0000FF"/>
        </w:rPr>
        <w:t>when a patient’s unexpected code is for an item that is relatively easy or hard for that patient</w:t>
      </w:r>
      <w:r w:rsidR="00C6476E" w:rsidRPr="00216957">
        <w:rPr>
          <w:rFonts w:cstheme="minorHAnsi"/>
          <w:color w:val="0000FF"/>
        </w:rPr>
        <w:t>)</w:t>
      </w:r>
      <w:r w:rsidR="00C6476E">
        <w:rPr>
          <w:rFonts w:cstheme="minorHAnsi"/>
          <w:color w:val="0000FF"/>
        </w:rPr>
        <w:t>; Infit is</w:t>
      </w:r>
      <w:r w:rsidR="00C6476E" w:rsidRPr="00216957">
        <w:rPr>
          <w:rFonts w:cstheme="minorHAnsi"/>
          <w:color w:val="0000FF"/>
        </w:rPr>
        <w:t xml:space="preserve"> designed for unexpected</w:t>
      </w:r>
      <w:r w:rsidR="00C6476E">
        <w:rPr>
          <w:rFonts w:cstheme="minorHAnsi"/>
          <w:color w:val="0000FF"/>
        </w:rPr>
        <w:t xml:space="preserve"> codes </w:t>
      </w:r>
      <w:r w:rsidR="00C6476E" w:rsidRPr="00216957">
        <w:rPr>
          <w:rFonts w:cstheme="minorHAnsi"/>
          <w:color w:val="0000FF"/>
        </w:rPr>
        <w:t>near the item’s difficulty (</w:t>
      </w:r>
      <w:r w:rsidR="00C6476E">
        <w:rPr>
          <w:rFonts w:cstheme="minorHAnsi"/>
          <w:color w:val="0000FF"/>
        </w:rPr>
        <w:t>when a patient’s code is for an item is near that person’s ability</w:t>
      </w:r>
      <w:r w:rsidR="00C6476E" w:rsidRPr="00216957">
        <w:rPr>
          <w:rFonts w:cstheme="minorHAnsi"/>
          <w:color w:val="0000FF"/>
        </w:rPr>
        <w:t xml:space="preserve">). </w:t>
      </w:r>
      <w:r w:rsidR="00C6476E">
        <w:rPr>
          <w:rFonts w:cstheme="minorHAnsi"/>
          <w:color w:val="0000FF"/>
        </w:rPr>
        <w:t>V</w:t>
      </w:r>
      <w:r w:rsidR="00C6476E" w:rsidRPr="00216957">
        <w:rPr>
          <w:rFonts w:cstheme="minorHAnsi"/>
          <w:color w:val="0000FF"/>
        </w:rPr>
        <w:t xml:space="preserve">alues greater than 2.0 </w:t>
      </w:r>
      <w:r w:rsidR="00C6476E">
        <w:rPr>
          <w:rFonts w:cstheme="minorHAnsi"/>
          <w:color w:val="0000FF"/>
        </w:rPr>
        <w:t>may</w:t>
      </w:r>
      <w:r w:rsidR="00C6476E" w:rsidRPr="00216957">
        <w:rPr>
          <w:rFonts w:cstheme="minorHAnsi"/>
          <w:color w:val="0000FF"/>
        </w:rPr>
        <w:t xml:space="preserve"> potentially degrad</w:t>
      </w:r>
      <w:r w:rsidR="00C6476E">
        <w:rPr>
          <w:rFonts w:cstheme="minorHAnsi"/>
          <w:color w:val="0000FF"/>
        </w:rPr>
        <w:t>e</w:t>
      </w:r>
      <w:r w:rsidR="00C6476E" w:rsidRPr="00216957">
        <w:rPr>
          <w:rFonts w:cstheme="minorHAnsi"/>
          <w:color w:val="0000FF"/>
        </w:rPr>
        <w:t xml:space="preserve"> measurement (Wright and Linacre, 1994). </w:t>
      </w:r>
      <w:r w:rsidRPr="00720E63">
        <w:rPr>
          <w:rFonts w:ascii="Calibri" w:eastAsia="Calibri" w:hAnsi="Calibri"/>
          <w:color w:val="0000FF"/>
        </w:rPr>
        <w:t xml:space="preserve">Overall, the </w:t>
      </w:r>
      <w:r>
        <w:rPr>
          <w:rFonts w:ascii="Calibri" w:eastAsia="Calibri" w:hAnsi="Calibri"/>
          <w:color w:val="0000FF"/>
        </w:rPr>
        <w:t>mobility</w:t>
      </w:r>
      <w:r w:rsidRPr="00720E63">
        <w:rPr>
          <w:rFonts w:ascii="Calibri" w:eastAsia="Calibri" w:hAnsi="Calibri"/>
          <w:color w:val="0000FF"/>
        </w:rPr>
        <w:t xml:space="preserve"> item</w:t>
      </w:r>
      <w:r>
        <w:rPr>
          <w:rFonts w:ascii="Calibri" w:eastAsia="Calibri" w:hAnsi="Calibri"/>
          <w:color w:val="0000FF"/>
        </w:rPr>
        <w:t>s are</w:t>
      </w:r>
      <w:r w:rsidRPr="00720E63">
        <w:rPr>
          <w:rFonts w:ascii="Calibri" w:eastAsia="Calibri" w:hAnsi="Calibri"/>
          <w:color w:val="0000FF"/>
        </w:rPr>
        <w:t xml:space="preserve"> </w:t>
      </w:r>
      <w:r>
        <w:rPr>
          <w:rFonts w:ascii="Calibri" w:eastAsia="Calibri" w:hAnsi="Calibri"/>
          <w:color w:val="0000FF"/>
        </w:rPr>
        <w:t>coded</w:t>
      </w:r>
      <w:r w:rsidRPr="00720E63">
        <w:rPr>
          <w:rFonts w:ascii="Calibri" w:eastAsia="Calibri" w:hAnsi="Calibri"/>
          <w:color w:val="0000FF"/>
        </w:rPr>
        <w:t xml:space="preserve"> as expected. </w:t>
      </w:r>
      <w:r w:rsidRPr="00720E63">
        <w:rPr>
          <w:rFonts w:ascii="Calibri" w:eastAsia="Calibri" w:hAnsi="Calibri"/>
          <w:b/>
          <w:bCs/>
          <w:color w:val="0000FF"/>
        </w:rPr>
        <w:t xml:space="preserve">Table </w:t>
      </w:r>
      <w:r w:rsidR="0093624C">
        <w:rPr>
          <w:rFonts w:ascii="Calibri" w:eastAsia="Calibri" w:hAnsi="Calibri"/>
          <w:b/>
          <w:bCs/>
          <w:color w:val="0000FF"/>
        </w:rPr>
        <w:t>7</w:t>
      </w:r>
      <w:r w:rsidRPr="00720E63">
        <w:rPr>
          <w:rFonts w:ascii="Calibri" w:eastAsia="Calibri" w:hAnsi="Calibri"/>
          <w:b/>
          <w:bCs/>
          <w:color w:val="0000FF"/>
        </w:rPr>
        <w:t xml:space="preserve"> </w:t>
      </w:r>
      <w:r w:rsidRPr="00720E63">
        <w:rPr>
          <w:rFonts w:ascii="Calibri" w:eastAsia="Calibri" w:hAnsi="Calibri"/>
          <w:color w:val="0000FF"/>
        </w:rPr>
        <w:t>reports</w:t>
      </w:r>
      <w:r w:rsidRPr="00720E63">
        <w:rPr>
          <w:color w:val="0000FF"/>
        </w:rPr>
        <w:t xml:space="preserve"> fit statistics for the </w:t>
      </w:r>
      <w:r>
        <w:rPr>
          <w:rFonts w:ascii="Calibri" w:eastAsia="Calibri" w:hAnsi="Calibri"/>
          <w:color w:val="0000FF"/>
        </w:rPr>
        <w:t>mobility</w:t>
      </w:r>
      <w:r w:rsidRPr="00720E63">
        <w:rPr>
          <w:rFonts w:ascii="Calibri" w:eastAsia="Calibri" w:hAnsi="Calibri"/>
          <w:color w:val="0000FF"/>
        </w:rPr>
        <w:t xml:space="preserve"> </w:t>
      </w:r>
      <w:r w:rsidRPr="00720E63">
        <w:rPr>
          <w:color w:val="0000FF"/>
        </w:rPr>
        <w:t xml:space="preserve">items and shows </w:t>
      </w:r>
      <w:r w:rsidRPr="00E3014D">
        <w:rPr>
          <w:color w:val="0000FF"/>
        </w:rPr>
        <w:t xml:space="preserve">that </w:t>
      </w:r>
      <w:r w:rsidR="004D5FAD">
        <w:rPr>
          <w:color w:val="0000FF"/>
        </w:rPr>
        <w:t>one</w:t>
      </w:r>
      <w:r w:rsidR="00E3014D" w:rsidRPr="00E3014D">
        <w:rPr>
          <w:color w:val="0000FF"/>
        </w:rPr>
        <w:t xml:space="preserve"> item, Pick</w:t>
      </w:r>
      <w:r w:rsidR="00E94725">
        <w:rPr>
          <w:color w:val="0000FF"/>
        </w:rPr>
        <w:t>ing</w:t>
      </w:r>
      <w:r w:rsidR="00E3014D" w:rsidRPr="00E3014D">
        <w:rPr>
          <w:color w:val="0000FF"/>
        </w:rPr>
        <w:t xml:space="preserve"> up object</w:t>
      </w:r>
      <w:r w:rsidR="004D5FAD">
        <w:rPr>
          <w:color w:val="0000FF"/>
        </w:rPr>
        <w:t xml:space="preserve">, </w:t>
      </w:r>
      <w:r w:rsidR="00E3014D" w:rsidRPr="00E3014D">
        <w:rPr>
          <w:color w:val="0000FF"/>
        </w:rPr>
        <w:t xml:space="preserve">had </w:t>
      </w:r>
      <w:r w:rsidRPr="00E3014D">
        <w:rPr>
          <w:color w:val="0000FF"/>
        </w:rPr>
        <w:t xml:space="preserve">fit statistics </w:t>
      </w:r>
      <w:r w:rsidR="004010E2">
        <w:rPr>
          <w:color w:val="0000FF"/>
        </w:rPr>
        <w:t>above</w:t>
      </w:r>
      <w:r w:rsidR="004D5FAD">
        <w:rPr>
          <w:color w:val="0000FF"/>
        </w:rPr>
        <w:t xml:space="preserve"> 2.00</w:t>
      </w:r>
      <w:r w:rsidRPr="00E3014D">
        <w:rPr>
          <w:color w:val="0000FF"/>
        </w:rPr>
        <w:t>.</w:t>
      </w:r>
      <w:r w:rsidR="00FB6A6E">
        <w:rPr>
          <w:color w:val="0000FF"/>
        </w:rPr>
        <w:t xml:space="preserve"> </w:t>
      </w:r>
      <w:r w:rsidRPr="00E3014D">
        <w:rPr>
          <w:color w:val="0000FF"/>
        </w:rPr>
        <w:t xml:space="preserve"> </w:t>
      </w:r>
    </w:p>
    <w:p w14:paraId="4096799D" w14:textId="06040F25" w:rsidR="00B237FD" w:rsidRPr="00720E63" w:rsidRDefault="009803CA" w:rsidP="00B237FD">
      <w:pPr>
        <w:spacing w:after="0" w:line="240" w:lineRule="auto"/>
        <w:rPr>
          <w:rFonts w:ascii="Calibri" w:eastAsia="Calibri" w:hAnsi="Calibri" w:cs="Times New Roman"/>
          <w:b/>
          <w:bCs/>
          <w:color w:val="0000FF"/>
        </w:rPr>
      </w:pPr>
      <w:r w:rsidRPr="00720E63">
        <w:rPr>
          <w:b/>
          <w:bCs/>
          <w:color w:val="0000FF"/>
        </w:rPr>
        <w:t xml:space="preserve">Table </w:t>
      </w:r>
      <w:r w:rsidR="0093624C">
        <w:rPr>
          <w:b/>
          <w:bCs/>
          <w:color w:val="0000FF"/>
        </w:rPr>
        <w:t>7</w:t>
      </w:r>
      <w:r w:rsidRPr="00720E63">
        <w:rPr>
          <w:b/>
          <w:bCs/>
          <w:color w:val="0000FF"/>
        </w:rPr>
        <w:t xml:space="preserve">. Fit Statistics for the </w:t>
      </w:r>
      <w:r>
        <w:rPr>
          <w:b/>
          <w:bCs/>
          <w:color w:val="0000FF"/>
        </w:rPr>
        <w:t>Mobility</w:t>
      </w:r>
      <w:r w:rsidRPr="00720E63">
        <w:rPr>
          <w:b/>
          <w:bCs/>
          <w:color w:val="0000FF"/>
        </w:rPr>
        <w:t xml:space="preserve"> Items </w:t>
      </w:r>
      <w:r w:rsidRPr="00B237FD">
        <w:rPr>
          <w:b/>
          <w:bCs/>
          <w:color w:val="0000FF"/>
        </w:rPr>
        <w:t xml:space="preserve">(n = </w:t>
      </w:r>
      <w:r w:rsidRPr="00B237FD">
        <w:rPr>
          <w:rFonts w:ascii="Calibri" w:eastAsia="Calibri" w:hAnsi="Calibri" w:cs="Times New Roman"/>
          <w:b/>
          <w:bCs/>
          <w:color w:val="0000FF"/>
        </w:rPr>
        <w:t>32</w:t>
      </w:r>
      <w:r w:rsidR="00B237FD" w:rsidRPr="00B237FD">
        <w:rPr>
          <w:rFonts w:ascii="Calibri" w:eastAsia="Calibri" w:hAnsi="Calibri" w:cs="Times New Roman"/>
          <w:b/>
          <w:bCs/>
          <w:color w:val="0000FF"/>
        </w:rPr>
        <w:t>0</w:t>
      </w:r>
      <w:r w:rsidRPr="00B237FD">
        <w:rPr>
          <w:rFonts w:ascii="Calibri" w:eastAsia="Calibri" w:hAnsi="Calibri" w:cs="Times New Roman"/>
          <w:b/>
          <w:bCs/>
          <w:color w:val="0000FF"/>
        </w:rPr>
        <w:t>,</w:t>
      </w:r>
      <w:r w:rsidR="00B237FD" w:rsidRPr="00B237FD">
        <w:rPr>
          <w:rFonts w:ascii="Calibri" w:eastAsia="Calibri" w:hAnsi="Calibri" w:cs="Times New Roman"/>
          <w:b/>
          <w:bCs/>
          <w:color w:val="0000FF"/>
        </w:rPr>
        <w:t>893</w:t>
      </w:r>
      <w:r w:rsidRPr="00B237FD">
        <w:rPr>
          <w:rFonts w:ascii="Calibri" w:eastAsia="Calibri" w:hAnsi="Calibri" w:cs="Times New Roman"/>
          <w:b/>
          <w:bCs/>
          <w:color w:val="0000FF"/>
        </w:rPr>
        <w:t>)</w:t>
      </w:r>
    </w:p>
    <w:tbl>
      <w:tblPr>
        <w:tblW w:w="5000" w:type="pct"/>
        <w:tblLook w:val="04A0" w:firstRow="1" w:lastRow="0" w:firstColumn="1" w:lastColumn="0" w:noHBand="0" w:noVBand="1"/>
      </w:tblPr>
      <w:tblGrid>
        <w:gridCol w:w="4581"/>
        <w:gridCol w:w="2490"/>
        <w:gridCol w:w="2289"/>
      </w:tblGrid>
      <w:tr w:rsidR="00B237FD" w:rsidRPr="00720E63" w14:paraId="4A7B9DC0" w14:textId="77777777" w:rsidTr="00865807">
        <w:trPr>
          <w:trHeight w:val="204"/>
          <w:tblHeader/>
        </w:trPr>
        <w:tc>
          <w:tcPr>
            <w:tcW w:w="2447" w:type="pct"/>
            <w:tcBorders>
              <w:top w:val="single" w:sz="4" w:space="0" w:color="auto"/>
              <w:left w:val="nil"/>
              <w:bottom w:val="single" w:sz="4" w:space="0" w:color="auto"/>
              <w:right w:val="nil"/>
            </w:tcBorders>
            <w:shd w:val="clear" w:color="auto" w:fill="auto"/>
            <w:vAlign w:val="bottom"/>
          </w:tcPr>
          <w:p w14:paraId="67C44BC2" w14:textId="77777777" w:rsidR="00B237FD" w:rsidRPr="00865807" w:rsidRDefault="00B237FD" w:rsidP="007B7753">
            <w:pPr>
              <w:spacing w:after="0" w:line="240" w:lineRule="auto"/>
              <w:rPr>
                <w:rFonts w:eastAsia="Times New Roman" w:cs="Times New Roman"/>
                <w:b/>
                <w:color w:val="0000FF"/>
              </w:rPr>
            </w:pPr>
          </w:p>
        </w:tc>
        <w:tc>
          <w:tcPr>
            <w:tcW w:w="2553" w:type="pct"/>
            <w:gridSpan w:val="2"/>
            <w:tcBorders>
              <w:top w:val="single" w:sz="4" w:space="0" w:color="auto"/>
              <w:left w:val="nil"/>
              <w:bottom w:val="single" w:sz="4" w:space="0" w:color="auto"/>
            </w:tcBorders>
            <w:vAlign w:val="center"/>
          </w:tcPr>
          <w:p w14:paraId="709B3581" w14:textId="77777777" w:rsidR="00B237FD" w:rsidRPr="00865807" w:rsidRDefault="00B237FD" w:rsidP="007B7753">
            <w:pPr>
              <w:spacing w:after="0" w:line="240" w:lineRule="auto"/>
              <w:jc w:val="center"/>
              <w:rPr>
                <w:rFonts w:eastAsia="Times New Roman" w:cs="Times New Roman"/>
                <w:b/>
                <w:bCs/>
                <w:color w:val="0000FF"/>
              </w:rPr>
            </w:pPr>
            <w:r w:rsidRPr="00865807">
              <w:rPr>
                <w:rFonts w:eastAsia="Times New Roman" w:cs="Times New Roman"/>
                <w:b/>
                <w:bCs/>
                <w:color w:val="0000FF"/>
              </w:rPr>
              <w:t>IRF – Anchored</w:t>
            </w:r>
          </w:p>
          <w:p w14:paraId="0D608283" w14:textId="77777777" w:rsidR="00B237FD" w:rsidRPr="00865807" w:rsidRDefault="00B237FD" w:rsidP="007B7753">
            <w:pPr>
              <w:spacing w:after="0" w:line="240" w:lineRule="auto"/>
              <w:jc w:val="center"/>
              <w:rPr>
                <w:rFonts w:eastAsia="Times New Roman" w:cs="Times New Roman"/>
                <w:b/>
                <w:bCs/>
                <w:color w:val="0000FF"/>
              </w:rPr>
            </w:pPr>
            <w:r w:rsidRPr="00865807">
              <w:rPr>
                <w:rFonts w:eastAsia="Times New Roman" w:cs="Times New Roman"/>
                <w:b/>
                <w:bCs/>
                <w:color w:val="0000FF"/>
              </w:rPr>
              <w:t>(Cross-Setting Ruler)</w:t>
            </w:r>
          </w:p>
        </w:tc>
      </w:tr>
      <w:tr w:rsidR="00B237FD" w:rsidRPr="00CC19B1" w14:paraId="3B88D6E7" w14:textId="77777777" w:rsidTr="00865807">
        <w:trPr>
          <w:trHeight w:val="476"/>
          <w:tblHeader/>
        </w:trPr>
        <w:tc>
          <w:tcPr>
            <w:tcW w:w="2447" w:type="pct"/>
            <w:tcBorders>
              <w:top w:val="nil"/>
              <w:left w:val="nil"/>
              <w:bottom w:val="single" w:sz="4" w:space="0" w:color="auto"/>
              <w:right w:val="nil"/>
            </w:tcBorders>
            <w:shd w:val="clear" w:color="auto" w:fill="auto"/>
            <w:vAlign w:val="center"/>
            <w:hideMark/>
          </w:tcPr>
          <w:p w14:paraId="035FB781" w14:textId="77777777" w:rsidR="00B237FD" w:rsidRPr="00865807" w:rsidRDefault="00B237FD" w:rsidP="007B7753">
            <w:pPr>
              <w:spacing w:after="0" w:line="240" w:lineRule="auto"/>
              <w:rPr>
                <w:rFonts w:eastAsia="Times New Roman" w:cs="Times New Roman"/>
                <w:b/>
                <w:color w:val="0000FF"/>
              </w:rPr>
            </w:pPr>
            <w:r w:rsidRPr="00865807">
              <w:rPr>
                <w:rFonts w:eastAsia="Times New Roman" w:cs="Times New Roman"/>
                <w:b/>
                <w:color w:val="0000FF"/>
              </w:rPr>
              <w:t>Item</w:t>
            </w:r>
          </w:p>
        </w:tc>
        <w:tc>
          <w:tcPr>
            <w:tcW w:w="1330" w:type="pct"/>
            <w:tcBorders>
              <w:top w:val="single" w:sz="4" w:space="0" w:color="auto"/>
              <w:left w:val="nil"/>
              <w:bottom w:val="single" w:sz="4" w:space="0" w:color="auto"/>
            </w:tcBorders>
            <w:vAlign w:val="center"/>
          </w:tcPr>
          <w:p w14:paraId="0A0F80CC" w14:textId="77777777" w:rsidR="00B237FD" w:rsidRPr="00865807" w:rsidRDefault="00B237FD" w:rsidP="007B7753">
            <w:pPr>
              <w:spacing w:after="0" w:line="240" w:lineRule="auto"/>
              <w:jc w:val="center"/>
              <w:rPr>
                <w:rFonts w:eastAsia="Times New Roman" w:cs="Times New Roman"/>
                <w:b/>
                <w:color w:val="0000FF"/>
              </w:rPr>
            </w:pPr>
            <w:r w:rsidRPr="00865807">
              <w:rPr>
                <w:rFonts w:eastAsia="Times New Roman" w:cs="Times New Roman"/>
                <w:b/>
                <w:color w:val="0000FF"/>
              </w:rPr>
              <w:t>Infit mean square</w:t>
            </w:r>
          </w:p>
        </w:tc>
        <w:tc>
          <w:tcPr>
            <w:tcW w:w="1223" w:type="pct"/>
            <w:tcBorders>
              <w:top w:val="single" w:sz="4" w:space="0" w:color="auto"/>
              <w:left w:val="nil"/>
              <w:bottom w:val="single" w:sz="4" w:space="0" w:color="auto"/>
            </w:tcBorders>
            <w:vAlign w:val="center"/>
          </w:tcPr>
          <w:p w14:paraId="0FCCB6AD" w14:textId="77777777" w:rsidR="00B237FD" w:rsidRPr="00865807" w:rsidRDefault="00B237FD" w:rsidP="007B7753">
            <w:pPr>
              <w:spacing w:after="0" w:line="240" w:lineRule="auto"/>
              <w:jc w:val="center"/>
              <w:rPr>
                <w:rFonts w:eastAsia="Times New Roman" w:cs="Times New Roman"/>
                <w:b/>
                <w:color w:val="0000FF"/>
              </w:rPr>
            </w:pPr>
            <w:r w:rsidRPr="00865807">
              <w:rPr>
                <w:rFonts w:eastAsia="Times New Roman" w:cs="Times New Roman"/>
                <w:b/>
                <w:color w:val="0000FF"/>
              </w:rPr>
              <w:t>Outfit mean square</w:t>
            </w:r>
          </w:p>
        </w:tc>
      </w:tr>
      <w:tr w:rsidR="002675F6" w:rsidRPr="00CC19B1" w14:paraId="797F067D" w14:textId="77777777" w:rsidTr="004D5FAD">
        <w:trPr>
          <w:trHeight w:val="273"/>
        </w:trPr>
        <w:tc>
          <w:tcPr>
            <w:tcW w:w="2447" w:type="pct"/>
            <w:tcBorders>
              <w:top w:val="nil"/>
              <w:left w:val="nil"/>
              <w:bottom w:val="nil"/>
              <w:right w:val="nil"/>
            </w:tcBorders>
            <w:shd w:val="clear" w:color="auto" w:fill="auto"/>
            <w:vAlign w:val="bottom"/>
            <w:hideMark/>
          </w:tcPr>
          <w:p w14:paraId="0BA91D69" w14:textId="08923705"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 xml:space="preserve">GG0170A: </w:t>
            </w:r>
            <w:r w:rsidR="002675F6" w:rsidRPr="002675F6">
              <w:rPr>
                <w:rFonts w:eastAsia="Times New Roman" w:cs="Times New Roman"/>
                <w:color w:val="0000FF"/>
              </w:rPr>
              <w:t xml:space="preserve">Roll Left </w:t>
            </w:r>
            <w:r w:rsidR="007B7753">
              <w:rPr>
                <w:rFonts w:eastAsia="Times New Roman" w:cs="Times New Roman"/>
                <w:color w:val="0000FF"/>
              </w:rPr>
              <w:t>and</w:t>
            </w:r>
            <w:r w:rsidR="002675F6" w:rsidRPr="002675F6">
              <w:rPr>
                <w:rFonts w:eastAsia="Times New Roman" w:cs="Times New Roman"/>
                <w:color w:val="0000FF"/>
              </w:rPr>
              <w:t xml:space="preserve"> Right             </w:t>
            </w:r>
          </w:p>
        </w:tc>
        <w:tc>
          <w:tcPr>
            <w:tcW w:w="1330" w:type="pct"/>
            <w:tcBorders>
              <w:top w:val="single" w:sz="4" w:space="0" w:color="auto"/>
              <w:left w:val="nil"/>
              <w:bottom w:val="nil"/>
            </w:tcBorders>
            <w:shd w:val="clear" w:color="000000" w:fill="auto"/>
            <w:vAlign w:val="bottom"/>
          </w:tcPr>
          <w:p w14:paraId="71D9EF2D" w14:textId="148269A5"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1.49</w:t>
            </w:r>
          </w:p>
        </w:tc>
        <w:tc>
          <w:tcPr>
            <w:tcW w:w="1223" w:type="pct"/>
            <w:tcBorders>
              <w:top w:val="single" w:sz="4" w:space="0" w:color="auto"/>
              <w:left w:val="nil"/>
              <w:bottom w:val="nil"/>
            </w:tcBorders>
            <w:shd w:val="clear" w:color="auto" w:fill="auto"/>
            <w:vAlign w:val="bottom"/>
          </w:tcPr>
          <w:p w14:paraId="50B98DBA" w14:textId="1E03FA0C" w:rsidR="002675F6" w:rsidRPr="004A62FD" w:rsidRDefault="002675F6" w:rsidP="002675F6">
            <w:pPr>
              <w:spacing w:after="0" w:line="240" w:lineRule="auto"/>
              <w:jc w:val="center"/>
              <w:rPr>
                <w:rFonts w:eastAsia="Times New Roman" w:cs="Times New Roman"/>
                <w:color w:val="0000FF"/>
              </w:rPr>
            </w:pPr>
            <w:r w:rsidRPr="004D5FAD">
              <w:rPr>
                <w:rFonts w:eastAsia="Times New Roman" w:cs="Times New Roman"/>
                <w:color w:val="0000FF"/>
              </w:rPr>
              <w:t>2.00</w:t>
            </w:r>
          </w:p>
        </w:tc>
      </w:tr>
      <w:tr w:rsidR="002675F6" w:rsidRPr="00CC19B1" w14:paraId="0B0EC019" w14:textId="77777777" w:rsidTr="007B7753">
        <w:trPr>
          <w:trHeight w:val="273"/>
        </w:trPr>
        <w:tc>
          <w:tcPr>
            <w:tcW w:w="2447" w:type="pct"/>
            <w:tcBorders>
              <w:top w:val="nil"/>
              <w:left w:val="nil"/>
              <w:bottom w:val="nil"/>
              <w:right w:val="nil"/>
            </w:tcBorders>
            <w:shd w:val="clear" w:color="auto" w:fill="auto"/>
            <w:vAlign w:val="bottom"/>
            <w:hideMark/>
          </w:tcPr>
          <w:p w14:paraId="1928D529" w14:textId="33E73C1C"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 xml:space="preserve">GG0170B: </w:t>
            </w:r>
            <w:r w:rsidR="002675F6" w:rsidRPr="002675F6">
              <w:rPr>
                <w:rFonts w:eastAsia="Times New Roman" w:cs="Times New Roman"/>
                <w:color w:val="0000FF"/>
              </w:rPr>
              <w:t xml:space="preserve">Sit to Lying                  </w:t>
            </w:r>
          </w:p>
        </w:tc>
        <w:tc>
          <w:tcPr>
            <w:tcW w:w="1330" w:type="pct"/>
            <w:tcBorders>
              <w:top w:val="nil"/>
              <w:left w:val="nil"/>
              <w:bottom w:val="nil"/>
            </w:tcBorders>
            <w:vAlign w:val="bottom"/>
          </w:tcPr>
          <w:p w14:paraId="4E86412A" w14:textId="482F90B0"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1.00</w:t>
            </w:r>
          </w:p>
        </w:tc>
        <w:tc>
          <w:tcPr>
            <w:tcW w:w="1223" w:type="pct"/>
            <w:tcBorders>
              <w:top w:val="nil"/>
              <w:left w:val="nil"/>
              <w:bottom w:val="nil"/>
            </w:tcBorders>
            <w:vAlign w:val="bottom"/>
          </w:tcPr>
          <w:p w14:paraId="0F7EB5BD" w14:textId="7757BE30"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1.06</w:t>
            </w:r>
          </w:p>
        </w:tc>
      </w:tr>
      <w:tr w:rsidR="002675F6" w:rsidRPr="00CC19B1" w14:paraId="6854E296" w14:textId="77777777" w:rsidTr="007B7753">
        <w:trPr>
          <w:trHeight w:val="273"/>
        </w:trPr>
        <w:tc>
          <w:tcPr>
            <w:tcW w:w="2447" w:type="pct"/>
            <w:tcBorders>
              <w:top w:val="nil"/>
              <w:left w:val="nil"/>
              <w:bottom w:val="nil"/>
              <w:right w:val="nil"/>
            </w:tcBorders>
            <w:shd w:val="clear" w:color="auto" w:fill="auto"/>
            <w:vAlign w:val="bottom"/>
            <w:hideMark/>
          </w:tcPr>
          <w:p w14:paraId="4FEC278B" w14:textId="0C015921"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 xml:space="preserve">GG0170C: </w:t>
            </w:r>
            <w:r w:rsidR="002675F6" w:rsidRPr="002675F6">
              <w:rPr>
                <w:rFonts w:eastAsia="Times New Roman" w:cs="Times New Roman"/>
                <w:color w:val="0000FF"/>
              </w:rPr>
              <w:t>Lying to Sit</w:t>
            </w:r>
            <w:r>
              <w:rPr>
                <w:rFonts w:eastAsia="Times New Roman" w:cs="Times New Roman"/>
                <w:color w:val="0000FF"/>
              </w:rPr>
              <w:t>ting on Side of Bed</w:t>
            </w:r>
            <w:r w:rsidR="002675F6" w:rsidRPr="002675F6">
              <w:rPr>
                <w:rFonts w:eastAsia="Times New Roman" w:cs="Times New Roman"/>
                <w:color w:val="0000FF"/>
              </w:rPr>
              <w:t xml:space="preserve">            </w:t>
            </w:r>
          </w:p>
        </w:tc>
        <w:tc>
          <w:tcPr>
            <w:tcW w:w="1330" w:type="pct"/>
            <w:tcBorders>
              <w:top w:val="nil"/>
              <w:left w:val="nil"/>
              <w:bottom w:val="nil"/>
            </w:tcBorders>
            <w:vAlign w:val="bottom"/>
          </w:tcPr>
          <w:p w14:paraId="31B5DCA2" w14:textId="5F127232"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0.98</w:t>
            </w:r>
          </w:p>
        </w:tc>
        <w:tc>
          <w:tcPr>
            <w:tcW w:w="1223" w:type="pct"/>
            <w:tcBorders>
              <w:top w:val="nil"/>
              <w:left w:val="nil"/>
              <w:bottom w:val="nil"/>
            </w:tcBorders>
            <w:vAlign w:val="bottom"/>
          </w:tcPr>
          <w:p w14:paraId="28DE043A" w14:textId="2ED9F5AB"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1.02</w:t>
            </w:r>
          </w:p>
        </w:tc>
      </w:tr>
      <w:tr w:rsidR="002675F6" w:rsidRPr="00CC19B1" w14:paraId="606A2870" w14:textId="77777777" w:rsidTr="007B7753">
        <w:trPr>
          <w:trHeight w:val="273"/>
        </w:trPr>
        <w:tc>
          <w:tcPr>
            <w:tcW w:w="2447" w:type="pct"/>
            <w:tcBorders>
              <w:top w:val="nil"/>
              <w:left w:val="nil"/>
              <w:bottom w:val="nil"/>
              <w:right w:val="nil"/>
            </w:tcBorders>
            <w:shd w:val="clear" w:color="auto" w:fill="auto"/>
            <w:vAlign w:val="bottom"/>
          </w:tcPr>
          <w:p w14:paraId="1B857334" w14:textId="07B001D8"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GG0170D:</w:t>
            </w:r>
            <w:r w:rsidRPr="002675F6">
              <w:rPr>
                <w:rFonts w:eastAsia="Times New Roman" w:cs="Times New Roman"/>
                <w:color w:val="0000FF"/>
              </w:rPr>
              <w:t xml:space="preserve"> </w:t>
            </w:r>
            <w:r w:rsidR="002675F6" w:rsidRPr="002675F6">
              <w:rPr>
                <w:rFonts w:eastAsia="Times New Roman" w:cs="Times New Roman"/>
                <w:color w:val="0000FF"/>
              </w:rPr>
              <w:t xml:space="preserve">Sit to Stand                  </w:t>
            </w:r>
          </w:p>
        </w:tc>
        <w:tc>
          <w:tcPr>
            <w:tcW w:w="1330" w:type="pct"/>
            <w:tcBorders>
              <w:top w:val="nil"/>
              <w:left w:val="nil"/>
              <w:bottom w:val="nil"/>
            </w:tcBorders>
            <w:vAlign w:val="bottom"/>
          </w:tcPr>
          <w:p w14:paraId="69A15C24" w14:textId="4B28CF60"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0.78</w:t>
            </w:r>
          </w:p>
        </w:tc>
        <w:tc>
          <w:tcPr>
            <w:tcW w:w="1223" w:type="pct"/>
            <w:tcBorders>
              <w:top w:val="nil"/>
              <w:left w:val="nil"/>
              <w:bottom w:val="nil"/>
            </w:tcBorders>
            <w:vAlign w:val="bottom"/>
          </w:tcPr>
          <w:p w14:paraId="6E58D181" w14:textId="28E82649"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0.74</w:t>
            </w:r>
          </w:p>
        </w:tc>
      </w:tr>
      <w:tr w:rsidR="002675F6" w:rsidRPr="00CC19B1" w14:paraId="22B5AD96" w14:textId="77777777" w:rsidTr="007B7753">
        <w:trPr>
          <w:trHeight w:val="273"/>
        </w:trPr>
        <w:tc>
          <w:tcPr>
            <w:tcW w:w="2447" w:type="pct"/>
            <w:tcBorders>
              <w:top w:val="nil"/>
              <w:left w:val="nil"/>
              <w:bottom w:val="nil"/>
              <w:right w:val="nil"/>
            </w:tcBorders>
            <w:shd w:val="clear" w:color="auto" w:fill="auto"/>
            <w:vAlign w:val="bottom"/>
            <w:hideMark/>
          </w:tcPr>
          <w:p w14:paraId="639E4426" w14:textId="22DBFCCC"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 xml:space="preserve">GG0170E: </w:t>
            </w:r>
            <w:r w:rsidR="002675F6" w:rsidRPr="002675F6">
              <w:rPr>
                <w:rFonts w:eastAsia="Times New Roman" w:cs="Times New Roman"/>
                <w:color w:val="0000FF"/>
              </w:rPr>
              <w:t xml:space="preserve">Chair/Bed to Chair Transfer   </w:t>
            </w:r>
          </w:p>
        </w:tc>
        <w:tc>
          <w:tcPr>
            <w:tcW w:w="1330" w:type="pct"/>
            <w:tcBorders>
              <w:top w:val="nil"/>
              <w:left w:val="nil"/>
              <w:bottom w:val="nil"/>
            </w:tcBorders>
            <w:vAlign w:val="bottom"/>
          </w:tcPr>
          <w:p w14:paraId="49A9627C" w14:textId="14F7C3F7"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0.76</w:t>
            </w:r>
          </w:p>
        </w:tc>
        <w:tc>
          <w:tcPr>
            <w:tcW w:w="1223" w:type="pct"/>
            <w:tcBorders>
              <w:top w:val="nil"/>
              <w:left w:val="nil"/>
              <w:bottom w:val="nil"/>
            </w:tcBorders>
            <w:vAlign w:val="bottom"/>
          </w:tcPr>
          <w:p w14:paraId="0234127B" w14:textId="56A757C0"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0.75</w:t>
            </w:r>
          </w:p>
        </w:tc>
      </w:tr>
      <w:tr w:rsidR="002675F6" w:rsidRPr="00CC19B1" w14:paraId="3CEB539E" w14:textId="77777777" w:rsidTr="007B7753">
        <w:trPr>
          <w:trHeight w:val="273"/>
        </w:trPr>
        <w:tc>
          <w:tcPr>
            <w:tcW w:w="2447" w:type="pct"/>
            <w:tcBorders>
              <w:top w:val="nil"/>
              <w:left w:val="nil"/>
              <w:right w:val="nil"/>
            </w:tcBorders>
            <w:shd w:val="clear" w:color="auto" w:fill="auto"/>
            <w:vAlign w:val="bottom"/>
            <w:hideMark/>
          </w:tcPr>
          <w:p w14:paraId="2ED1101D" w14:textId="08E2E26A"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t>GG0170F:</w:t>
            </w:r>
            <w:r w:rsidRPr="002675F6">
              <w:rPr>
                <w:rFonts w:eastAsia="Times New Roman" w:cs="Times New Roman"/>
                <w:color w:val="0000FF"/>
              </w:rPr>
              <w:t xml:space="preserve"> </w:t>
            </w:r>
            <w:r w:rsidR="002675F6" w:rsidRPr="002675F6">
              <w:rPr>
                <w:rFonts w:eastAsia="Times New Roman" w:cs="Times New Roman"/>
                <w:color w:val="0000FF"/>
              </w:rPr>
              <w:t xml:space="preserve">Toilet Transfer               </w:t>
            </w:r>
          </w:p>
        </w:tc>
        <w:tc>
          <w:tcPr>
            <w:tcW w:w="1330" w:type="pct"/>
            <w:tcBorders>
              <w:top w:val="nil"/>
              <w:left w:val="nil"/>
            </w:tcBorders>
            <w:vAlign w:val="bottom"/>
          </w:tcPr>
          <w:p w14:paraId="2563F0FE" w14:textId="3BFB56DB"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1.24</w:t>
            </w:r>
          </w:p>
        </w:tc>
        <w:tc>
          <w:tcPr>
            <w:tcW w:w="1223" w:type="pct"/>
            <w:tcBorders>
              <w:top w:val="nil"/>
              <w:left w:val="nil"/>
            </w:tcBorders>
            <w:vAlign w:val="bottom"/>
          </w:tcPr>
          <w:p w14:paraId="06210C8E" w14:textId="23AB8DD7"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1.41</w:t>
            </w:r>
          </w:p>
        </w:tc>
      </w:tr>
      <w:tr w:rsidR="002675F6" w:rsidRPr="00CC19B1" w14:paraId="45971FC9" w14:textId="77777777" w:rsidTr="007B7753">
        <w:trPr>
          <w:trHeight w:val="273"/>
        </w:trPr>
        <w:tc>
          <w:tcPr>
            <w:tcW w:w="2447" w:type="pct"/>
            <w:tcBorders>
              <w:top w:val="nil"/>
              <w:left w:val="nil"/>
              <w:bottom w:val="nil"/>
              <w:right w:val="nil"/>
            </w:tcBorders>
            <w:shd w:val="clear" w:color="auto" w:fill="auto"/>
            <w:vAlign w:val="bottom"/>
            <w:hideMark/>
          </w:tcPr>
          <w:p w14:paraId="2AF3986F" w14:textId="408C7923" w:rsidR="002675F6" w:rsidRPr="00CC19B1" w:rsidRDefault="007060FB" w:rsidP="002675F6">
            <w:pPr>
              <w:spacing w:after="0" w:line="240" w:lineRule="auto"/>
              <w:rPr>
                <w:rFonts w:eastAsia="Times New Roman" w:cs="Times New Roman"/>
                <w:color w:val="0000FF"/>
              </w:rPr>
            </w:pPr>
            <w:r>
              <w:rPr>
                <w:rFonts w:eastAsia="Times New Roman" w:cs="Times New Roman"/>
                <w:color w:val="0000FF"/>
              </w:rPr>
              <w:lastRenderedPageBreak/>
              <w:t xml:space="preserve">GG0170G: </w:t>
            </w:r>
            <w:r w:rsidR="002675F6" w:rsidRPr="002675F6">
              <w:rPr>
                <w:rFonts w:eastAsia="Times New Roman" w:cs="Times New Roman"/>
                <w:color w:val="0000FF"/>
              </w:rPr>
              <w:t>Car Transfer</w:t>
            </w:r>
          </w:p>
        </w:tc>
        <w:tc>
          <w:tcPr>
            <w:tcW w:w="1330" w:type="pct"/>
            <w:tcBorders>
              <w:top w:val="nil"/>
              <w:left w:val="nil"/>
              <w:bottom w:val="nil"/>
            </w:tcBorders>
            <w:vAlign w:val="bottom"/>
          </w:tcPr>
          <w:p w14:paraId="5E2BB177" w14:textId="14767C45"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1.27</w:t>
            </w:r>
          </w:p>
        </w:tc>
        <w:tc>
          <w:tcPr>
            <w:tcW w:w="1223" w:type="pct"/>
            <w:tcBorders>
              <w:top w:val="nil"/>
              <w:left w:val="nil"/>
              <w:bottom w:val="nil"/>
            </w:tcBorders>
            <w:vAlign w:val="bottom"/>
          </w:tcPr>
          <w:p w14:paraId="4D440596" w14:textId="054E89B2" w:rsidR="002675F6" w:rsidRPr="004A62FD"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1.35</w:t>
            </w:r>
          </w:p>
        </w:tc>
      </w:tr>
      <w:tr w:rsidR="002675F6" w:rsidRPr="00CC19B1" w14:paraId="5DDD073E" w14:textId="77777777" w:rsidTr="007B7753">
        <w:trPr>
          <w:trHeight w:val="273"/>
        </w:trPr>
        <w:tc>
          <w:tcPr>
            <w:tcW w:w="2447" w:type="pct"/>
            <w:tcBorders>
              <w:top w:val="nil"/>
              <w:left w:val="nil"/>
              <w:bottom w:val="nil"/>
              <w:right w:val="nil"/>
            </w:tcBorders>
            <w:shd w:val="clear" w:color="auto" w:fill="auto"/>
            <w:vAlign w:val="bottom"/>
          </w:tcPr>
          <w:p w14:paraId="0A34108C" w14:textId="1CC48E34" w:rsidR="002675F6" w:rsidRDefault="007060FB" w:rsidP="002675F6">
            <w:pPr>
              <w:spacing w:after="0" w:line="240" w:lineRule="auto"/>
              <w:rPr>
                <w:rFonts w:eastAsia="Times New Roman" w:cs="Times New Roman"/>
                <w:color w:val="0000FF"/>
              </w:rPr>
            </w:pPr>
            <w:r>
              <w:rPr>
                <w:rFonts w:eastAsia="Times New Roman" w:cs="Times New Roman"/>
                <w:color w:val="0000FF"/>
              </w:rPr>
              <w:t>GG0170I:</w:t>
            </w:r>
            <w:r w:rsidRPr="002675F6">
              <w:rPr>
                <w:rFonts w:eastAsia="Times New Roman" w:cs="Times New Roman"/>
                <w:color w:val="0000FF"/>
              </w:rPr>
              <w:t xml:space="preserve"> </w:t>
            </w:r>
            <w:r w:rsidR="002675F6" w:rsidRPr="002675F6">
              <w:rPr>
                <w:rFonts w:eastAsia="Times New Roman" w:cs="Times New Roman"/>
                <w:color w:val="0000FF"/>
              </w:rPr>
              <w:t>Walk 10</w:t>
            </w:r>
            <w:r w:rsidR="007B7753">
              <w:rPr>
                <w:rFonts w:eastAsia="Times New Roman" w:cs="Times New Roman"/>
                <w:color w:val="0000FF"/>
              </w:rPr>
              <w:t xml:space="preserve"> Feet</w:t>
            </w:r>
          </w:p>
        </w:tc>
        <w:tc>
          <w:tcPr>
            <w:tcW w:w="1330" w:type="pct"/>
            <w:tcBorders>
              <w:top w:val="nil"/>
              <w:left w:val="nil"/>
              <w:bottom w:val="nil"/>
            </w:tcBorders>
            <w:vAlign w:val="bottom"/>
          </w:tcPr>
          <w:p w14:paraId="0A6B8216" w14:textId="208A180B"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1.03</w:t>
            </w:r>
          </w:p>
        </w:tc>
        <w:tc>
          <w:tcPr>
            <w:tcW w:w="1223" w:type="pct"/>
            <w:tcBorders>
              <w:top w:val="nil"/>
              <w:left w:val="nil"/>
              <w:bottom w:val="nil"/>
            </w:tcBorders>
            <w:vAlign w:val="bottom"/>
          </w:tcPr>
          <w:p w14:paraId="596A4B71" w14:textId="16295779"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1.00</w:t>
            </w:r>
          </w:p>
        </w:tc>
      </w:tr>
      <w:tr w:rsidR="002675F6" w:rsidRPr="00CC19B1" w14:paraId="3EC2FD8F" w14:textId="77777777" w:rsidTr="007B7753">
        <w:trPr>
          <w:trHeight w:val="273"/>
        </w:trPr>
        <w:tc>
          <w:tcPr>
            <w:tcW w:w="2447" w:type="pct"/>
            <w:tcBorders>
              <w:top w:val="nil"/>
              <w:left w:val="nil"/>
              <w:bottom w:val="nil"/>
              <w:right w:val="nil"/>
            </w:tcBorders>
            <w:shd w:val="clear" w:color="auto" w:fill="auto"/>
            <w:vAlign w:val="bottom"/>
          </w:tcPr>
          <w:p w14:paraId="35B2C44F" w14:textId="0115FDD5" w:rsidR="002675F6" w:rsidRDefault="007060FB" w:rsidP="002675F6">
            <w:pPr>
              <w:spacing w:after="0" w:line="240" w:lineRule="auto"/>
              <w:rPr>
                <w:rFonts w:eastAsia="Times New Roman" w:cs="Times New Roman"/>
                <w:color w:val="0000FF"/>
              </w:rPr>
            </w:pPr>
            <w:r>
              <w:rPr>
                <w:rFonts w:eastAsia="Times New Roman" w:cs="Times New Roman"/>
                <w:color w:val="0000FF"/>
              </w:rPr>
              <w:t>GG0170J:</w:t>
            </w:r>
            <w:r w:rsidRPr="002675F6">
              <w:rPr>
                <w:rFonts w:eastAsia="Times New Roman" w:cs="Times New Roman"/>
                <w:color w:val="0000FF"/>
              </w:rPr>
              <w:t xml:space="preserve"> </w:t>
            </w:r>
            <w:r w:rsidR="002675F6" w:rsidRPr="002675F6">
              <w:rPr>
                <w:rFonts w:eastAsia="Times New Roman" w:cs="Times New Roman"/>
                <w:color w:val="0000FF"/>
              </w:rPr>
              <w:t>Walk 50</w:t>
            </w:r>
            <w:r w:rsidR="007B7753">
              <w:rPr>
                <w:rFonts w:eastAsia="Times New Roman" w:cs="Times New Roman"/>
                <w:color w:val="0000FF"/>
              </w:rPr>
              <w:t xml:space="preserve"> Feet</w:t>
            </w:r>
            <w:r w:rsidR="002675F6" w:rsidRPr="002675F6">
              <w:rPr>
                <w:rFonts w:eastAsia="Times New Roman" w:cs="Times New Roman"/>
                <w:color w:val="0000FF"/>
              </w:rPr>
              <w:t xml:space="preserve"> with Two Turns     </w:t>
            </w:r>
          </w:p>
        </w:tc>
        <w:tc>
          <w:tcPr>
            <w:tcW w:w="1330" w:type="pct"/>
            <w:tcBorders>
              <w:top w:val="nil"/>
              <w:left w:val="nil"/>
              <w:bottom w:val="nil"/>
            </w:tcBorders>
            <w:vAlign w:val="bottom"/>
          </w:tcPr>
          <w:p w14:paraId="2621CD03" w14:textId="6CC92194"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0.87</w:t>
            </w:r>
          </w:p>
        </w:tc>
        <w:tc>
          <w:tcPr>
            <w:tcW w:w="1223" w:type="pct"/>
            <w:tcBorders>
              <w:top w:val="nil"/>
              <w:left w:val="nil"/>
              <w:bottom w:val="nil"/>
            </w:tcBorders>
            <w:vAlign w:val="bottom"/>
          </w:tcPr>
          <w:p w14:paraId="79C2BC69" w14:textId="2D96E5F1"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0.83</w:t>
            </w:r>
          </w:p>
        </w:tc>
      </w:tr>
      <w:tr w:rsidR="002675F6" w:rsidRPr="00CC19B1" w14:paraId="5F46CEEF" w14:textId="77777777" w:rsidTr="007B7753">
        <w:trPr>
          <w:trHeight w:val="273"/>
        </w:trPr>
        <w:tc>
          <w:tcPr>
            <w:tcW w:w="2447" w:type="pct"/>
            <w:tcBorders>
              <w:top w:val="nil"/>
              <w:left w:val="nil"/>
              <w:bottom w:val="nil"/>
              <w:right w:val="nil"/>
            </w:tcBorders>
            <w:shd w:val="clear" w:color="auto" w:fill="auto"/>
            <w:vAlign w:val="bottom"/>
          </w:tcPr>
          <w:p w14:paraId="2E5D196D" w14:textId="1C849F53" w:rsidR="002675F6" w:rsidRDefault="007060FB" w:rsidP="002675F6">
            <w:pPr>
              <w:spacing w:after="0" w:line="240" w:lineRule="auto"/>
              <w:rPr>
                <w:rFonts w:eastAsia="Times New Roman" w:cs="Times New Roman"/>
                <w:color w:val="0000FF"/>
              </w:rPr>
            </w:pPr>
            <w:r>
              <w:rPr>
                <w:rFonts w:eastAsia="Times New Roman" w:cs="Times New Roman"/>
                <w:color w:val="0000FF"/>
              </w:rPr>
              <w:t>GG0170K:</w:t>
            </w:r>
            <w:r w:rsidRPr="002675F6">
              <w:rPr>
                <w:rFonts w:eastAsia="Times New Roman" w:cs="Times New Roman"/>
                <w:color w:val="0000FF"/>
              </w:rPr>
              <w:t xml:space="preserve"> </w:t>
            </w:r>
            <w:r w:rsidR="002675F6" w:rsidRPr="002675F6">
              <w:rPr>
                <w:rFonts w:eastAsia="Times New Roman" w:cs="Times New Roman"/>
                <w:color w:val="0000FF"/>
              </w:rPr>
              <w:t>Walk 150</w:t>
            </w:r>
            <w:r w:rsidR="007B7753">
              <w:rPr>
                <w:rFonts w:eastAsia="Times New Roman" w:cs="Times New Roman"/>
                <w:color w:val="0000FF"/>
              </w:rPr>
              <w:t xml:space="preserve"> Feet</w:t>
            </w:r>
          </w:p>
        </w:tc>
        <w:tc>
          <w:tcPr>
            <w:tcW w:w="1330" w:type="pct"/>
            <w:tcBorders>
              <w:top w:val="nil"/>
              <w:left w:val="nil"/>
              <w:bottom w:val="nil"/>
            </w:tcBorders>
            <w:vAlign w:val="bottom"/>
          </w:tcPr>
          <w:p w14:paraId="44A5403E" w14:textId="7B1A24D2"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1.09</w:t>
            </w:r>
          </w:p>
        </w:tc>
        <w:tc>
          <w:tcPr>
            <w:tcW w:w="1223" w:type="pct"/>
            <w:tcBorders>
              <w:top w:val="nil"/>
              <w:left w:val="nil"/>
              <w:bottom w:val="nil"/>
            </w:tcBorders>
            <w:vAlign w:val="bottom"/>
          </w:tcPr>
          <w:p w14:paraId="129E559B" w14:textId="1100149D"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1.07</w:t>
            </w:r>
          </w:p>
        </w:tc>
      </w:tr>
      <w:tr w:rsidR="002675F6" w:rsidRPr="00CC19B1" w14:paraId="36C72526" w14:textId="77777777" w:rsidTr="007B7753">
        <w:trPr>
          <w:trHeight w:val="273"/>
        </w:trPr>
        <w:tc>
          <w:tcPr>
            <w:tcW w:w="2447" w:type="pct"/>
            <w:tcBorders>
              <w:top w:val="nil"/>
              <w:left w:val="nil"/>
              <w:bottom w:val="nil"/>
              <w:right w:val="nil"/>
            </w:tcBorders>
            <w:shd w:val="clear" w:color="auto" w:fill="auto"/>
            <w:vAlign w:val="bottom"/>
          </w:tcPr>
          <w:p w14:paraId="0937AEB0" w14:textId="2A00F349" w:rsidR="002675F6" w:rsidRDefault="007060FB" w:rsidP="002675F6">
            <w:pPr>
              <w:spacing w:after="0" w:line="240" w:lineRule="auto"/>
              <w:rPr>
                <w:rFonts w:eastAsia="Times New Roman" w:cs="Times New Roman"/>
                <w:color w:val="0000FF"/>
              </w:rPr>
            </w:pPr>
            <w:r>
              <w:rPr>
                <w:rFonts w:eastAsia="Times New Roman" w:cs="Times New Roman"/>
                <w:color w:val="0000FF"/>
              </w:rPr>
              <w:t>GG0170L:</w:t>
            </w:r>
            <w:r w:rsidRPr="002675F6">
              <w:rPr>
                <w:rFonts w:eastAsia="Times New Roman" w:cs="Times New Roman"/>
                <w:color w:val="0000FF"/>
              </w:rPr>
              <w:t xml:space="preserve"> </w:t>
            </w:r>
            <w:r w:rsidR="002675F6" w:rsidRPr="002675F6">
              <w:rPr>
                <w:rFonts w:eastAsia="Times New Roman" w:cs="Times New Roman"/>
                <w:color w:val="0000FF"/>
              </w:rPr>
              <w:t>Walking 10</w:t>
            </w:r>
            <w:r w:rsidR="007B7753">
              <w:rPr>
                <w:rFonts w:eastAsia="Times New Roman" w:cs="Times New Roman"/>
                <w:color w:val="0000FF"/>
              </w:rPr>
              <w:t xml:space="preserve"> Feet</w:t>
            </w:r>
            <w:r w:rsidR="002675F6" w:rsidRPr="002675F6">
              <w:rPr>
                <w:rFonts w:eastAsia="Times New Roman" w:cs="Times New Roman"/>
                <w:color w:val="0000FF"/>
              </w:rPr>
              <w:t xml:space="preserve"> on </w:t>
            </w:r>
            <w:r w:rsidR="007B7753">
              <w:rPr>
                <w:rFonts w:eastAsia="Times New Roman" w:cs="Times New Roman"/>
                <w:color w:val="0000FF"/>
              </w:rPr>
              <w:t>U</w:t>
            </w:r>
            <w:r w:rsidR="002675F6" w:rsidRPr="002675F6">
              <w:rPr>
                <w:rFonts w:eastAsia="Times New Roman" w:cs="Times New Roman"/>
                <w:color w:val="0000FF"/>
              </w:rPr>
              <w:t xml:space="preserve">neven </w:t>
            </w:r>
            <w:r w:rsidR="007B7753">
              <w:rPr>
                <w:rFonts w:eastAsia="Times New Roman" w:cs="Times New Roman"/>
                <w:color w:val="0000FF"/>
              </w:rPr>
              <w:t>S</w:t>
            </w:r>
            <w:r w:rsidR="002675F6" w:rsidRPr="002675F6">
              <w:rPr>
                <w:rFonts w:eastAsia="Times New Roman" w:cs="Times New Roman"/>
                <w:color w:val="0000FF"/>
              </w:rPr>
              <w:t>urfaces</w:t>
            </w:r>
          </w:p>
        </w:tc>
        <w:tc>
          <w:tcPr>
            <w:tcW w:w="1330" w:type="pct"/>
            <w:tcBorders>
              <w:top w:val="nil"/>
              <w:left w:val="nil"/>
              <w:bottom w:val="nil"/>
            </w:tcBorders>
            <w:vAlign w:val="bottom"/>
          </w:tcPr>
          <w:p w14:paraId="383546A4" w14:textId="35038872"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1.12</w:t>
            </w:r>
          </w:p>
        </w:tc>
        <w:tc>
          <w:tcPr>
            <w:tcW w:w="1223" w:type="pct"/>
            <w:tcBorders>
              <w:top w:val="nil"/>
              <w:left w:val="nil"/>
              <w:bottom w:val="nil"/>
            </w:tcBorders>
            <w:vAlign w:val="bottom"/>
          </w:tcPr>
          <w:p w14:paraId="6EE3DDF6" w14:textId="4B237824"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1.12</w:t>
            </w:r>
          </w:p>
        </w:tc>
      </w:tr>
      <w:tr w:rsidR="002675F6" w:rsidRPr="00CC19B1" w14:paraId="66038FD7" w14:textId="77777777" w:rsidTr="007B7753">
        <w:trPr>
          <w:trHeight w:val="273"/>
        </w:trPr>
        <w:tc>
          <w:tcPr>
            <w:tcW w:w="2447" w:type="pct"/>
            <w:tcBorders>
              <w:top w:val="nil"/>
              <w:left w:val="nil"/>
              <w:bottom w:val="nil"/>
              <w:right w:val="nil"/>
            </w:tcBorders>
            <w:shd w:val="clear" w:color="auto" w:fill="auto"/>
            <w:vAlign w:val="bottom"/>
          </w:tcPr>
          <w:p w14:paraId="46BF8DE2" w14:textId="2A5FB78D" w:rsidR="002675F6" w:rsidRDefault="007060FB" w:rsidP="002675F6">
            <w:pPr>
              <w:spacing w:after="0" w:line="240" w:lineRule="auto"/>
              <w:rPr>
                <w:rFonts w:eastAsia="Times New Roman" w:cs="Times New Roman"/>
                <w:color w:val="0000FF"/>
              </w:rPr>
            </w:pPr>
            <w:r>
              <w:rPr>
                <w:rFonts w:eastAsia="Times New Roman" w:cs="Times New Roman"/>
                <w:color w:val="0000FF"/>
              </w:rPr>
              <w:t>GG0170M:</w:t>
            </w:r>
            <w:r w:rsidRPr="002675F6">
              <w:rPr>
                <w:rFonts w:eastAsia="Times New Roman" w:cs="Times New Roman"/>
                <w:color w:val="0000FF"/>
              </w:rPr>
              <w:t xml:space="preserve"> </w:t>
            </w:r>
            <w:r w:rsidR="002675F6" w:rsidRPr="002675F6">
              <w:rPr>
                <w:rFonts w:eastAsia="Times New Roman" w:cs="Times New Roman"/>
                <w:color w:val="0000FF"/>
              </w:rPr>
              <w:t>1 Step (Curb)</w:t>
            </w:r>
          </w:p>
        </w:tc>
        <w:tc>
          <w:tcPr>
            <w:tcW w:w="1330" w:type="pct"/>
            <w:tcBorders>
              <w:top w:val="nil"/>
              <w:left w:val="nil"/>
              <w:bottom w:val="nil"/>
            </w:tcBorders>
            <w:vAlign w:val="bottom"/>
          </w:tcPr>
          <w:p w14:paraId="3DB2EAF2" w14:textId="63965681"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1.11</w:t>
            </w:r>
          </w:p>
        </w:tc>
        <w:tc>
          <w:tcPr>
            <w:tcW w:w="1223" w:type="pct"/>
            <w:tcBorders>
              <w:top w:val="nil"/>
              <w:left w:val="nil"/>
              <w:bottom w:val="nil"/>
            </w:tcBorders>
            <w:vAlign w:val="bottom"/>
          </w:tcPr>
          <w:p w14:paraId="13EC2992" w14:textId="4B0D7980"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1.10</w:t>
            </w:r>
          </w:p>
        </w:tc>
      </w:tr>
      <w:tr w:rsidR="002675F6" w:rsidRPr="00CC19B1" w14:paraId="10F82C52" w14:textId="77777777" w:rsidTr="007B7753">
        <w:trPr>
          <w:trHeight w:val="273"/>
        </w:trPr>
        <w:tc>
          <w:tcPr>
            <w:tcW w:w="2447" w:type="pct"/>
            <w:tcBorders>
              <w:top w:val="nil"/>
              <w:left w:val="nil"/>
              <w:bottom w:val="nil"/>
              <w:right w:val="nil"/>
            </w:tcBorders>
            <w:shd w:val="clear" w:color="auto" w:fill="auto"/>
            <w:vAlign w:val="bottom"/>
          </w:tcPr>
          <w:p w14:paraId="58C9536C" w14:textId="0D497895" w:rsidR="002675F6" w:rsidRDefault="007060FB" w:rsidP="002675F6">
            <w:pPr>
              <w:spacing w:after="0" w:line="240" w:lineRule="auto"/>
              <w:rPr>
                <w:rFonts w:eastAsia="Times New Roman" w:cs="Times New Roman"/>
                <w:color w:val="0000FF"/>
              </w:rPr>
            </w:pPr>
            <w:r>
              <w:rPr>
                <w:rFonts w:eastAsia="Times New Roman" w:cs="Times New Roman"/>
                <w:color w:val="0000FF"/>
              </w:rPr>
              <w:t xml:space="preserve">GG0170N: </w:t>
            </w:r>
            <w:r w:rsidR="002675F6" w:rsidRPr="002675F6">
              <w:rPr>
                <w:rFonts w:eastAsia="Times New Roman" w:cs="Times New Roman"/>
                <w:color w:val="0000FF"/>
              </w:rPr>
              <w:t>4 Steps</w:t>
            </w:r>
          </w:p>
        </w:tc>
        <w:tc>
          <w:tcPr>
            <w:tcW w:w="1330" w:type="pct"/>
            <w:tcBorders>
              <w:top w:val="nil"/>
              <w:left w:val="nil"/>
              <w:bottom w:val="nil"/>
            </w:tcBorders>
            <w:vAlign w:val="bottom"/>
          </w:tcPr>
          <w:p w14:paraId="3E924654" w14:textId="19816B95"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1.04</w:t>
            </w:r>
          </w:p>
        </w:tc>
        <w:tc>
          <w:tcPr>
            <w:tcW w:w="1223" w:type="pct"/>
            <w:tcBorders>
              <w:top w:val="nil"/>
              <w:left w:val="nil"/>
              <w:bottom w:val="nil"/>
            </w:tcBorders>
            <w:vAlign w:val="bottom"/>
          </w:tcPr>
          <w:p w14:paraId="0CA0D42B" w14:textId="5E757005"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1.01</w:t>
            </w:r>
          </w:p>
        </w:tc>
      </w:tr>
      <w:tr w:rsidR="002675F6" w:rsidRPr="00CC19B1" w14:paraId="7C1F2F04" w14:textId="77777777" w:rsidTr="007B7753">
        <w:trPr>
          <w:trHeight w:val="273"/>
        </w:trPr>
        <w:tc>
          <w:tcPr>
            <w:tcW w:w="2447" w:type="pct"/>
            <w:tcBorders>
              <w:top w:val="nil"/>
              <w:left w:val="nil"/>
              <w:right w:val="nil"/>
            </w:tcBorders>
            <w:shd w:val="clear" w:color="auto" w:fill="auto"/>
            <w:vAlign w:val="bottom"/>
          </w:tcPr>
          <w:p w14:paraId="781B17F9" w14:textId="11B6B0F2" w:rsidR="002675F6" w:rsidRDefault="007060FB" w:rsidP="002675F6">
            <w:pPr>
              <w:spacing w:after="0" w:line="240" w:lineRule="auto"/>
              <w:rPr>
                <w:rFonts w:eastAsia="Times New Roman" w:cs="Times New Roman"/>
                <w:color w:val="0000FF"/>
              </w:rPr>
            </w:pPr>
            <w:r>
              <w:rPr>
                <w:rFonts w:eastAsia="Times New Roman" w:cs="Times New Roman"/>
                <w:color w:val="0000FF"/>
              </w:rPr>
              <w:t>GG0170O:</w:t>
            </w:r>
            <w:r w:rsidRPr="002675F6">
              <w:rPr>
                <w:rFonts w:eastAsia="Times New Roman" w:cs="Times New Roman"/>
                <w:color w:val="0000FF"/>
              </w:rPr>
              <w:t xml:space="preserve"> </w:t>
            </w:r>
            <w:r w:rsidR="002675F6" w:rsidRPr="002675F6">
              <w:rPr>
                <w:rFonts w:eastAsia="Times New Roman" w:cs="Times New Roman"/>
                <w:color w:val="0000FF"/>
              </w:rPr>
              <w:t>12 Steps</w:t>
            </w:r>
          </w:p>
        </w:tc>
        <w:tc>
          <w:tcPr>
            <w:tcW w:w="1330" w:type="pct"/>
            <w:tcBorders>
              <w:top w:val="nil"/>
              <w:left w:val="nil"/>
            </w:tcBorders>
            <w:vAlign w:val="bottom"/>
          </w:tcPr>
          <w:p w14:paraId="42739A20" w14:textId="1508E901"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1.45</w:t>
            </w:r>
          </w:p>
        </w:tc>
        <w:tc>
          <w:tcPr>
            <w:tcW w:w="1223" w:type="pct"/>
            <w:tcBorders>
              <w:top w:val="nil"/>
              <w:left w:val="nil"/>
            </w:tcBorders>
            <w:vAlign w:val="bottom"/>
          </w:tcPr>
          <w:p w14:paraId="67ECA267" w14:textId="5A576AEC"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1.54</w:t>
            </w:r>
          </w:p>
        </w:tc>
      </w:tr>
      <w:tr w:rsidR="002675F6" w:rsidRPr="00CC19B1" w14:paraId="107808EE" w14:textId="77777777" w:rsidTr="00ED5E07">
        <w:trPr>
          <w:trHeight w:val="273"/>
        </w:trPr>
        <w:tc>
          <w:tcPr>
            <w:tcW w:w="2447" w:type="pct"/>
            <w:tcBorders>
              <w:top w:val="nil"/>
              <w:left w:val="nil"/>
              <w:bottom w:val="single" w:sz="4" w:space="0" w:color="auto"/>
              <w:right w:val="nil"/>
            </w:tcBorders>
            <w:shd w:val="clear" w:color="auto" w:fill="auto"/>
            <w:vAlign w:val="bottom"/>
          </w:tcPr>
          <w:p w14:paraId="351A2468" w14:textId="71A24936" w:rsidR="002675F6" w:rsidRDefault="007B7753" w:rsidP="002675F6">
            <w:pPr>
              <w:spacing w:after="0" w:line="240" w:lineRule="auto"/>
              <w:rPr>
                <w:rFonts w:eastAsia="Times New Roman" w:cs="Times New Roman"/>
                <w:color w:val="0000FF"/>
              </w:rPr>
            </w:pPr>
            <w:r>
              <w:rPr>
                <w:rFonts w:eastAsia="Times New Roman" w:cs="Times New Roman"/>
                <w:color w:val="0000FF"/>
              </w:rPr>
              <w:t xml:space="preserve">GG0170P: </w:t>
            </w:r>
            <w:r w:rsidR="002675F6" w:rsidRPr="002675F6">
              <w:rPr>
                <w:rFonts w:eastAsia="Times New Roman" w:cs="Times New Roman"/>
                <w:color w:val="0000FF"/>
              </w:rPr>
              <w:t>Pick</w:t>
            </w:r>
            <w:r>
              <w:rPr>
                <w:rFonts w:eastAsia="Times New Roman" w:cs="Times New Roman"/>
                <w:color w:val="0000FF"/>
              </w:rPr>
              <w:t>ing</w:t>
            </w:r>
            <w:r w:rsidR="002675F6" w:rsidRPr="002675F6">
              <w:rPr>
                <w:rFonts w:eastAsia="Times New Roman" w:cs="Times New Roman"/>
                <w:color w:val="0000FF"/>
              </w:rPr>
              <w:t xml:space="preserve"> Up Object</w:t>
            </w:r>
          </w:p>
        </w:tc>
        <w:tc>
          <w:tcPr>
            <w:tcW w:w="1330" w:type="pct"/>
            <w:tcBorders>
              <w:top w:val="nil"/>
              <w:left w:val="nil"/>
              <w:bottom w:val="single" w:sz="4" w:space="0" w:color="auto"/>
            </w:tcBorders>
            <w:shd w:val="clear" w:color="auto" w:fill="F2F2F2" w:themeFill="background1" w:themeFillShade="F2"/>
            <w:vAlign w:val="bottom"/>
          </w:tcPr>
          <w:p w14:paraId="46F37516" w14:textId="11DF95D8"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2.28</w:t>
            </w:r>
          </w:p>
        </w:tc>
        <w:tc>
          <w:tcPr>
            <w:tcW w:w="1223" w:type="pct"/>
            <w:tcBorders>
              <w:top w:val="nil"/>
              <w:left w:val="nil"/>
              <w:bottom w:val="single" w:sz="4" w:space="0" w:color="auto"/>
            </w:tcBorders>
            <w:shd w:val="clear" w:color="auto" w:fill="F2F2F2" w:themeFill="background1" w:themeFillShade="F2"/>
            <w:vAlign w:val="bottom"/>
          </w:tcPr>
          <w:p w14:paraId="04DF9587" w14:textId="66ADCA48" w:rsidR="002675F6" w:rsidRPr="007060FB" w:rsidRDefault="002675F6" w:rsidP="002675F6">
            <w:pPr>
              <w:spacing w:after="0" w:line="240" w:lineRule="auto"/>
              <w:jc w:val="center"/>
              <w:rPr>
                <w:rFonts w:eastAsia="Times New Roman" w:cs="Times New Roman"/>
                <w:color w:val="0000FF"/>
              </w:rPr>
            </w:pPr>
            <w:r w:rsidRPr="007060FB">
              <w:rPr>
                <w:rFonts w:eastAsia="Times New Roman" w:cs="Times New Roman"/>
                <w:color w:val="0000FF"/>
              </w:rPr>
              <w:t>2.45</w:t>
            </w:r>
          </w:p>
        </w:tc>
      </w:tr>
    </w:tbl>
    <w:p w14:paraId="3F5001CF" w14:textId="51CFD074" w:rsidR="009803CA" w:rsidRPr="00CC19B1" w:rsidRDefault="004D5FAD" w:rsidP="009803CA">
      <w:pPr>
        <w:spacing w:before="240" w:after="240" w:line="240" w:lineRule="auto"/>
        <w:rPr>
          <w:color w:val="0000FF"/>
        </w:rPr>
      </w:pPr>
      <w:bookmarkStart w:id="66" w:name="_Hlk534492780"/>
      <w:r>
        <w:rPr>
          <w:b/>
          <w:color w:val="0000FF"/>
        </w:rPr>
        <w:t>Data Element</w:t>
      </w:r>
      <w:r w:rsidR="009803CA" w:rsidRPr="00CC19B1">
        <w:rPr>
          <w:b/>
          <w:color w:val="0000FF"/>
        </w:rPr>
        <w:t xml:space="preserve"> </w:t>
      </w:r>
      <w:r w:rsidR="00F8435F">
        <w:rPr>
          <w:b/>
          <w:color w:val="0000FF"/>
        </w:rPr>
        <w:t xml:space="preserve">(Item) </w:t>
      </w:r>
      <w:r w:rsidR="009803CA" w:rsidRPr="00CC19B1">
        <w:rPr>
          <w:b/>
          <w:color w:val="0000FF"/>
        </w:rPr>
        <w:t>and Scale</w:t>
      </w:r>
      <w:r w:rsidR="00F8435F">
        <w:rPr>
          <w:b/>
          <w:color w:val="0000FF"/>
        </w:rPr>
        <w:t>/Instrument</w:t>
      </w:r>
      <w:r w:rsidR="009803CA" w:rsidRPr="00CC19B1">
        <w:rPr>
          <w:b/>
          <w:color w:val="0000FF"/>
        </w:rPr>
        <w:t xml:space="preserve"> Validity - Response Option Assessment </w:t>
      </w:r>
      <w:r w:rsidR="009803CA">
        <w:rPr>
          <w:b/>
          <w:color w:val="0000FF"/>
        </w:rPr>
        <w:t xml:space="preserve">Based on </w:t>
      </w:r>
      <w:r w:rsidR="009803CA" w:rsidRPr="00CC19B1">
        <w:rPr>
          <w:b/>
          <w:color w:val="0000FF"/>
        </w:rPr>
        <w:t>Rasch Analysis</w:t>
      </w:r>
      <w:r>
        <w:rPr>
          <w:b/>
          <w:color w:val="0000FF"/>
        </w:rPr>
        <w:t xml:space="preserve"> (unit of analysis is patient assessments)</w:t>
      </w:r>
      <w:r w:rsidR="009803CA" w:rsidRPr="00CC19B1">
        <w:rPr>
          <w:rFonts w:eastAsia="Times New Roman"/>
          <w:b/>
          <w:color w:val="0000FF"/>
        </w:rPr>
        <w:t xml:space="preserve">: </w:t>
      </w:r>
      <w:r w:rsidR="009803CA" w:rsidRPr="00CC19B1">
        <w:rPr>
          <w:rFonts w:ascii="Calibri" w:eastAsia="Calibri" w:hAnsi="Calibri" w:cs="Times New Roman"/>
          <w:b/>
          <w:color w:val="0000FF"/>
        </w:rPr>
        <w:t xml:space="preserve"> </w:t>
      </w:r>
      <w:bookmarkStart w:id="67" w:name="_Hlk533779104"/>
      <w:r w:rsidR="009803CA" w:rsidRPr="00CC19B1">
        <w:rPr>
          <w:bCs/>
          <w:color w:val="0000FF"/>
        </w:rPr>
        <w:t>Rasch analyses provide information on how many p</w:t>
      </w:r>
      <w:r w:rsidR="003E5800">
        <w:rPr>
          <w:bCs/>
          <w:color w:val="0000FF"/>
        </w:rPr>
        <w:t>atients</w:t>
      </w:r>
      <w:r w:rsidR="009803CA" w:rsidRPr="00CC19B1">
        <w:rPr>
          <w:bCs/>
          <w:color w:val="0000FF"/>
        </w:rPr>
        <w:t xml:space="preserve"> </w:t>
      </w:r>
      <w:r w:rsidR="009803CA">
        <w:rPr>
          <w:bCs/>
          <w:color w:val="0000FF"/>
        </w:rPr>
        <w:t>are coded</w:t>
      </w:r>
      <w:r w:rsidR="009803CA" w:rsidRPr="00CC19B1">
        <w:rPr>
          <w:bCs/>
          <w:color w:val="0000FF"/>
        </w:rPr>
        <w:t xml:space="preserve"> in </w:t>
      </w:r>
      <w:r w:rsidR="009803CA">
        <w:rPr>
          <w:bCs/>
          <w:color w:val="0000FF"/>
        </w:rPr>
        <w:t>each</w:t>
      </w:r>
      <w:r w:rsidR="009803CA" w:rsidRPr="00CC19B1">
        <w:rPr>
          <w:bCs/>
          <w:color w:val="0000FF"/>
        </w:rPr>
        <w:t xml:space="preserve"> </w:t>
      </w:r>
      <w:r>
        <w:rPr>
          <w:bCs/>
          <w:color w:val="0000FF"/>
        </w:rPr>
        <w:t xml:space="preserve">score category </w:t>
      </w:r>
      <w:r w:rsidR="009803CA" w:rsidRPr="00CC19B1">
        <w:rPr>
          <w:bCs/>
          <w:color w:val="0000FF"/>
        </w:rPr>
        <w:t xml:space="preserve">(i.e., independent to dependent) </w:t>
      </w:r>
      <w:r w:rsidR="00C6476E">
        <w:rPr>
          <w:bCs/>
          <w:color w:val="0000FF"/>
        </w:rPr>
        <w:t xml:space="preserve">for each item </w:t>
      </w:r>
      <w:r w:rsidR="009803CA" w:rsidRPr="00CC19B1">
        <w:rPr>
          <w:bCs/>
          <w:color w:val="0000FF"/>
        </w:rPr>
        <w:t>and the average ability (or skill level) of those individuals</w:t>
      </w:r>
      <w:r w:rsidR="00C6476E">
        <w:rPr>
          <w:bCs/>
          <w:color w:val="0000FF"/>
        </w:rPr>
        <w:t xml:space="preserve"> on the construct of interest</w:t>
      </w:r>
      <w:r w:rsidR="009803CA" w:rsidRPr="00CC19B1">
        <w:rPr>
          <w:bCs/>
          <w:color w:val="0000FF"/>
        </w:rPr>
        <w:t xml:space="preserve">. Evaluations of </w:t>
      </w:r>
      <w:r w:rsidR="009803CA">
        <w:rPr>
          <w:bCs/>
          <w:color w:val="0000FF"/>
        </w:rPr>
        <w:t xml:space="preserve">patient ability by </w:t>
      </w:r>
      <w:r>
        <w:rPr>
          <w:bCs/>
          <w:color w:val="0000FF"/>
        </w:rPr>
        <w:t>score category</w:t>
      </w:r>
      <w:r w:rsidR="008A315F" w:rsidRPr="00CC19B1">
        <w:rPr>
          <w:bCs/>
          <w:color w:val="0000FF"/>
        </w:rPr>
        <w:t xml:space="preserve"> </w:t>
      </w:r>
      <w:r w:rsidR="009803CA" w:rsidRPr="00CC19B1">
        <w:rPr>
          <w:bCs/>
          <w:color w:val="0000FF"/>
        </w:rPr>
        <w:t xml:space="preserve">indicate that rating scale use is as expected, with </w:t>
      </w:r>
      <w:r w:rsidR="009803CA">
        <w:rPr>
          <w:bCs/>
          <w:color w:val="0000FF"/>
        </w:rPr>
        <w:t xml:space="preserve">patients with higher </w:t>
      </w:r>
      <w:r>
        <w:rPr>
          <w:bCs/>
          <w:color w:val="0000FF"/>
        </w:rPr>
        <w:t>item</w:t>
      </w:r>
      <w:r w:rsidR="009803CA">
        <w:rPr>
          <w:bCs/>
          <w:color w:val="0000FF"/>
        </w:rPr>
        <w:t xml:space="preserve"> scores are, on average, </w:t>
      </w:r>
      <w:r w:rsidR="009803CA" w:rsidRPr="00CC19B1">
        <w:rPr>
          <w:bCs/>
          <w:color w:val="0000FF"/>
        </w:rPr>
        <w:t xml:space="preserve">higher </w:t>
      </w:r>
      <w:r w:rsidR="009803CA">
        <w:rPr>
          <w:bCs/>
          <w:color w:val="0000FF"/>
        </w:rPr>
        <w:t>ability</w:t>
      </w:r>
      <w:r w:rsidR="009803CA" w:rsidRPr="00CC19B1">
        <w:rPr>
          <w:bCs/>
          <w:color w:val="0000FF"/>
        </w:rPr>
        <w:t xml:space="preserve"> </w:t>
      </w:r>
      <w:r w:rsidR="009803CA">
        <w:rPr>
          <w:bCs/>
          <w:color w:val="0000FF"/>
        </w:rPr>
        <w:t>patients</w:t>
      </w:r>
      <w:r w:rsidR="009803CA" w:rsidRPr="00CC19B1">
        <w:rPr>
          <w:bCs/>
          <w:color w:val="0000FF"/>
        </w:rPr>
        <w:t>.</w:t>
      </w:r>
      <w:r w:rsidR="009803CA" w:rsidRPr="00CC19B1">
        <w:rPr>
          <w:color w:val="0000FF"/>
        </w:rPr>
        <w:t xml:space="preserve"> </w:t>
      </w:r>
      <w:r w:rsidR="00C6476E">
        <w:rPr>
          <w:color w:val="0000FF"/>
        </w:rPr>
        <w:t xml:space="preserve">For our data, we anticipate that for each item, patients with higher scores (01 to 06) should have higher Rasch logit mobility values (Rasch mobility logit values range from -9 to +7). </w:t>
      </w:r>
      <w:r w:rsidR="009803CA">
        <w:rPr>
          <w:color w:val="0000FF"/>
        </w:rPr>
        <w:t>Likewise, i</w:t>
      </w:r>
      <w:r w:rsidR="009803CA" w:rsidRPr="00CC19B1">
        <w:rPr>
          <w:color w:val="0000FF"/>
        </w:rPr>
        <w:t xml:space="preserve">t is expected that lower ability persons would generally be observed in the more dependent categories (substantial assistance, etc.). Therefore, the average ability (or skill level) estimate associated with the more dependent </w:t>
      </w:r>
      <w:r>
        <w:rPr>
          <w:color w:val="0000FF"/>
        </w:rPr>
        <w:t>score</w:t>
      </w:r>
      <w:r w:rsidR="003E5800">
        <w:rPr>
          <w:color w:val="0000FF"/>
        </w:rPr>
        <w:t>s</w:t>
      </w:r>
      <w:r w:rsidR="009803CA" w:rsidRPr="00CC19B1">
        <w:rPr>
          <w:color w:val="0000FF"/>
        </w:rPr>
        <w:t xml:space="preserve"> would be lower than </w:t>
      </w:r>
      <w:r w:rsidR="003E5800">
        <w:rPr>
          <w:color w:val="0000FF"/>
        </w:rPr>
        <w:t>ability estimates</w:t>
      </w:r>
      <w:r w:rsidR="009803CA" w:rsidRPr="00CC19B1">
        <w:rPr>
          <w:color w:val="0000FF"/>
        </w:rPr>
        <w:t xml:space="preserve"> associated with the more independent </w:t>
      </w:r>
      <w:r w:rsidR="003E5800">
        <w:rPr>
          <w:color w:val="0000FF"/>
        </w:rPr>
        <w:t>scores</w:t>
      </w:r>
      <w:r w:rsidR="009803CA" w:rsidRPr="00CC19B1">
        <w:rPr>
          <w:color w:val="0000FF"/>
        </w:rPr>
        <w:t xml:space="preserve">. </w:t>
      </w:r>
      <w:r w:rsidR="009803CA">
        <w:rPr>
          <w:color w:val="0000FF"/>
        </w:rPr>
        <w:t>We combined admission and discharge data for each item in order to ensure a range of patient ability is represented in the analyses.</w:t>
      </w:r>
      <w:bookmarkEnd w:id="67"/>
    </w:p>
    <w:bookmarkEnd w:id="66"/>
    <w:p w14:paraId="7C4C5F52" w14:textId="471DC121" w:rsidR="009803CA" w:rsidRPr="00CC19B1" w:rsidRDefault="009803CA" w:rsidP="009803CA">
      <w:pPr>
        <w:spacing w:before="240" w:after="240" w:line="240" w:lineRule="auto"/>
      </w:pPr>
      <w:r>
        <w:rPr>
          <w:color w:val="0000FF"/>
        </w:rPr>
        <w:t xml:space="preserve">As shown in </w:t>
      </w:r>
      <w:r w:rsidRPr="00673F1F">
        <w:rPr>
          <w:b/>
          <w:color w:val="0000FF"/>
        </w:rPr>
        <w:t xml:space="preserve">Table </w:t>
      </w:r>
      <w:r w:rsidR="0093624C">
        <w:rPr>
          <w:b/>
          <w:color w:val="0000FF"/>
        </w:rPr>
        <w:t>8</w:t>
      </w:r>
      <w:r>
        <w:rPr>
          <w:color w:val="0000FF"/>
        </w:rPr>
        <w:t xml:space="preserve">, for each item, patients who </w:t>
      </w:r>
      <w:r w:rsidR="008A315F">
        <w:rPr>
          <w:color w:val="0000FF"/>
        </w:rPr>
        <w:t xml:space="preserve">are coded </w:t>
      </w:r>
      <w:r w:rsidR="003E5800">
        <w:rPr>
          <w:color w:val="0000FF"/>
        </w:rPr>
        <w:t>with</w:t>
      </w:r>
      <w:r w:rsidR="008A315F">
        <w:rPr>
          <w:color w:val="0000FF"/>
        </w:rPr>
        <w:t xml:space="preserve"> </w:t>
      </w:r>
      <w:r>
        <w:rPr>
          <w:color w:val="0000FF"/>
        </w:rPr>
        <w:t xml:space="preserve">higher </w:t>
      </w:r>
      <w:r w:rsidR="003E5800">
        <w:rPr>
          <w:color w:val="0000FF"/>
        </w:rPr>
        <w:t>scores</w:t>
      </w:r>
      <w:r>
        <w:rPr>
          <w:color w:val="0000FF"/>
        </w:rPr>
        <w:t xml:space="preserve"> have higher overall mobility, as expected. </w:t>
      </w:r>
    </w:p>
    <w:p w14:paraId="60B4BCED" w14:textId="6960110F" w:rsidR="007B7753" w:rsidRDefault="007B7753" w:rsidP="00C6669F">
      <w:pPr>
        <w:spacing w:after="0"/>
        <w:rPr>
          <w:b/>
          <w:bCs/>
          <w:color w:val="0000FF"/>
        </w:rPr>
      </w:pPr>
      <w:r w:rsidRPr="00CC19B1">
        <w:rPr>
          <w:b/>
          <w:bCs/>
          <w:color w:val="0000FF"/>
        </w:rPr>
        <w:t xml:space="preserve">Table </w:t>
      </w:r>
      <w:r w:rsidR="0093624C">
        <w:rPr>
          <w:b/>
          <w:bCs/>
          <w:color w:val="0000FF"/>
        </w:rPr>
        <w:t>8</w:t>
      </w:r>
      <w:r w:rsidRPr="00CC19B1">
        <w:rPr>
          <w:b/>
          <w:bCs/>
          <w:color w:val="0000FF"/>
        </w:rPr>
        <w:t xml:space="preserve">. Distribution of </w:t>
      </w:r>
      <w:r>
        <w:rPr>
          <w:b/>
          <w:bCs/>
          <w:color w:val="0000FF"/>
        </w:rPr>
        <w:t xml:space="preserve">Combined </w:t>
      </w:r>
      <w:r w:rsidRPr="00CC19B1">
        <w:rPr>
          <w:b/>
          <w:bCs/>
          <w:color w:val="0000FF"/>
        </w:rPr>
        <w:t xml:space="preserve">Admission and Discharge </w:t>
      </w:r>
      <w:bookmarkEnd w:id="65"/>
      <w:r w:rsidRPr="00CC19B1">
        <w:rPr>
          <w:b/>
          <w:bCs/>
          <w:color w:val="0000FF"/>
        </w:rPr>
        <w:t>Scores and Average Ability Estimate by Response Code</w:t>
      </w:r>
      <w:r>
        <w:rPr>
          <w:b/>
          <w:bCs/>
          <w:color w:val="0000FF"/>
        </w:rPr>
        <w:t xml:space="preserve"> </w:t>
      </w:r>
      <w:r w:rsidR="003E5800">
        <w:rPr>
          <w:b/>
          <w:bCs/>
          <w:color w:val="0000FF"/>
        </w:rPr>
        <w:t xml:space="preserve">for Each Mobility Item </w:t>
      </w:r>
      <w:r>
        <w:rPr>
          <w:b/>
          <w:bCs/>
          <w:color w:val="0000FF"/>
        </w:rPr>
        <w:t>(n=320,893)</w:t>
      </w:r>
    </w:p>
    <w:tbl>
      <w:tblPr>
        <w:tblW w:w="5000" w:type="pct"/>
        <w:tblCellMar>
          <w:left w:w="72" w:type="dxa"/>
          <w:right w:w="72" w:type="dxa"/>
        </w:tblCellMar>
        <w:tblLook w:val="04A0" w:firstRow="1" w:lastRow="0" w:firstColumn="1" w:lastColumn="0" w:noHBand="0" w:noVBand="1"/>
      </w:tblPr>
      <w:tblGrid>
        <w:gridCol w:w="2231"/>
        <w:gridCol w:w="2521"/>
        <w:gridCol w:w="1190"/>
        <w:gridCol w:w="1298"/>
        <w:gridCol w:w="2120"/>
      </w:tblGrid>
      <w:tr w:rsidR="007B7753" w:rsidRPr="002103B2" w14:paraId="19CC8F2D" w14:textId="77777777" w:rsidTr="00DD208F">
        <w:trPr>
          <w:trHeight w:val="132"/>
          <w:tblHeader/>
        </w:trPr>
        <w:tc>
          <w:tcPr>
            <w:tcW w:w="1248" w:type="pct"/>
            <w:tcBorders>
              <w:top w:val="single" w:sz="4" w:space="0" w:color="auto"/>
              <w:bottom w:val="single" w:sz="4" w:space="0" w:color="auto"/>
            </w:tcBorders>
            <w:shd w:val="clear" w:color="auto" w:fill="auto"/>
            <w:noWrap/>
            <w:vAlign w:val="center"/>
            <w:hideMark/>
          </w:tcPr>
          <w:p w14:paraId="10C0C07E" w14:textId="77777777" w:rsidR="007B7753" w:rsidRPr="001679C6"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Item</w:t>
            </w:r>
          </w:p>
        </w:tc>
        <w:tc>
          <w:tcPr>
            <w:tcW w:w="1124" w:type="pct"/>
            <w:tcBorders>
              <w:top w:val="single" w:sz="4" w:space="0" w:color="auto"/>
              <w:bottom w:val="single" w:sz="4" w:space="0" w:color="auto"/>
            </w:tcBorders>
            <w:shd w:val="clear" w:color="auto" w:fill="auto"/>
            <w:noWrap/>
            <w:vAlign w:val="center"/>
            <w:hideMark/>
          </w:tcPr>
          <w:p w14:paraId="4C145D8F" w14:textId="77777777" w:rsidR="00C6476E"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 xml:space="preserve">Score </w:t>
            </w:r>
          </w:p>
          <w:p w14:paraId="3769C90D" w14:textId="77777777" w:rsidR="007B7753"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(Response Code)*</w:t>
            </w:r>
          </w:p>
          <w:p w14:paraId="4DA566EF" w14:textId="2A48103A" w:rsidR="00C6476E" w:rsidRPr="001679C6" w:rsidRDefault="00C6476E" w:rsidP="007B7753">
            <w:pPr>
              <w:spacing w:after="0" w:line="240" w:lineRule="auto"/>
              <w:jc w:val="center"/>
              <w:rPr>
                <w:rFonts w:eastAsia="Times New Roman" w:cs="Times New Roman"/>
                <w:b/>
                <w:color w:val="0000FF"/>
                <w:sz w:val="20"/>
              </w:rPr>
            </w:pPr>
            <w:r>
              <w:rPr>
                <w:rFonts w:eastAsia="Times New Roman" w:cs="Times New Roman"/>
                <w:b/>
                <w:color w:val="0000FF"/>
                <w:sz w:val="20"/>
              </w:rPr>
              <w:t xml:space="preserve">Higher </w:t>
            </w:r>
            <w:r w:rsidR="0058436B">
              <w:rPr>
                <w:rFonts w:eastAsia="Times New Roman" w:cs="Times New Roman"/>
                <w:b/>
                <w:color w:val="0000FF"/>
                <w:sz w:val="20"/>
              </w:rPr>
              <w:t>S</w:t>
            </w:r>
            <w:r>
              <w:rPr>
                <w:rFonts w:eastAsia="Times New Roman" w:cs="Times New Roman"/>
                <w:b/>
                <w:color w:val="0000FF"/>
                <w:sz w:val="20"/>
              </w:rPr>
              <w:t xml:space="preserve">core = </w:t>
            </w:r>
            <w:r w:rsidR="0058436B">
              <w:rPr>
                <w:rFonts w:eastAsia="Times New Roman" w:cs="Times New Roman"/>
                <w:b/>
                <w:color w:val="0000FF"/>
                <w:sz w:val="20"/>
              </w:rPr>
              <w:t>H</w:t>
            </w:r>
            <w:r>
              <w:rPr>
                <w:rFonts w:eastAsia="Times New Roman" w:cs="Times New Roman"/>
                <w:b/>
                <w:color w:val="0000FF"/>
                <w:sz w:val="20"/>
              </w:rPr>
              <w:t xml:space="preserve">igher </w:t>
            </w:r>
            <w:r w:rsidR="0058436B">
              <w:rPr>
                <w:rFonts w:eastAsia="Times New Roman" w:cs="Times New Roman"/>
                <w:b/>
                <w:color w:val="0000FF"/>
                <w:sz w:val="20"/>
              </w:rPr>
              <w:t>A</w:t>
            </w:r>
            <w:r>
              <w:rPr>
                <w:rFonts w:eastAsia="Times New Roman" w:cs="Times New Roman"/>
                <w:b/>
                <w:color w:val="0000FF"/>
                <w:sz w:val="20"/>
              </w:rPr>
              <w:t>bility</w:t>
            </w:r>
          </w:p>
        </w:tc>
        <w:tc>
          <w:tcPr>
            <w:tcW w:w="691" w:type="pct"/>
            <w:tcBorders>
              <w:top w:val="single" w:sz="4" w:space="0" w:color="auto"/>
              <w:bottom w:val="single" w:sz="4" w:space="0" w:color="auto"/>
            </w:tcBorders>
            <w:shd w:val="clear" w:color="auto" w:fill="auto"/>
            <w:vAlign w:val="center"/>
            <w:hideMark/>
          </w:tcPr>
          <w:p w14:paraId="5D6AAB66" w14:textId="77777777" w:rsidR="007B7753" w:rsidRPr="001679C6"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Number of Patients</w:t>
            </w:r>
          </w:p>
        </w:tc>
        <w:tc>
          <w:tcPr>
            <w:tcW w:w="749" w:type="pct"/>
            <w:tcBorders>
              <w:top w:val="single" w:sz="4" w:space="0" w:color="auto"/>
              <w:bottom w:val="single" w:sz="4" w:space="0" w:color="auto"/>
            </w:tcBorders>
            <w:shd w:val="clear" w:color="auto" w:fill="auto"/>
            <w:vAlign w:val="center"/>
            <w:hideMark/>
          </w:tcPr>
          <w:p w14:paraId="603E5A52" w14:textId="77777777" w:rsidR="007B7753" w:rsidRPr="001679C6"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Percent of Patients by Item</w:t>
            </w:r>
          </w:p>
        </w:tc>
        <w:tc>
          <w:tcPr>
            <w:tcW w:w="1188" w:type="pct"/>
            <w:tcBorders>
              <w:top w:val="single" w:sz="4" w:space="0" w:color="auto"/>
              <w:bottom w:val="single" w:sz="4" w:space="0" w:color="auto"/>
            </w:tcBorders>
            <w:shd w:val="clear" w:color="auto" w:fill="auto"/>
            <w:vAlign w:val="center"/>
            <w:hideMark/>
          </w:tcPr>
          <w:p w14:paraId="531BD5B4" w14:textId="78AE1546" w:rsidR="007B7753" w:rsidRPr="001679C6"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 xml:space="preserve">Average </w:t>
            </w:r>
            <w:r w:rsidR="0095416E" w:rsidRPr="001679C6">
              <w:rPr>
                <w:rFonts w:eastAsia="Times New Roman" w:cs="Times New Roman"/>
                <w:b/>
                <w:color w:val="0000FF"/>
                <w:sz w:val="20"/>
              </w:rPr>
              <w:t>Mobility</w:t>
            </w:r>
            <w:r w:rsidRPr="001679C6">
              <w:rPr>
                <w:rFonts w:eastAsia="Times New Roman" w:cs="Times New Roman"/>
                <w:b/>
                <w:color w:val="0000FF"/>
                <w:sz w:val="20"/>
              </w:rPr>
              <w:t xml:space="preserve"> Ability of Patients</w:t>
            </w:r>
          </w:p>
          <w:p w14:paraId="7E31C085" w14:textId="77777777" w:rsidR="007B7753" w:rsidRDefault="007B7753" w:rsidP="007B7753">
            <w:pPr>
              <w:spacing w:after="0" w:line="240" w:lineRule="auto"/>
              <w:jc w:val="center"/>
              <w:rPr>
                <w:rFonts w:eastAsia="Times New Roman" w:cs="Times New Roman"/>
                <w:b/>
                <w:color w:val="0000FF"/>
                <w:sz w:val="20"/>
              </w:rPr>
            </w:pPr>
            <w:r w:rsidRPr="001679C6">
              <w:rPr>
                <w:rFonts w:eastAsia="Times New Roman" w:cs="Times New Roman"/>
                <w:b/>
                <w:color w:val="0000FF"/>
                <w:sz w:val="20"/>
              </w:rPr>
              <w:t xml:space="preserve">(- </w:t>
            </w:r>
            <w:r w:rsidR="009D4993" w:rsidRPr="001679C6">
              <w:rPr>
                <w:rFonts w:eastAsia="Times New Roman" w:cs="Times New Roman"/>
                <w:b/>
                <w:color w:val="0000FF"/>
                <w:sz w:val="20"/>
              </w:rPr>
              <w:t>9</w:t>
            </w:r>
            <w:r w:rsidRPr="001679C6">
              <w:rPr>
                <w:rFonts w:eastAsia="Times New Roman" w:cs="Times New Roman"/>
                <w:b/>
                <w:color w:val="0000FF"/>
                <w:sz w:val="20"/>
              </w:rPr>
              <w:t xml:space="preserve"> to +7 Logit Scale)</w:t>
            </w:r>
          </w:p>
          <w:p w14:paraId="6DE23307" w14:textId="72336E3A" w:rsidR="00C6476E" w:rsidRPr="001679C6" w:rsidRDefault="00C6476E" w:rsidP="007B7753">
            <w:pPr>
              <w:spacing w:after="0" w:line="240" w:lineRule="auto"/>
              <w:jc w:val="center"/>
              <w:rPr>
                <w:rFonts w:eastAsia="Times New Roman" w:cs="Times New Roman"/>
                <w:b/>
                <w:color w:val="0000FF"/>
                <w:sz w:val="20"/>
              </w:rPr>
            </w:pPr>
            <w:r>
              <w:rPr>
                <w:rFonts w:eastAsia="Times New Roman" w:cs="Times New Roman"/>
                <w:b/>
                <w:color w:val="0000FF"/>
                <w:sz w:val="20"/>
              </w:rPr>
              <w:t xml:space="preserve">Higher </w:t>
            </w:r>
            <w:r w:rsidR="0058436B">
              <w:rPr>
                <w:rFonts w:eastAsia="Times New Roman" w:cs="Times New Roman"/>
                <w:b/>
                <w:color w:val="0000FF"/>
                <w:sz w:val="20"/>
              </w:rPr>
              <w:t>V</w:t>
            </w:r>
            <w:r>
              <w:rPr>
                <w:rFonts w:eastAsia="Times New Roman" w:cs="Times New Roman"/>
                <w:b/>
                <w:color w:val="0000FF"/>
                <w:sz w:val="20"/>
              </w:rPr>
              <w:t xml:space="preserve">alue = </w:t>
            </w:r>
            <w:r w:rsidR="0058436B">
              <w:rPr>
                <w:rFonts w:eastAsia="Times New Roman" w:cs="Times New Roman"/>
                <w:b/>
                <w:color w:val="0000FF"/>
                <w:sz w:val="20"/>
              </w:rPr>
              <w:t>H</w:t>
            </w:r>
            <w:r>
              <w:rPr>
                <w:rFonts w:eastAsia="Times New Roman" w:cs="Times New Roman"/>
                <w:b/>
                <w:color w:val="0000FF"/>
                <w:sz w:val="20"/>
              </w:rPr>
              <w:t xml:space="preserve">igher </w:t>
            </w:r>
            <w:r w:rsidR="0058436B">
              <w:rPr>
                <w:rFonts w:eastAsia="Times New Roman" w:cs="Times New Roman"/>
                <w:b/>
                <w:color w:val="0000FF"/>
                <w:sz w:val="20"/>
              </w:rPr>
              <w:t>A</w:t>
            </w:r>
            <w:r>
              <w:rPr>
                <w:rFonts w:eastAsia="Times New Roman" w:cs="Times New Roman"/>
                <w:b/>
                <w:color w:val="0000FF"/>
                <w:sz w:val="20"/>
              </w:rPr>
              <w:t>bility</w:t>
            </w:r>
          </w:p>
        </w:tc>
      </w:tr>
      <w:tr w:rsidR="007B7753" w:rsidRPr="002103B2" w14:paraId="1BEE624B" w14:textId="77777777" w:rsidTr="00CC7C8A">
        <w:trPr>
          <w:trHeight w:val="132"/>
        </w:trPr>
        <w:tc>
          <w:tcPr>
            <w:tcW w:w="1248" w:type="pct"/>
            <w:tcBorders>
              <w:top w:val="single" w:sz="4" w:space="0" w:color="auto"/>
            </w:tcBorders>
            <w:shd w:val="clear" w:color="auto" w:fill="auto"/>
            <w:noWrap/>
            <w:vAlign w:val="bottom"/>
            <w:hideMark/>
          </w:tcPr>
          <w:p w14:paraId="579D8019" w14:textId="63B66E2B"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Roll Left and Right</w:t>
            </w:r>
          </w:p>
        </w:tc>
        <w:tc>
          <w:tcPr>
            <w:tcW w:w="1124" w:type="pct"/>
            <w:tcBorders>
              <w:top w:val="single" w:sz="4" w:space="0" w:color="auto"/>
            </w:tcBorders>
            <w:shd w:val="clear" w:color="auto" w:fill="auto"/>
            <w:noWrap/>
            <w:vAlign w:val="bottom"/>
            <w:hideMark/>
          </w:tcPr>
          <w:p w14:paraId="50481540" w14:textId="77777777" w:rsidR="007B7753" w:rsidRPr="002103B2" w:rsidRDefault="007B7753" w:rsidP="007B7753">
            <w:pPr>
              <w:spacing w:after="0" w:line="240" w:lineRule="auto"/>
              <w:rPr>
                <w:rFonts w:eastAsia="Times New Roman" w:cs="Times New Roman"/>
                <w:color w:val="0000FF"/>
                <w:sz w:val="20"/>
              </w:rPr>
            </w:pPr>
          </w:p>
        </w:tc>
        <w:tc>
          <w:tcPr>
            <w:tcW w:w="691" w:type="pct"/>
            <w:tcBorders>
              <w:top w:val="single" w:sz="4" w:space="0" w:color="auto"/>
            </w:tcBorders>
            <w:shd w:val="clear" w:color="auto" w:fill="auto"/>
            <w:noWrap/>
            <w:vAlign w:val="bottom"/>
            <w:hideMark/>
          </w:tcPr>
          <w:p w14:paraId="78640DBD"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tcBorders>
              <w:top w:val="single" w:sz="4" w:space="0" w:color="auto"/>
            </w:tcBorders>
            <w:shd w:val="clear" w:color="auto" w:fill="auto"/>
            <w:noWrap/>
            <w:vAlign w:val="bottom"/>
            <w:hideMark/>
          </w:tcPr>
          <w:p w14:paraId="31701588"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tcBorders>
              <w:top w:val="single" w:sz="4" w:space="0" w:color="auto"/>
            </w:tcBorders>
            <w:shd w:val="clear" w:color="auto" w:fill="auto"/>
            <w:noWrap/>
            <w:vAlign w:val="bottom"/>
            <w:hideMark/>
          </w:tcPr>
          <w:p w14:paraId="33F6BE46" w14:textId="77777777" w:rsidR="007B7753" w:rsidRPr="002103B2" w:rsidRDefault="007B7753" w:rsidP="007B7753">
            <w:pPr>
              <w:spacing w:after="0" w:line="240" w:lineRule="auto"/>
              <w:jc w:val="center"/>
              <w:rPr>
                <w:rFonts w:eastAsia="Times New Roman" w:cs="Times New Roman"/>
                <w:color w:val="0000FF"/>
                <w:sz w:val="20"/>
              </w:rPr>
            </w:pPr>
          </w:p>
        </w:tc>
      </w:tr>
      <w:tr w:rsidR="007B7753" w:rsidRPr="002103B2" w14:paraId="39297E55" w14:textId="77777777" w:rsidTr="00CC7C8A">
        <w:trPr>
          <w:trHeight w:val="132"/>
        </w:trPr>
        <w:tc>
          <w:tcPr>
            <w:tcW w:w="1248" w:type="pct"/>
            <w:shd w:val="clear" w:color="auto" w:fill="auto"/>
            <w:noWrap/>
            <w:vAlign w:val="bottom"/>
            <w:hideMark/>
          </w:tcPr>
          <w:p w14:paraId="233D8913"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AC06FBA" w14:textId="7045E00D"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1</w:t>
            </w:r>
          </w:p>
        </w:tc>
        <w:tc>
          <w:tcPr>
            <w:tcW w:w="691" w:type="pct"/>
            <w:shd w:val="clear" w:color="auto" w:fill="auto"/>
            <w:noWrap/>
            <w:vAlign w:val="bottom"/>
            <w:hideMark/>
          </w:tcPr>
          <w:p w14:paraId="138AF389" w14:textId="5EEE65AA"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11354</w:t>
            </w:r>
          </w:p>
        </w:tc>
        <w:tc>
          <w:tcPr>
            <w:tcW w:w="749" w:type="pct"/>
            <w:shd w:val="clear" w:color="auto" w:fill="auto"/>
            <w:noWrap/>
            <w:vAlign w:val="bottom"/>
            <w:hideMark/>
          </w:tcPr>
          <w:p w14:paraId="54AD94C0" w14:textId="0CBB97C9"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4</w:t>
            </w:r>
          </w:p>
        </w:tc>
        <w:tc>
          <w:tcPr>
            <w:tcW w:w="1188" w:type="pct"/>
            <w:shd w:val="clear" w:color="auto" w:fill="auto"/>
            <w:noWrap/>
            <w:vAlign w:val="bottom"/>
            <w:hideMark/>
          </w:tcPr>
          <w:p w14:paraId="22307C9E" w14:textId="7A2EC35C"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-7.67</w:t>
            </w:r>
          </w:p>
        </w:tc>
      </w:tr>
      <w:tr w:rsidR="007B7753" w:rsidRPr="002103B2" w14:paraId="7F978E1B" w14:textId="77777777" w:rsidTr="00CC7C8A">
        <w:trPr>
          <w:trHeight w:val="132"/>
        </w:trPr>
        <w:tc>
          <w:tcPr>
            <w:tcW w:w="1248" w:type="pct"/>
            <w:shd w:val="clear" w:color="auto" w:fill="auto"/>
            <w:noWrap/>
            <w:vAlign w:val="bottom"/>
            <w:hideMark/>
          </w:tcPr>
          <w:p w14:paraId="07E060EB"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5F2C946" w14:textId="43B15566"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2</w:t>
            </w:r>
          </w:p>
        </w:tc>
        <w:tc>
          <w:tcPr>
            <w:tcW w:w="691" w:type="pct"/>
            <w:shd w:val="clear" w:color="auto" w:fill="auto"/>
            <w:noWrap/>
            <w:vAlign w:val="bottom"/>
            <w:hideMark/>
          </w:tcPr>
          <w:p w14:paraId="0E205B39" w14:textId="5DE2BD33"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24847</w:t>
            </w:r>
          </w:p>
        </w:tc>
        <w:tc>
          <w:tcPr>
            <w:tcW w:w="749" w:type="pct"/>
            <w:shd w:val="clear" w:color="auto" w:fill="auto"/>
            <w:noWrap/>
            <w:vAlign w:val="bottom"/>
            <w:hideMark/>
          </w:tcPr>
          <w:p w14:paraId="0A58568D" w14:textId="1F11AD51"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8</w:t>
            </w:r>
          </w:p>
        </w:tc>
        <w:tc>
          <w:tcPr>
            <w:tcW w:w="1188" w:type="pct"/>
            <w:shd w:val="clear" w:color="auto" w:fill="auto"/>
            <w:noWrap/>
            <w:vAlign w:val="bottom"/>
            <w:hideMark/>
          </w:tcPr>
          <w:p w14:paraId="79FD2594" w14:textId="2C614B3D"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-4.85</w:t>
            </w:r>
          </w:p>
        </w:tc>
      </w:tr>
      <w:tr w:rsidR="007B7753" w:rsidRPr="002103B2" w14:paraId="656642FC" w14:textId="77777777" w:rsidTr="00CC7C8A">
        <w:trPr>
          <w:trHeight w:val="132"/>
        </w:trPr>
        <w:tc>
          <w:tcPr>
            <w:tcW w:w="1248" w:type="pct"/>
            <w:shd w:val="clear" w:color="auto" w:fill="auto"/>
            <w:noWrap/>
            <w:vAlign w:val="bottom"/>
            <w:hideMark/>
          </w:tcPr>
          <w:p w14:paraId="74339F03"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B682402" w14:textId="0525FB81"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3</w:t>
            </w:r>
          </w:p>
        </w:tc>
        <w:tc>
          <w:tcPr>
            <w:tcW w:w="691" w:type="pct"/>
            <w:shd w:val="clear" w:color="auto" w:fill="auto"/>
            <w:noWrap/>
            <w:vAlign w:val="bottom"/>
            <w:hideMark/>
          </w:tcPr>
          <w:p w14:paraId="653A4C8C" w14:textId="579239E5"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59906</w:t>
            </w:r>
          </w:p>
        </w:tc>
        <w:tc>
          <w:tcPr>
            <w:tcW w:w="749" w:type="pct"/>
            <w:shd w:val="clear" w:color="auto" w:fill="auto"/>
            <w:noWrap/>
            <w:vAlign w:val="bottom"/>
            <w:hideMark/>
          </w:tcPr>
          <w:p w14:paraId="08977F63" w14:textId="3A704DD1"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19</w:t>
            </w:r>
          </w:p>
        </w:tc>
        <w:tc>
          <w:tcPr>
            <w:tcW w:w="1188" w:type="pct"/>
            <w:shd w:val="clear" w:color="auto" w:fill="auto"/>
            <w:noWrap/>
            <w:vAlign w:val="bottom"/>
            <w:hideMark/>
          </w:tcPr>
          <w:p w14:paraId="36FEBB5A" w14:textId="4715FF71"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-2.45</w:t>
            </w:r>
          </w:p>
        </w:tc>
      </w:tr>
      <w:tr w:rsidR="007B7753" w:rsidRPr="002103B2" w14:paraId="1EBAB474" w14:textId="77777777" w:rsidTr="00CC7C8A">
        <w:trPr>
          <w:trHeight w:val="132"/>
        </w:trPr>
        <w:tc>
          <w:tcPr>
            <w:tcW w:w="1248" w:type="pct"/>
            <w:shd w:val="clear" w:color="auto" w:fill="auto"/>
            <w:noWrap/>
            <w:vAlign w:val="bottom"/>
            <w:hideMark/>
          </w:tcPr>
          <w:p w14:paraId="1F24AED7"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D543A28" w14:textId="1D2E485A"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4</w:t>
            </w:r>
          </w:p>
        </w:tc>
        <w:tc>
          <w:tcPr>
            <w:tcW w:w="691" w:type="pct"/>
            <w:shd w:val="clear" w:color="auto" w:fill="auto"/>
            <w:noWrap/>
            <w:vAlign w:val="bottom"/>
            <w:hideMark/>
          </w:tcPr>
          <w:p w14:paraId="0347F863" w14:textId="31F64769"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82966</w:t>
            </w:r>
          </w:p>
        </w:tc>
        <w:tc>
          <w:tcPr>
            <w:tcW w:w="749" w:type="pct"/>
            <w:shd w:val="clear" w:color="auto" w:fill="auto"/>
            <w:noWrap/>
            <w:vAlign w:val="bottom"/>
            <w:hideMark/>
          </w:tcPr>
          <w:p w14:paraId="7B1097FF" w14:textId="360031CD"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27</w:t>
            </w:r>
          </w:p>
        </w:tc>
        <w:tc>
          <w:tcPr>
            <w:tcW w:w="1188" w:type="pct"/>
            <w:shd w:val="clear" w:color="auto" w:fill="auto"/>
            <w:noWrap/>
            <w:vAlign w:val="bottom"/>
            <w:hideMark/>
          </w:tcPr>
          <w:p w14:paraId="46A40E05" w14:textId="095CC3B7"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-0.15</w:t>
            </w:r>
          </w:p>
        </w:tc>
      </w:tr>
      <w:tr w:rsidR="007B7753" w:rsidRPr="002103B2" w14:paraId="458B09BD" w14:textId="77777777" w:rsidTr="00CC7C8A">
        <w:trPr>
          <w:trHeight w:val="132"/>
        </w:trPr>
        <w:tc>
          <w:tcPr>
            <w:tcW w:w="1248" w:type="pct"/>
            <w:shd w:val="clear" w:color="auto" w:fill="auto"/>
            <w:noWrap/>
            <w:vAlign w:val="bottom"/>
            <w:hideMark/>
          </w:tcPr>
          <w:p w14:paraId="7BA9896C"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209F8C9" w14:textId="139A58EC"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5</w:t>
            </w:r>
          </w:p>
        </w:tc>
        <w:tc>
          <w:tcPr>
            <w:tcW w:w="691" w:type="pct"/>
            <w:shd w:val="clear" w:color="auto" w:fill="auto"/>
            <w:noWrap/>
            <w:vAlign w:val="bottom"/>
            <w:hideMark/>
          </w:tcPr>
          <w:p w14:paraId="4399F6EF" w14:textId="3FB50BFA"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13635</w:t>
            </w:r>
          </w:p>
        </w:tc>
        <w:tc>
          <w:tcPr>
            <w:tcW w:w="749" w:type="pct"/>
            <w:shd w:val="clear" w:color="auto" w:fill="auto"/>
            <w:noWrap/>
            <w:vAlign w:val="bottom"/>
            <w:hideMark/>
          </w:tcPr>
          <w:p w14:paraId="04A30658" w14:textId="59D39E12"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4</w:t>
            </w:r>
          </w:p>
        </w:tc>
        <w:tc>
          <w:tcPr>
            <w:tcW w:w="1188" w:type="pct"/>
            <w:shd w:val="clear" w:color="auto" w:fill="auto"/>
            <w:noWrap/>
            <w:vAlign w:val="bottom"/>
            <w:hideMark/>
          </w:tcPr>
          <w:p w14:paraId="7D37176F" w14:textId="659DCAA8"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1.43</w:t>
            </w:r>
          </w:p>
        </w:tc>
      </w:tr>
      <w:tr w:rsidR="007B7753" w:rsidRPr="002103B2" w14:paraId="5CFA55DA" w14:textId="77777777" w:rsidTr="00CC7C8A">
        <w:trPr>
          <w:trHeight w:val="132"/>
        </w:trPr>
        <w:tc>
          <w:tcPr>
            <w:tcW w:w="1248" w:type="pct"/>
            <w:shd w:val="clear" w:color="auto" w:fill="auto"/>
            <w:noWrap/>
            <w:vAlign w:val="bottom"/>
            <w:hideMark/>
          </w:tcPr>
          <w:p w14:paraId="020180CA" w14:textId="77777777" w:rsidR="007B7753" w:rsidRPr="002103B2" w:rsidRDefault="007B7753" w:rsidP="007B7753">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EB672CB" w14:textId="2352205D" w:rsidR="007B7753" w:rsidRPr="002103B2" w:rsidRDefault="00C6476E" w:rsidP="007B7753">
            <w:pPr>
              <w:spacing w:after="0" w:line="240" w:lineRule="auto"/>
              <w:jc w:val="center"/>
              <w:rPr>
                <w:rFonts w:eastAsia="Times New Roman" w:cs="Times New Roman"/>
                <w:color w:val="0000FF"/>
                <w:sz w:val="20"/>
              </w:rPr>
            </w:pPr>
            <w:r>
              <w:rPr>
                <w:rFonts w:eastAsia="Times New Roman" w:cs="Times New Roman"/>
                <w:color w:val="0000FF"/>
                <w:sz w:val="20"/>
              </w:rPr>
              <w:t>0</w:t>
            </w:r>
            <w:r w:rsidR="007B7753" w:rsidRPr="002103B2">
              <w:rPr>
                <w:rFonts w:eastAsia="Times New Roman" w:cs="Times New Roman"/>
                <w:color w:val="0000FF"/>
                <w:sz w:val="20"/>
              </w:rPr>
              <w:t>6</w:t>
            </w:r>
          </w:p>
        </w:tc>
        <w:tc>
          <w:tcPr>
            <w:tcW w:w="691" w:type="pct"/>
            <w:shd w:val="clear" w:color="auto" w:fill="auto"/>
            <w:noWrap/>
            <w:vAlign w:val="bottom"/>
            <w:hideMark/>
          </w:tcPr>
          <w:p w14:paraId="085E8C13" w14:textId="1AF358A9"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115523</w:t>
            </w:r>
          </w:p>
        </w:tc>
        <w:tc>
          <w:tcPr>
            <w:tcW w:w="749" w:type="pct"/>
            <w:shd w:val="clear" w:color="auto" w:fill="auto"/>
            <w:noWrap/>
            <w:vAlign w:val="bottom"/>
            <w:hideMark/>
          </w:tcPr>
          <w:p w14:paraId="2E307378" w14:textId="15EA82B0"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37</w:t>
            </w:r>
          </w:p>
        </w:tc>
        <w:tc>
          <w:tcPr>
            <w:tcW w:w="1188" w:type="pct"/>
            <w:shd w:val="clear" w:color="auto" w:fill="auto"/>
            <w:noWrap/>
            <w:vAlign w:val="bottom"/>
            <w:hideMark/>
          </w:tcPr>
          <w:p w14:paraId="13CA8FC6" w14:textId="1A296DF5" w:rsidR="007B7753" w:rsidRPr="002103B2" w:rsidRDefault="007B7753" w:rsidP="007B7753">
            <w:pPr>
              <w:spacing w:after="0" w:line="240" w:lineRule="auto"/>
              <w:jc w:val="center"/>
              <w:rPr>
                <w:rFonts w:eastAsia="Times New Roman" w:cs="Times New Roman"/>
                <w:color w:val="0000FF"/>
                <w:sz w:val="20"/>
              </w:rPr>
            </w:pPr>
            <w:r w:rsidRPr="007B7753">
              <w:rPr>
                <w:rFonts w:eastAsia="Times New Roman" w:cs="Times New Roman"/>
                <w:color w:val="0000FF"/>
                <w:sz w:val="20"/>
              </w:rPr>
              <w:t>4.04</w:t>
            </w:r>
          </w:p>
        </w:tc>
      </w:tr>
      <w:tr w:rsidR="007B7753" w:rsidRPr="002103B2" w14:paraId="32B464BA" w14:textId="77777777" w:rsidTr="00CC7C8A">
        <w:trPr>
          <w:trHeight w:val="132"/>
        </w:trPr>
        <w:tc>
          <w:tcPr>
            <w:tcW w:w="2372" w:type="pct"/>
            <w:gridSpan w:val="2"/>
            <w:shd w:val="clear" w:color="auto" w:fill="auto"/>
            <w:noWrap/>
            <w:vAlign w:val="bottom"/>
            <w:hideMark/>
          </w:tcPr>
          <w:p w14:paraId="0ABC6B82" w14:textId="2917AF0E"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Sit to Lying</w:t>
            </w:r>
          </w:p>
        </w:tc>
        <w:tc>
          <w:tcPr>
            <w:tcW w:w="691" w:type="pct"/>
            <w:shd w:val="clear" w:color="auto" w:fill="auto"/>
            <w:noWrap/>
            <w:vAlign w:val="bottom"/>
            <w:hideMark/>
          </w:tcPr>
          <w:p w14:paraId="79750F7F"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1AE080F6"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31C020BB"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60DF6AD2" w14:textId="77777777" w:rsidTr="00CC7C8A">
        <w:trPr>
          <w:trHeight w:val="132"/>
        </w:trPr>
        <w:tc>
          <w:tcPr>
            <w:tcW w:w="1248" w:type="pct"/>
            <w:shd w:val="clear" w:color="auto" w:fill="auto"/>
            <w:noWrap/>
            <w:vAlign w:val="bottom"/>
            <w:hideMark/>
          </w:tcPr>
          <w:p w14:paraId="4D88EF4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950BACF" w14:textId="20B06654"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491B5145" w14:textId="3D6B7FF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16188</w:t>
            </w:r>
          </w:p>
        </w:tc>
        <w:tc>
          <w:tcPr>
            <w:tcW w:w="749" w:type="pct"/>
            <w:shd w:val="clear" w:color="auto" w:fill="auto"/>
            <w:noWrap/>
            <w:vAlign w:val="bottom"/>
            <w:hideMark/>
          </w:tcPr>
          <w:p w14:paraId="38099524" w14:textId="110DCCD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62AB4E15" w14:textId="549DC71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-7.41</w:t>
            </w:r>
          </w:p>
        </w:tc>
      </w:tr>
      <w:tr w:rsidR="005F15B5" w:rsidRPr="002103B2" w14:paraId="2B242D22" w14:textId="77777777" w:rsidTr="00CC7C8A">
        <w:trPr>
          <w:trHeight w:val="132"/>
        </w:trPr>
        <w:tc>
          <w:tcPr>
            <w:tcW w:w="1248" w:type="pct"/>
            <w:shd w:val="clear" w:color="auto" w:fill="auto"/>
            <w:noWrap/>
            <w:vAlign w:val="bottom"/>
            <w:hideMark/>
          </w:tcPr>
          <w:p w14:paraId="7611E96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83422EF" w14:textId="2A52767D"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732CF0E1" w14:textId="5DBE952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31191</w:t>
            </w:r>
          </w:p>
        </w:tc>
        <w:tc>
          <w:tcPr>
            <w:tcW w:w="749" w:type="pct"/>
            <w:shd w:val="clear" w:color="auto" w:fill="auto"/>
            <w:noWrap/>
            <w:vAlign w:val="bottom"/>
            <w:hideMark/>
          </w:tcPr>
          <w:p w14:paraId="1E21E193" w14:textId="37AFF74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w:t>
            </w:r>
          </w:p>
        </w:tc>
        <w:tc>
          <w:tcPr>
            <w:tcW w:w="1188" w:type="pct"/>
            <w:shd w:val="clear" w:color="auto" w:fill="auto"/>
            <w:noWrap/>
            <w:vAlign w:val="bottom"/>
            <w:hideMark/>
          </w:tcPr>
          <w:p w14:paraId="14D7855E" w14:textId="66DFE4D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-4.34</w:t>
            </w:r>
          </w:p>
        </w:tc>
      </w:tr>
      <w:tr w:rsidR="005F15B5" w:rsidRPr="002103B2" w14:paraId="4E211F06" w14:textId="77777777" w:rsidTr="00CC7C8A">
        <w:trPr>
          <w:trHeight w:val="132"/>
        </w:trPr>
        <w:tc>
          <w:tcPr>
            <w:tcW w:w="1248" w:type="pct"/>
            <w:shd w:val="clear" w:color="auto" w:fill="auto"/>
            <w:noWrap/>
            <w:vAlign w:val="bottom"/>
            <w:hideMark/>
          </w:tcPr>
          <w:p w14:paraId="25E43DDB"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025BF7E" w14:textId="3898684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033022D0" w14:textId="6951017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71571</w:t>
            </w:r>
          </w:p>
        </w:tc>
        <w:tc>
          <w:tcPr>
            <w:tcW w:w="749" w:type="pct"/>
            <w:shd w:val="clear" w:color="auto" w:fill="auto"/>
            <w:noWrap/>
            <w:vAlign w:val="bottom"/>
            <w:hideMark/>
          </w:tcPr>
          <w:p w14:paraId="68B43776" w14:textId="6A5C3E5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23</w:t>
            </w:r>
          </w:p>
        </w:tc>
        <w:tc>
          <w:tcPr>
            <w:tcW w:w="1188" w:type="pct"/>
            <w:shd w:val="clear" w:color="auto" w:fill="auto"/>
            <w:noWrap/>
            <w:vAlign w:val="bottom"/>
            <w:hideMark/>
          </w:tcPr>
          <w:p w14:paraId="64C0A905" w14:textId="2DA2DB7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-1.91</w:t>
            </w:r>
          </w:p>
        </w:tc>
      </w:tr>
      <w:tr w:rsidR="005F15B5" w:rsidRPr="002103B2" w14:paraId="7C43893F" w14:textId="77777777" w:rsidTr="00CC7C8A">
        <w:trPr>
          <w:trHeight w:val="132"/>
        </w:trPr>
        <w:tc>
          <w:tcPr>
            <w:tcW w:w="1248" w:type="pct"/>
            <w:shd w:val="clear" w:color="auto" w:fill="auto"/>
            <w:noWrap/>
            <w:vAlign w:val="bottom"/>
            <w:hideMark/>
          </w:tcPr>
          <w:p w14:paraId="67B00CD5"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7E9378B" w14:textId="49E682CE"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7904CC79" w14:textId="70B1E6C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81766</w:t>
            </w:r>
          </w:p>
        </w:tc>
        <w:tc>
          <w:tcPr>
            <w:tcW w:w="749" w:type="pct"/>
            <w:shd w:val="clear" w:color="auto" w:fill="auto"/>
            <w:noWrap/>
            <w:vAlign w:val="bottom"/>
            <w:hideMark/>
          </w:tcPr>
          <w:p w14:paraId="48253D43" w14:textId="690430D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w:t>
            </w:r>
          </w:p>
        </w:tc>
        <w:tc>
          <w:tcPr>
            <w:tcW w:w="1188" w:type="pct"/>
            <w:shd w:val="clear" w:color="auto" w:fill="auto"/>
            <w:noWrap/>
            <w:vAlign w:val="bottom"/>
            <w:hideMark/>
          </w:tcPr>
          <w:p w14:paraId="57ABFE31" w14:textId="0FAECC6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0.32</w:t>
            </w:r>
          </w:p>
        </w:tc>
      </w:tr>
      <w:tr w:rsidR="005F15B5" w:rsidRPr="002103B2" w14:paraId="7A8032ED" w14:textId="77777777" w:rsidTr="00CC7C8A">
        <w:trPr>
          <w:trHeight w:val="132"/>
        </w:trPr>
        <w:tc>
          <w:tcPr>
            <w:tcW w:w="1248" w:type="pct"/>
            <w:shd w:val="clear" w:color="auto" w:fill="auto"/>
            <w:noWrap/>
            <w:vAlign w:val="bottom"/>
            <w:hideMark/>
          </w:tcPr>
          <w:p w14:paraId="45F521DC"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lastRenderedPageBreak/>
              <w:t> </w:t>
            </w:r>
          </w:p>
        </w:tc>
        <w:tc>
          <w:tcPr>
            <w:tcW w:w="1124" w:type="pct"/>
            <w:shd w:val="clear" w:color="auto" w:fill="auto"/>
            <w:noWrap/>
            <w:vAlign w:val="bottom"/>
            <w:hideMark/>
          </w:tcPr>
          <w:p w14:paraId="6820C505" w14:textId="2B34E61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4C333153" w14:textId="4FC4558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12244</w:t>
            </w:r>
          </w:p>
        </w:tc>
        <w:tc>
          <w:tcPr>
            <w:tcW w:w="749" w:type="pct"/>
            <w:shd w:val="clear" w:color="auto" w:fill="auto"/>
            <w:noWrap/>
            <w:vAlign w:val="bottom"/>
            <w:hideMark/>
          </w:tcPr>
          <w:p w14:paraId="62F81531" w14:textId="47BA722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6251E30C" w14:textId="1EAE258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1.92</w:t>
            </w:r>
          </w:p>
        </w:tc>
      </w:tr>
      <w:tr w:rsidR="005F15B5" w:rsidRPr="002103B2" w14:paraId="77101605" w14:textId="77777777" w:rsidTr="00CC7C8A">
        <w:trPr>
          <w:trHeight w:val="132"/>
        </w:trPr>
        <w:tc>
          <w:tcPr>
            <w:tcW w:w="1248" w:type="pct"/>
            <w:shd w:val="clear" w:color="auto" w:fill="auto"/>
            <w:noWrap/>
            <w:vAlign w:val="bottom"/>
            <w:hideMark/>
          </w:tcPr>
          <w:p w14:paraId="232E99B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DCB1535" w14:textId="276BBE4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02F98067" w14:textId="073E776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102182</w:t>
            </w:r>
          </w:p>
        </w:tc>
        <w:tc>
          <w:tcPr>
            <w:tcW w:w="749" w:type="pct"/>
            <w:shd w:val="clear" w:color="auto" w:fill="auto"/>
            <w:noWrap/>
            <w:vAlign w:val="bottom"/>
            <w:hideMark/>
          </w:tcPr>
          <w:p w14:paraId="38BFA358" w14:textId="4F6FE1F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32</w:t>
            </w:r>
          </w:p>
        </w:tc>
        <w:tc>
          <w:tcPr>
            <w:tcW w:w="1188" w:type="pct"/>
            <w:shd w:val="clear" w:color="auto" w:fill="auto"/>
            <w:noWrap/>
            <w:vAlign w:val="bottom"/>
            <w:hideMark/>
          </w:tcPr>
          <w:p w14:paraId="2AEA3C17" w14:textId="408030F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4.52</w:t>
            </w:r>
          </w:p>
        </w:tc>
      </w:tr>
      <w:tr w:rsidR="007B7753" w:rsidRPr="002103B2" w14:paraId="5CB9CF35" w14:textId="77777777" w:rsidTr="00CC7C8A">
        <w:trPr>
          <w:trHeight w:val="132"/>
        </w:trPr>
        <w:tc>
          <w:tcPr>
            <w:tcW w:w="2372" w:type="pct"/>
            <w:gridSpan w:val="2"/>
            <w:shd w:val="clear" w:color="auto" w:fill="auto"/>
            <w:noWrap/>
            <w:vAlign w:val="bottom"/>
            <w:hideMark/>
          </w:tcPr>
          <w:p w14:paraId="3F29AB96" w14:textId="66334F68"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Lying to Sitting on Side of Bed</w:t>
            </w:r>
          </w:p>
        </w:tc>
        <w:tc>
          <w:tcPr>
            <w:tcW w:w="691" w:type="pct"/>
            <w:shd w:val="clear" w:color="auto" w:fill="auto"/>
            <w:noWrap/>
            <w:vAlign w:val="bottom"/>
            <w:hideMark/>
          </w:tcPr>
          <w:p w14:paraId="3CA87761"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25F88E92"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4B8231B5"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30E3A8E5" w14:textId="77777777" w:rsidTr="00CC7C8A">
        <w:trPr>
          <w:trHeight w:val="132"/>
        </w:trPr>
        <w:tc>
          <w:tcPr>
            <w:tcW w:w="1248" w:type="pct"/>
            <w:shd w:val="clear" w:color="auto" w:fill="auto"/>
            <w:noWrap/>
            <w:vAlign w:val="bottom"/>
            <w:hideMark/>
          </w:tcPr>
          <w:p w14:paraId="5F4F180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85943A4" w14:textId="6B6E5212"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1384E3E4" w14:textId="418BC13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15826</w:t>
            </w:r>
          </w:p>
        </w:tc>
        <w:tc>
          <w:tcPr>
            <w:tcW w:w="749" w:type="pct"/>
            <w:shd w:val="clear" w:color="auto" w:fill="auto"/>
            <w:noWrap/>
            <w:vAlign w:val="bottom"/>
            <w:hideMark/>
          </w:tcPr>
          <w:p w14:paraId="6C27584C" w14:textId="4C930F5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3C735DD6" w14:textId="0DFD32F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-7.46</w:t>
            </w:r>
          </w:p>
        </w:tc>
      </w:tr>
      <w:tr w:rsidR="005F15B5" w:rsidRPr="002103B2" w14:paraId="018CB0A4" w14:textId="77777777" w:rsidTr="00CC7C8A">
        <w:trPr>
          <w:trHeight w:val="132"/>
        </w:trPr>
        <w:tc>
          <w:tcPr>
            <w:tcW w:w="1248" w:type="pct"/>
            <w:shd w:val="clear" w:color="auto" w:fill="auto"/>
            <w:noWrap/>
            <w:vAlign w:val="bottom"/>
            <w:hideMark/>
          </w:tcPr>
          <w:p w14:paraId="28D31DF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631CFEB" w14:textId="024F7EEB"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00024AE2" w14:textId="031BAE3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33649</w:t>
            </w:r>
          </w:p>
        </w:tc>
        <w:tc>
          <w:tcPr>
            <w:tcW w:w="749" w:type="pct"/>
            <w:shd w:val="clear" w:color="auto" w:fill="auto"/>
            <w:noWrap/>
            <w:vAlign w:val="bottom"/>
            <w:hideMark/>
          </w:tcPr>
          <w:p w14:paraId="72FF71C7" w14:textId="3052563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hideMark/>
          </w:tcPr>
          <w:p w14:paraId="4CBCC98B" w14:textId="069CFB9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-4.3</w:t>
            </w:r>
          </w:p>
        </w:tc>
      </w:tr>
      <w:tr w:rsidR="005F15B5" w:rsidRPr="002103B2" w14:paraId="0C284844" w14:textId="77777777" w:rsidTr="00CC7C8A">
        <w:trPr>
          <w:trHeight w:val="132"/>
        </w:trPr>
        <w:tc>
          <w:tcPr>
            <w:tcW w:w="1248" w:type="pct"/>
            <w:shd w:val="clear" w:color="auto" w:fill="auto"/>
            <w:noWrap/>
            <w:vAlign w:val="bottom"/>
            <w:hideMark/>
          </w:tcPr>
          <w:p w14:paraId="0D614093"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6F6F555" w14:textId="3EC4B2F2"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2B2EB07C" w14:textId="1E53CBA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73012</w:t>
            </w:r>
          </w:p>
        </w:tc>
        <w:tc>
          <w:tcPr>
            <w:tcW w:w="749" w:type="pct"/>
            <w:shd w:val="clear" w:color="auto" w:fill="auto"/>
            <w:noWrap/>
            <w:vAlign w:val="bottom"/>
            <w:hideMark/>
          </w:tcPr>
          <w:p w14:paraId="393544BD" w14:textId="39B2058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23</w:t>
            </w:r>
          </w:p>
        </w:tc>
        <w:tc>
          <w:tcPr>
            <w:tcW w:w="1188" w:type="pct"/>
            <w:shd w:val="clear" w:color="auto" w:fill="auto"/>
            <w:noWrap/>
            <w:vAlign w:val="bottom"/>
            <w:hideMark/>
          </w:tcPr>
          <w:p w14:paraId="4B9AC945" w14:textId="7964F95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-1.85</w:t>
            </w:r>
          </w:p>
        </w:tc>
      </w:tr>
      <w:tr w:rsidR="005F15B5" w:rsidRPr="002103B2" w14:paraId="68C01CC0" w14:textId="77777777" w:rsidTr="00CC7C8A">
        <w:trPr>
          <w:trHeight w:val="132"/>
        </w:trPr>
        <w:tc>
          <w:tcPr>
            <w:tcW w:w="1248" w:type="pct"/>
            <w:shd w:val="clear" w:color="auto" w:fill="auto"/>
            <w:noWrap/>
            <w:vAlign w:val="bottom"/>
            <w:hideMark/>
          </w:tcPr>
          <w:p w14:paraId="0069174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AAE7F3E" w14:textId="1B11C2E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73544ACF" w14:textId="0CBC00F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80855</w:t>
            </w:r>
          </w:p>
        </w:tc>
        <w:tc>
          <w:tcPr>
            <w:tcW w:w="749" w:type="pct"/>
            <w:shd w:val="clear" w:color="auto" w:fill="auto"/>
            <w:noWrap/>
            <w:vAlign w:val="bottom"/>
            <w:hideMark/>
          </w:tcPr>
          <w:p w14:paraId="03C6D4E6" w14:textId="137AD4D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w:t>
            </w:r>
          </w:p>
        </w:tc>
        <w:tc>
          <w:tcPr>
            <w:tcW w:w="1188" w:type="pct"/>
            <w:shd w:val="clear" w:color="auto" w:fill="auto"/>
            <w:noWrap/>
            <w:vAlign w:val="bottom"/>
            <w:hideMark/>
          </w:tcPr>
          <w:p w14:paraId="7DE22C08" w14:textId="2360248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0.4</w:t>
            </w:r>
          </w:p>
        </w:tc>
      </w:tr>
      <w:tr w:rsidR="005F15B5" w:rsidRPr="002103B2" w14:paraId="1C5B01F4" w14:textId="77777777" w:rsidTr="00CC7C8A">
        <w:trPr>
          <w:trHeight w:val="132"/>
        </w:trPr>
        <w:tc>
          <w:tcPr>
            <w:tcW w:w="1248" w:type="pct"/>
            <w:shd w:val="clear" w:color="auto" w:fill="auto"/>
            <w:noWrap/>
            <w:vAlign w:val="bottom"/>
            <w:hideMark/>
          </w:tcPr>
          <w:p w14:paraId="2D1BD6AE"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0079E64" w14:textId="136E483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5F541940" w14:textId="23BE90A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11929</w:t>
            </w:r>
          </w:p>
        </w:tc>
        <w:tc>
          <w:tcPr>
            <w:tcW w:w="749" w:type="pct"/>
            <w:shd w:val="clear" w:color="auto" w:fill="auto"/>
            <w:noWrap/>
            <w:vAlign w:val="bottom"/>
            <w:hideMark/>
          </w:tcPr>
          <w:p w14:paraId="38598B8F" w14:textId="6A65118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5E4BC896" w14:textId="554379F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2.02</w:t>
            </w:r>
          </w:p>
        </w:tc>
      </w:tr>
      <w:tr w:rsidR="005F15B5" w:rsidRPr="002103B2" w14:paraId="42AFD458" w14:textId="77777777" w:rsidTr="00CC7C8A">
        <w:trPr>
          <w:trHeight w:val="132"/>
        </w:trPr>
        <w:tc>
          <w:tcPr>
            <w:tcW w:w="1248" w:type="pct"/>
            <w:shd w:val="clear" w:color="auto" w:fill="auto"/>
            <w:noWrap/>
            <w:vAlign w:val="bottom"/>
            <w:hideMark/>
          </w:tcPr>
          <w:p w14:paraId="6A66B0D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09B726B" w14:textId="08D475D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66811077" w14:textId="1A694A5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100635</w:t>
            </w:r>
          </w:p>
        </w:tc>
        <w:tc>
          <w:tcPr>
            <w:tcW w:w="749" w:type="pct"/>
            <w:shd w:val="clear" w:color="auto" w:fill="auto"/>
            <w:noWrap/>
            <w:vAlign w:val="bottom"/>
            <w:hideMark/>
          </w:tcPr>
          <w:p w14:paraId="00619BC6" w14:textId="01DC380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32</w:t>
            </w:r>
          </w:p>
        </w:tc>
        <w:tc>
          <w:tcPr>
            <w:tcW w:w="1188" w:type="pct"/>
            <w:shd w:val="clear" w:color="auto" w:fill="auto"/>
            <w:noWrap/>
            <w:vAlign w:val="bottom"/>
            <w:hideMark/>
          </w:tcPr>
          <w:p w14:paraId="3BA1A125" w14:textId="258DED7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4.57</w:t>
            </w:r>
          </w:p>
        </w:tc>
      </w:tr>
      <w:tr w:rsidR="007B7753" w:rsidRPr="002103B2" w14:paraId="25E8A5CD" w14:textId="77777777" w:rsidTr="00CC7C8A">
        <w:trPr>
          <w:trHeight w:val="132"/>
        </w:trPr>
        <w:tc>
          <w:tcPr>
            <w:tcW w:w="2372" w:type="pct"/>
            <w:gridSpan w:val="2"/>
            <w:shd w:val="clear" w:color="auto" w:fill="auto"/>
            <w:noWrap/>
            <w:vAlign w:val="bottom"/>
            <w:hideMark/>
          </w:tcPr>
          <w:p w14:paraId="6E721C44" w14:textId="0E2B43C9"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Sit to Stand</w:t>
            </w:r>
          </w:p>
        </w:tc>
        <w:tc>
          <w:tcPr>
            <w:tcW w:w="691" w:type="pct"/>
            <w:shd w:val="clear" w:color="auto" w:fill="auto"/>
            <w:noWrap/>
            <w:vAlign w:val="bottom"/>
            <w:hideMark/>
          </w:tcPr>
          <w:p w14:paraId="2AB356EA"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hideMark/>
          </w:tcPr>
          <w:p w14:paraId="3D1A0C60"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hideMark/>
          </w:tcPr>
          <w:p w14:paraId="2B598FA6"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3E8171B9" w14:textId="77777777" w:rsidTr="00CC7C8A">
        <w:trPr>
          <w:trHeight w:val="132"/>
        </w:trPr>
        <w:tc>
          <w:tcPr>
            <w:tcW w:w="1248" w:type="pct"/>
            <w:shd w:val="clear" w:color="auto" w:fill="auto"/>
            <w:noWrap/>
            <w:vAlign w:val="bottom"/>
            <w:hideMark/>
          </w:tcPr>
          <w:p w14:paraId="692D82C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1FF46A5" w14:textId="59B8899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0945D175" w14:textId="50AE277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20263</w:t>
            </w:r>
          </w:p>
        </w:tc>
        <w:tc>
          <w:tcPr>
            <w:tcW w:w="749" w:type="pct"/>
            <w:shd w:val="clear" w:color="auto" w:fill="auto"/>
            <w:noWrap/>
            <w:vAlign w:val="bottom"/>
            <w:hideMark/>
          </w:tcPr>
          <w:p w14:paraId="56811ABE" w14:textId="007E695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w:t>
            </w:r>
          </w:p>
        </w:tc>
        <w:tc>
          <w:tcPr>
            <w:tcW w:w="1188" w:type="pct"/>
            <w:shd w:val="clear" w:color="auto" w:fill="auto"/>
            <w:noWrap/>
            <w:vAlign w:val="bottom"/>
            <w:hideMark/>
          </w:tcPr>
          <w:p w14:paraId="31EBCF6E" w14:textId="01941B9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-6.33</w:t>
            </w:r>
          </w:p>
        </w:tc>
      </w:tr>
      <w:tr w:rsidR="005F15B5" w:rsidRPr="002103B2" w14:paraId="5F29C4B1" w14:textId="77777777" w:rsidTr="00CC7C8A">
        <w:trPr>
          <w:trHeight w:val="132"/>
        </w:trPr>
        <w:tc>
          <w:tcPr>
            <w:tcW w:w="1248" w:type="pct"/>
            <w:shd w:val="clear" w:color="auto" w:fill="auto"/>
            <w:noWrap/>
            <w:vAlign w:val="bottom"/>
            <w:hideMark/>
          </w:tcPr>
          <w:p w14:paraId="06F499FB"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C3E881" w14:textId="687ECC54"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26BB9127" w14:textId="5E223EF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29276</w:t>
            </w:r>
          </w:p>
        </w:tc>
        <w:tc>
          <w:tcPr>
            <w:tcW w:w="749" w:type="pct"/>
            <w:shd w:val="clear" w:color="auto" w:fill="auto"/>
            <w:noWrap/>
            <w:vAlign w:val="bottom"/>
            <w:hideMark/>
          </w:tcPr>
          <w:p w14:paraId="04BC5B6A" w14:textId="67859C9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hideMark/>
          </w:tcPr>
          <w:p w14:paraId="490BA79B" w14:textId="1A461F0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-3.98</w:t>
            </w:r>
          </w:p>
        </w:tc>
      </w:tr>
      <w:tr w:rsidR="005F15B5" w:rsidRPr="002103B2" w14:paraId="0CF31E64" w14:textId="77777777" w:rsidTr="00CC7C8A">
        <w:trPr>
          <w:trHeight w:val="132"/>
        </w:trPr>
        <w:tc>
          <w:tcPr>
            <w:tcW w:w="1248" w:type="pct"/>
            <w:shd w:val="clear" w:color="auto" w:fill="auto"/>
            <w:noWrap/>
            <w:vAlign w:val="bottom"/>
            <w:hideMark/>
          </w:tcPr>
          <w:p w14:paraId="606B9CE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B6F4B9F" w14:textId="6371A6A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17B4D65A" w14:textId="17BBDCC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83433</w:t>
            </w:r>
          </w:p>
        </w:tc>
        <w:tc>
          <w:tcPr>
            <w:tcW w:w="749" w:type="pct"/>
            <w:shd w:val="clear" w:color="auto" w:fill="auto"/>
            <w:noWrap/>
            <w:vAlign w:val="bottom"/>
            <w:hideMark/>
          </w:tcPr>
          <w:p w14:paraId="0F8FE808" w14:textId="505DB66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27</w:t>
            </w:r>
          </w:p>
        </w:tc>
        <w:tc>
          <w:tcPr>
            <w:tcW w:w="1188" w:type="pct"/>
            <w:shd w:val="clear" w:color="auto" w:fill="auto"/>
            <w:noWrap/>
            <w:vAlign w:val="bottom"/>
            <w:hideMark/>
          </w:tcPr>
          <w:p w14:paraId="1EC52A43" w14:textId="5A6A6CF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-1.61</w:t>
            </w:r>
          </w:p>
        </w:tc>
      </w:tr>
      <w:tr w:rsidR="005F15B5" w:rsidRPr="002103B2" w14:paraId="7C0F12AC" w14:textId="77777777" w:rsidTr="00CC7C8A">
        <w:trPr>
          <w:trHeight w:val="132"/>
        </w:trPr>
        <w:tc>
          <w:tcPr>
            <w:tcW w:w="1248" w:type="pct"/>
            <w:shd w:val="clear" w:color="auto" w:fill="auto"/>
            <w:noWrap/>
            <w:vAlign w:val="bottom"/>
            <w:hideMark/>
          </w:tcPr>
          <w:p w14:paraId="65E191D5"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9A4785D" w14:textId="1A13435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55AA5569" w14:textId="07D436A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93128</w:t>
            </w:r>
          </w:p>
        </w:tc>
        <w:tc>
          <w:tcPr>
            <w:tcW w:w="749" w:type="pct"/>
            <w:shd w:val="clear" w:color="auto" w:fill="auto"/>
            <w:noWrap/>
            <w:vAlign w:val="bottom"/>
            <w:hideMark/>
          </w:tcPr>
          <w:p w14:paraId="029B7DE2" w14:textId="2046263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30</w:t>
            </w:r>
          </w:p>
        </w:tc>
        <w:tc>
          <w:tcPr>
            <w:tcW w:w="1188" w:type="pct"/>
            <w:shd w:val="clear" w:color="auto" w:fill="auto"/>
            <w:noWrap/>
            <w:vAlign w:val="bottom"/>
            <w:hideMark/>
          </w:tcPr>
          <w:p w14:paraId="2238E753" w14:textId="115858D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1.17</w:t>
            </w:r>
          </w:p>
        </w:tc>
      </w:tr>
      <w:tr w:rsidR="005F15B5" w:rsidRPr="002103B2" w14:paraId="3A76E1F5" w14:textId="77777777" w:rsidTr="00CC7C8A">
        <w:trPr>
          <w:trHeight w:val="132"/>
        </w:trPr>
        <w:tc>
          <w:tcPr>
            <w:tcW w:w="1248" w:type="pct"/>
            <w:shd w:val="clear" w:color="auto" w:fill="auto"/>
            <w:noWrap/>
            <w:vAlign w:val="bottom"/>
            <w:hideMark/>
          </w:tcPr>
          <w:p w14:paraId="694C582D"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0DFB4C1" w14:textId="700B1EF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11261400" w14:textId="0B8A7E3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9941</w:t>
            </w:r>
          </w:p>
        </w:tc>
        <w:tc>
          <w:tcPr>
            <w:tcW w:w="749" w:type="pct"/>
            <w:shd w:val="clear" w:color="auto" w:fill="auto"/>
            <w:noWrap/>
            <w:vAlign w:val="bottom"/>
            <w:hideMark/>
          </w:tcPr>
          <w:p w14:paraId="7CDA0D34" w14:textId="7D4BEFB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hideMark/>
          </w:tcPr>
          <w:p w14:paraId="54396F7D" w14:textId="3A5D296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2.97</w:t>
            </w:r>
          </w:p>
        </w:tc>
      </w:tr>
      <w:tr w:rsidR="005F15B5" w:rsidRPr="002103B2" w14:paraId="47E0F9B9" w14:textId="77777777" w:rsidTr="00CC7C8A">
        <w:trPr>
          <w:trHeight w:val="132"/>
        </w:trPr>
        <w:tc>
          <w:tcPr>
            <w:tcW w:w="1248" w:type="pct"/>
            <w:shd w:val="clear" w:color="auto" w:fill="auto"/>
            <w:noWrap/>
            <w:vAlign w:val="bottom"/>
            <w:hideMark/>
          </w:tcPr>
          <w:p w14:paraId="7DC73BC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5F4D684E" w14:textId="75AF088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37A773E5" w14:textId="5EDE839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73902</w:t>
            </w:r>
          </w:p>
        </w:tc>
        <w:tc>
          <w:tcPr>
            <w:tcW w:w="749" w:type="pct"/>
            <w:shd w:val="clear" w:color="auto" w:fill="auto"/>
            <w:noWrap/>
            <w:vAlign w:val="bottom"/>
            <w:hideMark/>
          </w:tcPr>
          <w:p w14:paraId="2E15DFD3" w14:textId="5EF433D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hideMark/>
          </w:tcPr>
          <w:p w14:paraId="18386E02" w14:textId="011CD2F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5.33</w:t>
            </w:r>
          </w:p>
        </w:tc>
      </w:tr>
      <w:tr w:rsidR="007B7753" w:rsidRPr="002103B2" w14:paraId="738C5BE5" w14:textId="77777777" w:rsidTr="00CC7C8A">
        <w:trPr>
          <w:trHeight w:val="132"/>
        </w:trPr>
        <w:tc>
          <w:tcPr>
            <w:tcW w:w="2372" w:type="pct"/>
            <w:gridSpan w:val="2"/>
            <w:shd w:val="clear" w:color="auto" w:fill="auto"/>
            <w:noWrap/>
            <w:vAlign w:val="bottom"/>
          </w:tcPr>
          <w:p w14:paraId="1CD9147D" w14:textId="4B846578"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Chair/Bed to Chair Transfer</w:t>
            </w:r>
          </w:p>
        </w:tc>
        <w:tc>
          <w:tcPr>
            <w:tcW w:w="691" w:type="pct"/>
            <w:shd w:val="clear" w:color="auto" w:fill="auto"/>
            <w:noWrap/>
            <w:vAlign w:val="bottom"/>
          </w:tcPr>
          <w:p w14:paraId="4EF3B090"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tcPr>
          <w:p w14:paraId="75C96425"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tcPr>
          <w:p w14:paraId="4A13C57E"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7E21E1D2" w14:textId="77777777" w:rsidTr="00CC7C8A">
        <w:trPr>
          <w:trHeight w:val="132"/>
        </w:trPr>
        <w:tc>
          <w:tcPr>
            <w:tcW w:w="1248" w:type="pct"/>
            <w:shd w:val="clear" w:color="auto" w:fill="auto"/>
            <w:noWrap/>
            <w:vAlign w:val="bottom"/>
          </w:tcPr>
          <w:p w14:paraId="6AAE5A5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DCBFEFD" w14:textId="56E7CC9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56020BC5" w14:textId="539BDEE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27711</w:t>
            </w:r>
          </w:p>
        </w:tc>
        <w:tc>
          <w:tcPr>
            <w:tcW w:w="749" w:type="pct"/>
            <w:shd w:val="clear" w:color="auto" w:fill="auto"/>
            <w:noWrap/>
            <w:vAlign w:val="bottom"/>
          </w:tcPr>
          <w:p w14:paraId="278A78EF" w14:textId="41843BC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064E1FAD" w14:textId="7306318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-6.26</w:t>
            </w:r>
          </w:p>
        </w:tc>
      </w:tr>
      <w:tr w:rsidR="005F15B5" w:rsidRPr="002103B2" w14:paraId="252A113F" w14:textId="77777777" w:rsidTr="00CC7C8A">
        <w:trPr>
          <w:trHeight w:val="132"/>
        </w:trPr>
        <w:tc>
          <w:tcPr>
            <w:tcW w:w="1248" w:type="pct"/>
            <w:shd w:val="clear" w:color="auto" w:fill="auto"/>
            <w:noWrap/>
            <w:vAlign w:val="bottom"/>
          </w:tcPr>
          <w:p w14:paraId="74E13B6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FB10A60" w14:textId="15A0555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45E7FFFB" w14:textId="6C3E09D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33751</w:t>
            </w:r>
          </w:p>
        </w:tc>
        <w:tc>
          <w:tcPr>
            <w:tcW w:w="749" w:type="pct"/>
            <w:shd w:val="clear" w:color="auto" w:fill="auto"/>
            <w:noWrap/>
            <w:vAlign w:val="bottom"/>
          </w:tcPr>
          <w:p w14:paraId="70542ACE" w14:textId="35887F7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tcPr>
          <w:p w14:paraId="67FB0CE1" w14:textId="1C58786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-3.74</w:t>
            </w:r>
          </w:p>
        </w:tc>
      </w:tr>
      <w:tr w:rsidR="005F15B5" w:rsidRPr="002103B2" w14:paraId="166CC539" w14:textId="77777777" w:rsidTr="00CC7C8A">
        <w:trPr>
          <w:trHeight w:val="132"/>
        </w:trPr>
        <w:tc>
          <w:tcPr>
            <w:tcW w:w="1248" w:type="pct"/>
            <w:shd w:val="clear" w:color="auto" w:fill="auto"/>
            <w:noWrap/>
            <w:vAlign w:val="bottom"/>
          </w:tcPr>
          <w:p w14:paraId="59E45AE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87F3E09" w14:textId="42F76D1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347BA002" w14:textId="367CCEA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86443</w:t>
            </w:r>
          </w:p>
        </w:tc>
        <w:tc>
          <w:tcPr>
            <w:tcW w:w="749" w:type="pct"/>
            <w:shd w:val="clear" w:color="auto" w:fill="auto"/>
            <w:noWrap/>
            <w:vAlign w:val="bottom"/>
          </w:tcPr>
          <w:p w14:paraId="05B6442C" w14:textId="51FDBF6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27</w:t>
            </w:r>
          </w:p>
        </w:tc>
        <w:tc>
          <w:tcPr>
            <w:tcW w:w="1188" w:type="pct"/>
            <w:shd w:val="clear" w:color="auto" w:fill="auto"/>
            <w:noWrap/>
            <w:vAlign w:val="bottom"/>
          </w:tcPr>
          <w:p w14:paraId="3C61FE7D" w14:textId="104633B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-1.32</w:t>
            </w:r>
          </w:p>
        </w:tc>
      </w:tr>
      <w:tr w:rsidR="005F15B5" w:rsidRPr="002103B2" w14:paraId="399097DE" w14:textId="77777777" w:rsidTr="00CC7C8A">
        <w:trPr>
          <w:trHeight w:val="132"/>
        </w:trPr>
        <w:tc>
          <w:tcPr>
            <w:tcW w:w="1248" w:type="pct"/>
            <w:shd w:val="clear" w:color="auto" w:fill="auto"/>
            <w:noWrap/>
            <w:vAlign w:val="bottom"/>
          </w:tcPr>
          <w:p w14:paraId="65D6DDF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F0D5644" w14:textId="292197FA"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3DB3683D" w14:textId="05548CC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88638</w:t>
            </w:r>
          </w:p>
        </w:tc>
        <w:tc>
          <w:tcPr>
            <w:tcW w:w="749" w:type="pct"/>
            <w:shd w:val="clear" w:color="auto" w:fill="auto"/>
            <w:noWrap/>
            <w:vAlign w:val="bottom"/>
          </w:tcPr>
          <w:p w14:paraId="26B2B79D" w14:textId="4DFD88A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28</w:t>
            </w:r>
          </w:p>
        </w:tc>
        <w:tc>
          <w:tcPr>
            <w:tcW w:w="1188" w:type="pct"/>
            <w:shd w:val="clear" w:color="auto" w:fill="auto"/>
            <w:noWrap/>
            <w:vAlign w:val="bottom"/>
          </w:tcPr>
          <w:p w14:paraId="313AD881" w14:textId="59F315F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1.38</w:t>
            </w:r>
          </w:p>
        </w:tc>
      </w:tr>
      <w:tr w:rsidR="005F15B5" w:rsidRPr="002103B2" w14:paraId="1D6FAB56" w14:textId="77777777" w:rsidTr="00CC7C8A">
        <w:trPr>
          <w:trHeight w:val="132"/>
        </w:trPr>
        <w:tc>
          <w:tcPr>
            <w:tcW w:w="1248" w:type="pct"/>
            <w:shd w:val="clear" w:color="auto" w:fill="auto"/>
            <w:noWrap/>
            <w:vAlign w:val="bottom"/>
          </w:tcPr>
          <w:p w14:paraId="7B1EF2A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D506DD9" w14:textId="08D00C4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4193150B" w14:textId="1A5AEC9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10595</w:t>
            </w:r>
          </w:p>
        </w:tc>
        <w:tc>
          <w:tcPr>
            <w:tcW w:w="749" w:type="pct"/>
            <w:shd w:val="clear" w:color="auto" w:fill="auto"/>
            <w:noWrap/>
            <w:vAlign w:val="bottom"/>
          </w:tcPr>
          <w:p w14:paraId="429B2089" w14:textId="1C650EC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543C03EE" w14:textId="215C2E0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3.09</w:t>
            </w:r>
          </w:p>
        </w:tc>
      </w:tr>
      <w:tr w:rsidR="005F15B5" w:rsidRPr="002103B2" w14:paraId="284443B1" w14:textId="77777777" w:rsidTr="00CC7C8A">
        <w:trPr>
          <w:trHeight w:val="132"/>
        </w:trPr>
        <w:tc>
          <w:tcPr>
            <w:tcW w:w="1248" w:type="pct"/>
            <w:shd w:val="clear" w:color="auto" w:fill="auto"/>
            <w:noWrap/>
            <w:vAlign w:val="bottom"/>
          </w:tcPr>
          <w:p w14:paraId="600CCEF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66CD9EE" w14:textId="30735A4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78F1777E" w14:textId="6528220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69884</w:t>
            </w:r>
          </w:p>
        </w:tc>
        <w:tc>
          <w:tcPr>
            <w:tcW w:w="749" w:type="pct"/>
            <w:shd w:val="clear" w:color="auto" w:fill="auto"/>
            <w:noWrap/>
            <w:vAlign w:val="bottom"/>
          </w:tcPr>
          <w:p w14:paraId="62821C86" w14:textId="64BBC86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tcPr>
          <w:p w14:paraId="348D3558" w14:textId="19B2BDF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5.46</w:t>
            </w:r>
          </w:p>
        </w:tc>
      </w:tr>
      <w:tr w:rsidR="007B7753" w:rsidRPr="002103B2" w14:paraId="55446687" w14:textId="77777777" w:rsidTr="00CC7C8A">
        <w:trPr>
          <w:trHeight w:val="132"/>
        </w:trPr>
        <w:tc>
          <w:tcPr>
            <w:tcW w:w="2372" w:type="pct"/>
            <w:gridSpan w:val="2"/>
            <w:shd w:val="clear" w:color="auto" w:fill="auto"/>
            <w:noWrap/>
            <w:vAlign w:val="bottom"/>
          </w:tcPr>
          <w:p w14:paraId="5DE5A528" w14:textId="0B32CCA4"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Toilet Transfer</w:t>
            </w:r>
          </w:p>
        </w:tc>
        <w:tc>
          <w:tcPr>
            <w:tcW w:w="691" w:type="pct"/>
            <w:shd w:val="clear" w:color="auto" w:fill="auto"/>
            <w:noWrap/>
            <w:vAlign w:val="bottom"/>
          </w:tcPr>
          <w:p w14:paraId="4DFDD0CA"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tcPr>
          <w:p w14:paraId="1D3FA662"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tcPr>
          <w:p w14:paraId="2DDEBEA4"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25EF2348" w14:textId="77777777" w:rsidTr="00CC7C8A">
        <w:trPr>
          <w:trHeight w:val="132"/>
        </w:trPr>
        <w:tc>
          <w:tcPr>
            <w:tcW w:w="1248" w:type="pct"/>
            <w:shd w:val="clear" w:color="auto" w:fill="auto"/>
            <w:noWrap/>
            <w:vAlign w:val="bottom"/>
          </w:tcPr>
          <w:p w14:paraId="3C1E37C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E4F05B0" w14:textId="545A496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689A31D0" w14:textId="4EE6051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26162</w:t>
            </w:r>
          </w:p>
        </w:tc>
        <w:tc>
          <w:tcPr>
            <w:tcW w:w="749" w:type="pct"/>
            <w:shd w:val="clear" w:color="auto" w:fill="auto"/>
            <w:noWrap/>
            <w:vAlign w:val="bottom"/>
          </w:tcPr>
          <w:p w14:paraId="7E75E295" w14:textId="021631B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0B826F29" w14:textId="2A0B571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-5.6</w:t>
            </w:r>
          </w:p>
        </w:tc>
      </w:tr>
      <w:tr w:rsidR="005F15B5" w:rsidRPr="002103B2" w14:paraId="030563D8" w14:textId="77777777" w:rsidTr="00CC7C8A">
        <w:trPr>
          <w:trHeight w:val="132"/>
        </w:trPr>
        <w:tc>
          <w:tcPr>
            <w:tcW w:w="1248" w:type="pct"/>
            <w:shd w:val="clear" w:color="auto" w:fill="auto"/>
            <w:noWrap/>
            <w:vAlign w:val="bottom"/>
          </w:tcPr>
          <w:p w14:paraId="62293B2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2CF1145" w14:textId="26BDD8F2"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3CD6768F" w14:textId="4A0DE05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29686</w:t>
            </w:r>
          </w:p>
        </w:tc>
        <w:tc>
          <w:tcPr>
            <w:tcW w:w="749" w:type="pct"/>
            <w:shd w:val="clear" w:color="auto" w:fill="auto"/>
            <w:noWrap/>
            <w:vAlign w:val="bottom"/>
          </w:tcPr>
          <w:p w14:paraId="0A8F1469" w14:textId="65A9332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w:t>
            </w:r>
          </w:p>
        </w:tc>
        <w:tc>
          <w:tcPr>
            <w:tcW w:w="1188" w:type="pct"/>
            <w:shd w:val="clear" w:color="auto" w:fill="auto"/>
            <w:noWrap/>
            <w:vAlign w:val="bottom"/>
          </w:tcPr>
          <w:p w14:paraId="2E0EA60F" w14:textId="08103F5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-3.35</w:t>
            </w:r>
          </w:p>
        </w:tc>
      </w:tr>
      <w:tr w:rsidR="005F15B5" w:rsidRPr="002103B2" w14:paraId="6E8AA37A" w14:textId="77777777" w:rsidTr="00CC7C8A">
        <w:trPr>
          <w:trHeight w:val="132"/>
        </w:trPr>
        <w:tc>
          <w:tcPr>
            <w:tcW w:w="1248" w:type="pct"/>
            <w:shd w:val="clear" w:color="auto" w:fill="auto"/>
            <w:noWrap/>
            <w:vAlign w:val="bottom"/>
          </w:tcPr>
          <w:p w14:paraId="00D4198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3E34101" w14:textId="5C38730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2041BDB8" w14:textId="1AAD8C7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75497</w:t>
            </w:r>
          </w:p>
        </w:tc>
        <w:tc>
          <w:tcPr>
            <w:tcW w:w="749" w:type="pct"/>
            <w:shd w:val="clear" w:color="auto" w:fill="auto"/>
            <w:noWrap/>
            <w:vAlign w:val="bottom"/>
          </w:tcPr>
          <w:p w14:paraId="1517F3F8" w14:textId="6161D4C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25</w:t>
            </w:r>
          </w:p>
        </w:tc>
        <w:tc>
          <w:tcPr>
            <w:tcW w:w="1188" w:type="pct"/>
            <w:shd w:val="clear" w:color="auto" w:fill="auto"/>
            <w:noWrap/>
            <w:vAlign w:val="bottom"/>
          </w:tcPr>
          <w:p w14:paraId="52F72671" w14:textId="343E28F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-1.15</w:t>
            </w:r>
          </w:p>
        </w:tc>
      </w:tr>
      <w:tr w:rsidR="005F15B5" w:rsidRPr="002103B2" w14:paraId="794BAD11" w14:textId="77777777" w:rsidTr="00CC7C8A">
        <w:trPr>
          <w:trHeight w:val="132"/>
        </w:trPr>
        <w:tc>
          <w:tcPr>
            <w:tcW w:w="1248" w:type="pct"/>
            <w:shd w:val="clear" w:color="auto" w:fill="auto"/>
            <w:noWrap/>
            <w:vAlign w:val="bottom"/>
          </w:tcPr>
          <w:p w14:paraId="57AE64C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85CD7AB" w14:textId="7CA2FAA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7CCAAFDB" w14:textId="4C3718F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86850</w:t>
            </w:r>
          </w:p>
        </w:tc>
        <w:tc>
          <w:tcPr>
            <w:tcW w:w="749" w:type="pct"/>
            <w:shd w:val="clear" w:color="auto" w:fill="auto"/>
            <w:noWrap/>
            <w:vAlign w:val="bottom"/>
          </w:tcPr>
          <w:p w14:paraId="06C9649D" w14:textId="6A8776F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w:t>
            </w:r>
          </w:p>
        </w:tc>
        <w:tc>
          <w:tcPr>
            <w:tcW w:w="1188" w:type="pct"/>
            <w:shd w:val="clear" w:color="auto" w:fill="auto"/>
            <w:noWrap/>
            <w:vAlign w:val="bottom"/>
          </w:tcPr>
          <w:p w14:paraId="77259ED8" w14:textId="3B4757E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1.35</w:t>
            </w:r>
          </w:p>
        </w:tc>
      </w:tr>
      <w:tr w:rsidR="005F15B5" w:rsidRPr="002103B2" w14:paraId="65796F4B" w14:textId="77777777" w:rsidTr="00CC7C8A">
        <w:trPr>
          <w:trHeight w:val="132"/>
        </w:trPr>
        <w:tc>
          <w:tcPr>
            <w:tcW w:w="1248" w:type="pct"/>
            <w:shd w:val="clear" w:color="auto" w:fill="auto"/>
            <w:noWrap/>
            <w:vAlign w:val="bottom"/>
          </w:tcPr>
          <w:p w14:paraId="673B54E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A34A86F" w14:textId="13771B0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012EA2F7" w14:textId="1EED033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13717</w:t>
            </w:r>
          </w:p>
        </w:tc>
        <w:tc>
          <w:tcPr>
            <w:tcW w:w="749" w:type="pct"/>
            <w:shd w:val="clear" w:color="auto" w:fill="auto"/>
            <w:noWrap/>
            <w:vAlign w:val="bottom"/>
          </w:tcPr>
          <w:p w14:paraId="752E7BC6" w14:textId="3FA903F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134F54EB" w14:textId="68EBD22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2.94</w:t>
            </w:r>
          </w:p>
        </w:tc>
      </w:tr>
      <w:tr w:rsidR="005F15B5" w:rsidRPr="002103B2" w14:paraId="2744FC91" w14:textId="77777777" w:rsidTr="00CC7C8A">
        <w:trPr>
          <w:trHeight w:val="132"/>
        </w:trPr>
        <w:tc>
          <w:tcPr>
            <w:tcW w:w="1248" w:type="pct"/>
            <w:shd w:val="clear" w:color="auto" w:fill="auto"/>
            <w:noWrap/>
            <w:vAlign w:val="bottom"/>
          </w:tcPr>
          <w:p w14:paraId="7EAF8BB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F904599" w14:textId="5B54E2A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4CCACF21" w14:textId="77C51DE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66132</w:t>
            </w:r>
          </w:p>
        </w:tc>
        <w:tc>
          <w:tcPr>
            <w:tcW w:w="749" w:type="pct"/>
            <w:shd w:val="clear" w:color="auto" w:fill="auto"/>
            <w:noWrap/>
            <w:vAlign w:val="bottom"/>
          </w:tcPr>
          <w:p w14:paraId="1B7908F2" w14:textId="51211CA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tcPr>
          <w:p w14:paraId="0D58EB3B" w14:textId="26F4B68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5.38</w:t>
            </w:r>
          </w:p>
        </w:tc>
      </w:tr>
      <w:tr w:rsidR="007B7753" w:rsidRPr="002103B2" w14:paraId="5D88D7A3" w14:textId="77777777" w:rsidTr="00CC7C8A">
        <w:trPr>
          <w:trHeight w:val="132"/>
        </w:trPr>
        <w:tc>
          <w:tcPr>
            <w:tcW w:w="3812" w:type="pct"/>
            <w:gridSpan w:val="4"/>
            <w:shd w:val="clear" w:color="auto" w:fill="auto"/>
            <w:noWrap/>
            <w:vAlign w:val="bottom"/>
            <w:hideMark/>
          </w:tcPr>
          <w:p w14:paraId="1C9A211E" w14:textId="04880E2F" w:rsidR="007B7753" w:rsidRPr="002103B2" w:rsidRDefault="006E3FBA" w:rsidP="006E3FBA">
            <w:pPr>
              <w:spacing w:after="0" w:line="240" w:lineRule="auto"/>
              <w:rPr>
                <w:rFonts w:eastAsia="Times New Roman" w:cs="Times New Roman"/>
                <w:color w:val="0000FF"/>
                <w:sz w:val="20"/>
              </w:rPr>
            </w:pPr>
            <w:r>
              <w:rPr>
                <w:rFonts w:eastAsia="Times New Roman" w:cs="Times New Roman"/>
                <w:color w:val="0000FF"/>
                <w:sz w:val="20"/>
              </w:rPr>
              <w:t>Car Transfer</w:t>
            </w:r>
          </w:p>
        </w:tc>
        <w:tc>
          <w:tcPr>
            <w:tcW w:w="1188" w:type="pct"/>
            <w:shd w:val="clear" w:color="auto" w:fill="auto"/>
            <w:noWrap/>
            <w:vAlign w:val="bottom"/>
            <w:hideMark/>
          </w:tcPr>
          <w:p w14:paraId="5FF53897" w14:textId="77777777" w:rsidR="007B7753" w:rsidRPr="002103B2" w:rsidRDefault="007B7753" w:rsidP="005F15B5">
            <w:pPr>
              <w:spacing w:after="0" w:line="240" w:lineRule="auto"/>
              <w:jc w:val="center"/>
              <w:rPr>
                <w:rFonts w:eastAsia="Times New Roman" w:cs="Times New Roman"/>
                <w:color w:val="0000FF"/>
                <w:sz w:val="20"/>
              </w:rPr>
            </w:pPr>
          </w:p>
        </w:tc>
      </w:tr>
      <w:tr w:rsidR="005F15B5" w:rsidRPr="002103B2" w14:paraId="0333C5D4" w14:textId="77777777" w:rsidTr="00CC7C8A">
        <w:trPr>
          <w:trHeight w:val="132"/>
        </w:trPr>
        <w:tc>
          <w:tcPr>
            <w:tcW w:w="1248" w:type="pct"/>
            <w:shd w:val="clear" w:color="auto" w:fill="auto"/>
            <w:noWrap/>
            <w:vAlign w:val="bottom"/>
            <w:hideMark/>
          </w:tcPr>
          <w:p w14:paraId="65C57FCC"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4C4B16A" w14:textId="6287742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68D71675" w14:textId="3EA705B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6504</w:t>
            </w:r>
          </w:p>
        </w:tc>
        <w:tc>
          <w:tcPr>
            <w:tcW w:w="749" w:type="pct"/>
            <w:shd w:val="clear" w:color="auto" w:fill="auto"/>
            <w:noWrap/>
            <w:vAlign w:val="bottom"/>
            <w:hideMark/>
          </w:tcPr>
          <w:p w14:paraId="1E857660" w14:textId="0344820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011AFB9F" w14:textId="23C7ED7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-4.59</w:t>
            </w:r>
          </w:p>
        </w:tc>
      </w:tr>
      <w:tr w:rsidR="005F15B5" w:rsidRPr="002103B2" w14:paraId="1111A153" w14:textId="77777777" w:rsidTr="00CC7C8A">
        <w:trPr>
          <w:trHeight w:val="132"/>
        </w:trPr>
        <w:tc>
          <w:tcPr>
            <w:tcW w:w="1248" w:type="pct"/>
            <w:shd w:val="clear" w:color="auto" w:fill="auto"/>
            <w:noWrap/>
            <w:vAlign w:val="bottom"/>
            <w:hideMark/>
          </w:tcPr>
          <w:p w14:paraId="7438F8EE"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8B2C086" w14:textId="018026C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0C90C227" w14:textId="2B7FD4D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7905</w:t>
            </w:r>
          </w:p>
        </w:tc>
        <w:tc>
          <w:tcPr>
            <w:tcW w:w="749" w:type="pct"/>
            <w:shd w:val="clear" w:color="auto" w:fill="auto"/>
            <w:noWrap/>
            <w:vAlign w:val="bottom"/>
            <w:hideMark/>
          </w:tcPr>
          <w:p w14:paraId="2875141B" w14:textId="55F912A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2E9123A8" w14:textId="7BF2A8F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-2.81</w:t>
            </w:r>
          </w:p>
        </w:tc>
      </w:tr>
      <w:tr w:rsidR="005F15B5" w:rsidRPr="002103B2" w14:paraId="6BCCC82C" w14:textId="77777777" w:rsidTr="00CC7C8A">
        <w:trPr>
          <w:trHeight w:val="132"/>
        </w:trPr>
        <w:tc>
          <w:tcPr>
            <w:tcW w:w="1248" w:type="pct"/>
            <w:shd w:val="clear" w:color="auto" w:fill="auto"/>
            <w:noWrap/>
            <w:vAlign w:val="bottom"/>
            <w:hideMark/>
          </w:tcPr>
          <w:p w14:paraId="6C66B6F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3B85AB9F" w14:textId="2C5C90FD"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1215CBB4" w14:textId="2710E8B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34035</w:t>
            </w:r>
          </w:p>
        </w:tc>
        <w:tc>
          <w:tcPr>
            <w:tcW w:w="749" w:type="pct"/>
            <w:shd w:val="clear" w:color="auto" w:fill="auto"/>
            <w:noWrap/>
            <w:vAlign w:val="bottom"/>
            <w:hideMark/>
          </w:tcPr>
          <w:p w14:paraId="6934832B" w14:textId="4D1E20E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hideMark/>
          </w:tcPr>
          <w:p w14:paraId="1E98ED1A" w14:textId="2BA7E0B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-0.48</w:t>
            </w:r>
          </w:p>
        </w:tc>
      </w:tr>
      <w:tr w:rsidR="005F15B5" w:rsidRPr="002103B2" w14:paraId="54AFED89" w14:textId="77777777" w:rsidTr="00CC7C8A">
        <w:trPr>
          <w:trHeight w:val="132"/>
        </w:trPr>
        <w:tc>
          <w:tcPr>
            <w:tcW w:w="1248" w:type="pct"/>
            <w:shd w:val="clear" w:color="auto" w:fill="auto"/>
            <w:noWrap/>
            <w:vAlign w:val="bottom"/>
            <w:hideMark/>
          </w:tcPr>
          <w:p w14:paraId="2A283600"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3AC54C5" w14:textId="7632F494"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653D014D" w14:textId="4CE56B9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58781</w:t>
            </w:r>
          </w:p>
        </w:tc>
        <w:tc>
          <w:tcPr>
            <w:tcW w:w="749" w:type="pct"/>
            <w:shd w:val="clear" w:color="auto" w:fill="auto"/>
            <w:noWrap/>
            <w:vAlign w:val="bottom"/>
            <w:hideMark/>
          </w:tcPr>
          <w:p w14:paraId="7067CAD9" w14:textId="4B86EA0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38</w:t>
            </w:r>
          </w:p>
        </w:tc>
        <w:tc>
          <w:tcPr>
            <w:tcW w:w="1188" w:type="pct"/>
            <w:shd w:val="clear" w:color="auto" w:fill="auto"/>
            <w:noWrap/>
            <w:vAlign w:val="bottom"/>
            <w:hideMark/>
          </w:tcPr>
          <w:p w14:paraId="58DDEBE7" w14:textId="10B0864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2.35</w:t>
            </w:r>
          </w:p>
        </w:tc>
      </w:tr>
      <w:tr w:rsidR="005F15B5" w:rsidRPr="002103B2" w14:paraId="2637205A" w14:textId="77777777" w:rsidTr="00CC7C8A">
        <w:trPr>
          <w:trHeight w:val="132"/>
        </w:trPr>
        <w:tc>
          <w:tcPr>
            <w:tcW w:w="1248" w:type="pct"/>
            <w:shd w:val="clear" w:color="auto" w:fill="auto"/>
            <w:noWrap/>
            <w:vAlign w:val="bottom"/>
            <w:hideMark/>
          </w:tcPr>
          <w:p w14:paraId="7C387AD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DCD23F5" w14:textId="1BDDBFBA"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61E93B1A" w14:textId="01AA296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9716</w:t>
            </w:r>
          </w:p>
        </w:tc>
        <w:tc>
          <w:tcPr>
            <w:tcW w:w="749" w:type="pct"/>
            <w:shd w:val="clear" w:color="auto" w:fill="auto"/>
            <w:noWrap/>
            <w:vAlign w:val="bottom"/>
            <w:hideMark/>
          </w:tcPr>
          <w:p w14:paraId="4B8D5120" w14:textId="7C5FBC8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w:t>
            </w:r>
          </w:p>
        </w:tc>
        <w:tc>
          <w:tcPr>
            <w:tcW w:w="1188" w:type="pct"/>
            <w:shd w:val="clear" w:color="auto" w:fill="auto"/>
            <w:noWrap/>
            <w:vAlign w:val="bottom"/>
            <w:hideMark/>
          </w:tcPr>
          <w:p w14:paraId="076E1C0F" w14:textId="04A97F8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4.06</w:t>
            </w:r>
          </w:p>
        </w:tc>
      </w:tr>
      <w:tr w:rsidR="005F15B5" w:rsidRPr="002103B2" w14:paraId="2E4A2A16" w14:textId="77777777" w:rsidTr="00CC7C8A">
        <w:trPr>
          <w:trHeight w:val="132"/>
        </w:trPr>
        <w:tc>
          <w:tcPr>
            <w:tcW w:w="1248" w:type="pct"/>
            <w:shd w:val="clear" w:color="auto" w:fill="auto"/>
            <w:noWrap/>
            <w:vAlign w:val="bottom"/>
            <w:hideMark/>
          </w:tcPr>
          <w:p w14:paraId="2BE0D950"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BFDA9E0" w14:textId="2510F84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7D6AF214" w14:textId="622C9C1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36164</w:t>
            </w:r>
          </w:p>
        </w:tc>
        <w:tc>
          <w:tcPr>
            <w:tcW w:w="749" w:type="pct"/>
            <w:shd w:val="clear" w:color="auto" w:fill="auto"/>
            <w:noWrap/>
            <w:vAlign w:val="bottom"/>
            <w:hideMark/>
          </w:tcPr>
          <w:p w14:paraId="0AD5E547" w14:textId="1BC6312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hideMark/>
          </w:tcPr>
          <w:p w14:paraId="4AC97995" w14:textId="4957579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6.08</w:t>
            </w:r>
          </w:p>
        </w:tc>
      </w:tr>
      <w:tr w:rsidR="007B7753" w:rsidRPr="002103B2" w14:paraId="53C9FC8A" w14:textId="77777777" w:rsidTr="00CC7C8A">
        <w:trPr>
          <w:trHeight w:val="132"/>
        </w:trPr>
        <w:tc>
          <w:tcPr>
            <w:tcW w:w="2372" w:type="pct"/>
            <w:gridSpan w:val="2"/>
            <w:shd w:val="clear" w:color="auto" w:fill="auto"/>
            <w:noWrap/>
            <w:vAlign w:val="bottom"/>
          </w:tcPr>
          <w:p w14:paraId="41123C4B" w14:textId="008C996D"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Walk 10 Feet</w:t>
            </w:r>
          </w:p>
        </w:tc>
        <w:tc>
          <w:tcPr>
            <w:tcW w:w="691" w:type="pct"/>
            <w:shd w:val="clear" w:color="auto" w:fill="auto"/>
            <w:noWrap/>
            <w:vAlign w:val="bottom"/>
          </w:tcPr>
          <w:p w14:paraId="739FE99A"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tcPr>
          <w:p w14:paraId="58D1A969"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tcPr>
          <w:p w14:paraId="7E5D13B5"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053970B5" w14:textId="77777777" w:rsidTr="00CC7C8A">
        <w:trPr>
          <w:trHeight w:val="132"/>
        </w:trPr>
        <w:tc>
          <w:tcPr>
            <w:tcW w:w="1248" w:type="pct"/>
            <w:shd w:val="clear" w:color="auto" w:fill="auto"/>
            <w:noWrap/>
            <w:vAlign w:val="bottom"/>
          </w:tcPr>
          <w:p w14:paraId="06EA28A8"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026656F" w14:textId="1712382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3C0E3A34" w14:textId="2DFFA55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17593</w:t>
            </w:r>
          </w:p>
        </w:tc>
        <w:tc>
          <w:tcPr>
            <w:tcW w:w="749" w:type="pct"/>
            <w:shd w:val="clear" w:color="auto" w:fill="auto"/>
            <w:noWrap/>
            <w:vAlign w:val="bottom"/>
          </w:tcPr>
          <w:p w14:paraId="08DB9F6E" w14:textId="6E23A05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w:t>
            </w:r>
          </w:p>
        </w:tc>
        <w:tc>
          <w:tcPr>
            <w:tcW w:w="1188" w:type="pct"/>
            <w:shd w:val="clear" w:color="auto" w:fill="auto"/>
            <w:noWrap/>
            <w:vAlign w:val="bottom"/>
          </w:tcPr>
          <w:p w14:paraId="6C7FFDD3" w14:textId="0258C57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-3.89</w:t>
            </w:r>
          </w:p>
        </w:tc>
      </w:tr>
      <w:tr w:rsidR="005F15B5" w:rsidRPr="002103B2" w14:paraId="74A1481B" w14:textId="77777777" w:rsidTr="00CC7C8A">
        <w:trPr>
          <w:trHeight w:val="132"/>
        </w:trPr>
        <w:tc>
          <w:tcPr>
            <w:tcW w:w="1248" w:type="pct"/>
            <w:shd w:val="clear" w:color="auto" w:fill="auto"/>
            <w:noWrap/>
            <w:vAlign w:val="bottom"/>
          </w:tcPr>
          <w:p w14:paraId="07A5765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1B9D659" w14:textId="31010104"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01610002" w14:textId="7AC1284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9469</w:t>
            </w:r>
          </w:p>
        </w:tc>
        <w:tc>
          <w:tcPr>
            <w:tcW w:w="749" w:type="pct"/>
            <w:shd w:val="clear" w:color="auto" w:fill="auto"/>
            <w:noWrap/>
            <w:vAlign w:val="bottom"/>
          </w:tcPr>
          <w:p w14:paraId="014A00F5" w14:textId="38D263A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0F135B46" w14:textId="0FF7923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-3.21</w:t>
            </w:r>
          </w:p>
        </w:tc>
      </w:tr>
      <w:tr w:rsidR="005F15B5" w:rsidRPr="002103B2" w14:paraId="03B5FDBF" w14:textId="77777777" w:rsidTr="00CC7C8A">
        <w:trPr>
          <w:trHeight w:val="132"/>
        </w:trPr>
        <w:tc>
          <w:tcPr>
            <w:tcW w:w="1248" w:type="pct"/>
            <w:shd w:val="clear" w:color="auto" w:fill="auto"/>
            <w:noWrap/>
            <w:vAlign w:val="bottom"/>
          </w:tcPr>
          <w:p w14:paraId="6A5823C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261D4DF" w14:textId="0E90CFE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0E305CB6" w14:textId="7B64238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62621</w:t>
            </w:r>
          </w:p>
        </w:tc>
        <w:tc>
          <w:tcPr>
            <w:tcW w:w="749" w:type="pct"/>
            <w:shd w:val="clear" w:color="auto" w:fill="auto"/>
            <w:noWrap/>
            <w:vAlign w:val="bottom"/>
          </w:tcPr>
          <w:p w14:paraId="70616298" w14:textId="5F700AB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tcPr>
          <w:p w14:paraId="63104F10" w14:textId="135DD69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-1.37</w:t>
            </w:r>
          </w:p>
        </w:tc>
      </w:tr>
      <w:tr w:rsidR="005F15B5" w:rsidRPr="002103B2" w14:paraId="2DCDD19F" w14:textId="77777777" w:rsidTr="00CC7C8A">
        <w:trPr>
          <w:trHeight w:val="132"/>
        </w:trPr>
        <w:tc>
          <w:tcPr>
            <w:tcW w:w="1248" w:type="pct"/>
            <w:shd w:val="clear" w:color="auto" w:fill="auto"/>
            <w:noWrap/>
            <w:vAlign w:val="bottom"/>
          </w:tcPr>
          <w:p w14:paraId="77D42F3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222394D1" w14:textId="64853F9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4A10CEF2" w14:textId="596B8B8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101127</w:t>
            </w:r>
          </w:p>
        </w:tc>
        <w:tc>
          <w:tcPr>
            <w:tcW w:w="749" w:type="pct"/>
            <w:shd w:val="clear" w:color="auto" w:fill="auto"/>
            <w:noWrap/>
            <w:vAlign w:val="bottom"/>
          </w:tcPr>
          <w:p w14:paraId="01DFFC86" w14:textId="61B2F17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39</w:t>
            </w:r>
          </w:p>
        </w:tc>
        <w:tc>
          <w:tcPr>
            <w:tcW w:w="1188" w:type="pct"/>
            <w:shd w:val="clear" w:color="auto" w:fill="auto"/>
            <w:noWrap/>
            <w:vAlign w:val="bottom"/>
          </w:tcPr>
          <w:p w14:paraId="08E755A8" w14:textId="1316EE7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1.32</w:t>
            </w:r>
          </w:p>
        </w:tc>
      </w:tr>
      <w:tr w:rsidR="005F15B5" w:rsidRPr="002103B2" w14:paraId="19DF55E3" w14:textId="77777777" w:rsidTr="00CC7C8A">
        <w:trPr>
          <w:trHeight w:val="132"/>
        </w:trPr>
        <w:tc>
          <w:tcPr>
            <w:tcW w:w="1248" w:type="pct"/>
            <w:shd w:val="clear" w:color="auto" w:fill="auto"/>
            <w:noWrap/>
            <w:vAlign w:val="bottom"/>
          </w:tcPr>
          <w:p w14:paraId="4BEF851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ED180C2" w14:textId="66E4654E"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064579E2" w14:textId="68EF9DA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9097</w:t>
            </w:r>
          </w:p>
        </w:tc>
        <w:tc>
          <w:tcPr>
            <w:tcW w:w="749" w:type="pct"/>
            <w:shd w:val="clear" w:color="auto" w:fill="auto"/>
            <w:noWrap/>
            <w:vAlign w:val="bottom"/>
          </w:tcPr>
          <w:p w14:paraId="326179B1" w14:textId="3143362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608643AE" w14:textId="6096573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3.34</w:t>
            </w:r>
          </w:p>
        </w:tc>
      </w:tr>
      <w:tr w:rsidR="005F15B5" w:rsidRPr="002103B2" w14:paraId="3DF6E247" w14:textId="77777777" w:rsidTr="00CC7C8A">
        <w:trPr>
          <w:trHeight w:val="132"/>
        </w:trPr>
        <w:tc>
          <w:tcPr>
            <w:tcW w:w="1248" w:type="pct"/>
            <w:shd w:val="clear" w:color="auto" w:fill="auto"/>
            <w:noWrap/>
            <w:vAlign w:val="bottom"/>
          </w:tcPr>
          <w:p w14:paraId="27EE999E"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07880610" w14:textId="630F540D"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085D481E" w14:textId="3AEA6CC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61689</w:t>
            </w:r>
          </w:p>
        </w:tc>
        <w:tc>
          <w:tcPr>
            <w:tcW w:w="749" w:type="pct"/>
            <w:shd w:val="clear" w:color="auto" w:fill="auto"/>
            <w:noWrap/>
            <w:vAlign w:val="bottom"/>
          </w:tcPr>
          <w:p w14:paraId="7DA45221" w14:textId="407C1A9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24</w:t>
            </w:r>
          </w:p>
        </w:tc>
        <w:tc>
          <w:tcPr>
            <w:tcW w:w="1188" w:type="pct"/>
            <w:shd w:val="clear" w:color="auto" w:fill="auto"/>
            <w:noWrap/>
            <w:vAlign w:val="bottom"/>
          </w:tcPr>
          <w:p w14:paraId="23EFB4C6" w14:textId="565DDDD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5.7</w:t>
            </w:r>
          </w:p>
        </w:tc>
      </w:tr>
      <w:tr w:rsidR="007B7753" w:rsidRPr="002103B2" w14:paraId="2F92E9BE" w14:textId="77777777" w:rsidTr="00CC7C8A">
        <w:trPr>
          <w:trHeight w:val="132"/>
        </w:trPr>
        <w:tc>
          <w:tcPr>
            <w:tcW w:w="2372" w:type="pct"/>
            <w:gridSpan w:val="2"/>
            <w:shd w:val="clear" w:color="auto" w:fill="auto"/>
            <w:noWrap/>
            <w:vAlign w:val="bottom"/>
          </w:tcPr>
          <w:p w14:paraId="4353892C" w14:textId="3D40BEE6" w:rsidR="007B7753" w:rsidRPr="002103B2" w:rsidRDefault="007B7753" w:rsidP="007B7753">
            <w:pPr>
              <w:spacing w:after="0" w:line="240" w:lineRule="auto"/>
              <w:rPr>
                <w:rFonts w:eastAsia="Times New Roman" w:cs="Times New Roman"/>
                <w:color w:val="0000FF"/>
                <w:sz w:val="20"/>
              </w:rPr>
            </w:pPr>
            <w:r>
              <w:rPr>
                <w:rFonts w:eastAsia="Times New Roman" w:cs="Times New Roman"/>
                <w:color w:val="0000FF"/>
                <w:sz w:val="20"/>
              </w:rPr>
              <w:t>Walk 50 Feet with Two Turns</w:t>
            </w:r>
          </w:p>
        </w:tc>
        <w:tc>
          <w:tcPr>
            <w:tcW w:w="691" w:type="pct"/>
            <w:shd w:val="clear" w:color="auto" w:fill="auto"/>
            <w:noWrap/>
            <w:vAlign w:val="bottom"/>
          </w:tcPr>
          <w:p w14:paraId="76C22C7B" w14:textId="77777777" w:rsidR="007B7753" w:rsidRPr="002103B2" w:rsidRDefault="007B7753" w:rsidP="007B7753">
            <w:pPr>
              <w:spacing w:after="0" w:line="240" w:lineRule="auto"/>
              <w:jc w:val="center"/>
              <w:rPr>
                <w:rFonts w:eastAsia="Times New Roman" w:cs="Times New Roman"/>
                <w:color w:val="0000FF"/>
                <w:sz w:val="20"/>
              </w:rPr>
            </w:pPr>
          </w:p>
        </w:tc>
        <w:tc>
          <w:tcPr>
            <w:tcW w:w="749" w:type="pct"/>
            <w:shd w:val="clear" w:color="auto" w:fill="auto"/>
            <w:noWrap/>
            <w:vAlign w:val="bottom"/>
          </w:tcPr>
          <w:p w14:paraId="1231602D" w14:textId="77777777" w:rsidR="007B7753" w:rsidRPr="002103B2" w:rsidRDefault="007B7753" w:rsidP="007B7753">
            <w:pPr>
              <w:spacing w:after="0" w:line="240" w:lineRule="auto"/>
              <w:jc w:val="center"/>
              <w:rPr>
                <w:rFonts w:eastAsia="Times New Roman" w:cs="Times New Roman"/>
                <w:color w:val="0000FF"/>
                <w:sz w:val="20"/>
              </w:rPr>
            </w:pPr>
          </w:p>
        </w:tc>
        <w:tc>
          <w:tcPr>
            <w:tcW w:w="1188" w:type="pct"/>
            <w:shd w:val="clear" w:color="auto" w:fill="auto"/>
            <w:noWrap/>
            <w:vAlign w:val="bottom"/>
          </w:tcPr>
          <w:p w14:paraId="0B434AA2" w14:textId="77777777" w:rsidR="007B7753" w:rsidRPr="002103B2" w:rsidRDefault="007B7753" w:rsidP="007B7753">
            <w:pPr>
              <w:spacing w:after="0" w:line="240" w:lineRule="auto"/>
              <w:jc w:val="center"/>
              <w:rPr>
                <w:rFonts w:eastAsia="Times New Roman" w:cs="Times New Roman"/>
                <w:color w:val="0000FF"/>
                <w:sz w:val="20"/>
              </w:rPr>
            </w:pPr>
          </w:p>
        </w:tc>
      </w:tr>
      <w:tr w:rsidR="005F15B5" w:rsidRPr="002103B2" w14:paraId="1B552819" w14:textId="77777777" w:rsidTr="00CC7C8A">
        <w:trPr>
          <w:trHeight w:val="132"/>
        </w:trPr>
        <w:tc>
          <w:tcPr>
            <w:tcW w:w="1248" w:type="pct"/>
            <w:shd w:val="clear" w:color="auto" w:fill="auto"/>
            <w:noWrap/>
            <w:vAlign w:val="bottom"/>
          </w:tcPr>
          <w:p w14:paraId="321DDD0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EB59942" w14:textId="5E18541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57C53D89" w14:textId="03FAA25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9635</w:t>
            </w:r>
          </w:p>
        </w:tc>
        <w:tc>
          <w:tcPr>
            <w:tcW w:w="749" w:type="pct"/>
            <w:shd w:val="clear" w:color="auto" w:fill="auto"/>
            <w:noWrap/>
            <w:vAlign w:val="bottom"/>
          </w:tcPr>
          <w:p w14:paraId="44D69254" w14:textId="44D0AEE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76B86705" w14:textId="6B1145D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-3.42</w:t>
            </w:r>
          </w:p>
        </w:tc>
      </w:tr>
      <w:tr w:rsidR="005F15B5" w:rsidRPr="002103B2" w14:paraId="1F8805B6" w14:textId="77777777" w:rsidTr="00CC7C8A">
        <w:trPr>
          <w:trHeight w:val="132"/>
        </w:trPr>
        <w:tc>
          <w:tcPr>
            <w:tcW w:w="1248" w:type="pct"/>
            <w:shd w:val="clear" w:color="auto" w:fill="auto"/>
            <w:noWrap/>
            <w:vAlign w:val="bottom"/>
          </w:tcPr>
          <w:p w14:paraId="2CF0158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1176E311" w14:textId="665E8FE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18F1C2CB" w14:textId="67681E8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3280</w:t>
            </w:r>
          </w:p>
        </w:tc>
        <w:tc>
          <w:tcPr>
            <w:tcW w:w="749" w:type="pct"/>
            <w:shd w:val="clear" w:color="auto" w:fill="auto"/>
            <w:noWrap/>
            <w:vAlign w:val="bottom"/>
          </w:tcPr>
          <w:p w14:paraId="0DCAA164" w14:textId="35A4D21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tcPr>
          <w:p w14:paraId="319E4349" w14:textId="440E84E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-2.53</w:t>
            </w:r>
          </w:p>
        </w:tc>
      </w:tr>
      <w:tr w:rsidR="005F15B5" w:rsidRPr="002103B2" w14:paraId="171C113D" w14:textId="77777777" w:rsidTr="00CC7C8A">
        <w:trPr>
          <w:trHeight w:val="132"/>
        </w:trPr>
        <w:tc>
          <w:tcPr>
            <w:tcW w:w="1248" w:type="pct"/>
            <w:shd w:val="clear" w:color="auto" w:fill="auto"/>
            <w:noWrap/>
            <w:vAlign w:val="bottom"/>
          </w:tcPr>
          <w:p w14:paraId="404FE7D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47D0874" w14:textId="54C38EC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5BBA2793" w14:textId="2D8C396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38975</w:t>
            </w:r>
          </w:p>
        </w:tc>
        <w:tc>
          <w:tcPr>
            <w:tcW w:w="749" w:type="pct"/>
            <w:shd w:val="clear" w:color="auto" w:fill="auto"/>
            <w:noWrap/>
            <w:vAlign w:val="bottom"/>
          </w:tcPr>
          <w:p w14:paraId="0F8D1FA7" w14:textId="50D1F7C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w:t>
            </w:r>
          </w:p>
        </w:tc>
        <w:tc>
          <w:tcPr>
            <w:tcW w:w="1188" w:type="pct"/>
            <w:shd w:val="clear" w:color="auto" w:fill="auto"/>
            <w:noWrap/>
            <w:vAlign w:val="bottom"/>
          </w:tcPr>
          <w:p w14:paraId="3403F6B3" w14:textId="6D19EA9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-0.97</w:t>
            </w:r>
          </w:p>
        </w:tc>
      </w:tr>
      <w:tr w:rsidR="005F15B5" w:rsidRPr="002103B2" w14:paraId="219E450E" w14:textId="77777777" w:rsidTr="00CC7C8A">
        <w:trPr>
          <w:trHeight w:val="132"/>
        </w:trPr>
        <w:tc>
          <w:tcPr>
            <w:tcW w:w="1248" w:type="pct"/>
            <w:shd w:val="clear" w:color="auto" w:fill="auto"/>
            <w:noWrap/>
            <w:vAlign w:val="bottom"/>
          </w:tcPr>
          <w:p w14:paraId="2ACE0D5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lastRenderedPageBreak/>
              <w:t> </w:t>
            </w:r>
          </w:p>
        </w:tc>
        <w:tc>
          <w:tcPr>
            <w:tcW w:w="1124" w:type="pct"/>
            <w:shd w:val="clear" w:color="auto" w:fill="auto"/>
            <w:vAlign w:val="bottom"/>
          </w:tcPr>
          <w:p w14:paraId="3DE223E3" w14:textId="6D4A07F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2787832C" w14:textId="1B78537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87491</w:t>
            </w:r>
          </w:p>
        </w:tc>
        <w:tc>
          <w:tcPr>
            <w:tcW w:w="749" w:type="pct"/>
            <w:shd w:val="clear" w:color="auto" w:fill="auto"/>
            <w:noWrap/>
            <w:vAlign w:val="bottom"/>
          </w:tcPr>
          <w:p w14:paraId="14C0024F" w14:textId="552636C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42</w:t>
            </w:r>
          </w:p>
        </w:tc>
        <w:tc>
          <w:tcPr>
            <w:tcW w:w="1188" w:type="pct"/>
            <w:shd w:val="clear" w:color="auto" w:fill="auto"/>
            <w:noWrap/>
            <w:vAlign w:val="bottom"/>
          </w:tcPr>
          <w:p w14:paraId="25254394" w14:textId="24A0899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1.58</w:t>
            </w:r>
          </w:p>
        </w:tc>
      </w:tr>
      <w:tr w:rsidR="005F15B5" w:rsidRPr="002103B2" w14:paraId="590B40B6" w14:textId="77777777" w:rsidTr="00CC7C8A">
        <w:trPr>
          <w:trHeight w:val="132"/>
        </w:trPr>
        <w:tc>
          <w:tcPr>
            <w:tcW w:w="1248" w:type="pct"/>
            <w:shd w:val="clear" w:color="auto" w:fill="auto"/>
            <w:noWrap/>
            <w:vAlign w:val="bottom"/>
          </w:tcPr>
          <w:p w14:paraId="4FCBFE1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FDF36DB" w14:textId="4C1F8E9A"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1148577D" w14:textId="2E8A1DC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8717</w:t>
            </w:r>
          </w:p>
        </w:tc>
        <w:tc>
          <w:tcPr>
            <w:tcW w:w="749" w:type="pct"/>
            <w:shd w:val="clear" w:color="auto" w:fill="auto"/>
            <w:noWrap/>
            <w:vAlign w:val="bottom"/>
          </w:tcPr>
          <w:p w14:paraId="1F51076A" w14:textId="47D9270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02963F69" w14:textId="420138C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3.47</w:t>
            </w:r>
          </w:p>
        </w:tc>
      </w:tr>
      <w:tr w:rsidR="005F15B5" w:rsidRPr="002103B2" w14:paraId="3C2D2B4A" w14:textId="77777777" w:rsidTr="00CC7C8A">
        <w:trPr>
          <w:trHeight w:val="132"/>
        </w:trPr>
        <w:tc>
          <w:tcPr>
            <w:tcW w:w="1248" w:type="pct"/>
            <w:shd w:val="clear" w:color="auto" w:fill="auto"/>
            <w:noWrap/>
            <w:vAlign w:val="bottom"/>
          </w:tcPr>
          <w:p w14:paraId="1FBE6E5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79C09D9" w14:textId="71AE931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6832A88A" w14:textId="6E5C84F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59133</w:t>
            </w:r>
          </w:p>
        </w:tc>
        <w:tc>
          <w:tcPr>
            <w:tcW w:w="749" w:type="pct"/>
            <w:shd w:val="clear" w:color="auto" w:fill="auto"/>
            <w:noWrap/>
            <w:vAlign w:val="bottom"/>
          </w:tcPr>
          <w:p w14:paraId="7A78A6BF" w14:textId="6C5DBD5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w:t>
            </w:r>
          </w:p>
        </w:tc>
        <w:tc>
          <w:tcPr>
            <w:tcW w:w="1188" w:type="pct"/>
            <w:shd w:val="clear" w:color="auto" w:fill="auto"/>
            <w:noWrap/>
            <w:vAlign w:val="bottom"/>
          </w:tcPr>
          <w:p w14:paraId="01A1EDD1" w14:textId="7B0B54B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5.79</w:t>
            </w:r>
          </w:p>
        </w:tc>
      </w:tr>
      <w:tr w:rsidR="007B7753" w:rsidRPr="002103B2" w14:paraId="5EB1FAB3" w14:textId="77777777" w:rsidTr="00CC7C8A">
        <w:trPr>
          <w:trHeight w:val="132"/>
        </w:trPr>
        <w:tc>
          <w:tcPr>
            <w:tcW w:w="3812" w:type="pct"/>
            <w:gridSpan w:val="4"/>
            <w:shd w:val="clear" w:color="auto" w:fill="auto"/>
            <w:noWrap/>
            <w:vAlign w:val="bottom"/>
            <w:hideMark/>
          </w:tcPr>
          <w:p w14:paraId="2BE290D9" w14:textId="215D52A0" w:rsidR="007B7753" w:rsidRPr="002103B2" w:rsidRDefault="007B7753" w:rsidP="006E3FBA">
            <w:pPr>
              <w:spacing w:after="0" w:line="240" w:lineRule="auto"/>
              <w:rPr>
                <w:rFonts w:eastAsia="Times New Roman" w:cs="Times New Roman"/>
                <w:color w:val="0000FF"/>
                <w:sz w:val="20"/>
              </w:rPr>
            </w:pPr>
            <w:r>
              <w:rPr>
                <w:rFonts w:eastAsia="Times New Roman" w:cs="Times New Roman"/>
                <w:color w:val="0000FF"/>
                <w:sz w:val="20"/>
              </w:rPr>
              <w:t>Walk 150 Feet</w:t>
            </w:r>
          </w:p>
        </w:tc>
        <w:tc>
          <w:tcPr>
            <w:tcW w:w="1188" w:type="pct"/>
            <w:shd w:val="clear" w:color="auto" w:fill="auto"/>
            <w:noWrap/>
            <w:vAlign w:val="bottom"/>
            <w:hideMark/>
          </w:tcPr>
          <w:p w14:paraId="2DDBA768" w14:textId="77777777" w:rsidR="007B7753" w:rsidRPr="002103B2" w:rsidRDefault="007B7753" w:rsidP="005F15B5">
            <w:pPr>
              <w:spacing w:after="0" w:line="240" w:lineRule="auto"/>
              <w:jc w:val="center"/>
              <w:rPr>
                <w:rFonts w:eastAsia="Times New Roman" w:cs="Times New Roman"/>
                <w:color w:val="0000FF"/>
                <w:sz w:val="20"/>
              </w:rPr>
            </w:pPr>
          </w:p>
        </w:tc>
      </w:tr>
      <w:tr w:rsidR="005F15B5" w:rsidRPr="002103B2" w14:paraId="5C38602D" w14:textId="77777777" w:rsidTr="00CC7C8A">
        <w:trPr>
          <w:trHeight w:val="132"/>
        </w:trPr>
        <w:tc>
          <w:tcPr>
            <w:tcW w:w="1248" w:type="pct"/>
            <w:shd w:val="clear" w:color="auto" w:fill="auto"/>
            <w:noWrap/>
            <w:vAlign w:val="bottom"/>
            <w:hideMark/>
          </w:tcPr>
          <w:p w14:paraId="6CEB8E8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3C7A14B" w14:textId="514CED4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3C838267" w14:textId="32F9288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9107</w:t>
            </w:r>
          </w:p>
        </w:tc>
        <w:tc>
          <w:tcPr>
            <w:tcW w:w="749" w:type="pct"/>
            <w:shd w:val="clear" w:color="auto" w:fill="auto"/>
            <w:noWrap/>
            <w:vAlign w:val="bottom"/>
            <w:hideMark/>
          </w:tcPr>
          <w:p w14:paraId="1C2E8030" w14:textId="3B68509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w:t>
            </w:r>
          </w:p>
        </w:tc>
        <w:tc>
          <w:tcPr>
            <w:tcW w:w="1188" w:type="pct"/>
            <w:shd w:val="clear" w:color="auto" w:fill="auto"/>
            <w:noWrap/>
            <w:vAlign w:val="bottom"/>
            <w:hideMark/>
          </w:tcPr>
          <w:p w14:paraId="3EF871F3" w14:textId="3DABF63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-2.66</w:t>
            </w:r>
          </w:p>
        </w:tc>
      </w:tr>
      <w:tr w:rsidR="005F15B5" w:rsidRPr="002103B2" w14:paraId="292A2BCC" w14:textId="77777777" w:rsidTr="00CC7C8A">
        <w:trPr>
          <w:trHeight w:val="132"/>
        </w:trPr>
        <w:tc>
          <w:tcPr>
            <w:tcW w:w="1248" w:type="pct"/>
            <w:shd w:val="clear" w:color="auto" w:fill="auto"/>
            <w:noWrap/>
            <w:vAlign w:val="bottom"/>
            <w:hideMark/>
          </w:tcPr>
          <w:p w14:paraId="79CE8393"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29A8775" w14:textId="0F38CC8A"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7D4B3A17" w14:textId="5A94618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1639</w:t>
            </w:r>
          </w:p>
        </w:tc>
        <w:tc>
          <w:tcPr>
            <w:tcW w:w="749" w:type="pct"/>
            <w:shd w:val="clear" w:color="auto" w:fill="auto"/>
            <w:noWrap/>
            <w:vAlign w:val="bottom"/>
            <w:hideMark/>
          </w:tcPr>
          <w:p w14:paraId="4A00731A" w14:textId="1A6D9B3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w:t>
            </w:r>
          </w:p>
        </w:tc>
        <w:tc>
          <w:tcPr>
            <w:tcW w:w="1188" w:type="pct"/>
            <w:shd w:val="clear" w:color="auto" w:fill="auto"/>
            <w:noWrap/>
            <w:vAlign w:val="bottom"/>
            <w:hideMark/>
          </w:tcPr>
          <w:p w14:paraId="0E4C88D6" w14:textId="53E28E9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-1.76</w:t>
            </w:r>
          </w:p>
        </w:tc>
      </w:tr>
      <w:tr w:rsidR="005F15B5" w:rsidRPr="002103B2" w14:paraId="5F8319AB" w14:textId="77777777" w:rsidTr="00CC7C8A">
        <w:trPr>
          <w:trHeight w:val="132"/>
        </w:trPr>
        <w:tc>
          <w:tcPr>
            <w:tcW w:w="1248" w:type="pct"/>
            <w:shd w:val="clear" w:color="auto" w:fill="auto"/>
            <w:noWrap/>
            <w:vAlign w:val="bottom"/>
            <w:hideMark/>
          </w:tcPr>
          <w:p w14:paraId="51DEF179"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E289EB" w14:textId="110B7FA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3DD1E9D7" w14:textId="2E3CAF2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15977</w:t>
            </w:r>
          </w:p>
        </w:tc>
        <w:tc>
          <w:tcPr>
            <w:tcW w:w="749" w:type="pct"/>
            <w:shd w:val="clear" w:color="auto" w:fill="auto"/>
            <w:noWrap/>
            <w:vAlign w:val="bottom"/>
            <w:hideMark/>
          </w:tcPr>
          <w:p w14:paraId="3904C57B" w14:textId="4C50F5E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11</w:t>
            </w:r>
          </w:p>
        </w:tc>
        <w:tc>
          <w:tcPr>
            <w:tcW w:w="1188" w:type="pct"/>
            <w:shd w:val="clear" w:color="auto" w:fill="auto"/>
            <w:noWrap/>
            <w:vAlign w:val="bottom"/>
            <w:hideMark/>
          </w:tcPr>
          <w:p w14:paraId="0718DA80" w14:textId="2B12290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-0.52</w:t>
            </w:r>
          </w:p>
        </w:tc>
      </w:tr>
      <w:tr w:rsidR="005F15B5" w:rsidRPr="002103B2" w14:paraId="22E62767" w14:textId="77777777" w:rsidTr="00CC7C8A">
        <w:trPr>
          <w:trHeight w:val="132"/>
        </w:trPr>
        <w:tc>
          <w:tcPr>
            <w:tcW w:w="1248" w:type="pct"/>
            <w:shd w:val="clear" w:color="auto" w:fill="auto"/>
            <w:noWrap/>
            <w:vAlign w:val="bottom"/>
            <w:hideMark/>
          </w:tcPr>
          <w:p w14:paraId="437CA5A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1FEC3DDB" w14:textId="012C37DB"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450DBEE5" w14:textId="49F6C3C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62177</w:t>
            </w:r>
          </w:p>
        </w:tc>
        <w:tc>
          <w:tcPr>
            <w:tcW w:w="749" w:type="pct"/>
            <w:shd w:val="clear" w:color="auto" w:fill="auto"/>
            <w:noWrap/>
            <w:vAlign w:val="bottom"/>
            <w:hideMark/>
          </w:tcPr>
          <w:p w14:paraId="3B6123D8" w14:textId="12EC3AA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42</w:t>
            </w:r>
          </w:p>
        </w:tc>
        <w:tc>
          <w:tcPr>
            <w:tcW w:w="1188" w:type="pct"/>
            <w:shd w:val="clear" w:color="auto" w:fill="auto"/>
            <w:noWrap/>
            <w:vAlign w:val="bottom"/>
            <w:hideMark/>
          </w:tcPr>
          <w:p w14:paraId="18A8E858" w14:textId="3997C99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1.98</w:t>
            </w:r>
          </w:p>
        </w:tc>
      </w:tr>
      <w:tr w:rsidR="005F15B5" w:rsidRPr="002103B2" w14:paraId="0EBFAE3E" w14:textId="77777777" w:rsidTr="00CC7C8A">
        <w:trPr>
          <w:trHeight w:val="132"/>
        </w:trPr>
        <w:tc>
          <w:tcPr>
            <w:tcW w:w="1248" w:type="pct"/>
            <w:shd w:val="clear" w:color="auto" w:fill="auto"/>
            <w:noWrap/>
            <w:vAlign w:val="bottom"/>
            <w:hideMark/>
          </w:tcPr>
          <w:p w14:paraId="72824D1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BD37D4A" w14:textId="1867836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4B7A39F4" w14:textId="5B39809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7688</w:t>
            </w:r>
          </w:p>
        </w:tc>
        <w:tc>
          <w:tcPr>
            <w:tcW w:w="749" w:type="pct"/>
            <w:shd w:val="clear" w:color="auto" w:fill="auto"/>
            <w:noWrap/>
            <w:vAlign w:val="bottom"/>
            <w:hideMark/>
          </w:tcPr>
          <w:p w14:paraId="2B0E16B7" w14:textId="4796E35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568A327C" w14:textId="65800EE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3.68</w:t>
            </w:r>
          </w:p>
        </w:tc>
      </w:tr>
      <w:tr w:rsidR="005F15B5" w:rsidRPr="002103B2" w14:paraId="20CA5283" w14:textId="77777777" w:rsidTr="00CC7C8A">
        <w:trPr>
          <w:trHeight w:val="132"/>
        </w:trPr>
        <w:tc>
          <w:tcPr>
            <w:tcW w:w="1248" w:type="pct"/>
            <w:shd w:val="clear" w:color="auto" w:fill="auto"/>
            <w:noWrap/>
            <w:vAlign w:val="bottom"/>
            <w:hideMark/>
          </w:tcPr>
          <w:p w14:paraId="6A8C4947"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2E410F2" w14:textId="5629051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226AD9D3" w14:textId="327510D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52903</w:t>
            </w:r>
          </w:p>
        </w:tc>
        <w:tc>
          <w:tcPr>
            <w:tcW w:w="749" w:type="pct"/>
            <w:shd w:val="clear" w:color="auto" w:fill="auto"/>
            <w:noWrap/>
            <w:vAlign w:val="bottom"/>
            <w:hideMark/>
          </w:tcPr>
          <w:p w14:paraId="7833392F" w14:textId="4603DFA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35</w:t>
            </w:r>
          </w:p>
        </w:tc>
        <w:tc>
          <w:tcPr>
            <w:tcW w:w="1188" w:type="pct"/>
            <w:shd w:val="clear" w:color="auto" w:fill="auto"/>
            <w:noWrap/>
            <w:vAlign w:val="bottom"/>
            <w:hideMark/>
          </w:tcPr>
          <w:p w14:paraId="6025AF7E" w14:textId="747E3AD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5.94</w:t>
            </w:r>
          </w:p>
        </w:tc>
      </w:tr>
      <w:tr w:rsidR="00CC7C8A" w:rsidRPr="002103B2" w14:paraId="6CF547AB" w14:textId="77777777" w:rsidTr="00CC7C8A">
        <w:trPr>
          <w:trHeight w:val="132"/>
        </w:trPr>
        <w:tc>
          <w:tcPr>
            <w:tcW w:w="2372" w:type="pct"/>
            <w:gridSpan w:val="2"/>
            <w:shd w:val="clear" w:color="auto" w:fill="auto"/>
            <w:noWrap/>
            <w:vAlign w:val="bottom"/>
          </w:tcPr>
          <w:p w14:paraId="60D04FC7" w14:textId="173C9890" w:rsidR="00CC7C8A" w:rsidRPr="002103B2" w:rsidRDefault="00CC7C8A" w:rsidP="00B34D3C">
            <w:pPr>
              <w:spacing w:after="0" w:line="240" w:lineRule="auto"/>
              <w:rPr>
                <w:rFonts w:eastAsia="Times New Roman" w:cs="Times New Roman"/>
                <w:color w:val="0000FF"/>
                <w:sz w:val="20"/>
              </w:rPr>
            </w:pPr>
            <w:r>
              <w:rPr>
                <w:rFonts w:eastAsia="Times New Roman" w:cs="Times New Roman"/>
                <w:color w:val="0000FF"/>
                <w:sz w:val="20"/>
              </w:rPr>
              <w:t>Walking 10 Feet on Uneven Surfaces</w:t>
            </w:r>
          </w:p>
        </w:tc>
        <w:tc>
          <w:tcPr>
            <w:tcW w:w="691" w:type="pct"/>
            <w:shd w:val="clear" w:color="auto" w:fill="auto"/>
            <w:noWrap/>
            <w:vAlign w:val="bottom"/>
          </w:tcPr>
          <w:p w14:paraId="32915F48" w14:textId="77777777" w:rsidR="00CC7C8A" w:rsidRPr="002103B2" w:rsidRDefault="00CC7C8A" w:rsidP="00B34D3C">
            <w:pPr>
              <w:spacing w:after="0" w:line="240" w:lineRule="auto"/>
              <w:jc w:val="center"/>
              <w:rPr>
                <w:rFonts w:eastAsia="Times New Roman" w:cs="Times New Roman"/>
                <w:color w:val="0000FF"/>
                <w:sz w:val="20"/>
              </w:rPr>
            </w:pPr>
          </w:p>
        </w:tc>
        <w:tc>
          <w:tcPr>
            <w:tcW w:w="749" w:type="pct"/>
            <w:shd w:val="clear" w:color="auto" w:fill="auto"/>
            <w:noWrap/>
            <w:vAlign w:val="bottom"/>
          </w:tcPr>
          <w:p w14:paraId="0E012CC5" w14:textId="77777777" w:rsidR="00CC7C8A" w:rsidRPr="002103B2" w:rsidRDefault="00CC7C8A" w:rsidP="00B34D3C">
            <w:pPr>
              <w:spacing w:after="0" w:line="240" w:lineRule="auto"/>
              <w:jc w:val="center"/>
              <w:rPr>
                <w:rFonts w:eastAsia="Times New Roman" w:cs="Times New Roman"/>
                <w:color w:val="0000FF"/>
                <w:sz w:val="20"/>
              </w:rPr>
            </w:pPr>
          </w:p>
        </w:tc>
        <w:tc>
          <w:tcPr>
            <w:tcW w:w="1188" w:type="pct"/>
            <w:shd w:val="clear" w:color="auto" w:fill="auto"/>
            <w:noWrap/>
            <w:vAlign w:val="bottom"/>
          </w:tcPr>
          <w:p w14:paraId="5E1F2C59" w14:textId="77777777" w:rsidR="00CC7C8A" w:rsidRPr="002103B2" w:rsidRDefault="00CC7C8A" w:rsidP="00B34D3C">
            <w:pPr>
              <w:spacing w:after="0" w:line="240" w:lineRule="auto"/>
              <w:jc w:val="center"/>
              <w:rPr>
                <w:rFonts w:eastAsia="Times New Roman" w:cs="Times New Roman"/>
                <w:color w:val="0000FF"/>
                <w:sz w:val="20"/>
              </w:rPr>
            </w:pPr>
          </w:p>
        </w:tc>
      </w:tr>
      <w:tr w:rsidR="005F15B5" w:rsidRPr="002103B2" w14:paraId="7FE46898" w14:textId="77777777" w:rsidTr="00CC7C8A">
        <w:trPr>
          <w:trHeight w:val="132"/>
        </w:trPr>
        <w:tc>
          <w:tcPr>
            <w:tcW w:w="1248" w:type="pct"/>
            <w:shd w:val="clear" w:color="auto" w:fill="auto"/>
            <w:noWrap/>
            <w:vAlign w:val="bottom"/>
          </w:tcPr>
          <w:p w14:paraId="18CB563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BB6855E" w14:textId="7EB6618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342752BF" w14:textId="789EA27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5857</w:t>
            </w:r>
          </w:p>
        </w:tc>
        <w:tc>
          <w:tcPr>
            <w:tcW w:w="749" w:type="pct"/>
            <w:shd w:val="clear" w:color="auto" w:fill="auto"/>
            <w:noWrap/>
            <w:vAlign w:val="bottom"/>
          </w:tcPr>
          <w:p w14:paraId="639E3CEE" w14:textId="51B00BC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4894649B" w14:textId="366580A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-3.01</w:t>
            </w:r>
          </w:p>
        </w:tc>
      </w:tr>
      <w:tr w:rsidR="005F15B5" w:rsidRPr="002103B2" w14:paraId="074CA4D5" w14:textId="77777777" w:rsidTr="00CC7C8A">
        <w:trPr>
          <w:trHeight w:val="132"/>
        </w:trPr>
        <w:tc>
          <w:tcPr>
            <w:tcW w:w="1248" w:type="pct"/>
            <w:shd w:val="clear" w:color="auto" w:fill="auto"/>
            <w:noWrap/>
            <w:vAlign w:val="bottom"/>
          </w:tcPr>
          <w:p w14:paraId="788D8AB3"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90EDC0D" w14:textId="35C8190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7A1CD5A1" w14:textId="66F981B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2049</w:t>
            </w:r>
          </w:p>
        </w:tc>
        <w:tc>
          <w:tcPr>
            <w:tcW w:w="749" w:type="pct"/>
            <w:shd w:val="clear" w:color="auto" w:fill="auto"/>
            <w:noWrap/>
            <w:vAlign w:val="bottom"/>
          </w:tcPr>
          <w:p w14:paraId="3F3C8BCE" w14:textId="4601903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tcPr>
          <w:p w14:paraId="10CC43AB" w14:textId="4FB6640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-2.01</w:t>
            </w:r>
          </w:p>
        </w:tc>
      </w:tr>
      <w:tr w:rsidR="005F15B5" w:rsidRPr="002103B2" w14:paraId="352B354B" w14:textId="77777777" w:rsidTr="00CC7C8A">
        <w:trPr>
          <w:trHeight w:val="132"/>
        </w:trPr>
        <w:tc>
          <w:tcPr>
            <w:tcW w:w="1248" w:type="pct"/>
            <w:shd w:val="clear" w:color="auto" w:fill="auto"/>
            <w:noWrap/>
            <w:vAlign w:val="bottom"/>
          </w:tcPr>
          <w:p w14:paraId="225C2B37"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4F29A6C" w14:textId="58745EEE"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2A1AF8FA" w14:textId="4BB8B00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23611</w:t>
            </w:r>
          </w:p>
        </w:tc>
        <w:tc>
          <w:tcPr>
            <w:tcW w:w="749" w:type="pct"/>
            <w:shd w:val="clear" w:color="auto" w:fill="auto"/>
            <w:noWrap/>
            <w:vAlign w:val="bottom"/>
          </w:tcPr>
          <w:p w14:paraId="67CE5D31" w14:textId="0D0D39C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17</w:t>
            </w:r>
          </w:p>
        </w:tc>
        <w:tc>
          <w:tcPr>
            <w:tcW w:w="1188" w:type="pct"/>
            <w:shd w:val="clear" w:color="auto" w:fill="auto"/>
            <w:noWrap/>
            <w:vAlign w:val="bottom"/>
          </w:tcPr>
          <w:p w14:paraId="72DA20DA" w14:textId="40F1372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-0.24</w:t>
            </w:r>
          </w:p>
        </w:tc>
      </w:tr>
      <w:tr w:rsidR="005F15B5" w:rsidRPr="002103B2" w14:paraId="2964D7A5" w14:textId="77777777" w:rsidTr="00CC7C8A">
        <w:trPr>
          <w:trHeight w:val="132"/>
        </w:trPr>
        <w:tc>
          <w:tcPr>
            <w:tcW w:w="1248" w:type="pct"/>
            <w:shd w:val="clear" w:color="auto" w:fill="auto"/>
            <w:noWrap/>
            <w:vAlign w:val="bottom"/>
          </w:tcPr>
          <w:p w14:paraId="55A85FE0"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37730837" w14:textId="036ABE4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530EF8C7" w14:textId="2B0A86A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60748</w:t>
            </w:r>
          </w:p>
        </w:tc>
        <w:tc>
          <w:tcPr>
            <w:tcW w:w="749" w:type="pct"/>
            <w:shd w:val="clear" w:color="auto" w:fill="auto"/>
            <w:noWrap/>
            <w:vAlign w:val="bottom"/>
          </w:tcPr>
          <w:p w14:paraId="006AB91F" w14:textId="148701D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45</w:t>
            </w:r>
          </w:p>
        </w:tc>
        <w:tc>
          <w:tcPr>
            <w:tcW w:w="1188" w:type="pct"/>
            <w:shd w:val="clear" w:color="auto" w:fill="auto"/>
            <w:noWrap/>
            <w:vAlign w:val="bottom"/>
          </w:tcPr>
          <w:p w14:paraId="194C9109" w14:textId="30CE612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2.5</w:t>
            </w:r>
            <w:r w:rsidR="00865807">
              <w:rPr>
                <w:rFonts w:eastAsia="Times New Roman" w:cs="Times New Roman"/>
                <w:color w:val="0000FF"/>
                <w:sz w:val="20"/>
              </w:rPr>
              <w:t>0</w:t>
            </w:r>
          </w:p>
        </w:tc>
      </w:tr>
      <w:tr w:rsidR="005F15B5" w:rsidRPr="002103B2" w14:paraId="379B2C9D" w14:textId="77777777" w:rsidTr="00CC7C8A">
        <w:trPr>
          <w:trHeight w:val="132"/>
        </w:trPr>
        <w:tc>
          <w:tcPr>
            <w:tcW w:w="1248" w:type="pct"/>
            <w:shd w:val="clear" w:color="auto" w:fill="auto"/>
            <w:noWrap/>
            <w:vAlign w:val="bottom"/>
          </w:tcPr>
          <w:p w14:paraId="1CB19DF6"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505AD5C" w14:textId="31139B1E"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25D89374" w14:textId="19F8650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6045</w:t>
            </w:r>
          </w:p>
        </w:tc>
        <w:tc>
          <w:tcPr>
            <w:tcW w:w="749" w:type="pct"/>
            <w:shd w:val="clear" w:color="auto" w:fill="auto"/>
            <w:noWrap/>
            <w:vAlign w:val="bottom"/>
          </w:tcPr>
          <w:p w14:paraId="009D9007" w14:textId="46F205F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37AB0993" w14:textId="21E47FB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4.19</w:t>
            </w:r>
          </w:p>
        </w:tc>
      </w:tr>
      <w:tr w:rsidR="005F15B5" w:rsidRPr="002103B2" w14:paraId="1243EE1E" w14:textId="77777777" w:rsidTr="00CC7C8A">
        <w:trPr>
          <w:trHeight w:val="132"/>
        </w:trPr>
        <w:tc>
          <w:tcPr>
            <w:tcW w:w="1248" w:type="pct"/>
            <w:shd w:val="clear" w:color="auto" w:fill="auto"/>
            <w:noWrap/>
            <w:vAlign w:val="bottom"/>
          </w:tcPr>
          <w:p w14:paraId="570B4AA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73C4E79" w14:textId="58328D2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0F9B5552" w14:textId="5D1BCCA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37553</w:t>
            </w:r>
          </w:p>
        </w:tc>
        <w:tc>
          <w:tcPr>
            <w:tcW w:w="749" w:type="pct"/>
            <w:shd w:val="clear" w:color="auto" w:fill="auto"/>
            <w:noWrap/>
            <w:vAlign w:val="bottom"/>
          </w:tcPr>
          <w:p w14:paraId="5524EAB4" w14:textId="75200AD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28</w:t>
            </w:r>
          </w:p>
        </w:tc>
        <w:tc>
          <w:tcPr>
            <w:tcW w:w="1188" w:type="pct"/>
            <w:shd w:val="clear" w:color="auto" w:fill="auto"/>
            <w:noWrap/>
            <w:vAlign w:val="bottom"/>
          </w:tcPr>
          <w:p w14:paraId="044CD2E9" w14:textId="41EA56B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6.35</w:t>
            </w:r>
          </w:p>
        </w:tc>
      </w:tr>
      <w:tr w:rsidR="00CC7C8A" w:rsidRPr="002103B2" w14:paraId="68B78638" w14:textId="77777777" w:rsidTr="00CC7C8A">
        <w:trPr>
          <w:trHeight w:val="132"/>
        </w:trPr>
        <w:tc>
          <w:tcPr>
            <w:tcW w:w="2372" w:type="pct"/>
            <w:gridSpan w:val="2"/>
            <w:shd w:val="clear" w:color="auto" w:fill="auto"/>
            <w:noWrap/>
            <w:vAlign w:val="bottom"/>
          </w:tcPr>
          <w:p w14:paraId="5312B496" w14:textId="4C2D3BE4" w:rsidR="00CC7C8A" w:rsidRPr="002103B2" w:rsidRDefault="00CC7C8A" w:rsidP="00B34D3C">
            <w:pPr>
              <w:spacing w:after="0" w:line="240" w:lineRule="auto"/>
              <w:rPr>
                <w:rFonts w:eastAsia="Times New Roman" w:cs="Times New Roman"/>
                <w:color w:val="0000FF"/>
                <w:sz w:val="20"/>
              </w:rPr>
            </w:pPr>
            <w:r>
              <w:rPr>
                <w:rFonts w:eastAsia="Times New Roman" w:cs="Times New Roman"/>
                <w:color w:val="0000FF"/>
                <w:sz w:val="20"/>
              </w:rPr>
              <w:t>1 Step (Curb)</w:t>
            </w:r>
          </w:p>
        </w:tc>
        <w:tc>
          <w:tcPr>
            <w:tcW w:w="691" w:type="pct"/>
            <w:shd w:val="clear" w:color="auto" w:fill="auto"/>
            <w:noWrap/>
            <w:vAlign w:val="bottom"/>
          </w:tcPr>
          <w:p w14:paraId="0FA6C778" w14:textId="77777777" w:rsidR="00CC7C8A" w:rsidRPr="002103B2" w:rsidRDefault="00CC7C8A" w:rsidP="00B34D3C">
            <w:pPr>
              <w:spacing w:after="0" w:line="240" w:lineRule="auto"/>
              <w:jc w:val="center"/>
              <w:rPr>
                <w:rFonts w:eastAsia="Times New Roman" w:cs="Times New Roman"/>
                <w:color w:val="0000FF"/>
                <w:sz w:val="20"/>
              </w:rPr>
            </w:pPr>
          </w:p>
        </w:tc>
        <w:tc>
          <w:tcPr>
            <w:tcW w:w="749" w:type="pct"/>
            <w:shd w:val="clear" w:color="auto" w:fill="auto"/>
            <w:noWrap/>
            <w:vAlign w:val="bottom"/>
          </w:tcPr>
          <w:p w14:paraId="0C3F0C6E" w14:textId="77777777" w:rsidR="00CC7C8A" w:rsidRPr="002103B2" w:rsidRDefault="00CC7C8A" w:rsidP="00B34D3C">
            <w:pPr>
              <w:spacing w:after="0" w:line="240" w:lineRule="auto"/>
              <w:jc w:val="center"/>
              <w:rPr>
                <w:rFonts w:eastAsia="Times New Roman" w:cs="Times New Roman"/>
                <w:color w:val="0000FF"/>
                <w:sz w:val="20"/>
              </w:rPr>
            </w:pPr>
          </w:p>
        </w:tc>
        <w:tc>
          <w:tcPr>
            <w:tcW w:w="1188" w:type="pct"/>
            <w:shd w:val="clear" w:color="auto" w:fill="auto"/>
            <w:noWrap/>
            <w:vAlign w:val="bottom"/>
          </w:tcPr>
          <w:p w14:paraId="69CC9686" w14:textId="77777777" w:rsidR="00CC7C8A" w:rsidRPr="002103B2" w:rsidRDefault="00CC7C8A" w:rsidP="00B34D3C">
            <w:pPr>
              <w:spacing w:after="0" w:line="240" w:lineRule="auto"/>
              <w:jc w:val="center"/>
              <w:rPr>
                <w:rFonts w:eastAsia="Times New Roman" w:cs="Times New Roman"/>
                <w:color w:val="0000FF"/>
                <w:sz w:val="20"/>
              </w:rPr>
            </w:pPr>
          </w:p>
        </w:tc>
      </w:tr>
      <w:tr w:rsidR="005F15B5" w:rsidRPr="002103B2" w14:paraId="33CF2637" w14:textId="77777777" w:rsidTr="00CC7C8A">
        <w:trPr>
          <w:trHeight w:val="132"/>
        </w:trPr>
        <w:tc>
          <w:tcPr>
            <w:tcW w:w="1248" w:type="pct"/>
            <w:shd w:val="clear" w:color="auto" w:fill="auto"/>
            <w:noWrap/>
            <w:vAlign w:val="bottom"/>
          </w:tcPr>
          <w:p w14:paraId="63A4EFA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989D2CC" w14:textId="265D5D3F"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4768B7BF" w14:textId="1218E9A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8458</w:t>
            </w:r>
          </w:p>
        </w:tc>
        <w:tc>
          <w:tcPr>
            <w:tcW w:w="749" w:type="pct"/>
            <w:shd w:val="clear" w:color="auto" w:fill="auto"/>
            <w:noWrap/>
            <w:vAlign w:val="bottom"/>
          </w:tcPr>
          <w:p w14:paraId="175DF9D9" w14:textId="06384F1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0B46BD0C" w14:textId="4DE5BC2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-2.83</w:t>
            </w:r>
          </w:p>
        </w:tc>
      </w:tr>
      <w:tr w:rsidR="005F15B5" w:rsidRPr="002103B2" w14:paraId="77939FCF" w14:textId="77777777" w:rsidTr="00CC7C8A">
        <w:trPr>
          <w:trHeight w:val="132"/>
        </w:trPr>
        <w:tc>
          <w:tcPr>
            <w:tcW w:w="1248" w:type="pct"/>
            <w:shd w:val="clear" w:color="auto" w:fill="auto"/>
            <w:noWrap/>
            <w:vAlign w:val="bottom"/>
          </w:tcPr>
          <w:p w14:paraId="2CF9CFF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06AB20BA" w14:textId="66CEF21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6E1340AE" w14:textId="5C4643C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5542</w:t>
            </w:r>
          </w:p>
        </w:tc>
        <w:tc>
          <w:tcPr>
            <w:tcW w:w="749" w:type="pct"/>
            <w:shd w:val="clear" w:color="auto" w:fill="auto"/>
            <w:noWrap/>
            <w:vAlign w:val="bottom"/>
          </w:tcPr>
          <w:p w14:paraId="73A54D7E" w14:textId="3F7173C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w:t>
            </w:r>
          </w:p>
        </w:tc>
        <w:tc>
          <w:tcPr>
            <w:tcW w:w="1188" w:type="pct"/>
            <w:shd w:val="clear" w:color="auto" w:fill="auto"/>
            <w:noWrap/>
            <w:vAlign w:val="bottom"/>
          </w:tcPr>
          <w:p w14:paraId="279AC566" w14:textId="1646C33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-1.67</w:t>
            </w:r>
          </w:p>
        </w:tc>
      </w:tr>
      <w:tr w:rsidR="005F15B5" w:rsidRPr="002103B2" w14:paraId="04377F29" w14:textId="77777777" w:rsidTr="00CC7C8A">
        <w:trPr>
          <w:trHeight w:val="132"/>
        </w:trPr>
        <w:tc>
          <w:tcPr>
            <w:tcW w:w="1248" w:type="pct"/>
            <w:shd w:val="clear" w:color="auto" w:fill="auto"/>
            <w:noWrap/>
            <w:vAlign w:val="bottom"/>
          </w:tcPr>
          <w:p w14:paraId="7566CC85"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03C10221" w14:textId="2C29F25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1E7B708D" w14:textId="2D749D2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42800</w:t>
            </w:r>
          </w:p>
        </w:tc>
        <w:tc>
          <w:tcPr>
            <w:tcW w:w="749" w:type="pct"/>
            <w:shd w:val="clear" w:color="auto" w:fill="auto"/>
            <w:noWrap/>
            <w:vAlign w:val="bottom"/>
          </w:tcPr>
          <w:p w14:paraId="00998C6C" w14:textId="11A5123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25</w:t>
            </w:r>
          </w:p>
        </w:tc>
        <w:tc>
          <w:tcPr>
            <w:tcW w:w="1188" w:type="pct"/>
            <w:shd w:val="clear" w:color="auto" w:fill="auto"/>
            <w:noWrap/>
            <w:vAlign w:val="bottom"/>
          </w:tcPr>
          <w:p w14:paraId="1DACAB62" w14:textId="3523931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w:t>
            </w:r>
            <w:r w:rsidR="00865807">
              <w:rPr>
                <w:rFonts w:eastAsia="Times New Roman" w:cs="Times New Roman"/>
                <w:color w:val="0000FF"/>
                <w:sz w:val="20"/>
              </w:rPr>
              <w:t>.00</w:t>
            </w:r>
          </w:p>
        </w:tc>
      </w:tr>
      <w:tr w:rsidR="005F15B5" w:rsidRPr="002103B2" w14:paraId="1AD4AC37" w14:textId="77777777" w:rsidTr="00CC7C8A">
        <w:trPr>
          <w:trHeight w:val="132"/>
        </w:trPr>
        <w:tc>
          <w:tcPr>
            <w:tcW w:w="1248" w:type="pct"/>
            <w:shd w:val="clear" w:color="auto" w:fill="auto"/>
            <w:noWrap/>
            <w:vAlign w:val="bottom"/>
          </w:tcPr>
          <w:p w14:paraId="6015FB7B"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65D8CFD" w14:textId="6041A30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0DF6AC44" w14:textId="78B9C64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75157</w:t>
            </w:r>
          </w:p>
        </w:tc>
        <w:tc>
          <w:tcPr>
            <w:tcW w:w="749" w:type="pct"/>
            <w:shd w:val="clear" w:color="auto" w:fill="auto"/>
            <w:noWrap/>
            <w:vAlign w:val="bottom"/>
          </w:tcPr>
          <w:p w14:paraId="4B3B64D3" w14:textId="77040DA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44</w:t>
            </w:r>
          </w:p>
        </w:tc>
        <w:tc>
          <w:tcPr>
            <w:tcW w:w="1188" w:type="pct"/>
            <w:shd w:val="clear" w:color="auto" w:fill="auto"/>
            <w:noWrap/>
            <w:vAlign w:val="bottom"/>
          </w:tcPr>
          <w:p w14:paraId="4097CE5D" w14:textId="64E2931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2.62</w:t>
            </w:r>
          </w:p>
        </w:tc>
      </w:tr>
      <w:tr w:rsidR="005F15B5" w:rsidRPr="002103B2" w14:paraId="319972EA" w14:textId="77777777" w:rsidTr="00CC7C8A">
        <w:trPr>
          <w:trHeight w:val="132"/>
        </w:trPr>
        <w:tc>
          <w:tcPr>
            <w:tcW w:w="1248" w:type="pct"/>
            <w:shd w:val="clear" w:color="auto" w:fill="auto"/>
            <w:noWrap/>
            <w:vAlign w:val="bottom"/>
          </w:tcPr>
          <w:p w14:paraId="6BDF791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7347F21" w14:textId="5117433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33FDFBDE" w14:textId="2E6276C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7009</w:t>
            </w:r>
          </w:p>
        </w:tc>
        <w:tc>
          <w:tcPr>
            <w:tcW w:w="749" w:type="pct"/>
            <w:shd w:val="clear" w:color="auto" w:fill="auto"/>
            <w:noWrap/>
            <w:vAlign w:val="bottom"/>
          </w:tcPr>
          <w:p w14:paraId="31B43643" w14:textId="76E5BC3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tcPr>
          <w:p w14:paraId="69926E2C" w14:textId="7ABDB71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4.37</w:t>
            </w:r>
          </w:p>
        </w:tc>
      </w:tr>
      <w:tr w:rsidR="005F15B5" w:rsidRPr="002103B2" w14:paraId="64C7B2B5" w14:textId="77777777" w:rsidTr="00CC7C8A">
        <w:trPr>
          <w:trHeight w:val="132"/>
        </w:trPr>
        <w:tc>
          <w:tcPr>
            <w:tcW w:w="1248" w:type="pct"/>
            <w:shd w:val="clear" w:color="auto" w:fill="auto"/>
            <w:noWrap/>
            <w:vAlign w:val="bottom"/>
          </w:tcPr>
          <w:p w14:paraId="66DA482F"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5F10105C" w14:textId="047982E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065078BC" w14:textId="3FE21B1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33572</w:t>
            </w:r>
          </w:p>
        </w:tc>
        <w:tc>
          <w:tcPr>
            <w:tcW w:w="749" w:type="pct"/>
            <w:shd w:val="clear" w:color="auto" w:fill="auto"/>
            <w:noWrap/>
            <w:vAlign w:val="bottom"/>
          </w:tcPr>
          <w:p w14:paraId="58347992" w14:textId="30B113F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w:t>
            </w:r>
          </w:p>
        </w:tc>
        <w:tc>
          <w:tcPr>
            <w:tcW w:w="1188" w:type="pct"/>
            <w:shd w:val="clear" w:color="auto" w:fill="auto"/>
            <w:noWrap/>
            <w:vAlign w:val="bottom"/>
          </w:tcPr>
          <w:p w14:paraId="7028B57F" w14:textId="0498D82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6.68</w:t>
            </w:r>
          </w:p>
        </w:tc>
      </w:tr>
      <w:tr w:rsidR="00CC7C8A" w:rsidRPr="002103B2" w14:paraId="7454EEF4" w14:textId="77777777" w:rsidTr="00CC7C8A">
        <w:trPr>
          <w:trHeight w:val="132"/>
        </w:trPr>
        <w:tc>
          <w:tcPr>
            <w:tcW w:w="3812" w:type="pct"/>
            <w:gridSpan w:val="4"/>
            <w:shd w:val="clear" w:color="auto" w:fill="auto"/>
            <w:noWrap/>
            <w:vAlign w:val="bottom"/>
            <w:hideMark/>
          </w:tcPr>
          <w:p w14:paraId="5C1FC768" w14:textId="3FE2E67C" w:rsidR="00CC7C8A" w:rsidRPr="002103B2" w:rsidRDefault="00CC7C8A" w:rsidP="006E3FBA">
            <w:pPr>
              <w:spacing w:after="0" w:line="240" w:lineRule="auto"/>
              <w:rPr>
                <w:rFonts w:eastAsia="Times New Roman" w:cs="Times New Roman"/>
                <w:color w:val="0000FF"/>
                <w:sz w:val="20"/>
              </w:rPr>
            </w:pPr>
            <w:r>
              <w:rPr>
                <w:rFonts w:eastAsia="Times New Roman" w:cs="Times New Roman"/>
                <w:color w:val="0000FF"/>
                <w:sz w:val="20"/>
              </w:rPr>
              <w:t>4 Steps</w:t>
            </w:r>
          </w:p>
        </w:tc>
        <w:tc>
          <w:tcPr>
            <w:tcW w:w="1188" w:type="pct"/>
            <w:shd w:val="clear" w:color="auto" w:fill="auto"/>
            <w:noWrap/>
            <w:vAlign w:val="bottom"/>
            <w:hideMark/>
          </w:tcPr>
          <w:p w14:paraId="4A31D213" w14:textId="77777777" w:rsidR="00CC7C8A" w:rsidRPr="002103B2" w:rsidRDefault="00CC7C8A" w:rsidP="005F15B5">
            <w:pPr>
              <w:spacing w:after="0" w:line="240" w:lineRule="auto"/>
              <w:jc w:val="center"/>
              <w:rPr>
                <w:rFonts w:eastAsia="Times New Roman" w:cs="Times New Roman"/>
                <w:color w:val="0000FF"/>
                <w:sz w:val="20"/>
              </w:rPr>
            </w:pPr>
          </w:p>
        </w:tc>
      </w:tr>
      <w:tr w:rsidR="005F15B5" w:rsidRPr="002103B2" w14:paraId="541A6336" w14:textId="77777777" w:rsidTr="00CC7C8A">
        <w:trPr>
          <w:trHeight w:val="132"/>
        </w:trPr>
        <w:tc>
          <w:tcPr>
            <w:tcW w:w="1248" w:type="pct"/>
            <w:shd w:val="clear" w:color="auto" w:fill="auto"/>
            <w:noWrap/>
            <w:vAlign w:val="bottom"/>
            <w:hideMark/>
          </w:tcPr>
          <w:p w14:paraId="795FEE7D"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4D2852" w14:textId="449E7735"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5B10B5D1" w14:textId="0DECA3C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7039</w:t>
            </w:r>
          </w:p>
        </w:tc>
        <w:tc>
          <w:tcPr>
            <w:tcW w:w="749" w:type="pct"/>
            <w:shd w:val="clear" w:color="auto" w:fill="auto"/>
            <w:noWrap/>
            <w:vAlign w:val="bottom"/>
            <w:hideMark/>
          </w:tcPr>
          <w:p w14:paraId="2B1BFFA6" w14:textId="119BE5B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6C2B4C48" w14:textId="582F560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-2.61</w:t>
            </w:r>
          </w:p>
        </w:tc>
      </w:tr>
      <w:tr w:rsidR="005F15B5" w:rsidRPr="002103B2" w14:paraId="58A2EDB0" w14:textId="77777777" w:rsidTr="00CC7C8A">
        <w:trPr>
          <w:trHeight w:val="132"/>
        </w:trPr>
        <w:tc>
          <w:tcPr>
            <w:tcW w:w="1248" w:type="pct"/>
            <w:shd w:val="clear" w:color="auto" w:fill="auto"/>
            <w:noWrap/>
            <w:vAlign w:val="bottom"/>
            <w:hideMark/>
          </w:tcPr>
          <w:p w14:paraId="135CEE9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6F3A5792" w14:textId="0E50101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2C3E5CC6" w14:textId="773758B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3443</w:t>
            </w:r>
          </w:p>
        </w:tc>
        <w:tc>
          <w:tcPr>
            <w:tcW w:w="749" w:type="pct"/>
            <w:shd w:val="clear" w:color="auto" w:fill="auto"/>
            <w:noWrap/>
            <w:vAlign w:val="bottom"/>
            <w:hideMark/>
          </w:tcPr>
          <w:p w14:paraId="6F79DE96" w14:textId="36D4D3F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w:t>
            </w:r>
          </w:p>
        </w:tc>
        <w:tc>
          <w:tcPr>
            <w:tcW w:w="1188" w:type="pct"/>
            <w:shd w:val="clear" w:color="auto" w:fill="auto"/>
            <w:noWrap/>
            <w:vAlign w:val="bottom"/>
            <w:hideMark/>
          </w:tcPr>
          <w:p w14:paraId="315D0559" w14:textId="040FF49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-1.35</w:t>
            </w:r>
          </w:p>
        </w:tc>
      </w:tr>
      <w:tr w:rsidR="005F15B5" w:rsidRPr="002103B2" w14:paraId="763985E1" w14:textId="77777777" w:rsidTr="00CC7C8A">
        <w:trPr>
          <w:trHeight w:val="132"/>
        </w:trPr>
        <w:tc>
          <w:tcPr>
            <w:tcW w:w="1248" w:type="pct"/>
            <w:shd w:val="clear" w:color="auto" w:fill="auto"/>
            <w:noWrap/>
            <w:vAlign w:val="bottom"/>
            <w:hideMark/>
          </w:tcPr>
          <w:p w14:paraId="7D856847"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1FE68DA" w14:textId="71A84586"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18092CD1" w14:textId="3D86D33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35447</w:t>
            </w:r>
          </w:p>
        </w:tc>
        <w:tc>
          <w:tcPr>
            <w:tcW w:w="749" w:type="pct"/>
            <w:shd w:val="clear" w:color="auto" w:fill="auto"/>
            <w:noWrap/>
            <w:vAlign w:val="bottom"/>
            <w:hideMark/>
          </w:tcPr>
          <w:p w14:paraId="33091B8E" w14:textId="4F5CBDA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22</w:t>
            </w:r>
          </w:p>
        </w:tc>
        <w:tc>
          <w:tcPr>
            <w:tcW w:w="1188" w:type="pct"/>
            <w:shd w:val="clear" w:color="auto" w:fill="auto"/>
            <w:noWrap/>
            <w:vAlign w:val="bottom"/>
            <w:hideMark/>
          </w:tcPr>
          <w:p w14:paraId="7F72E7F4" w14:textId="3F7C197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-0.08</w:t>
            </w:r>
          </w:p>
        </w:tc>
      </w:tr>
      <w:tr w:rsidR="005F15B5" w:rsidRPr="002103B2" w14:paraId="1F2B4F50" w14:textId="77777777" w:rsidTr="00CC7C8A">
        <w:trPr>
          <w:trHeight w:val="132"/>
        </w:trPr>
        <w:tc>
          <w:tcPr>
            <w:tcW w:w="1248" w:type="pct"/>
            <w:shd w:val="clear" w:color="auto" w:fill="auto"/>
            <w:noWrap/>
            <w:vAlign w:val="bottom"/>
            <w:hideMark/>
          </w:tcPr>
          <w:p w14:paraId="17D20DE3"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6B8EC2" w14:textId="5F802B8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6950ABC0" w14:textId="5092D52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74460</w:t>
            </w:r>
          </w:p>
        </w:tc>
        <w:tc>
          <w:tcPr>
            <w:tcW w:w="749" w:type="pct"/>
            <w:shd w:val="clear" w:color="auto" w:fill="auto"/>
            <w:noWrap/>
            <w:vAlign w:val="bottom"/>
            <w:hideMark/>
          </w:tcPr>
          <w:p w14:paraId="56D9C794" w14:textId="5BB759A7"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46</w:t>
            </w:r>
          </w:p>
        </w:tc>
        <w:tc>
          <w:tcPr>
            <w:tcW w:w="1188" w:type="pct"/>
            <w:shd w:val="clear" w:color="auto" w:fill="auto"/>
            <w:noWrap/>
            <w:vAlign w:val="bottom"/>
            <w:hideMark/>
          </w:tcPr>
          <w:p w14:paraId="7BCA6901" w14:textId="5FB537E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2.53</w:t>
            </w:r>
          </w:p>
        </w:tc>
      </w:tr>
      <w:tr w:rsidR="005F15B5" w:rsidRPr="002103B2" w14:paraId="0541C3C8" w14:textId="77777777" w:rsidTr="00CC7C8A">
        <w:trPr>
          <w:trHeight w:val="132"/>
        </w:trPr>
        <w:tc>
          <w:tcPr>
            <w:tcW w:w="1248" w:type="pct"/>
            <w:shd w:val="clear" w:color="auto" w:fill="auto"/>
            <w:noWrap/>
            <w:vAlign w:val="bottom"/>
            <w:hideMark/>
          </w:tcPr>
          <w:p w14:paraId="5B8E84F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058F7D21" w14:textId="5311B73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6CC01175" w14:textId="0EA2199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6969</w:t>
            </w:r>
          </w:p>
        </w:tc>
        <w:tc>
          <w:tcPr>
            <w:tcW w:w="749" w:type="pct"/>
            <w:shd w:val="clear" w:color="auto" w:fill="auto"/>
            <w:noWrap/>
            <w:vAlign w:val="bottom"/>
            <w:hideMark/>
          </w:tcPr>
          <w:p w14:paraId="1F6AB7BB" w14:textId="28C8647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w:t>
            </w:r>
          </w:p>
        </w:tc>
        <w:tc>
          <w:tcPr>
            <w:tcW w:w="1188" w:type="pct"/>
            <w:shd w:val="clear" w:color="auto" w:fill="auto"/>
            <w:noWrap/>
            <w:vAlign w:val="bottom"/>
            <w:hideMark/>
          </w:tcPr>
          <w:p w14:paraId="5C174F15" w14:textId="0223840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4.34</w:t>
            </w:r>
          </w:p>
        </w:tc>
      </w:tr>
      <w:tr w:rsidR="005F15B5" w:rsidRPr="002103B2" w14:paraId="6699A367" w14:textId="77777777" w:rsidTr="00CC7C8A">
        <w:trPr>
          <w:trHeight w:val="132"/>
        </w:trPr>
        <w:tc>
          <w:tcPr>
            <w:tcW w:w="1248" w:type="pct"/>
            <w:shd w:val="clear" w:color="auto" w:fill="auto"/>
            <w:noWrap/>
            <w:vAlign w:val="bottom"/>
            <w:hideMark/>
          </w:tcPr>
          <w:p w14:paraId="4700796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83DD1D5" w14:textId="69AEEADC"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hideMark/>
          </w:tcPr>
          <w:p w14:paraId="76A7D6C8" w14:textId="35A46DF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34835</w:t>
            </w:r>
          </w:p>
        </w:tc>
        <w:tc>
          <w:tcPr>
            <w:tcW w:w="749" w:type="pct"/>
            <w:shd w:val="clear" w:color="auto" w:fill="auto"/>
            <w:noWrap/>
            <w:vAlign w:val="bottom"/>
            <w:hideMark/>
          </w:tcPr>
          <w:p w14:paraId="1FE7A0FB" w14:textId="46CF0D5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21</w:t>
            </w:r>
          </w:p>
        </w:tc>
        <w:tc>
          <w:tcPr>
            <w:tcW w:w="1188" w:type="pct"/>
            <w:shd w:val="clear" w:color="auto" w:fill="auto"/>
            <w:noWrap/>
            <w:vAlign w:val="bottom"/>
            <w:hideMark/>
          </w:tcPr>
          <w:p w14:paraId="14178D6F" w14:textId="232E5AE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6.63</w:t>
            </w:r>
          </w:p>
        </w:tc>
      </w:tr>
      <w:tr w:rsidR="00CC7C8A" w:rsidRPr="002103B2" w14:paraId="6094B8E4" w14:textId="77777777" w:rsidTr="00B34D3C">
        <w:trPr>
          <w:trHeight w:val="132"/>
        </w:trPr>
        <w:tc>
          <w:tcPr>
            <w:tcW w:w="2372" w:type="pct"/>
            <w:gridSpan w:val="2"/>
            <w:shd w:val="clear" w:color="auto" w:fill="auto"/>
            <w:noWrap/>
            <w:vAlign w:val="bottom"/>
          </w:tcPr>
          <w:p w14:paraId="43B1BAD7" w14:textId="485AA5CB" w:rsidR="00CC7C8A" w:rsidRPr="002103B2" w:rsidRDefault="00CC7C8A" w:rsidP="00B34D3C">
            <w:pPr>
              <w:spacing w:after="0" w:line="240" w:lineRule="auto"/>
              <w:rPr>
                <w:rFonts w:eastAsia="Times New Roman" w:cs="Times New Roman"/>
                <w:color w:val="0000FF"/>
                <w:sz w:val="20"/>
              </w:rPr>
            </w:pPr>
            <w:r>
              <w:rPr>
                <w:rFonts w:eastAsia="Times New Roman" w:cs="Times New Roman"/>
                <w:color w:val="0000FF"/>
                <w:sz w:val="20"/>
              </w:rPr>
              <w:t>12 Steps</w:t>
            </w:r>
          </w:p>
        </w:tc>
        <w:tc>
          <w:tcPr>
            <w:tcW w:w="691" w:type="pct"/>
            <w:shd w:val="clear" w:color="auto" w:fill="auto"/>
            <w:noWrap/>
            <w:vAlign w:val="bottom"/>
          </w:tcPr>
          <w:p w14:paraId="1459B34F" w14:textId="77777777" w:rsidR="00CC7C8A" w:rsidRPr="002103B2" w:rsidRDefault="00CC7C8A" w:rsidP="00B34D3C">
            <w:pPr>
              <w:spacing w:after="0" w:line="240" w:lineRule="auto"/>
              <w:jc w:val="center"/>
              <w:rPr>
                <w:rFonts w:eastAsia="Times New Roman" w:cs="Times New Roman"/>
                <w:color w:val="0000FF"/>
                <w:sz w:val="20"/>
              </w:rPr>
            </w:pPr>
          </w:p>
        </w:tc>
        <w:tc>
          <w:tcPr>
            <w:tcW w:w="749" w:type="pct"/>
            <w:shd w:val="clear" w:color="auto" w:fill="auto"/>
            <w:noWrap/>
            <w:vAlign w:val="bottom"/>
          </w:tcPr>
          <w:p w14:paraId="50409213" w14:textId="77777777" w:rsidR="00CC7C8A" w:rsidRPr="002103B2" w:rsidRDefault="00CC7C8A" w:rsidP="00B34D3C">
            <w:pPr>
              <w:spacing w:after="0" w:line="240" w:lineRule="auto"/>
              <w:jc w:val="center"/>
              <w:rPr>
                <w:rFonts w:eastAsia="Times New Roman" w:cs="Times New Roman"/>
                <w:color w:val="0000FF"/>
                <w:sz w:val="20"/>
              </w:rPr>
            </w:pPr>
          </w:p>
        </w:tc>
        <w:tc>
          <w:tcPr>
            <w:tcW w:w="1188" w:type="pct"/>
            <w:shd w:val="clear" w:color="auto" w:fill="auto"/>
            <w:noWrap/>
            <w:vAlign w:val="bottom"/>
          </w:tcPr>
          <w:p w14:paraId="5830BB77" w14:textId="77777777" w:rsidR="00CC7C8A" w:rsidRPr="002103B2" w:rsidRDefault="00CC7C8A" w:rsidP="00B34D3C">
            <w:pPr>
              <w:spacing w:after="0" w:line="240" w:lineRule="auto"/>
              <w:jc w:val="center"/>
              <w:rPr>
                <w:rFonts w:eastAsia="Times New Roman" w:cs="Times New Roman"/>
                <w:color w:val="0000FF"/>
                <w:sz w:val="20"/>
              </w:rPr>
            </w:pPr>
          </w:p>
        </w:tc>
      </w:tr>
      <w:tr w:rsidR="005F15B5" w:rsidRPr="002103B2" w14:paraId="7123CF4C" w14:textId="77777777" w:rsidTr="00CC7C8A">
        <w:trPr>
          <w:trHeight w:val="132"/>
        </w:trPr>
        <w:tc>
          <w:tcPr>
            <w:tcW w:w="1248" w:type="pct"/>
            <w:shd w:val="clear" w:color="auto" w:fill="auto"/>
            <w:noWrap/>
            <w:vAlign w:val="bottom"/>
          </w:tcPr>
          <w:p w14:paraId="4485FBEA"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631E07DD" w14:textId="7674DC00"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tcPr>
          <w:p w14:paraId="12208A8C" w14:textId="09A1ADD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7609</w:t>
            </w:r>
          </w:p>
        </w:tc>
        <w:tc>
          <w:tcPr>
            <w:tcW w:w="749" w:type="pct"/>
            <w:shd w:val="clear" w:color="auto" w:fill="auto"/>
            <w:noWrap/>
            <w:vAlign w:val="bottom"/>
          </w:tcPr>
          <w:p w14:paraId="056FC77F" w14:textId="4293C52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w:t>
            </w:r>
          </w:p>
        </w:tc>
        <w:tc>
          <w:tcPr>
            <w:tcW w:w="1188" w:type="pct"/>
            <w:shd w:val="clear" w:color="auto" w:fill="auto"/>
            <w:noWrap/>
            <w:vAlign w:val="bottom"/>
          </w:tcPr>
          <w:p w14:paraId="2C45142D" w14:textId="16B3B09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-1.46</w:t>
            </w:r>
          </w:p>
        </w:tc>
      </w:tr>
      <w:tr w:rsidR="005F15B5" w:rsidRPr="002103B2" w14:paraId="5B7B1D1A" w14:textId="77777777" w:rsidTr="00CC7C8A">
        <w:trPr>
          <w:trHeight w:val="132"/>
        </w:trPr>
        <w:tc>
          <w:tcPr>
            <w:tcW w:w="1248" w:type="pct"/>
            <w:shd w:val="clear" w:color="auto" w:fill="auto"/>
            <w:noWrap/>
            <w:vAlign w:val="bottom"/>
          </w:tcPr>
          <w:p w14:paraId="05D4855B"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50CB984" w14:textId="7C28E348"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tcPr>
          <w:p w14:paraId="1435E568" w14:textId="11BFC68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1299</w:t>
            </w:r>
          </w:p>
        </w:tc>
        <w:tc>
          <w:tcPr>
            <w:tcW w:w="749" w:type="pct"/>
            <w:shd w:val="clear" w:color="auto" w:fill="auto"/>
            <w:noWrap/>
            <w:vAlign w:val="bottom"/>
          </w:tcPr>
          <w:p w14:paraId="72AE8232" w14:textId="05C18016"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w:t>
            </w:r>
          </w:p>
        </w:tc>
        <w:tc>
          <w:tcPr>
            <w:tcW w:w="1188" w:type="pct"/>
            <w:shd w:val="clear" w:color="auto" w:fill="auto"/>
            <w:noWrap/>
            <w:vAlign w:val="bottom"/>
          </w:tcPr>
          <w:p w14:paraId="2BC5B9F1" w14:textId="3121A5A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-0.38</w:t>
            </w:r>
          </w:p>
        </w:tc>
      </w:tr>
      <w:tr w:rsidR="005F15B5" w:rsidRPr="002103B2" w14:paraId="5A595E5F" w14:textId="77777777" w:rsidTr="00CC7C8A">
        <w:trPr>
          <w:trHeight w:val="132"/>
        </w:trPr>
        <w:tc>
          <w:tcPr>
            <w:tcW w:w="1248" w:type="pct"/>
            <w:shd w:val="clear" w:color="auto" w:fill="auto"/>
            <w:noWrap/>
            <w:vAlign w:val="bottom"/>
          </w:tcPr>
          <w:p w14:paraId="1D186463"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4BCFD9B2" w14:textId="47A447F4"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tcPr>
          <w:p w14:paraId="7FDF502F" w14:textId="28E6299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9234</w:t>
            </w:r>
          </w:p>
        </w:tc>
        <w:tc>
          <w:tcPr>
            <w:tcW w:w="749" w:type="pct"/>
            <w:shd w:val="clear" w:color="auto" w:fill="auto"/>
            <w:noWrap/>
            <w:vAlign w:val="bottom"/>
          </w:tcPr>
          <w:p w14:paraId="35142910" w14:textId="3F04452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9</w:t>
            </w:r>
          </w:p>
        </w:tc>
        <w:tc>
          <w:tcPr>
            <w:tcW w:w="1188" w:type="pct"/>
            <w:shd w:val="clear" w:color="auto" w:fill="auto"/>
            <w:noWrap/>
            <w:vAlign w:val="bottom"/>
          </w:tcPr>
          <w:p w14:paraId="61782CBE" w14:textId="6A65AE5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0.6</w:t>
            </w:r>
          </w:p>
        </w:tc>
      </w:tr>
      <w:tr w:rsidR="005F15B5" w:rsidRPr="002103B2" w14:paraId="2937ABCD" w14:textId="77777777" w:rsidTr="00CC7C8A">
        <w:trPr>
          <w:trHeight w:val="132"/>
        </w:trPr>
        <w:tc>
          <w:tcPr>
            <w:tcW w:w="1248" w:type="pct"/>
            <w:shd w:val="clear" w:color="auto" w:fill="auto"/>
            <w:noWrap/>
            <w:vAlign w:val="bottom"/>
          </w:tcPr>
          <w:p w14:paraId="31864B30"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07FF40C4" w14:textId="04692CCB"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tcPr>
          <w:p w14:paraId="666447E3" w14:textId="46D6D71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44069</w:t>
            </w:r>
          </w:p>
        </w:tc>
        <w:tc>
          <w:tcPr>
            <w:tcW w:w="749" w:type="pct"/>
            <w:shd w:val="clear" w:color="auto" w:fill="auto"/>
            <w:noWrap/>
            <w:vAlign w:val="bottom"/>
          </w:tcPr>
          <w:p w14:paraId="3026C182" w14:textId="5CBA8D8E"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45</w:t>
            </w:r>
          </w:p>
        </w:tc>
        <w:tc>
          <w:tcPr>
            <w:tcW w:w="1188" w:type="pct"/>
            <w:shd w:val="clear" w:color="auto" w:fill="auto"/>
            <w:noWrap/>
            <w:vAlign w:val="bottom"/>
          </w:tcPr>
          <w:p w14:paraId="59DA5D3C" w14:textId="45DAB829"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2.93</w:t>
            </w:r>
          </w:p>
        </w:tc>
      </w:tr>
      <w:tr w:rsidR="005F15B5" w:rsidRPr="002103B2" w14:paraId="4ECF6911" w14:textId="77777777" w:rsidTr="00CC7C8A">
        <w:trPr>
          <w:trHeight w:val="132"/>
        </w:trPr>
        <w:tc>
          <w:tcPr>
            <w:tcW w:w="1248" w:type="pct"/>
            <w:shd w:val="clear" w:color="auto" w:fill="auto"/>
            <w:noWrap/>
            <w:vAlign w:val="bottom"/>
          </w:tcPr>
          <w:p w14:paraId="57C6AB9E"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7BB2A58F" w14:textId="51E8105B"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tcPr>
          <w:p w14:paraId="0F866500" w14:textId="602A1B6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5378</w:t>
            </w:r>
          </w:p>
        </w:tc>
        <w:tc>
          <w:tcPr>
            <w:tcW w:w="749" w:type="pct"/>
            <w:shd w:val="clear" w:color="auto" w:fill="auto"/>
            <w:noWrap/>
            <w:vAlign w:val="bottom"/>
          </w:tcPr>
          <w:p w14:paraId="31DD62D4" w14:textId="4040001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tcPr>
          <w:p w14:paraId="152530D7" w14:textId="2BEA4DE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4.47</w:t>
            </w:r>
          </w:p>
        </w:tc>
      </w:tr>
      <w:tr w:rsidR="005F15B5" w:rsidRPr="002103B2" w14:paraId="337C259A" w14:textId="77777777" w:rsidTr="00CC7C8A">
        <w:trPr>
          <w:trHeight w:val="132"/>
        </w:trPr>
        <w:tc>
          <w:tcPr>
            <w:tcW w:w="1248" w:type="pct"/>
            <w:shd w:val="clear" w:color="auto" w:fill="auto"/>
            <w:noWrap/>
            <w:vAlign w:val="bottom"/>
          </w:tcPr>
          <w:p w14:paraId="05FE9D87"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vAlign w:val="bottom"/>
          </w:tcPr>
          <w:p w14:paraId="13EDEA2F" w14:textId="4EC85E2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shd w:val="clear" w:color="auto" w:fill="auto"/>
            <w:noWrap/>
            <w:vAlign w:val="bottom"/>
          </w:tcPr>
          <w:p w14:paraId="293DD203" w14:textId="4F238D4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30202</w:t>
            </w:r>
          </w:p>
        </w:tc>
        <w:tc>
          <w:tcPr>
            <w:tcW w:w="749" w:type="pct"/>
            <w:shd w:val="clear" w:color="auto" w:fill="auto"/>
            <w:noWrap/>
            <w:vAlign w:val="bottom"/>
          </w:tcPr>
          <w:p w14:paraId="43AE74C3" w14:textId="6E92701F"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31</w:t>
            </w:r>
          </w:p>
        </w:tc>
        <w:tc>
          <w:tcPr>
            <w:tcW w:w="1188" w:type="pct"/>
            <w:shd w:val="clear" w:color="auto" w:fill="auto"/>
            <w:noWrap/>
            <w:vAlign w:val="bottom"/>
          </w:tcPr>
          <w:p w14:paraId="16C2351C" w14:textId="08BBB581"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6.74</w:t>
            </w:r>
          </w:p>
        </w:tc>
      </w:tr>
      <w:tr w:rsidR="00CC7C8A" w:rsidRPr="002103B2" w14:paraId="4A714A01" w14:textId="77777777" w:rsidTr="00B34D3C">
        <w:trPr>
          <w:trHeight w:val="132"/>
        </w:trPr>
        <w:tc>
          <w:tcPr>
            <w:tcW w:w="3812" w:type="pct"/>
            <w:gridSpan w:val="4"/>
            <w:shd w:val="clear" w:color="auto" w:fill="auto"/>
            <w:noWrap/>
            <w:vAlign w:val="bottom"/>
            <w:hideMark/>
          </w:tcPr>
          <w:p w14:paraId="3CBB41CA" w14:textId="114C5189" w:rsidR="00CC7C8A" w:rsidRPr="002103B2" w:rsidRDefault="00CC7C8A" w:rsidP="006E3FBA">
            <w:pPr>
              <w:spacing w:after="0" w:line="240" w:lineRule="auto"/>
              <w:rPr>
                <w:rFonts w:eastAsia="Times New Roman" w:cs="Times New Roman"/>
                <w:color w:val="0000FF"/>
                <w:sz w:val="20"/>
              </w:rPr>
            </w:pPr>
            <w:r>
              <w:rPr>
                <w:rFonts w:eastAsia="Times New Roman" w:cs="Times New Roman"/>
                <w:color w:val="0000FF"/>
                <w:sz w:val="20"/>
              </w:rPr>
              <w:t>Pick Up Object</w:t>
            </w:r>
          </w:p>
        </w:tc>
        <w:tc>
          <w:tcPr>
            <w:tcW w:w="1188" w:type="pct"/>
            <w:shd w:val="clear" w:color="auto" w:fill="auto"/>
            <w:noWrap/>
            <w:vAlign w:val="bottom"/>
            <w:hideMark/>
          </w:tcPr>
          <w:p w14:paraId="76D7A8BD" w14:textId="77777777" w:rsidR="00CC7C8A" w:rsidRPr="002103B2" w:rsidRDefault="00CC7C8A" w:rsidP="005F15B5">
            <w:pPr>
              <w:spacing w:after="0" w:line="240" w:lineRule="auto"/>
              <w:jc w:val="center"/>
              <w:rPr>
                <w:rFonts w:eastAsia="Times New Roman" w:cs="Times New Roman"/>
                <w:color w:val="0000FF"/>
                <w:sz w:val="20"/>
              </w:rPr>
            </w:pPr>
          </w:p>
        </w:tc>
      </w:tr>
      <w:tr w:rsidR="005F15B5" w:rsidRPr="002103B2" w14:paraId="45B1BB4B" w14:textId="77777777" w:rsidTr="00CC7C8A">
        <w:trPr>
          <w:trHeight w:val="132"/>
        </w:trPr>
        <w:tc>
          <w:tcPr>
            <w:tcW w:w="1248" w:type="pct"/>
            <w:shd w:val="clear" w:color="auto" w:fill="auto"/>
            <w:noWrap/>
            <w:vAlign w:val="bottom"/>
            <w:hideMark/>
          </w:tcPr>
          <w:p w14:paraId="7730DF34"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28EFBBBD" w14:textId="77D0077A"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1</w:t>
            </w:r>
          </w:p>
        </w:tc>
        <w:tc>
          <w:tcPr>
            <w:tcW w:w="691" w:type="pct"/>
            <w:shd w:val="clear" w:color="auto" w:fill="auto"/>
            <w:noWrap/>
            <w:vAlign w:val="bottom"/>
            <w:hideMark/>
          </w:tcPr>
          <w:p w14:paraId="1002003B" w14:textId="7A0DBC0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10785</w:t>
            </w:r>
          </w:p>
        </w:tc>
        <w:tc>
          <w:tcPr>
            <w:tcW w:w="749" w:type="pct"/>
            <w:shd w:val="clear" w:color="auto" w:fill="auto"/>
            <w:noWrap/>
            <w:vAlign w:val="bottom"/>
            <w:hideMark/>
          </w:tcPr>
          <w:p w14:paraId="37CF7E3F" w14:textId="57660E7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8</w:t>
            </w:r>
          </w:p>
        </w:tc>
        <w:tc>
          <w:tcPr>
            <w:tcW w:w="1188" w:type="pct"/>
            <w:shd w:val="clear" w:color="auto" w:fill="auto"/>
            <w:noWrap/>
            <w:vAlign w:val="bottom"/>
            <w:hideMark/>
          </w:tcPr>
          <w:p w14:paraId="2E2B142D" w14:textId="50435C2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-1.97</w:t>
            </w:r>
          </w:p>
        </w:tc>
      </w:tr>
      <w:tr w:rsidR="005F15B5" w:rsidRPr="002103B2" w14:paraId="7FB96F03" w14:textId="77777777" w:rsidTr="00CC7C8A">
        <w:trPr>
          <w:trHeight w:val="132"/>
        </w:trPr>
        <w:tc>
          <w:tcPr>
            <w:tcW w:w="1248" w:type="pct"/>
            <w:shd w:val="clear" w:color="auto" w:fill="auto"/>
            <w:noWrap/>
            <w:vAlign w:val="bottom"/>
            <w:hideMark/>
          </w:tcPr>
          <w:p w14:paraId="4E6B07E2"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B1A488F" w14:textId="02BBDE51"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2</w:t>
            </w:r>
          </w:p>
        </w:tc>
        <w:tc>
          <w:tcPr>
            <w:tcW w:w="691" w:type="pct"/>
            <w:shd w:val="clear" w:color="auto" w:fill="auto"/>
            <w:noWrap/>
            <w:vAlign w:val="bottom"/>
            <w:hideMark/>
          </w:tcPr>
          <w:p w14:paraId="3A5E7F86" w14:textId="12BE2FD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7306</w:t>
            </w:r>
          </w:p>
        </w:tc>
        <w:tc>
          <w:tcPr>
            <w:tcW w:w="749" w:type="pct"/>
            <w:shd w:val="clear" w:color="auto" w:fill="auto"/>
            <w:noWrap/>
            <w:vAlign w:val="bottom"/>
            <w:hideMark/>
          </w:tcPr>
          <w:p w14:paraId="564F0EF8" w14:textId="42293475"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31FE3163" w14:textId="22CEFFBC"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-1.53</w:t>
            </w:r>
          </w:p>
        </w:tc>
      </w:tr>
      <w:tr w:rsidR="005F15B5" w:rsidRPr="002103B2" w14:paraId="4C41FE9D" w14:textId="77777777" w:rsidTr="00CC7C8A">
        <w:trPr>
          <w:trHeight w:val="132"/>
        </w:trPr>
        <w:tc>
          <w:tcPr>
            <w:tcW w:w="1248" w:type="pct"/>
            <w:shd w:val="clear" w:color="auto" w:fill="auto"/>
            <w:noWrap/>
            <w:vAlign w:val="bottom"/>
            <w:hideMark/>
          </w:tcPr>
          <w:p w14:paraId="07E4D44F"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0B184E2" w14:textId="7C4C7ACD"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3</w:t>
            </w:r>
          </w:p>
        </w:tc>
        <w:tc>
          <w:tcPr>
            <w:tcW w:w="691" w:type="pct"/>
            <w:shd w:val="clear" w:color="auto" w:fill="auto"/>
            <w:noWrap/>
            <w:vAlign w:val="bottom"/>
            <w:hideMark/>
          </w:tcPr>
          <w:p w14:paraId="6543B60E" w14:textId="765BE44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20005</w:t>
            </w:r>
          </w:p>
        </w:tc>
        <w:tc>
          <w:tcPr>
            <w:tcW w:w="749" w:type="pct"/>
            <w:shd w:val="clear" w:color="auto" w:fill="auto"/>
            <w:noWrap/>
            <w:vAlign w:val="bottom"/>
            <w:hideMark/>
          </w:tcPr>
          <w:p w14:paraId="71AC1CE9" w14:textId="35F0B9EA"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15</w:t>
            </w:r>
          </w:p>
        </w:tc>
        <w:tc>
          <w:tcPr>
            <w:tcW w:w="1188" w:type="pct"/>
            <w:shd w:val="clear" w:color="auto" w:fill="auto"/>
            <w:noWrap/>
            <w:vAlign w:val="bottom"/>
            <w:hideMark/>
          </w:tcPr>
          <w:p w14:paraId="72DE1113" w14:textId="2DABEA4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0.08</w:t>
            </w:r>
          </w:p>
        </w:tc>
      </w:tr>
      <w:tr w:rsidR="005F15B5" w:rsidRPr="002103B2" w14:paraId="15D42E3D" w14:textId="77777777" w:rsidTr="00CC7C8A">
        <w:trPr>
          <w:trHeight w:val="132"/>
        </w:trPr>
        <w:tc>
          <w:tcPr>
            <w:tcW w:w="1248" w:type="pct"/>
            <w:shd w:val="clear" w:color="auto" w:fill="auto"/>
            <w:noWrap/>
            <w:vAlign w:val="bottom"/>
            <w:hideMark/>
          </w:tcPr>
          <w:p w14:paraId="1AD1987E"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75D3C9E0" w14:textId="1D0FFF37"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4</w:t>
            </w:r>
          </w:p>
        </w:tc>
        <w:tc>
          <w:tcPr>
            <w:tcW w:w="691" w:type="pct"/>
            <w:shd w:val="clear" w:color="auto" w:fill="auto"/>
            <w:noWrap/>
            <w:vAlign w:val="bottom"/>
            <w:hideMark/>
          </w:tcPr>
          <w:p w14:paraId="58F487BE" w14:textId="3308264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48500</w:t>
            </w:r>
          </w:p>
        </w:tc>
        <w:tc>
          <w:tcPr>
            <w:tcW w:w="749" w:type="pct"/>
            <w:shd w:val="clear" w:color="auto" w:fill="auto"/>
            <w:noWrap/>
            <w:vAlign w:val="bottom"/>
            <w:hideMark/>
          </w:tcPr>
          <w:p w14:paraId="3808571F" w14:textId="4E33956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36</w:t>
            </w:r>
          </w:p>
        </w:tc>
        <w:tc>
          <w:tcPr>
            <w:tcW w:w="1188" w:type="pct"/>
            <w:shd w:val="clear" w:color="auto" w:fill="auto"/>
            <w:noWrap/>
            <w:vAlign w:val="bottom"/>
            <w:hideMark/>
          </w:tcPr>
          <w:p w14:paraId="33030499" w14:textId="23A45C1B"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2.35</w:t>
            </w:r>
          </w:p>
        </w:tc>
      </w:tr>
      <w:tr w:rsidR="005F15B5" w:rsidRPr="002103B2" w14:paraId="0EAC7A9D" w14:textId="77777777" w:rsidTr="005F15B5">
        <w:trPr>
          <w:trHeight w:val="132"/>
        </w:trPr>
        <w:tc>
          <w:tcPr>
            <w:tcW w:w="1248" w:type="pct"/>
            <w:shd w:val="clear" w:color="auto" w:fill="auto"/>
            <w:noWrap/>
            <w:vAlign w:val="bottom"/>
            <w:hideMark/>
          </w:tcPr>
          <w:p w14:paraId="07FE86AC"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shd w:val="clear" w:color="auto" w:fill="auto"/>
            <w:noWrap/>
            <w:vAlign w:val="bottom"/>
            <w:hideMark/>
          </w:tcPr>
          <w:p w14:paraId="4A8123EA" w14:textId="09BEAB63"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5</w:t>
            </w:r>
          </w:p>
        </w:tc>
        <w:tc>
          <w:tcPr>
            <w:tcW w:w="691" w:type="pct"/>
            <w:shd w:val="clear" w:color="auto" w:fill="auto"/>
            <w:noWrap/>
            <w:vAlign w:val="bottom"/>
            <w:hideMark/>
          </w:tcPr>
          <w:p w14:paraId="574BA106" w14:textId="66BE4753"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6372</w:t>
            </w:r>
          </w:p>
        </w:tc>
        <w:tc>
          <w:tcPr>
            <w:tcW w:w="749" w:type="pct"/>
            <w:shd w:val="clear" w:color="auto" w:fill="auto"/>
            <w:noWrap/>
            <w:vAlign w:val="bottom"/>
            <w:hideMark/>
          </w:tcPr>
          <w:p w14:paraId="0B6D34EE" w14:textId="55F48452"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w:t>
            </w:r>
          </w:p>
        </w:tc>
        <w:tc>
          <w:tcPr>
            <w:tcW w:w="1188" w:type="pct"/>
            <w:shd w:val="clear" w:color="auto" w:fill="auto"/>
            <w:noWrap/>
            <w:vAlign w:val="bottom"/>
            <w:hideMark/>
          </w:tcPr>
          <w:p w14:paraId="77944874" w14:textId="2D3E8948"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3.79</w:t>
            </w:r>
          </w:p>
        </w:tc>
      </w:tr>
      <w:tr w:rsidR="005F15B5" w:rsidRPr="002103B2" w14:paraId="1C2CAD50" w14:textId="77777777" w:rsidTr="005F15B5">
        <w:trPr>
          <w:trHeight w:val="132"/>
        </w:trPr>
        <w:tc>
          <w:tcPr>
            <w:tcW w:w="1248" w:type="pct"/>
            <w:tcBorders>
              <w:bottom w:val="single" w:sz="4" w:space="0" w:color="auto"/>
            </w:tcBorders>
            <w:shd w:val="clear" w:color="auto" w:fill="auto"/>
            <w:noWrap/>
            <w:vAlign w:val="bottom"/>
            <w:hideMark/>
          </w:tcPr>
          <w:p w14:paraId="09E87EE1" w14:textId="77777777" w:rsidR="005F15B5" w:rsidRPr="002103B2" w:rsidRDefault="005F15B5" w:rsidP="005F15B5">
            <w:pPr>
              <w:spacing w:after="0" w:line="240" w:lineRule="auto"/>
              <w:rPr>
                <w:rFonts w:eastAsia="Times New Roman" w:cs="Times New Roman"/>
                <w:color w:val="0000FF"/>
                <w:sz w:val="20"/>
              </w:rPr>
            </w:pPr>
            <w:r w:rsidRPr="002103B2">
              <w:rPr>
                <w:rFonts w:eastAsia="Times New Roman" w:cs="Times New Roman"/>
                <w:color w:val="0000FF"/>
                <w:sz w:val="20"/>
              </w:rPr>
              <w:t> </w:t>
            </w:r>
          </w:p>
        </w:tc>
        <w:tc>
          <w:tcPr>
            <w:tcW w:w="1124" w:type="pct"/>
            <w:tcBorders>
              <w:bottom w:val="single" w:sz="4" w:space="0" w:color="auto"/>
            </w:tcBorders>
            <w:shd w:val="clear" w:color="auto" w:fill="auto"/>
            <w:noWrap/>
            <w:vAlign w:val="bottom"/>
            <w:hideMark/>
          </w:tcPr>
          <w:p w14:paraId="375826CD" w14:textId="72C1B699" w:rsidR="005F15B5" w:rsidRPr="002103B2" w:rsidRDefault="00C6476E" w:rsidP="005F15B5">
            <w:pPr>
              <w:spacing w:after="0" w:line="240" w:lineRule="auto"/>
              <w:jc w:val="center"/>
              <w:rPr>
                <w:rFonts w:eastAsia="Times New Roman" w:cs="Times New Roman"/>
                <w:color w:val="0000FF"/>
                <w:sz w:val="20"/>
              </w:rPr>
            </w:pPr>
            <w:r>
              <w:rPr>
                <w:rFonts w:eastAsia="Times New Roman" w:cs="Times New Roman"/>
                <w:color w:val="0000FF"/>
                <w:sz w:val="20"/>
              </w:rPr>
              <w:t>0</w:t>
            </w:r>
            <w:r w:rsidR="005F15B5" w:rsidRPr="002103B2">
              <w:rPr>
                <w:rFonts w:eastAsia="Times New Roman" w:cs="Times New Roman"/>
                <w:color w:val="0000FF"/>
                <w:sz w:val="20"/>
              </w:rPr>
              <w:t>6</w:t>
            </w:r>
          </w:p>
        </w:tc>
        <w:tc>
          <w:tcPr>
            <w:tcW w:w="691" w:type="pct"/>
            <w:tcBorders>
              <w:bottom w:val="single" w:sz="4" w:space="0" w:color="auto"/>
            </w:tcBorders>
            <w:shd w:val="clear" w:color="auto" w:fill="auto"/>
            <w:noWrap/>
            <w:vAlign w:val="bottom"/>
            <w:hideMark/>
          </w:tcPr>
          <w:p w14:paraId="4BD54EA1" w14:textId="5BE0DFD4"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40047</w:t>
            </w:r>
          </w:p>
        </w:tc>
        <w:tc>
          <w:tcPr>
            <w:tcW w:w="749" w:type="pct"/>
            <w:tcBorders>
              <w:bottom w:val="single" w:sz="4" w:space="0" w:color="auto"/>
            </w:tcBorders>
            <w:shd w:val="clear" w:color="auto" w:fill="auto"/>
            <w:noWrap/>
            <w:vAlign w:val="bottom"/>
            <w:hideMark/>
          </w:tcPr>
          <w:p w14:paraId="51364D41" w14:textId="2256E840"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30</w:t>
            </w:r>
          </w:p>
        </w:tc>
        <w:tc>
          <w:tcPr>
            <w:tcW w:w="1188" w:type="pct"/>
            <w:tcBorders>
              <w:bottom w:val="single" w:sz="4" w:space="0" w:color="auto"/>
            </w:tcBorders>
            <w:shd w:val="clear" w:color="auto" w:fill="auto"/>
            <w:noWrap/>
            <w:vAlign w:val="bottom"/>
            <w:hideMark/>
          </w:tcPr>
          <w:p w14:paraId="2B3E9D7E" w14:textId="7C7C104D" w:rsidR="005F15B5" w:rsidRPr="002103B2" w:rsidRDefault="005F15B5" w:rsidP="005F15B5">
            <w:pPr>
              <w:spacing w:after="0" w:line="240" w:lineRule="auto"/>
              <w:jc w:val="center"/>
              <w:rPr>
                <w:rFonts w:eastAsia="Times New Roman" w:cs="Times New Roman"/>
                <w:color w:val="0000FF"/>
                <w:sz w:val="20"/>
              </w:rPr>
            </w:pPr>
            <w:r w:rsidRPr="005F15B5">
              <w:rPr>
                <w:rFonts w:eastAsia="Times New Roman" w:cs="Times New Roman"/>
                <w:color w:val="0000FF"/>
                <w:sz w:val="20"/>
              </w:rPr>
              <w:t>5.86</w:t>
            </w:r>
          </w:p>
        </w:tc>
      </w:tr>
    </w:tbl>
    <w:p w14:paraId="6E3D697A" w14:textId="77777777" w:rsidR="007B7753" w:rsidRPr="006355FD" w:rsidRDefault="007B7753" w:rsidP="007B7753">
      <w:pPr>
        <w:pStyle w:val="ListParagraph"/>
        <w:spacing w:after="240" w:line="240" w:lineRule="auto"/>
        <w:ind w:left="216"/>
        <w:rPr>
          <w:color w:val="0000FF"/>
          <w:sz w:val="20"/>
        </w:rPr>
      </w:pPr>
      <w:r w:rsidRPr="006355FD">
        <w:rPr>
          <w:color w:val="0000FF"/>
          <w:sz w:val="20"/>
        </w:rPr>
        <w:t>Note: Activity not attempted/did not occur codes are not included in this analysis.</w:t>
      </w:r>
    </w:p>
    <w:p w14:paraId="45046535" w14:textId="77777777" w:rsidR="007B7753" w:rsidRPr="006355FD" w:rsidRDefault="007B7753" w:rsidP="007B7753">
      <w:pPr>
        <w:pStyle w:val="ListParagraph"/>
        <w:spacing w:after="240" w:line="240" w:lineRule="auto"/>
        <w:ind w:left="216"/>
        <w:rPr>
          <w:color w:val="0000FF"/>
          <w:sz w:val="20"/>
        </w:rPr>
      </w:pPr>
      <w:r w:rsidRPr="006355FD">
        <w:rPr>
          <w:color w:val="0000FF"/>
          <w:sz w:val="20"/>
        </w:rPr>
        <w:t xml:space="preserve">*Response categories are defined as: 1 – Dependent; 2 – Substantial/maximal assistance; 3 - Partial/moderate assistance; 4 - Supervision or touching assistance; 5 - Setup or clean-up assistance; and 6 - Independent. </w:t>
      </w:r>
    </w:p>
    <w:p w14:paraId="575CD9D8" w14:textId="33C8060A" w:rsidR="0051041D" w:rsidRPr="00586CA4" w:rsidRDefault="0051041D" w:rsidP="0051041D">
      <w:pPr>
        <w:autoSpaceDE w:val="0"/>
        <w:autoSpaceDN w:val="0"/>
        <w:adjustRightInd w:val="0"/>
        <w:spacing w:after="0" w:line="240" w:lineRule="auto"/>
        <w:rPr>
          <w:rFonts w:cstheme="minorHAnsi"/>
        </w:rPr>
      </w:pPr>
      <w:r w:rsidRPr="00586CA4">
        <w:rPr>
          <w:rFonts w:eastAsia="Calibri" w:cstheme="minorHAnsi"/>
          <w:b/>
          <w:color w:val="0000FF"/>
        </w:rPr>
        <w:lastRenderedPageBreak/>
        <w:t>Computed Performance Measure Score Validity – Association with The Joint Commission Stroke Rehabilitation Certification Status (unit of analysis is providers):</w:t>
      </w:r>
      <w:r w:rsidRPr="00586CA4">
        <w:rPr>
          <w:rFonts w:cstheme="minorHAnsi"/>
          <w:color w:val="0000FF"/>
        </w:rPr>
        <w:t xml:space="preserve"> </w:t>
      </w:r>
      <w:r w:rsidR="008776EB">
        <w:rPr>
          <w:rFonts w:cstheme="minorHAnsi"/>
          <w:color w:val="0000FF"/>
        </w:rPr>
        <w:t>W</w:t>
      </w:r>
      <w:r w:rsidRPr="00586CA4">
        <w:rPr>
          <w:rFonts w:cstheme="minorHAnsi"/>
          <w:color w:val="0000FF"/>
        </w:rPr>
        <w:t xml:space="preserve">e compared the mean and median computed performance measure scores for IRFs with and without stroke rehabilitation disease-specific certification. We also divided the IRF data into quintiles based on the performance measure scores and calculated the percentage of IRFs with certification by quintile. </w:t>
      </w:r>
    </w:p>
    <w:p w14:paraId="201E097D" w14:textId="77777777" w:rsidR="0051041D" w:rsidRPr="00586CA4" w:rsidRDefault="0051041D" w:rsidP="0051041D">
      <w:pPr>
        <w:autoSpaceDE w:val="0"/>
        <w:autoSpaceDN w:val="0"/>
        <w:adjustRightInd w:val="0"/>
        <w:spacing w:after="0" w:line="240" w:lineRule="auto"/>
        <w:rPr>
          <w:rFonts w:cstheme="minorHAnsi"/>
        </w:rPr>
      </w:pPr>
    </w:p>
    <w:p w14:paraId="5EEBAC6B" w14:textId="0E6F9674" w:rsidR="00C96E07" w:rsidRDefault="0051041D" w:rsidP="00C96E07">
      <w:pPr>
        <w:autoSpaceDE w:val="0"/>
        <w:autoSpaceDN w:val="0"/>
        <w:adjustRightInd w:val="0"/>
        <w:spacing w:after="0" w:line="240" w:lineRule="auto"/>
        <w:rPr>
          <w:rFonts w:cstheme="minorHAnsi"/>
          <w:color w:val="0000FF"/>
        </w:rPr>
      </w:pPr>
      <w:r w:rsidRPr="00360220">
        <w:rPr>
          <w:rFonts w:cstheme="minorHAnsi"/>
          <w:b/>
          <w:color w:val="0000FF"/>
        </w:rPr>
        <w:t>Table 9</w:t>
      </w:r>
      <w:r w:rsidRPr="00586CA4">
        <w:rPr>
          <w:rFonts w:cstheme="minorHAnsi"/>
          <w:color w:val="0000FF"/>
        </w:rPr>
        <w:t xml:space="preserve"> shows that IRFs with certification achieved higher mean and median performance measure scores compared to IRFs without certification (mean: 28.0 and 30.0</w:t>
      </w:r>
      <w:r w:rsidR="002F5860">
        <w:rPr>
          <w:rFonts w:cstheme="minorHAnsi"/>
          <w:color w:val="0000FF"/>
        </w:rPr>
        <w:t xml:space="preserve"> and </w:t>
      </w:r>
      <w:r w:rsidR="002F5860" w:rsidRPr="00DD208F">
        <w:rPr>
          <w:rFonts w:cstheme="minorHAnsi"/>
          <w:i/>
          <w:color w:val="0000FF"/>
        </w:rPr>
        <w:t>p</w:t>
      </w:r>
      <w:r w:rsidR="002F5860">
        <w:rPr>
          <w:rFonts w:cstheme="minorHAnsi"/>
          <w:color w:val="0000FF"/>
        </w:rPr>
        <w:t xml:space="preserve"> &lt; .0001</w:t>
      </w:r>
      <w:r w:rsidRPr="00586CA4">
        <w:rPr>
          <w:rFonts w:cstheme="minorHAnsi"/>
          <w:color w:val="0000FF"/>
        </w:rPr>
        <w:t>; median 27.7 and 29.9</w:t>
      </w:r>
      <w:r w:rsidR="002F5860">
        <w:rPr>
          <w:rFonts w:cstheme="minorHAnsi"/>
          <w:color w:val="0000FF"/>
        </w:rPr>
        <w:t xml:space="preserve"> and </w:t>
      </w:r>
      <w:r w:rsidR="002F5860" w:rsidRPr="00DD208F">
        <w:rPr>
          <w:rFonts w:cstheme="minorHAnsi"/>
          <w:i/>
          <w:color w:val="0000FF"/>
        </w:rPr>
        <w:t>p</w:t>
      </w:r>
      <w:r w:rsidR="002F5860">
        <w:rPr>
          <w:rFonts w:cstheme="minorHAnsi"/>
          <w:color w:val="0000FF"/>
        </w:rPr>
        <w:t xml:space="preserve"> &lt; .001</w:t>
      </w:r>
      <w:r w:rsidRPr="00586CA4">
        <w:rPr>
          <w:rFonts w:cstheme="minorHAnsi"/>
          <w:color w:val="0000FF"/>
        </w:rPr>
        <w:t xml:space="preserve">). </w:t>
      </w:r>
      <w:r w:rsidR="00D36483" w:rsidRPr="00586CA4">
        <w:rPr>
          <w:rFonts w:cstheme="minorHAnsi"/>
          <w:b/>
          <w:color w:val="0000FF"/>
        </w:rPr>
        <w:t xml:space="preserve">Table </w:t>
      </w:r>
      <w:r w:rsidR="00D36483">
        <w:rPr>
          <w:rFonts w:cstheme="minorHAnsi"/>
          <w:b/>
          <w:color w:val="0000FF"/>
        </w:rPr>
        <w:t>10</w:t>
      </w:r>
      <w:r w:rsidR="00D36483" w:rsidRPr="00586CA4">
        <w:rPr>
          <w:rFonts w:cstheme="minorHAnsi"/>
          <w:color w:val="0000FF"/>
        </w:rPr>
        <w:t xml:space="preserve"> shows</w:t>
      </w:r>
      <w:r w:rsidR="00D36483">
        <w:rPr>
          <w:rFonts w:cstheme="minorHAnsi"/>
          <w:color w:val="0000FF"/>
        </w:rPr>
        <w:t xml:space="preserve"> </w:t>
      </w:r>
      <w:r w:rsidR="00D36483" w:rsidRPr="00586CA4">
        <w:rPr>
          <w:rFonts w:cstheme="minorHAnsi"/>
          <w:color w:val="0000FF"/>
        </w:rPr>
        <w:t>that the top 2 quintiles, which included the IRFs with the best performance scores, had the highest percentage of certified IRFs (</w:t>
      </w:r>
      <w:r w:rsidR="007E7448">
        <w:rPr>
          <w:rFonts w:cstheme="minorHAnsi"/>
          <w:color w:val="0000FF"/>
        </w:rPr>
        <w:t>32.4</w:t>
      </w:r>
      <w:r w:rsidR="00D36483">
        <w:rPr>
          <w:rFonts w:cstheme="minorHAnsi"/>
          <w:color w:val="0000FF"/>
        </w:rPr>
        <w:t>%</w:t>
      </w:r>
      <w:r w:rsidR="00D36483" w:rsidRPr="00586CA4">
        <w:rPr>
          <w:rFonts w:cstheme="minorHAnsi"/>
          <w:color w:val="0000FF"/>
        </w:rPr>
        <w:t xml:space="preserve"> to 2</w:t>
      </w:r>
      <w:r w:rsidR="007E7448">
        <w:rPr>
          <w:rFonts w:cstheme="minorHAnsi"/>
          <w:color w:val="0000FF"/>
        </w:rPr>
        <w:t>3.9</w:t>
      </w:r>
      <w:r w:rsidR="00D36483" w:rsidRPr="00586CA4">
        <w:rPr>
          <w:rFonts w:cstheme="minorHAnsi"/>
          <w:color w:val="0000FF"/>
        </w:rPr>
        <w:t xml:space="preserve">%) compared to the </w:t>
      </w:r>
      <w:r w:rsidR="00D36483">
        <w:rPr>
          <w:rFonts w:cstheme="minorHAnsi"/>
          <w:color w:val="0000FF"/>
        </w:rPr>
        <w:t>lowest</w:t>
      </w:r>
      <w:r w:rsidR="00D36483" w:rsidRPr="00586CA4">
        <w:rPr>
          <w:rFonts w:cstheme="minorHAnsi"/>
          <w:color w:val="0000FF"/>
        </w:rPr>
        <w:t xml:space="preserve"> quintile with the lowest performance measure scores (</w:t>
      </w:r>
      <w:r w:rsidR="007E7448">
        <w:rPr>
          <w:rFonts w:cstheme="minorHAnsi"/>
          <w:color w:val="0000FF"/>
        </w:rPr>
        <w:t>6.8</w:t>
      </w:r>
      <w:r w:rsidR="00D36483" w:rsidRPr="00586CA4">
        <w:rPr>
          <w:rFonts w:cstheme="minorHAnsi"/>
          <w:color w:val="0000FF"/>
        </w:rPr>
        <w:t>%).</w:t>
      </w:r>
      <w:r w:rsidR="00DD208F">
        <w:rPr>
          <w:rFonts w:cstheme="minorHAnsi"/>
          <w:color w:val="0000FF"/>
        </w:rPr>
        <w:t xml:space="preserve"> </w:t>
      </w:r>
      <w:r w:rsidRPr="00586CA4">
        <w:rPr>
          <w:rFonts w:cstheme="minorHAnsi"/>
          <w:color w:val="0000FF"/>
        </w:rPr>
        <w:t>As the performance measure scores decrease</w:t>
      </w:r>
      <w:r>
        <w:rPr>
          <w:rFonts w:cstheme="minorHAnsi"/>
          <w:color w:val="0000FF"/>
        </w:rPr>
        <w:t xml:space="preserve"> by group</w:t>
      </w:r>
      <w:r w:rsidRPr="00586CA4">
        <w:rPr>
          <w:rFonts w:cstheme="minorHAnsi"/>
          <w:color w:val="0000FF"/>
        </w:rPr>
        <w:t>, the percentage of IRFs that are certified decreases.</w:t>
      </w:r>
    </w:p>
    <w:p w14:paraId="571507B0" w14:textId="77777777" w:rsidR="0051041D" w:rsidRPr="00586CA4" w:rsidRDefault="0051041D" w:rsidP="0051041D">
      <w:pPr>
        <w:autoSpaceDE w:val="0"/>
        <w:autoSpaceDN w:val="0"/>
        <w:adjustRightInd w:val="0"/>
        <w:spacing w:after="0" w:line="240" w:lineRule="auto"/>
        <w:rPr>
          <w:rFonts w:cstheme="minorHAnsi"/>
          <w:color w:val="0000FF"/>
          <w:highlight w:val="yellow"/>
        </w:rPr>
      </w:pPr>
    </w:p>
    <w:p w14:paraId="5CD4C620" w14:textId="55EE35B6" w:rsidR="0051041D" w:rsidRPr="00586CA4" w:rsidRDefault="0051041D" w:rsidP="007B454A">
      <w:pPr>
        <w:spacing w:after="0"/>
        <w:rPr>
          <w:rFonts w:cstheme="minorHAnsi"/>
          <w:color w:val="0000FF"/>
        </w:rPr>
      </w:pPr>
      <w:r w:rsidRPr="00586CA4">
        <w:rPr>
          <w:rFonts w:cstheme="minorHAnsi"/>
          <w:b/>
          <w:color w:val="0000FF"/>
        </w:rPr>
        <w:t xml:space="preserve">Table </w:t>
      </w:r>
      <w:r w:rsidR="00360220">
        <w:rPr>
          <w:rFonts w:cstheme="minorHAnsi"/>
          <w:b/>
          <w:color w:val="0000FF"/>
        </w:rPr>
        <w:t>9</w:t>
      </w:r>
      <w:r w:rsidRPr="00586CA4">
        <w:rPr>
          <w:rFonts w:cstheme="minorHAnsi"/>
          <w:b/>
          <w:color w:val="0000FF"/>
        </w:rPr>
        <w:t>.</w:t>
      </w:r>
      <w:r w:rsidRPr="00586CA4">
        <w:rPr>
          <w:rFonts w:cstheme="minorHAnsi"/>
          <w:color w:val="0000FF"/>
        </w:rPr>
        <w:t xml:space="preserve"> </w:t>
      </w:r>
      <w:r w:rsidRPr="007B454A">
        <w:rPr>
          <w:rFonts w:cstheme="minorHAnsi"/>
          <w:b/>
          <w:color w:val="0000FF"/>
        </w:rPr>
        <w:t xml:space="preserve">Mean and Median Change in </w:t>
      </w:r>
      <w:r w:rsidR="007B454A">
        <w:rPr>
          <w:rFonts w:cstheme="minorHAnsi"/>
          <w:b/>
          <w:color w:val="0000FF"/>
        </w:rPr>
        <w:t>Mobility</w:t>
      </w:r>
      <w:r w:rsidRPr="007B454A">
        <w:rPr>
          <w:rFonts w:cstheme="minorHAnsi"/>
          <w:b/>
          <w:color w:val="0000FF"/>
        </w:rPr>
        <w:t xml:space="preserve"> Computed Performance Measure Score (CY 2017) by Stroke Rehabilitation Disease Specific Certification Status (2017) (n = 1,117)</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250"/>
        <w:gridCol w:w="2250"/>
        <w:gridCol w:w="2160"/>
      </w:tblGrid>
      <w:tr w:rsidR="00F21176" w:rsidRPr="00586CA4" w14:paraId="6C4AF98C" w14:textId="2FEA3163" w:rsidTr="00F40534">
        <w:tc>
          <w:tcPr>
            <w:tcW w:w="1442" w:type="pct"/>
            <w:tcBorders>
              <w:top w:val="single" w:sz="8" w:space="0" w:color="auto"/>
              <w:bottom w:val="single" w:sz="8" w:space="0" w:color="auto"/>
            </w:tcBorders>
            <w:vAlign w:val="center"/>
          </w:tcPr>
          <w:p w14:paraId="69C195A2" w14:textId="428DFA2A" w:rsidR="00F21176" w:rsidRPr="00586CA4" w:rsidRDefault="00F21176" w:rsidP="002B012F">
            <w:pPr>
              <w:pStyle w:val="NoSpacing"/>
              <w:spacing w:line="276" w:lineRule="auto"/>
              <w:rPr>
                <w:rFonts w:asciiTheme="minorHAnsi" w:hAnsiTheme="minorHAnsi" w:cstheme="minorHAnsi"/>
                <w:color w:val="0000FF"/>
              </w:rPr>
            </w:pPr>
            <w:r w:rsidRPr="00586CA4">
              <w:rPr>
                <w:rFonts w:asciiTheme="minorHAnsi" w:hAnsiTheme="minorHAnsi" w:cstheme="minorHAnsi"/>
                <w:color w:val="0000FF"/>
              </w:rPr>
              <w:t xml:space="preserve">Change in </w:t>
            </w:r>
            <w:r>
              <w:rPr>
                <w:rFonts w:asciiTheme="minorHAnsi" w:hAnsiTheme="minorHAnsi" w:cstheme="minorHAnsi"/>
                <w:color w:val="0000FF"/>
              </w:rPr>
              <w:t>Mobility</w:t>
            </w:r>
            <w:r w:rsidRPr="00586CA4">
              <w:rPr>
                <w:rFonts w:asciiTheme="minorHAnsi" w:hAnsiTheme="minorHAnsi" w:cstheme="minorHAnsi"/>
                <w:color w:val="0000FF"/>
              </w:rPr>
              <w:t xml:space="preserve"> Performance Measure Score</w:t>
            </w:r>
          </w:p>
        </w:tc>
        <w:tc>
          <w:tcPr>
            <w:tcW w:w="2404" w:type="pct"/>
            <w:gridSpan w:val="2"/>
            <w:tcBorders>
              <w:top w:val="single" w:sz="8" w:space="0" w:color="auto"/>
              <w:bottom w:val="single" w:sz="8" w:space="0" w:color="auto"/>
            </w:tcBorders>
          </w:tcPr>
          <w:p w14:paraId="42966A27"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Stroke Rehabilitation </w:t>
            </w:r>
          </w:p>
          <w:p w14:paraId="1F732F24"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Disease Specific Certification Status </w:t>
            </w:r>
          </w:p>
          <w:p w14:paraId="20E42ACF"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(2017)</w:t>
            </w:r>
          </w:p>
        </w:tc>
        <w:tc>
          <w:tcPr>
            <w:tcW w:w="1154" w:type="pct"/>
            <w:tcBorders>
              <w:top w:val="single" w:sz="8" w:space="0" w:color="auto"/>
              <w:bottom w:val="single" w:sz="8" w:space="0" w:color="auto"/>
            </w:tcBorders>
          </w:tcPr>
          <w:p w14:paraId="46756906" w14:textId="77777777" w:rsidR="00F21176" w:rsidRPr="00586CA4" w:rsidRDefault="00F21176" w:rsidP="002B012F">
            <w:pPr>
              <w:pStyle w:val="NoSpacing"/>
              <w:spacing w:line="276" w:lineRule="auto"/>
              <w:jc w:val="center"/>
              <w:rPr>
                <w:rFonts w:asciiTheme="minorHAnsi" w:hAnsiTheme="minorHAnsi" w:cstheme="minorHAnsi"/>
                <w:color w:val="0000FF"/>
              </w:rPr>
            </w:pPr>
          </w:p>
        </w:tc>
      </w:tr>
      <w:tr w:rsidR="00F21176" w:rsidRPr="00586CA4" w14:paraId="131CA832" w14:textId="214ADEA7" w:rsidTr="00F40534">
        <w:tc>
          <w:tcPr>
            <w:tcW w:w="1442" w:type="pct"/>
            <w:tcBorders>
              <w:top w:val="single" w:sz="8" w:space="0" w:color="auto"/>
              <w:bottom w:val="single" w:sz="8" w:space="0" w:color="auto"/>
            </w:tcBorders>
          </w:tcPr>
          <w:p w14:paraId="13547276" w14:textId="77777777" w:rsidR="00F21176" w:rsidRPr="00586CA4" w:rsidRDefault="00F21176" w:rsidP="002B012F">
            <w:pPr>
              <w:pStyle w:val="NoSpacing"/>
              <w:spacing w:line="276" w:lineRule="auto"/>
              <w:jc w:val="center"/>
              <w:rPr>
                <w:rFonts w:asciiTheme="minorHAnsi" w:hAnsiTheme="minorHAnsi" w:cstheme="minorHAnsi"/>
                <w:color w:val="0000FF"/>
              </w:rPr>
            </w:pPr>
          </w:p>
        </w:tc>
        <w:tc>
          <w:tcPr>
            <w:tcW w:w="1202" w:type="pct"/>
            <w:tcBorders>
              <w:top w:val="single" w:sz="8" w:space="0" w:color="auto"/>
              <w:bottom w:val="single" w:sz="8" w:space="0" w:color="auto"/>
            </w:tcBorders>
          </w:tcPr>
          <w:p w14:paraId="29B7E36C"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No</w:t>
            </w:r>
          </w:p>
          <w:p w14:paraId="0E9C75D0"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(n=941)</w:t>
            </w:r>
          </w:p>
        </w:tc>
        <w:tc>
          <w:tcPr>
            <w:tcW w:w="1202" w:type="pct"/>
            <w:tcBorders>
              <w:top w:val="single" w:sz="8" w:space="0" w:color="auto"/>
              <w:bottom w:val="single" w:sz="8" w:space="0" w:color="auto"/>
            </w:tcBorders>
          </w:tcPr>
          <w:p w14:paraId="23605C4B"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Yes</w:t>
            </w:r>
          </w:p>
          <w:p w14:paraId="42C177C5" w14:textId="77777777" w:rsidR="00F21176" w:rsidRPr="00586CA4" w:rsidRDefault="00F21176" w:rsidP="002B012F">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(n=176)</w:t>
            </w:r>
          </w:p>
        </w:tc>
        <w:tc>
          <w:tcPr>
            <w:tcW w:w="1154" w:type="pct"/>
            <w:tcBorders>
              <w:top w:val="single" w:sz="8" w:space="0" w:color="auto"/>
              <w:bottom w:val="single" w:sz="8" w:space="0" w:color="auto"/>
            </w:tcBorders>
          </w:tcPr>
          <w:p w14:paraId="504C6D7B" w14:textId="25621E97" w:rsidR="00F21176" w:rsidRPr="00586CA4" w:rsidRDefault="00257D98" w:rsidP="002B012F">
            <w:pPr>
              <w:pStyle w:val="NoSpacing"/>
              <w:spacing w:line="276" w:lineRule="auto"/>
              <w:jc w:val="center"/>
              <w:rPr>
                <w:rFonts w:asciiTheme="minorHAnsi" w:hAnsiTheme="minorHAnsi" w:cstheme="minorHAnsi"/>
                <w:color w:val="0000FF"/>
              </w:rPr>
            </w:pPr>
            <w:r>
              <w:rPr>
                <w:rFonts w:asciiTheme="minorHAnsi" w:hAnsiTheme="minorHAnsi" w:cstheme="minorHAnsi"/>
                <w:color w:val="0000FF"/>
              </w:rPr>
              <w:t>p-value*</w:t>
            </w:r>
          </w:p>
        </w:tc>
      </w:tr>
      <w:tr w:rsidR="00257D98" w:rsidRPr="00586CA4" w14:paraId="41690180" w14:textId="1F10E618" w:rsidTr="00F40534">
        <w:tc>
          <w:tcPr>
            <w:tcW w:w="1442" w:type="pct"/>
            <w:tcBorders>
              <w:top w:val="single" w:sz="8" w:space="0" w:color="auto"/>
            </w:tcBorders>
            <w:vAlign w:val="center"/>
          </w:tcPr>
          <w:p w14:paraId="4D6D41A8" w14:textId="77777777" w:rsidR="00257D98" w:rsidRPr="00586CA4" w:rsidRDefault="00257D98" w:rsidP="00257D98">
            <w:pPr>
              <w:pStyle w:val="NoSpacing"/>
              <w:spacing w:line="276" w:lineRule="auto"/>
              <w:rPr>
                <w:rFonts w:asciiTheme="minorHAnsi" w:hAnsiTheme="minorHAnsi" w:cstheme="minorHAnsi"/>
                <w:color w:val="0000FF"/>
              </w:rPr>
            </w:pPr>
            <w:r w:rsidRPr="00586CA4">
              <w:rPr>
                <w:rFonts w:asciiTheme="minorHAnsi" w:hAnsiTheme="minorHAnsi" w:cstheme="minorHAnsi"/>
                <w:color w:val="0000FF"/>
              </w:rPr>
              <w:t>Mean (SD)</w:t>
            </w:r>
          </w:p>
        </w:tc>
        <w:tc>
          <w:tcPr>
            <w:tcW w:w="1202" w:type="pct"/>
            <w:tcBorders>
              <w:top w:val="single" w:sz="8" w:space="0" w:color="auto"/>
            </w:tcBorders>
          </w:tcPr>
          <w:p w14:paraId="737CAC69" w14:textId="77777777" w:rsidR="00257D98" w:rsidRPr="00586CA4" w:rsidRDefault="00257D98" w:rsidP="00257D98">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28.0 (4.6)</w:t>
            </w:r>
          </w:p>
        </w:tc>
        <w:tc>
          <w:tcPr>
            <w:tcW w:w="1202" w:type="pct"/>
            <w:tcBorders>
              <w:top w:val="single" w:sz="8" w:space="0" w:color="auto"/>
            </w:tcBorders>
          </w:tcPr>
          <w:p w14:paraId="10EF24F2" w14:textId="77777777" w:rsidR="00257D98" w:rsidRPr="00586CA4" w:rsidRDefault="00257D98" w:rsidP="00257D98">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30.0 (3.9)</w:t>
            </w:r>
          </w:p>
        </w:tc>
        <w:tc>
          <w:tcPr>
            <w:tcW w:w="1154" w:type="pct"/>
            <w:tcBorders>
              <w:top w:val="single" w:sz="8" w:space="0" w:color="auto"/>
            </w:tcBorders>
          </w:tcPr>
          <w:p w14:paraId="6657FB76" w14:textId="0668F929" w:rsidR="00257D98" w:rsidRPr="00586CA4" w:rsidRDefault="00257D98" w:rsidP="00257D98">
            <w:pPr>
              <w:pStyle w:val="NoSpacing"/>
              <w:spacing w:line="276" w:lineRule="auto"/>
              <w:jc w:val="center"/>
              <w:rPr>
                <w:rFonts w:asciiTheme="minorHAnsi" w:hAnsiTheme="minorHAnsi" w:cstheme="minorHAnsi"/>
                <w:color w:val="0000FF"/>
              </w:rPr>
            </w:pPr>
            <w:r>
              <w:rPr>
                <w:rFonts w:asciiTheme="minorHAnsi" w:hAnsiTheme="minorHAnsi" w:cstheme="minorHAnsi"/>
                <w:color w:val="0000FF"/>
              </w:rPr>
              <w:t>&lt; 0.001</w:t>
            </w:r>
          </w:p>
        </w:tc>
      </w:tr>
      <w:tr w:rsidR="00257D98" w:rsidRPr="00586CA4" w14:paraId="5E3FAA80" w14:textId="5856C86A" w:rsidTr="00F40534">
        <w:tc>
          <w:tcPr>
            <w:tcW w:w="1442" w:type="pct"/>
            <w:tcBorders>
              <w:bottom w:val="single" w:sz="12" w:space="0" w:color="auto"/>
            </w:tcBorders>
            <w:vAlign w:val="center"/>
          </w:tcPr>
          <w:p w14:paraId="746B5E11" w14:textId="4F3EC5C6" w:rsidR="00257D98" w:rsidRPr="00586CA4" w:rsidRDefault="00257D98" w:rsidP="00257D98">
            <w:pPr>
              <w:pStyle w:val="NoSpacing"/>
              <w:spacing w:line="276" w:lineRule="auto"/>
              <w:rPr>
                <w:rFonts w:asciiTheme="minorHAnsi" w:hAnsiTheme="minorHAnsi" w:cstheme="minorHAnsi"/>
                <w:color w:val="0000FF"/>
              </w:rPr>
            </w:pPr>
            <w:r w:rsidRPr="00586CA4">
              <w:rPr>
                <w:rFonts w:asciiTheme="minorHAnsi" w:hAnsiTheme="minorHAnsi" w:cstheme="minorHAnsi"/>
                <w:color w:val="0000FF"/>
              </w:rPr>
              <w:t xml:space="preserve">Median </w:t>
            </w:r>
            <w:r>
              <w:rPr>
                <w:rFonts w:asciiTheme="minorHAnsi" w:hAnsiTheme="minorHAnsi" w:cstheme="minorHAnsi"/>
                <w:color w:val="0000FF"/>
              </w:rPr>
              <w:t>(IQR)</w:t>
            </w:r>
          </w:p>
        </w:tc>
        <w:tc>
          <w:tcPr>
            <w:tcW w:w="1202" w:type="pct"/>
            <w:tcBorders>
              <w:bottom w:val="single" w:sz="12" w:space="0" w:color="auto"/>
            </w:tcBorders>
          </w:tcPr>
          <w:p w14:paraId="5604B8D2" w14:textId="5865C554" w:rsidR="00257D98" w:rsidRPr="00586CA4" w:rsidRDefault="00257D98" w:rsidP="00257D98">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27.7 </w:t>
            </w:r>
            <w:r>
              <w:rPr>
                <w:rFonts w:asciiTheme="minorHAnsi" w:hAnsiTheme="minorHAnsi" w:cstheme="minorHAnsi"/>
                <w:color w:val="0000FF"/>
              </w:rPr>
              <w:t>(6.3)</w:t>
            </w:r>
          </w:p>
        </w:tc>
        <w:tc>
          <w:tcPr>
            <w:tcW w:w="1202" w:type="pct"/>
            <w:tcBorders>
              <w:bottom w:val="single" w:sz="12" w:space="0" w:color="auto"/>
            </w:tcBorders>
          </w:tcPr>
          <w:p w14:paraId="0E3339DE" w14:textId="5D893CD2" w:rsidR="00257D98" w:rsidRPr="00586CA4" w:rsidRDefault="00257D98" w:rsidP="00257D98">
            <w:pPr>
              <w:pStyle w:val="NoSpacing"/>
              <w:spacing w:line="276" w:lineRule="auto"/>
              <w:jc w:val="center"/>
              <w:rPr>
                <w:rFonts w:asciiTheme="minorHAnsi" w:hAnsiTheme="minorHAnsi" w:cstheme="minorHAnsi"/>
                <w:color w:val="0000FF"/>
              </w:rPr>
            </w:pPr>
            <w:r w:rsidRPr="00586CA4">
              <w:rPr>
                <w:rFonts w:asciiTheme="minorHAnsi" w:hAnsiTheme="minorHAnsi" w:cstheme="minorHAnsi"/>
                <w:color w:val="0000FF"/>
              </w:rPr>
              <w:t xml:space="preserve">29.9 </w:t>
            </w:r>
            <w:r>
              <w:rPr>
                <w:rFonts w:asciiTheme="minorHAnsi" w:hAnsiTheme="minorHAnsi" w:cstheme="minorHAnsi"/>
                <w:color w:val="0000FF"/>
              </w:rPr>
              <w:t>(5.7)</w:t>
            </w:r>
          </w:p>
        </w:tc>
        <w:tc>
          <w:tcPr>
            <w:tcW w:w="1154" w:type="pct"/>
            <w:tcBorders>
              <w:bottom w:val="single" w:sz="12" w:space="0" w:color="auto"/>
            </w:tcBorders>
          </w:tcPr>
          <w:p w14:paraId="14536F97" w14:textId="042B4F8C" w:rsidR="00257D98" w:rsidRPr="00586CA4" w:rsidRDefault="00257D98" w:rsidP="00257D98">
            <w:pPr>
              <w:pStyle w:val="NoSpacing"/>
              <w:spacing w:line="276" w:lineRule="auto"/>
              <w:jc w:val="center"/>
              <w:rPr>
                <w:rFonts w:asciiTheme="minorHAnsi" w:hAnsiTheme="minorHAnsi" w:cstheme="minorHAnsi"/>
                <w:color w:val="0000FF"/>
              </w:rPr>
            </w:pPr>
            <w:r>
              <w:rPr>
                <w:rFonts w:asciiTheme="minorHAnsi" w:hAnsiTheme="minorHAnsi" w:cstheme="minorHAnsi"/>
                <w:color w:val="0000FF"/>
              </w:rPr>
              <w:t>&lt; 0.001</w:t>
            </w:r>
          </w:p>
        </w:tc>
      </w:tr>
    </w:tbl>
    <w:p w14:paraId="264027D1" w14:textId="5D671300" w:rsidR="007B454A" w:rsidRPr="00896A20" w:rsidRDefault="007B454A" w:rsidP="007B454A">
      <w:pPr>
        <w:pStyle w:val="NoSpacing"/>
        <w:contextualSpacing/>
        <w:jc w:val="both"/>
        <w:rPr>
          <w:rFonts w:cstheme="minorHAnsi"/>
          <w:color w:val="0000FF"/>
          <w:sz w:val="20"/>
          <w:szCs w:val="20"/>
        </w:rPr>
      </w:pPr>
      <w:r w:rsidRPr="00896A20">
        <w:rPr>
          <w:rFonts w:asciiTheme="minorHAnsi" w:hAnsiTheme="minorHAnsi" w:cstheme="minorHAnsi"/>
          <w:color w:val="0000FF"/>
          <w:sz w:val="20"/>
          <w:szCs w:val="20"/>
        </w:rPr>
        <w:t xml:space="preserve">Note: </w:t>
      </w:r>
      <w:r w:rsidR="0010481D">
        <w:rPr>
          <w:rFonts w:asciiTheme="minorHAnsi" w:hAnsiTheme="minorHAnsi" w:cstheme="minorHAnsi"/>
          <w:color w:val="0000FF"/>
          <w:sz w:val="20"/>
          <w:szCs w:val="20"/>
        </w:rPr>
        <w:t>SD=</w:t>
      </w:r>
      <w:r w:rsidR="009F0B4D">
        <w:rPr>
          <w:rFonts w:asciiTheme="minorHAnsi" w:hAnsiTheme="minorHAnsi" w:cstheme="minorHAnsi"/>
          <w:color w:val="0000FF"/>
          <w:sz w:val="20"/>
          <w:szCs w:val="20"/>
        </w:rPr>
        <w:t>S</w:t>
      </w:r>
      <w:r w:rsidR="0010481D">
        <w:rPr>
          <w:rFonts w:asciiTheme="minorHAnsi" w:hAnsiTheme="minorHAnsi" w:cstheme="minorHAnsi"/>
          <w:color w:val="0000FF"/>
          <w:sz w:val="20"/>
          <w:szCs w:val="20"/>
        </w:rPr>
        <w:t xml:space="preserve">tandard deviation; </w:t>
      </w:r>
      <w:r w:rsidR="00257D98">
        <w:rPr>
          <w:rFonts w:asciiTheme="minorHAnsi" w:hAnsiTheme="minorHAnsi" w:cstheme="minorHAnsi"/>
          <w:color w:val="0000FF"/>
          <w:sz w:val="20"/>
          <w:szCs w:val="20"/>
        </w:rPr>
        <w:t xml:space="preserve">IQR = interquartile range; </w:t>
      </w:r>
      <w:r w:rsidRPr="00896A20">
        <w:rPr>
          <w:rFonts w:asciiTheme="minorHAnsi" w:hAnsiTheme="minorHAnsi" w:cstheme="minorHAnsi"/>
          <w:color w:val="0000FF"/>
          <w:sz w:val="20"/>
          <w:szCs w:val="20"/>
        </w:rPr>
        <w:t>Providers with &lt;20 stays during the 12-month testing period are excluded from facility-level analyses.</w:t>
      </w:r>
    </w:p>
    <w:p w14:paraId="7580ED10" w14:textId="77777777" w:rsidR="00257D98" w:rsidRPr="00896A20" w:rsidRDefault="00257D98" w:rsidP="00257D98">
      <w:pPr>
        <w:pStyle w:val="NoSpacing"/>
        <w:contextualSpacing/>
        <w:rPr>
          <w:rFonts w:cstheme="minorHAnsi"/>
          <w:color w:val="0000FF"/>
          <w:sz w:val="20"/>
          <w:szCs w:val="20"/>
        </w:rPr>
      </w:pPr>
      <w:r>
        <w:rPr>
          <w:rFonts w:cstheme="minorHAnsi"/>
          <w:color w:val="0000FF"/>
          <w:sz w:val="20"/>
          <w:szCs w:val="20"/>
        </w:rPr>
        <w:t>*T-test was run to determine statistically significant differences for the mean scores; The Kruskal-Wallis H test was run to determine statistically significant differences for the median scores.</w:t>
      </w:r>
    </w:p>
    <w:p w14:paraId="4B7CDAD3" w14:textId="51EF941B" w:rsidR="0051041D" w:rsidRDefault="007B454A" w:rsidP="007B454A">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 xml:space="preserve">(Program reference: </w:t>
      </w:r>
      <w:r w:rsidR="00257D98">
        <w:rPr>
          <w:rFonts w:asciiTheme="minorHAnsi" w:hAnsiTheme="minorHAnsi" w:cstheme="minorHAnsi"/>
          <w:color w:val="0000FF"/>
          <w:sz w:val="20"/>
          <w:szCs w:val="20"/>
        </w:rPr>
        <w:t>AD01</w:t>
      </w:r>
      <w:r w:rsidRPr="00B915C7">
        <w:rPr>
          <w:rFonts w:asciiTheme="minorHAnsi" w:hAnsiTheme="minorHAnsi" w:cstheme="minorHAnsi"/>
          <w:color w:val="0000FF"/>
          <w:sz w:val="20"/>
          <w:szCs w:val="20"/>
        </w:rPr>
        <w:t>)</w:t>
      </w:r>
    </w:p>
    <w:p w14:paraId="506E60AD" w14:textId="77777777" w:rsidR="007B454A" w:rsidRPr="007B454A" w:rsidRDefault="007B454A" w:rsidP="007B454A">
      <w:pPr>
        <w:pStyle w:val="NoSpacing"/>
        <w:contextualSpacing/>
        <w:jc w:val="both"/>
        <w:rPr>
          <w:rFonts w:asciiTheme="minorHAnsi" w:hAnsiTheme="minorHAnsi" w:cstheme="minorHAnsi"/>
          <w:color w:val="0000FF"/>
          <w:sz w:val="20"/>
          <w:szCs w:val="20"/>
        </w:rPr>
      </w:pPr>
    </w:p>
    <w:p w14:paraId="0FE3A0D4" w14:textId="5261AC84" w:rsidR="0051041D" w:rsidRPr="00257D98" w:rsidRDefault="0051041D" w:rsidP="007B454A">
      <w:pPr>
        <w:spacing w:after="0"/>
        <w:rPr>
          <w:rFonts w:cstheme="minorHAnsi"/>
          <w:b/>
          <w:color w:val="0000FF"/>
        </w:rPr>
      </w:pPr>
      <w:r w:rsidRPr="007B454A">
        <w:rPr>
          <w:rFonts w:cstheme="minorHAnsi"/>
          <w:b/>
          <w:color w:val="0000FF"/>
        </w:rPr>
        <w:t xml:space="preserve">Table </w:t>
      </w:r>
      <w:r w:rsidR="00360220" w:rsidRPr="007B454A">
        <w:rPr>
          <w:rFonts w:cstheme="minorHAnsi"/>
          <w:b/>
          <w:color w:val="0000FF"/>
        </w:rPr>
        <w:t>10</w:t>
      </w:r>
      <w:r w:rsidRPr="007B454A">
        <w:rPr>
          <w:rFonts w:cstheme="minorHAnsi"/>
          <w:b/>
          <w:color w:val="0000FF"/>
        </w:rPr>
        <w:t>. Percent of IRF with Stroke Rehabilitation Disease Specific Certification by Computed Performance Measure Score (CY 2017) Quintiles (n = 1,117)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697"/>
        <w:gridCol w:w="2698"/>
      </w:tblGrid>
      <w:tr w:rsidR="0051041D" w:rsidRPr="00257D98" w14:paraId="17DCA485" w14:textId="77777777" w:rsidTr="002B012F">
        <w:tc>
          <w:tcPr>
            <w:tcW w:w="3240" w:type="dxa"/>
            <w:tcBorders>
              <w:top w:val="single" w:sz="8" w:space="0" w:color="auto"/>
              <w:bottom w:val="single" w:sz="8" w:space="0" w:color="auto"/>
            </w:tcBorders>
            <w:vAlign w:val="center"/>
          </w:tcPr>
          <w:p w14:paraId="2A9DA621" w14:textId="77777777" w:rsidR="0051041D" w:rsidRPr="00F40534" w:rsidRDefault="0051041D" w:rsidP="002B012F">
            <w:pPr>
              <w:pStyle w:val="NoSpacing"/>
              <w:rPr>
                <w:rFonts w:asciiTheme="minorHAnsi" w:hAnsiTheme="minorHAnsi" w:cstheme="minorHAnsi"/>
                <w:b/>
                <w:color w:val="0000FF"/>
              </w:rPr>
            </w:pPr>
            <w:r w:rsidRPr="00F40534">
              <w:rPr>
                <w:rFonts w:asciiTheme="minorHAnsi" w:hAnsiTheme="minorHAnsi" w:cstheme="minorHAnsi"/>
                <w:b/>
                <w:color w:val="0000FF"/>
              </w:rPr>
              <w:t xml:space="preserve">Quintile Group Based on Performance Measure Score: </w:t>
            </w:r>
          </w:p>
          <w:p w14:paraId="7CFB13E8" w14:textId="77777777" w:rsidR="0051041D" w:rsidRPr="00F40534" w:rsidRDefault="0051041D" w:rsidP="002B012F">
            <w:pPr>
              <w:pStyle w:val="NoSpacing"/>
              <w:rPr>
                <w:rFonts w:asciiTheme="minorHAnsi" w:hAnsiTheme="minorHAnsi" w:cstheme="minorHAnsi"/>
                <w:b/>
                <w:color w:val="0000FF"/>
              </w:rPr>
            </w:pPr>
            <w:r w:rsidRPr="00F40534">
              <w:rPr>
                <w:rFonts w:asciiTheme="minorHAnsi" w:hAnsiTheme="minorHAnsi" w:cstheme="minorHAnsi"/>
                <w:b/>
                <w:color w:val="0000FF"/>
              </w:rPr>
              <w:t xml:space="preserve">Best to Worst </w:t>
            </w:r>
          </w:p>
        </w:tc>
        <w:tc>
          <w:tcPr>
            <w:tcW w:w="5395" w:type="dxa"/>
            <w:gridSpan w:val="2"/>
            <w:tcBorders>
              <w:top w:val="single" w:sz="8" w:space="0" w:color="auto"/>
              <w:bottom w:val="single" w:sz="8" w:space="0" w:color="auto"/>
            </w:tcBorders>
          </w:tcPr>
          <w:p w14:paraId="473795E7"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 xml:space="preserve">Stroke Rehabilitation </w:t>
            </w:r>
          </w:p>
          <w:p w14:paraId="3A7EAB0A"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 xml:space="preserve">Disease Specific Certification Status </w:t>
            </w:r>
          </w:p>
          <w:p w14:paraId="28747C98" w14:textId="3C4CB524"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(2017)</w:t>
            </w:r>
            <w:r w:rsidR="00257D98">
              <w:rPr>
                <w:rFonts w:asciiTheme="minorHAnsi" w:hAnsiTheme="minorHAnsi" w:cstheme="minorHAnsi"/>
                <w:b/>
                <w:color w:val="0000FF"/>
              </w:rPr>
              <w:t>*</w:t>
            </w:r>
          </w:p>
        </w:tc>
      </w:tr>
      <w:tr w:rsidR="0051041D" w:rsidRPr="00586CA4" w14:paraId="5A898D1A" w14:textId="77777777" w:rsidTr="002B012F">
        <w:tc>
          <w:tcPr>
            <w:tcW w:w="3240" w:type="dxa"/>
            <w:tcBorders>
              <w:top w:val="single" w:sz="8" w:space="0" w:color="auto"/>
              <w:bottom w:val="single" w:sz="8" w:space="0" w:color="auto"/>
            </w:tcBorders>
            <w:vAlign w:val="center"/>
          </w:tcPr>
          <w:p w14:paraId="06A038DE" w14:textId="77777777" w:rsidR="0051041D" w:rsidRPr="00586CA4" w:rsidRDefault="0051041D" w:rsidP="002B012F">
            <w:pPr>
              <w:pStyle w:val="NoSpacing"/>
              <w:rPr>
                <w:rFonts w:asciiTheme="minorHAnsi" w:hAnsiTheme="minorHAnsi" w:cstheme="minorHAnsi"/>
                <w:color w:val="0000FF"/>
              </w:rPr>
            </w:pPr>
          </w:p>
        </w:tc>
        <w:tc>
          <w:tcPr>
            <w:tcW w:w="2697" w:type="dxa"/>
            <w:tcBorders>
              <w:top w:val="single" w:sz="8" w:space="0" w:color="auto"/>
              <w:bottom w:val="single" w:sz="8" w:space="0" w:color="auto"/>
            </w:tcBorders>
          </w:tcPr>
          <w:p w14:paraId="4BB2591D"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No</w:t>
            </w:r>
          </w:p>
          <w:p w14:paraId="14119DC8"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(n=941)</w:t>
            </w:r>
          </w:p>
        </w:tc>
        <w:tc>
          <w:tcPr>
            <w:tcW w:w="2698" w:type="dxa"/>
            <w:tcBorders>
              <w:top w:val="single" w:sz="8" w:space="0" w:color="auto"/>
              <w:bottom w:val="single" w:sz="8" w:space="0" w:color="auto"/>
            </w:tcBorders>
          </w:tcPr>
          <w:p w14:paraId="02DEB8E2"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Yes</w:t>
            </w:r>
          </w:p>
          <w:p w14:paraId="3567648F" w14:textId="77777777" w:rsidR="0051041D" w:rsidRPr="00F40534" w:rsidRDefault="0051041D" w:rsidP="002B012F">
            <w:pPr>
              <w:pStyle w:val="NoSpacing"/>
              <w:jc w:val="center"/>
              <w:rPr>
                <w:rFonts w:asciiTheme="minorHAnsi" w:hAnsiTheme="minorHAnsi" w:cstheme="minorHAnsi"/>
                <w:b/>
                <w:color w:val="0000FF"/>
              </w:rPr>
            </w:pPr>
            <w:r w:rsidRPr="00F40534">
              <w:rPr>
                <w:rFonts w:asciiTheme="minorHAnsi" w:hAnsiTheme="minorHAnsi" w:cstheme="minorHAnsi"/>
                <w:b/>
                <w:color w:val="0000FF"/>
              </w:rPr>
              <w:t>(n=176)</w:t>
            </w:r>
          </w:p>
        </w:tc>
      </w:tr>
      <w:tr w:rsidR="00F21176" w:rsidRPr="00586CA4" w14:paraId="6F0C93A1" w14:textId="77777777" w:rsidTr="00F40534">
        <w:tc>
          <w:tcPr>
            <w:tcW w:w="3240" w:type="dxa"/>
            <w:tcBorders>
              <w:top w:val="single" w:sz="8" w:space="0" w:color="auto"/>
            </w:tcBorders>
            <w:vAlign w:val="center"/>
          </w:tcPr>
          <w:p w14:paraId="69F71667"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Quintile 5: 32.3-46.7</w:t>
            </w:r>
          </w:p>
          <w:p w14:paraId="47236634"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(best performance scores)</w:t>
            </w:r>
          </w:p>
        </w:tc>
        <w:tc>
          <w:tcPr>
            <w:tcW w:w="2697" w:type="dxa"/>
            <w:tcBorders>
              <w:top w:val="single" w:sz="8" w:space="0" w:color="auto"/>
            </w:tcBorders>
            <w:vAlign w:val="bottom"/>
          </w:tcPr>
          <w:p w14:paraId="3414AB3D" w14:textId="1489B5C8"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169 (</w:t>
            </w:r>
            <w:r w:rsidR="00CB7CAC" w:rsidRPr="00F40534">
              <w:rPr>
                <w:rFonts w:asciiTheme="minorHAnsi" w:hAnsiTheme="minorHAnsi" w:cstheme="minorHAnsi"/>
                <w:color w:val="0000FF"/>
              </w:rPr>
              <w:t>18.0</w:t>
            </w:r>
            <w:r w:rsidRPr="00F40534">
              <w:rPr>
                <w:rFonts w:asciiTheme="minorHAnsi" w:hAnsiTheme="minorHAnsi" w:cstheme="minorHAnsi"/>
                <w:color w:val="0000FF"/>
              </w:rPr>
              <w:t>%)</w:t>
            </w:r>
          </w:p>
        </w:tc>
        <w:tc>
          <w:tcPr>
            <w:tcW w:w="2698" w:type="dxa"/>
            <w:tcBorders>
              <w:top w:val="single" w:sz="8" w:space="0" w:color="auto"/>
            </w:tcBorders>
            <w:vAlign w:val="bottom"/>
          </w:tcPr>
          <w:p w14:paraId="17FA0E8A" w14:textId="2852BB10"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57 (</w:t>
            </w:r>
            <w:r w:rsidR="007E7448" w:rsidRPr="00F40534">
              <w:rPr>
                <w:rFonts w:asciiTheme="minorHAnsi" w:hAnsiTheme="minorHAnsi" w:cstheme="minorHAnsi"/>
                <w:color w:val="0000FF"/>
              </w:rPr>
              <w:t>32.4</w:t>
            </w:r>
            <w:r w:rsidRPr="00F40534">
              <w:rPr>
                <w:rFonts w:asciiTheme="minorHAnsi" w:hAnsiTheme="minorHAnsi" w:cstheme="minorHAnsi"/>
                <w:color w:val="0000FF"/>
              </w:rPr>
              <w:t>%)</w:t>
            </w:r>
          </w:p>
        </w:tc>
      </w:tr>
      <w:tr w:rsidR="00F21176" w:rsidRPr="00586CA4" w14:paraId="5E1C5D0F" w14:textId="77777777" w:rsidTr="00F40534">
        <w:tc>
          <w:tcPr>
            <w:tcW w:w="3240" w:type="dxa"/>
            <w:vAlign w:val="center"/>
          </w:tcPr>
          <w:p w14:paraId="50887CFA"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Quintile 4: 29.2-32.3</w:t>
            </w:r>
          </w:p>
        </w:tc>
        <w:tc>
          <w:tcPr>
            <w:tcW w:w="2697" w:type="dxa"/>
            <w:vAlign w:val="bottom"/>
          </w:tcPr>
          <w:p w14:paraId="1F2F5578" w14:textId="73DFD2EB"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174 (</w:t>
            </w:r>
            <w:r w:rsidR="007E7448" w:rsidRPr="00F40534">
              <w:rPr>
                <w:rFonts w:asciiTheme="minorHAnsi" w:hAnsiTheme="minorHAnsi" w:cstheme="minorHAnsi"/>
                <w:color w:val="0000FF"/>
              </w:rPr>
              <w:t>18.5</w:t>
            </w:r>
            <w:r w:rsidRPr="00F40534">
              <w:rPr>
                <w:rFonts w:asciiTheme="minorHAnsi" w:hAnsiTheme="minorHAnsi" w:cstheme="minorHAnsi"/>
                <w:color w:val="0000FF"/>
              </w:rPr>
              <w:t>%)</w:t>
            </w:r>
          </w:p>
        </w:tc>
        <w:tc>
          <w:tcPr>
            <w:tcW w:w="2698" w:type="dxa"/>
            <w:vAlign w:val="bottom"/>
          </w:tcPr>
          <w:p w14:paraId="75EE9D7B" w14:textId="0AC4B415"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42 (</w:t>
            </w:r>
            <w:r w:rsidR="007E7448" w:rsidRPr="00F40534">
              <w:rPr>
                <w:rFonts w:asciiTheme="minorHAnsi" w:hAnsiTheme="minorHAnsi" w:cstheme="minorHAnsi"/>
                <w:color w:val="0000FF"/>
              </w:rPr>
              <w:t>23.9</w:t>
            </w:r>
            <w:r w:rsidRPr="00F40534">
              <w:rPr>
                <w:rFonts w:asciiTheme="minorHAnsi" w:hAnsiTheme="minorHAnsi" w:cstheme="minorHAnsi"/>
                <w:color w:val="0000FF"/>
              </w:rPr>
              <w:t>%)</w:t>
            </w:r>
          </w:p>
        </w:tc>
      </w:tr>
      <w:tr w:rsidR="00F21176" w:rsidRPr="00586CA4" w14:paraId="5E0DB196" w14:textId="77777777" w:rsidTr="00F40534">
        <w:tc>
          <w:tcPr>
            <w:tcW w:w="3240" w:type="dxa"/>
            <w:vAlign w:val="center"/>
          </w:tcPr>
          <w:p w14:paraId="012AFF84"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Quintile 3: 27- 29.2</w:t>
            </w:r>
          </w:p>
        </w:tc>
        <w:tc>
          <w:tcPr>
            <w:tcW w:w="2697" w:type="dxa"/>
            <w:vAlign w:val="bottom"/>
          </w:tcPr>
          <w:p w14:paraId="6999101E" w14:textId="45F8E87A"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191 (</w:t>
            </w:r>
            <w:r w:rsidR="007E7448" w:rsidRPr="00F40534">
              <w:rPr>
                <w:rFonts w:asciiTheme="minorHAnsi" w:hAnsiTheme="minorHAnsi" w:cstheme="minorHAnsi"/>
                <w:color w:val="0000FF"/>
              </w:rPr>
              <w:t>20.3</w:t>
            </w:r>
            <w:r w:rsidRPr="00F40534">
              <w:rPr>
                <w:rFonts w:asciiTheme="minorHAnsi" w:hAnsiTheme="minorHAnsi" w:cstheme="minorHAnsi"/>
                <w:color w:val="0000FF"/>
              </w:rPr>
              <w:t>%)</w:t>
            </w:r>
          </w:p>
        </w:tc>
        <w:tc>
          <w:tcPr>
            <w:tcW w:w="2698" w:type="dxa"/>
            <w:vAlign w:val="bottom"/>
          </w:tcPr>
          <w:p w14:paraId="300C2C56" w14:textId="6086342B"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35 (</w:t>
            </w:r>
            <w:r w:rsidR="007E7448" w:rsidRPr="00F40534">
              <w:rPr>
                <w:rFonts w:asciiTheme="minorHAnsi" w:hAnsiTheme="minorHAnsi" w:cstheme="minorHAnsi"/>
                <w:color w:val="0000FF"/>
              </w:rPr>
              <w:t>19.9</w:t>
            </w:r>
            <w:r w:rsidRPr="00F40534">
              <w:rPr>
                <w:rFonts w:asciiTheme="minorHAnsi" w:hAnsiTheme="minorHAnsi" w:cstheme="minorHAnsi"/>
                <w:color w:val="0000FF"/>
              </w:rPr>
              <w:t>%)</w:t>
            </w:r>
          </w:p>
        </w:tc>
      </w:tr>
      <w:tr w:rsidR="00F21176" w:rsidRPr="00586CA4" w14:paraId="7D4BBAF0" w14:textId="77777777" w:rsidTr="00F40534">
        <w:tc>
          <w:tcPr>
            <w:tcW w:w="3240" w:type="dxa"/>
            <w:vAlign w:val="center"/>
          </w:tcPr>
          <w:p w14:paraId="4E62B93C"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Quintile 2: 24.5- 27.0</w:t>
            </w:r>
          </w:p>
        </w:tc>
        <w:tc>
          <w:tcPr>
            <w:tcW w:w="2697" w:type="dxa"/>
            <w:vAlign w:val="bottom"/>
          </w:tcPr>
          <w:p w14:paraId="3C69024C" w14:textId="79F3FD4B"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194 (</w:t>
            </w:r>
            <w:r w:rsidR="007E7448" w:rsidRPr="00F40534">
              <w:rPr>
                <w:rFonts w:asciiTheme="minorHAnsi" w:hAnsiTheme="minorHAnsi" w:cstheme="minorHAnsi"/>
                <w:color w:val="0000FF"/>
              </w:rPr>
              <w:t>20.6</w:t>
            </w:r>
            <w:r w:rsidRPr="00F40534">
              <w:rPr>
                <w:rFonts w:asciiTheme="minorHAnsi" w:hAnsiTheme="minorHAnsi" w:cstheme="minorHAnsi"/>
                <w:color w:val="0000FF"/>
              </w:rPr>
              <w:t>%)</w:t>
            </w:r>
          </w:p>
        </w:tc>
        <w:tc>
          <w:tcPr>
            <w:tcW w:w="2698" w:type="dxa"/>
            <w:vAlign w:val="bottom"/>
          </w:tcPr>
          <w:p w14:paraId="2389ECBC" w14:textId="2E863BDB"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30 (</w:t>
            </w:r>
            <w:r w:rsidR="007E7448" w:rsidRPr="00F40534">
              <w:rPr>
                <w:rFonts w:asciiTheme="minorHAnsi" w:hAnsiTheme="minorHAnsi" w:cstheme="minorHAnsi"/>
                <w:color w:val="0000FF"/>
              </w:rPr>
              <w:t>17.0</w:t>
            </w:r>
            <w:r w:rsidRPr="00F40534">
              <w:rPr>
                <w:rFonts w:asciiTheme="minorHAnsi" w:hAnsiTheme="minorHAnsi" w:cstheme="minorHAnsi"/>
                <w:color w:val="0000FF"/>
              </w:rPr>
              <w:t>%)</w:t>
            </w:r>
          </w:p>
        </w:tc>
      </w:tr>
      <w:tr w:rsidR="00F21176" w:rsidRPr="00586CA4" w14:paraId="3619ECCC" w14:textId="77777777" w:rsidTr="00F40534">
        <w:tc>
          <w:tcPr>
            <w:tcW w:w="3240" w:type="dxa"/>
            <w:tcBorders>
              <w:bottom w:val="single" w:sz="8" w:space="0" w:color="auto"/>
            </w:tcBorders>
            <w:vAlign w:val="center"/>
          </w:tcPr>
          <w:p w14:paraId="5D4F96CD"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Quintile 1: 13.3-24.5</w:t>
            </w:r>
          </w:p>
          <w:p w14:paraId="51591C00" w14:textId="77777777" w:rsidR="00F21176" w:rsidRPr="00586CA4" w:rsidRDefault="00F21176" w:rsidP="00F21176">
            <w:pPr>
              <w:pStyle w:val="NoSpacing"/>
              <w:rPr>
                <w:rFonts w:asciiTheme="minorHAnsi" w:hAnsiTheme="minorHAnsi" w:cstheme="minorHAnsi"/>
                <w:color w:val="0000FF"/>
              </w:rPr>
            </w:pPr>
            <w:r w:rsidRPr="00586CA4">
              <w:rPr>
                <w:rFonts w:asciiTheme="minorHAnsi" w:hAnsiTheme="minorHAnsi" w:cstheme="minorHAnsi"/>
                <w:color w:val="0000FF"/>
              </w:rPr>
              <w:t>(worst performance scores)</w:t>
            </w:r>
          </w:p>
        </w:tc>
        <w:tc>
          <w:tcPr>
            <w:tcW w:w="2697" w:type="dxa"/>
            <w:tcBorders>
              <w:bottom w:val="single" w:sz="8" w:space="0" w:color="auto"/>
            </w:tcBorders>
            <w:vAlign w:val="bottom"/>
          </w:tcPr>
          <w:p w14:paraId="62940A8F" w14:textId="682DEB0B"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213 (</w:t>
            </w:r>
            <w:r w:rsidR="007E7448" w:rsidRPr="00F40534">
              <w:rPr>
                <w:rFonts w:asciiTheme="minorHAnsi" w:hAnsiTheme="minorHAnsi" w:cstheme="minorHAnsi"/>
                <w:color w:val="0000FF"/>
              </w:rPr>
              <w:t>22.6</w:t>
            </w:r>
            <w:r w:rsidRPr="00F40534">
              <w:rPr>
                <w:rFonts w:asciiTheme="minorHAnsi" w:hAnsiTheme="minorHAnsi" w:cstheme="minorHAnsi"/>
                <w:color w:val="0000FF"/>
              </w:rPr>
              <w:t>%)</w:t>
            </w:r>
          </w:p>
        </w:tc>
        <w:tc>
          <w:tcPr>
            <w:tcW w:w="2698" w:type="dxa"/>
            <w:tcBorders>
              <w:bottom w:val="single" w:sz="8" w:space="0" w:color="auto"/>
            </w:tcBorders>
            <w:vAlign w:val="bottom"/>
          </w:tcPr>
          <w:p w14:paraId="6465F2A1" w14:textId="2141621A" w:rsidR="00F21176" w:rsidRPr="00F40534" w:rsidRDefault="00F21176" w:rsidP="00F21176">
            <w:pPr>
              <w:pStyle w:val="NoSpacing"/>
              <w:jc w:val="center"/>
              <w:rPr>
                <w:rFonts w:asciiTheme="minorHAnsi" w:hAnsiTheme="minorHAnsi" w:cstheme="minorHAnsi"/>
                <w:color w:val="0000FF"/>
              </w:rPr>
            </w:pPr>
            <w:r w:rsidRPr="00F40534">
              <w:rPr>
                <w:rFonts w:asciiTheme="minorHAnsi" w:hAnsiTheme="minorHAnsi" w:cstheme="minorHAnsi"/>
                <w:color w:val="0000FF"/>
              </w:rPr>
              <w:t>12 (</w:t>
            </w:r>
            <w:r w:rsidR="007E7448" w:rsidRPr="00F40534">
              <w:rPr>
                <w:rFonts w:asciiTheme="minorHAnsi" w:hAnsiTheme="minorHAnsi" w:cstheme="minorHAnsi"/>
                <w:color w:val="0000FF"/>
              </w:rPr>
              <w:t>6.8</w:t>
            </w:r>
            <w:r w:rsidRPr="00F40534">
              <w:rPr>
                <w:rFonts w:asciiTheme="minorHAnsi" w:hAnsiTheme="minorHAnsi" w:cstheme="minorHAnsi"/>
                <w:color w:val="0000FF"/>
              </w:rPr>
              <w:t>%)</w:t>
            </w:r>
          </w:p>
        </w:tc>
      </w:tr>
    </w:tbl>
    <w:p w14:paraId="0651302C" w14:textId="3A8FDFEF" w:rsidR="007B454A" w:rsidRDefault="007B454A" w:rsidP="007B454A">
      <w:pPr>
        <w:pStyle w:val="NoSpacing"/>
        <w:contextualSpacing/>
        <w:jc w:val="both"/>
        <w:rPr>
          <w:rFonts w:asciiTheme="minorHAnsi" w:hAnsiTheme="minorHAnsi" w:cstheme="minorHAnsi"/>
          <w:color w:val="0000FF"/>
          <w:sz w:val="20"/>
          <w:szCs w:val="20"/>
        </w:rPr>
      </w:pPr>
      <w:r w:rsidRPr="00896A20">
        <w:rPr>
          <w:rFonts w:asciiTheme="minorHAnsi" w:hAnsiTheme="minorHAnsi" w:cstheme="minorHAnsi"/>
          <w:color w:val="0000FF"/>
          <w:sz w:val="20"/>
          <w:szCs w:val="20"/>
        </w:rPr>
        <w:t>Note: Providers with &lt;20 stays during the 12-month testing period are excluded from facility-level analyses.</w:t>
      </w:r>
    </w:p>
    <w:p w14:paraId="3C8E940A" w14:textId="6790E276" w:rsidR="00F21176" w:rsidRPr="00896A20" w:rsidRDefault="00257D98" w:rsidP="007B454A">
      <w:pPr>
        <w:pStyle w:val="NoSpacing"/>
        <w:contextualSpacing/>
        <w:jc w:val="both"/>
        <w:rPr>
          <w:rFonts w:cstheme="minorHAnsi"/>
          <w:color w:val="0000FF"/>
          <w:sz w:val="20"/>
          <w:szCs w:val="20"/>
        </w:rPr>
      </w:pPr>
      <w:r>
        <w:rPr>
          <w:rFonts w:asciiTheme="minorHAnsi" w:hAnsiTheme="minorHAnsi" w:cstheme="minorHAnsi"/>
          <w:color w:val="0000FF"/>
          <w:sz w:val="20"/>
          <w:szCs w:val="20"/>
        </w:rPr>
        <w:t>*Chi square test results: p &lt; .0001</w:t>
      </w:r>
    </w:p>
    <w:p w14:paraId="73B1ACFF" w14:textId="6860036B" w:rsidR="007B454A" w:rsidRDefault="007B454A" w:rsidP="007B454A">
      <w:pPr>
        <w:pStyle w:val="NoSpacing"/>
        <w:contextualSpacing/>
        <w:jc w:val="both"/>
        <w:rPr>
          <w:rFonts w:asciiTheme="minorHAnsi" w:hAnsiTheme="minorHAnsi" w:cstheme="minorHAnsi"/>
          <w:color w:val="0000FF"/>
          <w:sz w:val="20"/>
          <w:szCs w:val="20"/>
        </w:rPr>
      </w:pPr>
      <w:r w:rsidRPr="003C1C70">
        <w:rPr>
          <w:rFonts w:asciiTheme="minorHAnsi" w:hAnsiTheme="minorHAnsi" w:cstheme="minorHAnsi"/>
          <w:color w:val="0000FF"/>
          <w:sz w:val="20"/>
          <w:szCs w:val="20"/>
        </w:rPr>
        <w:t xml:space="preserve">Source: RTI analysis of IRF-PAI, January – December 2017. </w:t>
      </w:r>
      <w:r w:rsidRPr="00B915C7">
        <w:rPr>
          <w:rFonts w:asciiTheme="minorHAnsi" w:hAnsiTheme="minorHAnsi" w:cstheme="minorHAnsi"/>
          <w:color w:val="0000FF"/>
          <w:sz w:val="20"/>
          <w:szCs w:val="20"/>
        </w:rPr>
        <w:t xml:space="preserve">(Program reference: </w:t>
      </w:r>
      <w:r w:rsidR="00257D98">
        <w:rPr>
          <w:rFonts w:asciiTheme="minorHAnsi" w:hAnsiTheme="minorHAnsi" w:cstheme="minorHAnsi"/>
          <w:color w:val="0000FF"/>
          <w:sz w:val="20"/>
          <w:szCs w:val="20"/>
        </w:rPr>
        <w:t xml:space="preserve"> AD01</w:t>
      </w:r>
      <w:r w:rsidRPr="00B915C7">
        <w:rPr>
          <w:rFonts w:asciiTheme="minorHAnsi" w:hAnsiTheme="minorHAnsi" w:cstheme="minorHAnsi"/>
          <w:color w:val="0000FF"/>
          <w:sz w:val="20"/>
          <w:szCs w:val="20"/>
        </w:rPr>
        <w:t>)</w:t>
      </w:r>
    </w:p>
    <w:p w14:paraId="7C1AF9E9" w14:textId="77777777" w:rsidR="009803CA" w:rsidRPr="009803CA" w:rsidRDefault="009803CA" w:rsidP="00092566">
      <w:pPr>
        <w:autoSpaceDE w:val="0"/>
        <w:autoSpaceDN w:val="0"/>
        <w:adjustRightInd w:val="0"/>
        <w:spacing w:after="0" w:line="240" w:lineRule="auto"/>
        <w:rPr>
          <w:rFonts w:cstheme="minorHAnsi"/>
          <w:bCs/>
        </w:rPr>
      </w:pPr>
    </w:p>
    <w:p w14:paraId="0CABCFDF" w14:textId="0DFF8188" w:rsidR="007422FD"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68660C8A" w14:textId="77777777" w:rsidR="00155D7A" w:rsidRDefault="009803CA" w:rsidP="00D77E49">
      <w:pPr>
        <w:autoSpaceDE w:val="0"/>
        <w:autoSpaceDN w:val="0"/>
        <w:adjustRightInd w:val="0"/>
        <w:spacing w:after="0" w:line="240" w:lineRule="auto"/>
        <w:rPr>
          <w:rFonts w:eastAsia="Calibri" w:cs="Times New Roman"/>
          <w:color w:val="0000FF"/>
        </w:rPr>
      </w:pPr>
      <w:r w:rsidRPr="004602C8">
        <w:rPr>
          <w:rFonts w:eastAsia="Calibri" w:cs="Times New Roman"/>
          <w:color w:val="0000FF"/>
        </w:rPr>
        <w:t xml:space="preserve">The activities </w:t>
      </w:r>
      <w:bookmarkStart w:id="68" w:name="_Hlk534616180"/>
      <w:r w:rsidR="001D1009">
        <w:rPr>
          <w:rFonts w:eastAsia="Calibri" w:cs="Times New Roman"/>
          <w:color w:val="0000FF"/>
        </w:rPr>
        <w:t xml:space="preserve">(data elements) </w:t>
      </w:r>
      <w:bookmarkEnd w:id="68"/>
      <w:r w:rsidRPr="004602C8">
        <w:rPr>
          <w:rFonts w:eastAsia="Calibri" w:cs="Times New Roman"/>
          <w:color w:val="0000FF"/>
        </w:rPr>
        <w:t xml:space="preserve">included in the </w:t>
      </w:r>
      <w:r w:rsidR="00CE7B6A">
        <w:rPr>
          <w:rFonts w:eastAsia="Calibri" w:cs="Times New Roman"/>
          <w:color w:val="0000FF"/>
        </w:rPr>
        <w:t xml:space="preserve">Section GG </w:t>
      </w:r>
      <w:r>
        <w:rPr>
          <w:rFonts w:eastAsia="Calibri" w:cs="Times New Roman"/>
          <w:color w:val="0000FF"/>
        </w:rPr>
        <w:t>mobility</w:t>
      </w:r>
      <w:r w:rsidRPr="004602C8">
        <w:rPr>
          <w:rFonts w:eastAsia="Calibri" w:cs="Times New Roman"/>
          <w:color w:val="0000FF"/>
        </w:rPr>
        <w:t xml:space="preserve"> scale</w:t>
      </w:r>
      <w:r w:rsidR="00E94725">
        <w:rPr>
          <w:rFonts w:eastAsia="Calibri" w:cs="Times New Roman"/>
          <w:color w:val="0000FF"/>
        </w:rPr>
        <w:t>/instrument</w:t>
      </w:r>
      <w:r w:rsidRPr="004602C8">
        <w:rPr>
          <w:rFonts w:eastAsia="Calibri" w:cs="Times New Roman"/>
          <w:color w:val="0000FF"/>
        </w:rPr>
        <w:t xml:space="preserve"> </w:t>
      </w:r>
      <w:r w:rsidR="003E5800">
        <w:rPr>
          <w:rFonts w:eastAsia="Calibri" w:cs="Times New Roman"/>
          <w:color w:val="0000FF"/>
        </w:rPr>
        <w:t xml:space="preserve">cover a wide range of patient functioning and key </w:t>
      </w:r>
      <w:r w:rsidR="00CE7B6A">
        <w:rPr>
          <w:rFonts w:eastAsia="Calibri" w:cs="Times New Roman"/>
          <w:color w:val="0000FF"/>
        </w:rPr>
        <w:t>activities</w:t>
      </w:r>
      <w:r w:rsidRPr="004602C8">
        <w:rPr>
          <w:rFonts w:eastAsia="Calibri" w:cs="Times New Roman"/>
          <w:color w:val="0000FF"/>
        </w:rPr>
        <w:t xml:space="preserve"> </w:t>
      </w:r>
      <w:r>
        <w:rPr>
          <w:rFonts w:eastAsia="Calibri" w:cs="Times New Roman"/>
          <w:color w:val="0000FF"/>
        </w:rPr>
        <w:t xml:space="preserve">included in many other </w:t>
      </w:r>
      <w:r w:rsidRPr="004602C8">
        <w:rPr>
          <w:rFonts w:eastAsia="Calibri" w:cs="Times New Roman"/>
          <w:color w:val="0000FF"/>
        </w:rPr>
        <w:t>functional assessment instruments</w:t>
      </w:r>
      <w:r>
        <w:rPr>
          <w:rFonts w:eastAsia="Calibri" w:cs="Times New Roman"/>
          <w:color w:val="0000FF"/>
        </w:rPr>
        <w:t>, supporting content validity of the scale</w:t>
      </w:r>
      <w:r w:rsidRPr="004602C8">
        <w:rPr>
          <w:rFonts w:eastAsia="Calibri" w:cs="Times New Roman"/>
          <w:color w:val="0000FF"/>
        </w:rPr>
        <w:t xml:space="preserve">. </w:t>
      </w:r>
      <w:r>
        <w:rPr>
          <w:rFonts w:eastAsia="Calibri" w:cs="Times New Roman"/>
          <w:color w:val="0000FF"/>
        </w:rPr>
        <w:t xml:space="preserve"> </w:t>
      </w:r>
    </w:p>
    <w:p w14:paraId="34CF6CD3" w14:textId="77777777" w:rsidR="00155D7A" w:rsidRDefault="00155D7A" w:rsidP="00D77E49">
      <w:pPr>
        <w:autoSpaceDE w:val="0"/>
        <w:autoSpaceDN w:val="0"/>
        <w:adjustRightInd w:val="0"/>
        <w:spacing w:after="0" w:line="240" w:lineRule="auto"/>
        <w:rPr>
          <w:rFonts w:eastAsia="Calibri" w:cs="Times New Roman"/>
          <w:color w:val="0000FF"/>
        </w:rPr>
      </w:pPr>
    </w:p>
    <w:p w14:paraId="148E9D6B" w14:textId="35B650D2" w:rsidR="00155D7A" w:rsidRDefault="00155D7A" w:rsidP="00155D7A">
      <w:pPr>
        <w:autoSpaceDE w:val="0"/>
        <w:autoSpaceDN w:val="0"/>
        <w:adjustRightInd w:val="0"/>
        <w:spacing w:after="0" w:line="240" w:lineRule="auto"/>
        <w:rPr>
          <w:rFonts w:eastAsia="Calibri" w:cs="Times New Roman"/>
          <w:color w:val="0000FF"/>
        </w:rPr>
      </w:pPr>
      <w:r w:rsidRPr="00F40534">
        <w:rPr>
          <w:rFonts w:eastAsia="Calibri" w:cs="Times New Roman"/>
          <w:color w:val="0000FF"/>
        </w:rPr>
        <w:t xml:space="preserve">Prior to their participation in the TEP, the panel members were surveyed on their initial perceptions of the Change in </w:t>
      </w:r>
      <w:r>
        <w:rPr>
          <w:rFonts w:eastAsia="Calibri" w:cs="Times New Roman"/>
          <w:color w:val="0000FF"/>
        </w:rPr>
        <w:t>Mobility</w:t>
      </w:r>
      <w:r w:rsidRPr="00F40534">
        <w:rPr>
          <w:rFonts w:eastAsia="Calibri" w:cs="Times New Roman"/>
          <w:color w:val="0000FF"/>
        </w:rPr>
        <w:t xml:space="preserve"> performance measure. Most experts convened indicated the performance measure was important, scientifically sound, and able to be used by providers, patients, and the general public.</w:t>
      </w:r>
      <w:r>
        <w:rPr>
          <w:rFonts w:eastAsia="Calibri" w:cs="Times New Roman"/>
          <w:color w:val="0000FF"/>
        </w:rPr>
        <w:t xml:space="preserve"> </w:t>
      </w:r>
    </w:p>
    <w:p w14:paraId="267E5470" w14:textId="2DFBED68" w:rsidR="00CE7B6A" w:rsidRDefault="009803CA" w:rsidP="00D77E49">
      <w:pPr>
        <w:autoSpaceDE w:val="0"/>
        <w:autoSpaceDN w:val="0"/>
        <w:adjustRightInd w:val="0"/>
        <w:spacing w:after="0" w:line="240" w:lineRule="auto"/>
        <w:rPr>
          <w:rFonts w:eastAsia="Calibri" w:cs="Times New Roman"/>
          <w:color w:val="0000FF"/>
        </w:rPr>
      </w:pPr>
      <w:r>
        <w:rPr>
          <w:rFonts w:eastAsia="Calibri" w:cs="Times New Roman"/>
          <w:color w:val="0000FF"/>
        </w:rPr>
        <w:t xml:space="preserve">We found that patients who had higher </w:t>
      </w:r>
      <w:r w:rsidR="00CE7B6A">
        <w:rPr>
          <w:rFonts w:eastAsia="Calibri" w:cs="Times New Roman"/>
          <w:color w:val="0000FF"/>
        </w:rPr>
        <w:t xml:space="preserve">observed </w:t>
      </w:r>
      <w:r>
        <w:rPr>
          <w:rFonts w:eastAsia="Calibri" w:cs="Times New Roman"/>
          <w:color w:val="0000FF"/>
        </w:rPr>
        <w:t xml:space="preserve">discharge scores </w:t>
      </w:r>
      <w:r w:rsidR="001D1009">
        <w:rPr>
          <w:rFonts w:eastAsia="Calibri" w:cs="Times New Roman"/>
          <w:color w:val="0000FF"/>
        </w:rPr>
        <w:t xml:space="preserve">for </w:t>
      </w:r>
      <w:r>
        <w:rPr>
          <w:rFonts w:eastAsia="Calibri" w:cs="Times New Roman"/>
          <w:color w:val="0000FF"/>
        </w:rPr>
        <w:t xml:space="preserve">the mobility </w:t>
      </w:r>
      <w:r w:rsidR="00CE7B6A">
        <w:rPr>
          <w:rFonts w:eastAsia="Calibri" w:cs="Times New Roman"/>
          <w:color w:val="0000FF"/>
        </w:rPr>
        <w:t>data elements</w:t>
      </w:r>
      <w:r>
        <w:rPr>
          <w:rFonts w:eastAsia="Calibri" w:cs="Times New Roman"/>
          <w:color w:val="0000FF"/>
        </w:rPr>
        <w:t xml:space="preserve"> were more likely to be discharged to the community, as expected</w:t>
      </w:r>
      <w:r w:rsidR="00CE7B6A">
        <w:rPr>
          <w:rFonts w:eastAsia="Calibri" w:cs="Times New Roman"/>
          <w:color w:val="0000FF"/>
        </w:rPr>
        <w:t>. Results also showed that t</w:t>
      </w:r>
      <w:r>
        <w:rPr>
          <w:rFonts w:eastAsia="Calibri" w:cs="Times New Roman"/>
          <w:color w:val="0000FF"/>
        </w:rPr>
        <w:t xml:space="preserve">he mobility </w:t>
      </w:r>
      <w:r w:rsidR="00CE7B6A">
        <w:rPr>
          <w:rFonts w:eastAsia="Calibri" w:cs="Times New Roman"/>
          <w:color w:val="0000FF"/>
        </w:rPr>
        <w:t xml:space="preserve">scale/instrument </w:t>
      </w:r>
      <w:r>
        <w:rPr>
          <w:rFonts w:eastAsia="Calibri" w:cs="Times New Roman"/>
          <w:color w:val="0000FF"/>
        </w:rPr>
        <w:t xml:space="preserve">scores were significantly associated with being discharged to the community. </w:t>
      </w:r>
    </w:p>
    <w:p w14:paraId="2FA4449E" w14:textId="77777777" w:rsidR="00D77E49" w:rsidRDefault="00D77E49" w:rsidP="00D77E49">
      <w:pPr>
        <w:autoSpaceDE w:val="0"/>
        <w:autoSpaceDN w:val="0"/>
        <w:adjustRightInd w:val="0"/>
        <w:spacing w:after="0" w:line="240" w:lineRule="auto"/>
        <w:rPr>
          <w:rFonts w:eastAsia="Calibri" w:cs="Times New Roman"/>
          <w:color w:val="0000FF"/>
        </w:rPr>
      </w:pPr>
    </w:p>
    <w:p w14:paraId="3E4939AC" w14:textId="53AFF311" w:rsidR="009803CA" w:rsidRDefault="009803CA" w:rsidP="00D77E49">
      <w:pPr>
        <w:autoSpaceDE w:val="0"/>
        <w:autoSpaceDN w:val="0"/>
        <w:adjustRightInd w:val="0"/>
        <w:spacing w:after="0" w:line="240" w:lineRule="auto"/>
        <w:rPr>
          <w:rFonts w:eastAsia="Calibri" w:cs="Times New Roman"/>
          <w:color w:val="0000FF"/>
        </w:rPr>
      </w:pPr>
      <w:r>
        <w:rPr>
          <w:rFonts w:eastAsia="Calibri" w:cs="Times New Roman"/>
          <w:color w:val="0000FF"/>
        </w:rPr>
        <w:t>T</w:t>
      </w:r>
      <w:r w:rsidRPr="004602C8">
        <w:rPr>
          <w:rFonts w:eastAsia="Calibri" w:cs="Times New Roman"/>
          <w:color w:val="0000FF"/>
        </w:rPr>
        <w:t xml:space="preserve">he </w:t>
      </w:r>
      <w:r>
        <w:rPr>
          <w:rFonts w:eastAsia="Calibri" w:cs="Times New Roman"/>
          <w:color w:val="0000FF"/>
        </w:rPr>
        <w:t>difficulty order of the mobility</w:t>
      </w:r>
      <w:r w:rsidRPr="004602C8">
        <w:rPr>
          <w:rFonts w:eastAsia="Calibri" w:cs="Times New Roman"/>
          <w:color w:val="0000FF"/>
        </w:rPr>
        <w:t xml:space="preserve"> </w:t>
      </w:r>
      <w:r w:rsidR="001D1009">
        <w:rPr>
          <w:rFonts w:eastAsia="Calibri" w:cs="Times New Roman"/>
          <w:color w:val="0000FF"/>
        </w:rPr>
        <w:t>data elements</w:t>
      </w:r>
      <w:r w:rsidR="001D1009" w:rsidRPr="004602C8">
        <w:rPr>
          <w:rFonts w:eastAsia="Calibri" w:cs="Times New Roman"/>
          <w:color w:val="0000FF"/>
        </w:rPr>
        <w:t xml:space="preserve"> </w:t>
      </w:r>
      <w:r w:rsidRPr="004602C8">
        <w:rPr>
          <w:rFonts w:eastAsia="Calibri" w:cs="Times New Roman"/>
          <w:color w:val="0000FF"/>
        </w:rPr>
        <w:t>makes sense clinically</w:t>
      </w:r>
      <w:r>
        <w:rPr>
          <w:rFonts w:eastAsia="Calibri" w:cs="Times New Roman"/>
          <w:color w:val="0000FF"/>
        </w:rPr>
        <w:t xml:space="preserve"> and are consistent with previous analys</w:t>
      </w:r>
      <w:r w:rsidR="001D1009">
        <w:rPr>
          <w:rFonts w:eastAsia="Calibri" w:cs="Times New Roman"/>
          <w:color w:val="0000FF"/>
        </w:rPr>
        <w:t>e</w:t>
      </w:r>
      <w:r>
        <w:rPr>
          <w:rFonts w:eastAsia="Calibri" w:cs="Times New Roman"/>
          <w:color w:val="0000FF"/>
        </w:rPr>
        <w:t>s of the mobility data and analyses of other functional assessment scales</w:t>
      </w:r>
      <w:r w:rsidR="001D1009">
        <w:rPr>
          <w:rFonts w:eastAsia="Calibri" w:cs="Times New Roman"/>
          <w:color w:val="0000FF"/>
        </w:rPr>
        <w:t>/instruments</w:t>
      </w:r>
      <w:r w:rsidRPr="004602C8">
        <w:rPr>
          <w:rFonts w:eastAsia="Calibri" w:cs="Times New Roman"/>
          <w:color w:val="0000FF"/>
        </w:rPr>
        <w:t xml:space="preserve">. Rasch analysis of the data showed the </w:t>
      </w:r>
      <w:r w:rsidR="00CE7B6A">
        <w:rPr>
          <w:rFonts w:eastAsia="Calibri" w:cs="Times New Roman"/>
          <w:color w:val="0000FF"/>
        </w:rPr>
        <w:t>items</w:t>
      </w:r>
      <w:r w:rsidRPr="004602C8">
        <w:rPr>
          <w:rFonts w:eastAsia="Calibri" w:cs="Times New Roman"/>
          <w:color w:val="0000FF"/>
        </w:rPr>
        <w:t xml:space="preserve"> work well together</w:t>
      </w:r>
      <w:r>
        <w:rPr>
          <w:rFonts w:eastAsia="Calibri" w:cs="Times New Roman"/>
          <w:color w:val="0000FF"/>
        </w:rPr>
        <w:t xml:space="preserve"> to measure the concept of mobility</w:t>
      </w:r>
      <w:r w:rsidRPr="004602C8">
        <w:rPr>
          <w:rFonts w:eastAsia="Calibri" w:cs="Times New Roman"/>
          <w:color w:val="0000FF"/>
        </w:rPr>
        <w:t xml:space="preserve">, with generally good infit and outfit statistics. As expected, for each item, the average </w:t>
      </w:r>
      <w:r w:rsidR="00CE7B6A">
        <w:rPr>
          <w:rFonts w:eastAsia="Calibri" w:cs="Times New Roman"/>
          <w:color w:val="0000FF"/>
        </w:rPr>
        <w:t xml:space="preserve">mobility </w:t>
      </w:r>
      <w:r w:rsidRPr="004602C8">
        <w:rPr>
          <w:rFonts w:eastAsia="Calibri" w:cs="Times New Roman"/>
          <w:color w:val="0000FF"/>
        </w:rPr>
        <w:t xml:space="preserve">ability </w:t>
      </w:r>
      <w:r w:rsidR="00CE7B6A">
        <w:rPr>
          <w:rFonts w:eastAsia="Calibri" w:cs="Times New Roman"/>
          <w:color w:val="0000FF"/>
        </w:rPr>
        <w:t>Rasch measure</w:t>
      </w:r>
      <w:r w:rsidRPr="004602C8">
        <w:rPr>
          <w:rFonts w:eastAsia="Calibri" w:cs="Times New Roman"/>
          <w:color w:val="0000FF"/>
        </w:rPr>
        <w:t xml:space="preserve"> of patients increases as the rating scale </w:t>
      </w:r>
      <w:r w:rsidR="00CE7B6A">
        <w:rPr>
          <w:rFonts w:eastAsia="Calibri" w:cs="Times New Roman"/>
          <w:color w:val="0000FF"/>
        </w:rPr>
        <w:t xml:space="preserve">scores </w:t>
      </w:r>
      <w:r w:rsidRPr="004602C8">
        <w:rPr>
          <w:rFonts w:eastAsia="Calibri" w:cs="Times New Roman"/>
          <w:color w:val="0000FF"/>
        </w:rPr>
        <w:t>increase.</w:t>
      </w:r>
      <w:r>
        <w:rPr>
          <w:rFonts w:eastAsia="Calibri" w:cs="Times New Roman"/>
          <w:color w:val="0000FF"/>
        </w:rPr>
        <w:t xml:space="preserve"> All these </w:t>
      </w:r>
      <w:r w:rsidR="00CE7B6A">
        <w:rPr>
          <w:rFonts w:eastAsia="Calibri" w:cs="Times New Roman"/>
          <w:color w:val="0000FF"/>
        </w:rPr>
        <w:t>results</w:t>
      </w:r>
      <w:r w:rsidRPr="00D93D3D">
        <w:rPr>
          <w:rFonts w:eastAsia="Calibri" w:cs="Times New Roman"/>
          <w:color w:val="0000FF"/>
        </w:rPr>
        <w:t xml:space="preserve"> support the validity of the </w:t>
      </w:r>
      <w:r>
        <w:rPr>
          <w:rFonts w:eastAsia="Calibri" w:cs="Times New Roman"/>
          <w:color w:val="0000FF"/>
        </w:rPr>
        <w:t>mobility</w:t>
      </w:r>
      <w:r w:rsidRPr="00D93D3D">
        <w:rPr>
          <w:rFonts w:eastAsia="Calibri" w:cs="Times New Roman"/>
          <w:color w:val="0000FF"/>
        </w:rPr>
        <w:t xml:space="preserve"> </w:t>
      </w:r>
      <w:r w:rsidR="001D1009">
        <w:rPr>
          <w:rFonts w:eastAsia="Calibri" w:cs="Times New Roman"/>
          <w:color w:val="0000FF"/>
        </w:rPr>
        <w:t xml:space="preserve">data elements </w:t>
      </w:r>
      <w:r>
        <w:rPr>
          <w:rFonts w:eastAsia="Calibri" w:cs="Times New Roman"/>
          <w:color w:val="0000FF"/>
        </w:rPr>
        <w:t xml:space="preserve">and scale </w:t>
      </w:r>
      <w:r w:rsidRPr="00D93D3D">
        <w:rPr>
          <w:rFonts w:eastAsia="Calibri" w:cs="Times New Roman"/>
          <w:color w:val="0000FF"/>
        </w:rPr>
        <w:t xml:space="preserve">in measuring </w:t>
      </w:r>
      <w:r>
        <w:rPr>
          <w:rFonts w:eastAsia="Calibri" w:cs="Times New Roman"/>
          <w:color w:val="0000FF"/>
        </w:rPr>
        <w:t xml:space="preserve">mobility </w:t>
      </w:r>
      <w:r w:rsidRPr="00D93D3D">
        <w:rPr>
          <w:rFonts w:eastAsia="Calibri" w:cs="Times New Roman"/>
          <w:color w:val="0000FF"/>
        </w:rPr>
        <w:t>functional abilities.</w:t>
      </w:r>
    </w:p>
    <w:p w14:paraId="200CAB38" w14:textId="2111473B" w:rsidR="00294D20" w:rsidRDefault="00294D20" w:rsidP="00D77E49">
      <w:pPr>
        <w:autoSpaceDE w:val="0"/>
        <w:autoSpaceDN w:val="0"/>
        <w:adjustRightInd w:val="0"/>
        <w:spacing w:after="0" w:line="240" w:lineRule="auto"/>
        <w:rPr>
          <w:rFonts w:eastAsia="Calibri" w:cs="Times New Roman"/>
          <w:color w:val="0000FF"/>
        </w:rPr>
      </w:pPr>
    </w:p>
    <w:p w14:paraId="58BC37D0" w14:textId="22C529EE" w:rsidR="00294D20" w:rsidRDefault="00294D20" w:rsidP="00294D20">
      <w:pPr>
        <w:spacing w:after="240" w:line="240" w:lineRule="auto"/>
        <w:outlineLvl w:val="4"/>
        <w:rPr>
          <w:rFonts w:cstheme="minorHAnsi"/>
          <w:color w:val="0000FF"/>
        </w:rPr>
      </w:pPr>
      <w:bookmarkStart w:id="69" w:name="_Hlk534626472"/>
      <w:r>
        <w:rPr>
          <w:rFonts w:eastAsia="Calibri" w:cs="Times New Roman"/>
          <w:color w:val="0000FF"/>
        </w:rPr>
        <w:t xml:space="preserve">Our analyses that focused on </w:t>
      </w:r>
      <w:r w:rsidRPr="00586CA4">
        <w:rPr>
          <w:rFonts w:cstheme="minorHAnsi"/>
          <w:color w:val="0000FF"/>
        </w:rPr>
        <w:t>whether or not an IRF obtained The Joint Commission’s Disease Specific Certification for Stroke Rehabilitation</w:t>
      </w:r>
      <w:r>
        <w:rPr>
          <w:rFonts w:cstheme="minorHAnsi"/>
          <w:color w:val="0000FF"/>
        </w:rPr>
        <w:t xml:space="preserve"> showed that IRFs with higher (better) computed performance measure scores were more likely to have this structural measure of quality (certification). These analyses support the validity of the calculated performance measure scores.</w:t>
      </w:r>
      <w:bookmarkEnd w:id="69"/>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2B05B8C" w14:textId="77777777" w:rsidR="00F40534" w:rsidRDefault="00F40534" w:rsidP="00DB3627">
      <w:pPr>
        <w:autoSpaceDE w:val="0"/>
        <w:autoSpaceDN w:val="0"/>
        <w:adjustRightInd w:val="0"/>
        <w:spacing w:after="0" w:line="240" w:lineRule="auto"/>
        <w:rPr>
          <w:rFonts w:cstheme="minorHAnsi"/>
          <w:b/>
          <w:bCs/>
        </w:rPr>
      </w:pPr>
    </w:p>
    <w:p w14:paraId="0CABCFE1" w14:textId="5559D79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D77E49">
        <w:rPr>
          <w:rFonts w:eastAsia="MS Gothic" w:cstheme="minorHAnsi"/>
          <w:b/>
          <w:bCs/>
          <w:color w:val="0000FF"/>
        </w:rPr>
        <w:t>—</w:t>
      </w:r>
      <w:r w:rsidRPr="00D77E49">
        <w:rPr>
          <w:rFonts w:cstheme="minorHAnsi"/>
          <w:b/>
          <w:bCs/>
          <w:i/>
        </w:rPr>
        <w:t xml:space="preserve"> </w:t>
      </w:r>
      <w:r w:rsidR="00B037BA" w:rsidRPr="00D77E49">
        <w:rPr>
          <w:rFonts w:cstheme="minorHAnsi"/>
          <w:b/>
          <w:bCs/>
          <w:i/>
        </w:rPr>
        <w:t xml:space="preserve">skip </w:t>
      </w:r>
      <w:r w:rsidR="008A4C13" w:rsidRPr="00D77E49">
        <w:rPr>
          <w:rFonts w:cstheme="minorHAnsi"/>
          <w:b/>
          <w:bCs/>
          <w:i/>
        </w:rPr>
        <w:t xml:space="preserve">to </w:t>
      </w:r>
      <w:r w:rsidR="00BE592D" w:rsidRPr="00D77E49">
        <w:rPr>
          <w:rFonts w:cstheme="minorHAnsi"/>
          <w:b/>
          <w:bCs/>
          <w:i/>
        </w:rPr>
        <w:t xml:space="preserve">section </w:t>
      </w:r>
      <w:hyperlink w:anchor="section2b4" w:history="1">
        <w:r w:rsidR="00483E94" w:rsidRPr="00D77E49">
          <w:rPr>
            <w:rStyle w:val="Hyperlink"/>
            <w:rFonts w:cstheme="minorHAnsi"/>
            <w:b/>
            <w:bCs/>
            <w:i/>
          </w:rPr>
          <w:t>2b</w:t>
        </w:r>
        <w:r w:rsidR="00565946" w:rsidRPr="00D77E49">
          <w:rPr>
            <w:rStyle w:val="Hyperlink"/>
            <w:rFonts w:cstheme="minorHAnsi"/>
            <w:b/>
            <w:bCs/>
            <w:i/>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3D61CA5C" w14:textId="77777777" w:rsidR="00155D7A" w:rsidRDefault="00BB7B36" w:rsidP="00155D7A">
      <w:pPr>
        <w:autoSpaceDE w:val="0"/>
        <w:autoSpaceDN w:val="0"/>
        <w:adjustRightInd w:val="0"/>
        <w:spacing w:after="0" w:line="240" w:lineRule="auto"/>
        <w:rPr>
          <w:rFonts w:eastAsia="Calibri" w:cs="Times New Roman"/>
          <w:color w:val="0000FF"/>
        </w:rPr>
      </w:pPr>
      <w:bookmarkStart w:id="70" w:name="_Hlk534493787"/>
      <w:bookmarkStart w:id="71" w:name="_Hlk532374082"/>
      <w:bookmarkStart w:id="72" w:name="_Hlk533779354"/>
      <w:r w:rsidRPr="00F666CA">
        <w:rPr>
          <w:rFonts w:eastAsia="Calibri" w:cs="Times New Roman"/>
          <w:color w:val="0000FF"/>
        </w:rPr>
        <w:t xml:space="preserve">We examined the </w:t>
      </w:r>
      <w:r>
        <w:rPr>
          <w:rFonts w:eastAsia="Calibri" w:cs="Times New Roman"/>
          <w:color w:val="0000FF"/>
        </w:rPr>
        <w:t xml:space="preserve">number and </w:t>
      </w:r>
      <w:r w:rsidRPr="00F666CA">
        <w:rPr>
          <w:rFonts w:eastAsia="Calibri" w:cs="Times New Roman"/>
          <w:color w:val="0000FF"/>
        </w:rPr>
        <w:t xml:space="preserve">percentage of patients who were excluded from the </w:t>
      </w:r>
      <w:r w:rsidR="00745539">
        <w:rPr>
          <w:rFonts w:eastAsia="Calibri" w:cs="Times New Roman"/>
          <w:color w:val="0000FF"/>
        </w:rPr>
        <w:t>performance measure</w:t>
      </w:r>
      <w:r w:rsidRPr="00F666CA">
        <w:rPr>
          <w:rFonts w:eastAsia="Calibri" w:cs="Times New Roman"/>
          <w:color w:val="0000FF"/>
        </w:rPr>
        <w:t xml:space="preserve"> calculation due t</w:t>
      </w:r>
      <w:r>
        <w:rPr>
          <w:rFonts w:eastAsia="Calibri" w:cs="Times New Roman"/>
          <w:color w:val="0000FF"/>
        </w:rPr>
        <w:t>o</w:t>
      </w:r>
      <w:r w:rsidRPr="00F666CA">
        <w:rPr>
          <w:rFonts w:eastAsia="Calibri" w:cs="Times New Roman"/>
          <w:color w:val="0000FF"/>
        </w:rPr>
        <w:t xml:space="preserve"> exclusion criteria. </w:t>
      </w:r>
      <w:r>
        <w:rPr>
          <w:rFonts w:eastAsia="Calibri" w:cs="Times New Roman"/>
          <w:color w:val="0000FF"/>
        </w:rPr>
        <w:t>T</w:t>
      </w:r>
      <w:r w:rsidRPr="00F666CA">
        <w:rPr>
          <w:rFonts w:eastAsia="Calibri" w:cs="Times New Roman"/>
          <w:color w:val="0000FF"/>
        </w:rPr>
        <w:t xml:space="preserve">he exclusion criteria are applied to the data in order to maintain the validity of the </w:t>
      </w:r>
      <w:r w:rsidR="00CE7B6A">
        <w:rPr>
          <w:rFonts w:eastAsia="Calibri" w:cs="Times New Roman"/>
          <w:color w:val="0000FF"/>
        </w:rPr>
        <w:t xml:space="preserve">calculated performance </w:t>
      </w:r>
      <w:r>
        <w:rPr>
          <w:rFonts w:eastAsia="Calibri" w:cs="Times New Roman"/>
          <w:color w:val="0000FF"/>
        </w:rPr>
        <w:t>measure</w:t>
      </w:r>
      <w:r w:rsidRPr="00F666CA">
        <w:rPr>
          <w:rFonts w:eastAsia="Calibri" w:cs="Times New Roman"/>
          <w:color w:val="0000FF"/>
        </w:rPr>
        <w:t xml:space="preserve"> score</w:t>
      </w:r>
      <w:r w:rsidR="009C39AB">
        <w:rPr>
          <w:rFonts w:eastAsia="Calibri" w:cs="Times New Roman"/>
          <w:color w:val="0000FF"/>
        </w:rPr>
        <w:t>s</w:t>
      </w:r>
      <w:r>
        <w:rPr>
          <w:rFonts w:eastAsia="Calibri" w:cs="Times New Roman"/>
          <w:color w:val="0000FF"/>
        </w:rPr>
        <w:t xml:space="preserve"> and were identified in consultation with expert panel members and in response to public comments</w:t>
      </w:r>
      <w:r w:rsidRPr="00F666CA">
        <w:rPr>
          <w:rFonts w:eastAsia="Calibri" w:cs="Times New Roman"/>
          <w:color w:val="0000FF"/>
        </w:rPr>
        <w:t xml:space="preserve">. </w:t>
      </w:r>
      <w:r w:rsidR="00155D7A">
        <w:rPr>
          <w:rFonts w:eastAsia="Calibri" w:cs="Times New Roman"/>
          <w:color w:val="0000FF"/>
        </w:rPr>
        <w:t>Some IRFs specialize in the care of patients with complex needs, for example, patients with traumatic spinal cord injury and traumatic brain injury; therefore, application of these exclusion criteria is important to ensure the validity of the calculated performance scores for all IRFs, regardless of whether the IRF offers specialized services for complex patients. All exclusion criteria were applied prior to our developing the risk-adjustment model.</w:t>
      </w:r>
    </w:p>
    <w:bookmarkEnd w:id="70"/>
    <w:p w14:paraId="37D24DB9" w14:textId="77777777" w:rsidR="00BB7B36" w:rsidRDefault="00BB7B36" w:rsidP="00BB7B36">
      <w:pPr>
        <w:autoSpaceDE w:val="0"/>
        <w:autoSpaceDN w:val="0"/>
        <w:adjustRightInd w:val="0"/>
        <w:spacing w:after="0" w:line="240" w:lineRule="auto"/>
        <w:rPr>
          <w:rFonts w:eastAsia="Calibri" w:cs="Times New Roman"/>
          <w:color w:val="0000FF"/>
        </w:rPr>
      </w:pPr>
    </w:p>
    <w:p w14:paraId="19FC7220" w14:textId="0A5DCA88" w:rsidR="00BB7B36" w:rsidRPr="00E52376" w:rsidRDefault="00BB7B36" w:rsidP="00BB7B36">
      <w:pPr>
        <w:autoSpaceDE w:val="0"/>
        <w:autoSpaceDN w:val="0"/>
        <w:adjustRightInd w:val="0"/>
        <w:spacing w:after="0" w:line="240" w:lineRule="auto"/>
        <w:rPr>
          <w:rFonts w:eastAsia="Calibri" w:cs="Times New Roman"/>
          <w:color w:val="0000FF"/>
        </w:rPr>
      </w:pPr>
      <w:bookmarkStart w:id="73" w:name="_Hlk534493822"/>
      <w:r>
        <w:rPr>
          <w:rFonts w:eastAsia="Calibri" w:cs="Times New Roman"/>
          <w:color w:val="0000FF"/>
        </w:rPr>
        <w:t>For several exclusion criteria, the rationale for the exclusion of these patients is that improvement in mobility would be limited or unpredictable. For these exclusion criteria, we report the mean, median and 25</w:t>
      </w:r>
      <w:r w:rsidRPr="00673F1F">
        <w:rPr>
          <w:rFonts w:eastAsia="Calibri" w:cs="Times New Roman"/>
          <w:color w:val="0000FF"/>
          <w:vertAlign w:val="superscript"/>
        </w:rPr>
        <w:t>th</w:t>
      </w:r>
      <w:r>
        <w:rPr>
          <w:rFonts w:eastAsia="Calibri" w:cs="Times New Roman"/>
          <w:color w:val="0000FF"/>
        </w:rPr>
        <w:t xml:space="preserve"> and 75</w:t>
      </w:r>
      <w:r w:rsidRPr="00673F1F">
        <w:rPr>
          <w:rFonts w:eastAsia="Calibri" w:cs="Times New Roman"/>
          <w:color w:val="0000FF"/>
          <w:vertAlign w:val="superscript"/>
        </w:rPr>
        <w:t>th</w:t>
      </w:r>
      <w:r>
        <w:rPr>
          <w:rFonts w:eastAsia="Calibri" w:cs="Times New Roman"/>
          <w:color w:val="0000FF"/>
        </w:rPr>
        <w:t xml:space="preserve"> </w:t>
      </w:r>
      <w:r w:rsidRPr="004F7A41">
        <w:rPr>
          <w:rFonts w:eastAsia="Calibri" w:cs="Times New Roman"/>
          <w:color w:val="0000FF"/>
        </w:rPr>
        <w:t xml:space="preserve">percentiles for change in mobility scores. </w:t>
      </w:r>
    </w:p>
    <w:bookmarkEnd w:id="73"/>
    <w:p w14:paraId="04B2E6C8" w14:textId="77777777" w:rsidR="00BB7B36" w:rsidRPr="00E52376" w:rsidRDefault="00BB7B36" w:rsidP="00BB7B36">
      <w:pPr>
        <w:autoSpaceDE w:val="0"/>
        <w:autoSpaceDN w:val="0"/>
        <w:adjustRightInd w:val="0"/>
        <w:spacing w:after="0" w:line="240" w:lineRule="auto"/>
        <w:rPr>
          <w:rFonts w:eastAsia="Calibri" w:cs="Times New Roman"/>
          <w:color w:val="0000FF"/>
        </w:rPr>
      </w:pPr>
    </w:p>
    <w:p w14:paraId="5E4C4020" w14:textId="1F78BF14" w:rsidR="00BB7B36" w:rsidRDefault="00BB7B36" w:rsidP="00BB7B36">
      <w:pPr>
        <w:autoSpaceDE w:val="0"/>
        <w:autoSpaceDN w:val="0"/>
        <w:adjustRightInd w:val="0"/>
        <w:spacing w:after="0" w:line="240" w:lineRule="auto"/>
        <w:rPr>
          <w:rFonts w:eastAsia="Calibri" w:cs="Times New Roman"/>
          <w:color w:val="0000FF"/>
        </w:rPr>
      </w:pPr>
      <w:bookmarkStart w:id="74" w:name="_Hlk534493847"/>
      <w:r w:rsidRPr="00E52376">
        <w:rPr>
          <w:rFonts w:eastAsia="Calibri" w:cs="Times New Roman"/>
          <w:color w:val="0000FF"/>
        </w:rPr>
        <w:t>For patients who have an incomplete stay (e.g., emergency discharge), it</w:t>
      </w:r>
      <w:r>
        <w:rPr>
          <w:rFonts w:eastAsia="Calibri" w:cs="Times New Roman"/>
          <w:color w:val="0000FF"/>
        </w:rPr>
        <w:t xml:space="preserve"> is </w:t>
      </w:r>
      <w:r w:rsidR="00CE7B6A">
        <w:rPr>
          <w:rFonts w:eastAsia="Calibri" w:cs="Times New Roman"/>
          <w:color w:val="0000FF"/>
        </w:rPr>
        <w:t>challenging</w:t>
      </w:r>
      <w:r>
        <w:rPr>
          <w:rFonts w:eastAsia="Calibri" w:cs="Times New Roman"/>
          <w:color w:val="0000FF"/>
        </w:rPr>
        <w:t xml:space="preserve"> to collect </w:t>
      </w:r>
      <w:r w:rsidR="009C39AB">
        <w:rPr>
          <w:rFonts w:eastAsia="Calibri" w:cs="Times New Roman"/>
          <w:color w:val="0000FF"/>
        </w:rPr>
        <w:t xml:space="preserve">accurate </w:t>
      </w:r>
      <w:r>
        <w:rPr>
          <w:rFonts w:eastAsia="Calibri" w:cs="Times New Roman"/>
          <w:color w:val="0000FF"/>
        </w:rPr>
        <w:t>discharge functional status data</w:t>
      </w:r>
      <w:r w:rsidR="009C39AB">
        <w:rPr>
          <w:rFonts w:eastAsia="Calibri" w:cs="Times New Roman"/>
          <w:color w:val="0000FF"/>
        </w:rPr>
        <w:t xml:space="preserve">  due to the urgent nature of the discharge</w:t>
      </w:r>
      <w:r>
        <w:rPr>
          <w:rFonts w:eastAsia="Calibri" w:cs="Times New Roman"/>
          <w:color w:val="0000FF"/>
        </w:rPr>
        <w:t xml:space="preserve">. Therefore, patients with incomplete stays are excluded from the </w:t>
      </w:r>
      <w:r w:rsidR="008974A1">
        <w:rPr>
          <w:rFonts w:eastAsia="Calibri" w:cs="Times New Roman"/>
          <w:color w:val="0000FF"/>
        </w:rPr>
        <w:t>performance</w:t>
      </w:r>
      <w:r>
        <w:rPr>
          <w:rFonts w:eastAsia="Calibri" w:cs="Times New Roman"/>
          <w:color w:val="0000FF"/>
        </w:rPr>
        <w:t xml:space="preserve"> measure</w:t>
      </w:r>
      <w:r w:rsidR="009C39AB">
        <w:rPr>
          <w:rFonts w:eastAsia="Calibri" w:cs="Times New Roman"/>
          <w:color w:val="0000FF"/>
        </w:rPr>
        <w:t xml:space="preserve"> calculation</w:t>
      </w:r>
      <w:r>
        <w:rPr>
          <w:rFonts w:eastAsia="Calibri" w:cs="Times New Roman"/>
          <w:color w:val="0000FF"/>
        </w:rPr>
        <w:t xml:space="preserve">, and we are unable to conduct analyses due to the unavailability of data. </w:t>
      </w:r>
      <w:r w:rsidR="00B66D4D" w:rsidRPr="00B66D4D">
        <w:rPr>
          <w:rFonts w:eastAsia="Calibri" w:cs="Times New Roman"/>
          <w:color w:val="0000FF"/>
        </w:rPr>
        <w:t>A total of 55,590 (11.3%) of patient stays were classified as incomplete stays based on the definition of an incomplete stay.</w:t>
      </w:r>
      <w:r>
        <w:rPr>
          <w:rFonts w:eastAsia="Calibri" w:cs="Times New Roman"/>
          <w:color w:val="0000FF"/>
        </w:rPr>
        <w:t xml:space="preserve"> </w:t>
      </w:r>
    </w:p>
    <w:p w14:paraId="2E44F1AE" w14:textId="77777777" w:rsidR="00BB7B36" w:rsidRPr="005102CC" w:rsidRDefault="00BB7B36" w:rsidP="00BB7B36">
      <w:pPr>
        <w:autoSpaceDE w:val="0"/>
        <w:autoSpaceDN w:val="0"/>
        <w:adjustRightInd w:val="0"/>
        <w:spacing w:after="0" w:line="240" w:lineRule="auto"/>
        <w:rPr>
          <w:rFonts w:eastAsia="Calibri" w:cs="Times New Roman"/>
          <w:color w:val="0000FF"/>
        </w:rPr>
      </w:pPr>
      <w:bookmarkStart w:id="75" w:name="_Hlk532374128"/>
      <w:bookmarkEnd w:id="71"/>
    </w:p>
    <w:p w14:paraId="25F862D3" w14:textId="445CC2A5" w:rsidR="00BB7B36" w:rsidRDefault="008974A1" w:rsidP="00BB7B36">
      <w:pPr>
        <w:autoSpaceDE w:val="0"/>
        <w:autoSpaceDN w:val="0"/>
        <w:adjustRightInd w:val="0"/>
        <w:spacing w:after="0" w:line="240" w:lineRule="auto"/>
        <w:rPr>
          <w:rFonts w:eastAsia="Calibri" w:cs="Times New Roman"/>
          <w:color w:val="0000FF"/>
        </w:rPr>
      </w:pPr>
      <w:bookmarkStart w:id="76" w:name="_Hlk534493870"/>
      <w:bookmarkEnd w:id="74"/>
      <w:r>
        <w:rPr>
          <w:rFonts w:eastAsia="Calibri" w:cs="Times New Roman"/>
          <w:color w:val="0000FF"/>
        </w:rPr>
        <w:t>We excluded patients younger than 21 in our original measure specifications, because we ha</w:t>
      </w:r>
      <w:r w:rsidR="009C39AB">
        <w:rPr>
          <w:rFonts w:eastAsia="Calibri" w:cs="Times New Roman"/>
          <w:color w:val="0000FF"/>
        </w:rPr>
        <w:t>d</w:t>
      </w:r>
      <w:r>
        <w:rPr>
          <w:rFonts w:eastAsia="Calibri" w:cs="Times New Roman"/>
          <w:color w:val="0000FF"/>
        </w:rPr>
        <w:t xml:space="preserve"> very few patients </w:t>
      </w:r>
      <w:r w:rsidR="004F7A41">
        <w:rPr>
          <w:rFonts w:eastAsia="Calibri" w:cs="Times New Roman"/>
          <w:color w:val="0000FF"/>
        </w:rPr>
        <w:t xml:space="preserve">in our sample </w:t>
      </w:r>
      <w:r>
        <w:rPr>
          <w:rFonts w:eastAsia="Calibri" w:cs="Times New Roman"/>
          <w:color w:val="0000FF"/>
        </w:rPr>
        <w:t>younger than 21</w:t>
      </w:r>
      <w:r w:rsidR="009C39AB">
        <w:rPr>
          <w:rFonts w:eastAsia="Calibri" w:cs="Times New Roman"/>
          <w:color w:val="0000FF"/>
        </w:rPr>
        <w:t xml:space="preserve"> and </w:t>
      </w:r>
      <w:r w:rsidR="00E94725">
        <w:rPr>
          <w:rFonts w:eastAsia="Calibri" w:cs="Times New Roman"/>
          <w:color w:val="0000FF"/>
        </w:rPr>
        <w:t xml:space="preserve">there is </w:t>
      </w:r>
      <w:r w:rsidR="009C39AB">
        <w:rPr>
          <w:rFonts w:eastAsia="Calibri" w:cs="Times New Roman"/>
          <w:color w:val="0000FF"/>
        </w:rPr>
        <w:t>limited literature about functional outcomes for Medicare patients younger than 21</w:t>
      </w:r>
      <w:r>
        <w:rPr>
          <w:rFonts w:eastAsia="Calibri" w:cs="Times New Roman"/>
          <w:color w:val="0000FF"/>
        </w:rPr>
        <w:t xml:space="preserve">. </w:t>
      </w:r>
      <w:r w:rsidR="004F7A41">
        <w:rPr>
          <w:rFonts w:eastAsia="Calibri" w:cs="Times New Roman"/>
          <w:color w:val="0000FF"/>
        </w:rPr>
        <w:t>We are maintaining this exclusion criterion, because there is</w:t>
      </w:r>
      <w:r w:rsidR="009C39AB">
        <w:rPr>
          <w:rFonts w:eastAsia="Calibri" w:cs="Times New Roman"/>
          <w:color w:val="0000FF"/>
        </w:rPr>
        <w:t xml:space="preserve"> still</w:t>
      </w:r>
      <w:r w:rsidR="004F7A41">
        <w:rPr>
          <w:rFonts w:eastAsia="Calibri" w:cs="Times New Roman"/>
          <w:color w:val="0000FF"/>
        </w:rPr>
        <w:t xml:space="preserve"> limited evidence in the literature about function outcomes for Medicare beneficiaries who are younger than 21 and </w:t>
      </w:r>
      <w:r w:rsidR="00CE7B6A" w:rsidRPr="005102CC">
        <w:rPr>
          <w:rFonts w:eastAsia="Calibri" w:cs="Times New Roman"/>
          <w:color w:val="0000FF"/>
        </w:rPr>
        <w:t xml:space="preserve">there were </w:t>
      </w:r>
      <w:r>
        <w:rPr>
          <w:rFonts w:eastAsia="Calibri" w:cs="Times New Roman"/>
          <w:color w:val="0000FF"/>
        </w:rPr>
        <w:t xml:space="preserve">only </w:t>
      </w:r>
      <w:r w:rsidR="00CE7B6A" w:rsidRPr="005102CC">
        <w:rPr>
          <w:rFonts w:eastAsia="Calibri" w:cs="Times New Roman"/>
          <w:color w:val="0000FF"/>
        </w:rPr>
        <w:t>32 patients younger than 21</w:t>
      </w:r>
      <w:r w:rsidR="004F7A41">
        <w:rPr>
          <w:rFonts w:eastAsia="Calibri" w:cs="Times New Roman"/>
          <w:color w:val="0000FF"/>
        </w:rPr>
        <w:t xml:space="preserve"> discharged in calendar year 2017</w:t>
      </w:r>
      <w:r w:rsidR="00CE7B6A" w:rsidRPr="005102CC">
        <w:rPr>
          <w:rFonts w:eastAsia="Calibri" w:cs="Times New Roman"/>
          <w:color w:val="0000FF"/>
        </w:rPr>
        <w:t>.</w:t>
      </w:r>
      <w:r w:rsidR="00CE7B6A">
        <w:rPr>
          <w:rFonts w:eastAsia="Calibri" w:cs="Times New Roman"/>
          <w:color w:val="0000FF"/>
        </w:rPr>
        <w:t xml:space="preserve"> </w:t>
      </w:r>
    </w:p>
    <w:bookmarkEnd w:id="75"/>
    <w:bookmarkEnd w:id="72"/>
    <w:bookmarkEnd w:id="76"/>
    <w:p w14:paraId="0CABCFE5" w14:textId="77777777" w:rsidR="00833325" w:rsidRPr="00A25024" w:rsidRDefault="00833325" w:rsidP="00DB3627">
      <w:pPr>
        <w:autoSpaceDE w:val="0"/>
        <w:autoSpaceDN w:val="0"/>
        <w:adjustRightInd w:val="0"/>
        <w:spacing w:after="0" w:line="240" w:lineRule="auto"/>
        <w:rPr>
          <w:rFonts w:cstheme="minorHAnsi"/>
          <w:bCs/>
        </w:rPr>
      </w:pPr>
    </w:p>
    <w:p w14:paraId="0CABCFE6" w14:textId="38532CDE"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6C4C60A1" w14:textId="2B8793DD" w:rsidR="00155D7A" w:rsidRPr="00DD1E29" w:rsidRDefault="00155D7A" w:rsidP="00155D7A">
      <w:pPr>
        <w:spacing w:line="240" w:lineRule="auto"/>
        <w:rPr>
          <w:rFonts w:eastAsia="Calibri" w:cs="Times New Roman"/>
          <w:bCs/>
          <w:color w:val="0000FF"/>
        </w:rPr>
      </w:pPr>
      <w:bookmarkStart w:id="77" w:name="_Hlk532374174"/>
      <w:r>
        <w:rPr>
          <w:rFonts w:eastAsia="Calibri" w:cs="Times New Roman"/>
          <w:bCs/>
          <w:color w:val="0000FF"/>
        </w:rPr>
        <w:t xml:space="preserve">A total of </w:t>
      </w:r>
      <w:r w:rsidR="00C71257">
        <w:rPr>
          <w:rFonts w:eastAsia="Calibri" w:cs="Times New Roman"/>
          <w:bCs/>
          <w:color w:val="0000FF"/>
        </w:rPr>
        <w:t>64,578</w:t>
      </w:r>
      <w:r>
        <w:rPr>
          <w:rFonts w:eastAsia="Calibri" w:cs="Times New Roman"/>
          <w:bCs/>
          <w:color w:val="0000FF"/>
        </w:rPr>
        <w:t xml:space="preserve"> patient stays (13.</w:t>
      </w:r>
      <w:r w:rsidR="00A1783E">
        <w:rPr>
          <w:rFonts w:eastAsia="Calibri" w:cs="Times New Roman"/>
          <w:bCs/>
          <w:color w:val="0000FF"/>
        </w:rPr>
        <w:t>1</w:t>
      </w:r>
      <w:r>
        <w:rPr>
          <w:rFonts w:eastAsia="Calibri" w:cs="Times New Roman"/>
          <w:bCs/>
          <w:color w:val="0000FF"/>
        </w:rPr>
        <w:t xml:space="preserve">%) are excluded from the change in </w:t>
      </w:r>
      <w:r w:rsidR="00BC646B">
        <w:rPr>
          <w:rFonts w:eastAsia="Calibri" w:cs="Times New Roman"/>
          <w:bCs/>
          <w:color w:val="0000FF"/>
        </w:rPr>
        <w:t>mobility</w:t>
      </w:r>
      <w:r>
        <w:rPr>
          <w:rFonts w:eastAsia="Calibri" w:cs="Times New Roman"/>
          <w:bCs/>
          <w:color w:val="0000FF"/>
        </w:rPr>
        <w:t xml:space="preserve"> performance measure. As indicated above, most of these </w:t>
      </w:r>
      <w:r w:rsidR="00C71257">
        <w:rPr>
          <w:rFonts w:eastAsia="Calibri" w:cs="Times New Roman"/>
          <w:bCs/>
          <w:color w:val="0000FF"/>
        </w:rPr>
        <w:t>(55,590 (11.3%)</w:t>
      </w:r>
      <w:r w:rsidR="00A1783E">
        <w:rPr>
          <w:rFonts w:eastAsia="Calibri" w:cs="Times New Roman"/>
          <w:bCs/>
          <w:color w:val="0000FF"/>
        </w:rPr>
        <w:t xml:space="preserve"> </w:t>
      </w:r>
      <w:r>
        <w:rPr>
          <w:rFonts w:eastAsia="Calibri" w:cs="Times New Roman"/>
          <w:color w:val="0000FF"/>
        </w:rPr>
        <w:t>are due to</w:t>
      </w:r>
      <w:r w:rsidRPr="00386D6C">
        <w:rPr>
          <w:rFonts w:eastAsia="Calibri" w:cs="Times New Roman"/>
          <w:color w:val="0000FF"/>
        </w:rPr>
        <w:t xml:space="preserve"> incomplete stays.</w:t>
      </w:r>
      <w:r>
        <w:rPr>
          <w:rFonts w:eastAsia="Calibri" w:cs="Times New Roman"/>
          <w:color w:val="0000FF"/>
        </w:rPr>
        <w:t xml:space="preserve">  </w:t>
      </w:r>
      <w:r>
        <w:rPr>
          <w:rFonts w:eastAsia="Calibri" w:cs="Times New Roman"/>
          <w:bCs/>
          <w:color w:val="0000FF"/>
        </w:rPr>
        <w:t>An analysis of</w:t>
      </w:r>
      <w:r w:rsidRPr="001D5A4E">
        <w:rPr>
          <w:rFonts w:eastAsia="Calibri" w:cs="Times New Roman"/>
          <w:bCs/>
          <w:color w:val="0000FF"/>
        </w:rPr>
        <w:t xml:space="preserve"> </w:t>
      </w:r>
      <w:r>
        <w:rPr>
          <w:rFonts w:eastAsia="Calibri" w:cs="Times New Roman"/>
          <w:bCs/>
          <w:color w:val="0000FF"/>
        </w:rPr>
        <w:t xml:space="preserve">differences between patient-level characteristics for those included and excluded from the performance measure (available upon request) show very little variation in the two populations. The largest difference was 1.1% and observed for gender (53.0% and 54.1% identified as female for the full population and the population with exclusions applied, respectively). As noted above, </w:t>
      </w:r>
      <w:r>
        <w:rPr>
          <w:rFonts w:eastAsia="Calibri" w:cs="Times New Roman"/>
          <w:color w:val="0000FF"/>
        </w:rPr>
        <w:t>these exclusion criteria are important to apply to ensure the validity of the calculated performance scores for all IRFs, regardless of whether the IRF offers specialized services for complex patients.</w:t>
      </w:r>
    </w:p>
    <w:p w14:paraId="38A68DE0" w14:textId="5851F1AC" w:rsidR="00BB7B36" w:rsidRPr="00981CB7" w:rsidRDefault="00BB7B36" w:rsidP="00BB7B36">
      <w:pPr>
        <w:rPr>
          <w:rFonts w:eastAsia="Calibri" w:cs="Times New Roman"/>
          <w:bCs/>
          <w:color w:val="0000FF"/>
        </w:rPr>
      </w:pPr>
      <w:r w:rsidRPr="005102CC">
        <w:rPr>
          <w:rFonts w:eastAsia="Calibri" w:cs="Times New Roman"/>
          <w:b/>
          <w:bCs/>
          <w:color w:val="0000FF"/>
        </w:rPr>
        <w:t xml:space="preserve">Table </w:t>
      </w:r>
      <w:r w:rsidR="00360220">
        <w:rPr>
          <w:rFonts w:eastAsia="Calibri" w:cs="Times New Roman"/>
          <w:b/>
          <w:bCs/>
          <w:color w:val="0000FF"/>
        </w:rPr>
        <w:t>11</w:t>
      </w:r>
      <w:r w:rsidRPr="00981CB7">
        <w:rPr>
          <w:rFonts w:eastAsia="Calibri" w:cs="Times New Roman"/>
          <w:bCs/>
          <w:color w:val="0000FF"/>
        </w:rPr>
        <w:t xml:space="preserve"> shows the number and percent of patients excluded for each exclusion criteria, and the mean, median and 25</w:t>
      </w:r>
      <w:r w:rsidRPr="00981CB7">
        <w:rPr>
          <w:rFonts w:eastAsia="Calibri" w:cs="Times New Roman"/>
          <w:bCs/>
          <w:color w:val="0000FF"/>
          <w:vertAlign w:val="superscript"/>
        </w:rPr>
        <w:t>th</w:t>
      </w:r>
      <w:r w:rsidRPr="00981CB7">
        <w:rPr>
          <w:rFonts w:eastAsia="Calibri" w:cs="Times New Roman"/>
          <w:bCs/>
          <w:color w:val="0000FF"/>
        </w:rPr>
        <w:t xml:space="preserve"> and 75</w:t>
      </w:r>
      <w:r w:rsidRPr="00981CB7">
        <w:rPr>
          <w:rFonts w:eastAsia="Calibri" w:cs="Times New Roman"/>
          <w:bCs/>
          <w:color w:val="0000FF"/>
          <w:vertAlign w:val="superscript"/>
        </w:rPr>
        <w:t>th</w:t>
      </w:r>
      <w:r w:rsidRPr="00981CB7">
        <w:rPr>
          <w:rFonts w:eastAsia="Calibri" w:cs="Times New Roman"/>
          <w:bCs/>
          <w:color w:val="0000FF"/>
        </w:rPr>
        <w:t xml:space="preserve"> percentile for the change in </w:t>
      </w:r>
      <w:r w:rsidR="0095416E">
        <w:rPr>
          <w:rFonts w:eastAsia="Calibri" w:cs="Times New Roman"/>
          <w:bCs/>
          <w:color w:val="0000FF"/>
        </w:rPr>
        <w:t>mobility</w:t>
      </w:r>
      <w:r w:rsidRPr="00981CB7">
        <w:rPr>
          <w:rFonts w:eastAsia="Calibri" w:cs="Times New Roman"/>
          <w:bCs/>
          <w:color w:val="0000FF"/>
        </w:rPr>
        <w:t xml:space="preserve"> score</w:t>
      </w:r>
      <w:r w:rsidR="004F7A41">
        <w:rPr>
          <w:rFonts w:eastAsia="Calibri" w:cs="Times New Roman"/>
          <w:bCs/>
          <w:color w:val="0000FF"/>
        </w:rPr>
        <w:t>s</w:t>
      </w:r>
      <w:r w:rsidRPr="00981CB7">
        <w:rPr>
          <w:rFonts w:eastAsia="Calibri" w:cs="Times New Roman"/>
          <w:bCs/>
          <w:color w:val="0000FF"/>
        </w:rPr>
        <w:t xml:space="preserve">.  For patients with persistent vegetative state, locked-in syndrome, those discharged to hospice and patients who are independent with all </w:t>
      </w:r>
      <w:r w:rsidR="0095416E">
        <w:rPr>
          <w:rFonts w:eastAsia="Calibri" w:cs="Times New Roman"/>
          <w:bCs/>
          <w:color w:val="0000FF"/>
        </w:rPr>
        <w:t>mobility</w:t>
      </w:r>
      <w:r w:rsidRPr="00981CB7">
        <w:rPr>
          <w:rFonts w:eastAsia="Calibri" w:cs="Times New Roman"/>
          <w:bCs/>
          <w:color w:val="0000FF"/>
        </w:rPr>
        <w:t xml:space="preserve"> activities on admission, analyses show these patients </w:t>
      </w:r>
      <w:r w:rsidR="00F8435F">
        <w:rPr>
          <w:rFonts w:eastAsia="Calibri" w:cs="Times New Roman"/>
          <w:bCs/>
          <w:color w:val="0000FF"/>
        </w:rPr>
        <w:t>had</w:t>
      </w:r>
      <w:r w:rsidR="00F8435F" w:rsidRPr="00981CB7">
        <w:rPr>
          <w:rFonts w:eastAsia="Calibri" w:cs="Times New Roman"/>
          <w:bCs/>
          <w:color w:val="0000FF"/>
        </w:rPr>
        <w:t xml:space="preserve"> </w:t>
      </w:r>
      <w:r w:rsidRPr="00981CB7">
        <w:rPr>
          <w:rFonts w:eastAsia="Calibri" w:cs="Times New Roman"/>
          <w:bCs/>
          <w:color w:val="0000FF"/>
        </w:rPr>
        <w:t xml:space="preserve">very limited improvement with the </w:t>
      </w:r>
      <w:r w:rsidR="0095416E">
        <w:rPr>
          <w:rFonts w:eastAsia="Calibri" w:cs="Times New Roman"/>
          <w:bCs/>
          <w:color w:val="0000FF"/>
        </w:rPr>
        <w:t>mobility</w:t>
      </w:r>
      <w:r w:rsidRPr="00981CB7">
        <w:rPr>
          <w:rFonts w:eastAsia="Calibri" w:cs="Times New Roman"/>
          <w:bCs/>
          <w:color w:val="0000FF"/>
        </w:rPr>
        <w:t xml:space="preserve"> activities. For patients in a coma and those with severe brain damage, severe anoxic brain damage, and cerebral edema, improvement in </w:t>
      </w:r>
      <w:r w:rsidR="0095416E">
        <w:rPr>
          <w:rFonts w:eastAsia="Calibri" w:cs="Times New Roman"/>
          <w:bCs/>
          <w:color w:val="0000FF"/>
        </w:rPr>
        <w:t>mobility</w:t>
      </w:r>
      <w:r w:rsidRPr="00981CB7">
        <w:rPr>
          <w:rFonts w:eastAsia="Calibri" w:cs="Times New Roman"/>
          <w:bCs/>
          <w:color w:val="0000FF"/>
        </w:rPr>
        <w:t xml:space="preserve"> showed variability when we examined unadjusted data by quarter.</w:t>
      </w:r>
    </w:p>
    <w:p w14:paraId="689D9680" w14:textId="19CCB757" w:rsidR="00BB7B36" w:rsidRPr="00144804" w:rsidRDefault="00BB7B36" w:rsidP="00BB7B36">
      <w:pPr>
        <w:pStyle w:val="Caption"/>
        <w:ind w:left="720" w:hanging="720"/>
        <w:rPr>
          <w:rFonts w:asciiTheme="minorHAnsi" w:hAnsiTheme="minorHAnsi" w:cstheme="minorHAnsi"/>
          <w:color w:val="0000FF"/>
        </w:rPr>
      </w:pPr>
      <w:bookmarkStart w:id="78" w:name="_Ref479856438"/>
      <w:bookmarkStart w:id="79" w:name="_Toc495991018"/>
      <w:r w:rsidRPr="00144804">
        <w:rPr>
          <w:rFonts w:asciiTheme="minorHAnsi" w:hAnsiTheme="minorHAnsi" w:cstheme="minorHAnsi"/>
          <w:color w:val="0000FF"/>
        </w:rPr>
        <w:t>Table</w:t>
      </w:r>
      <w:bookmarkEnd w:id="78"/>
      <w:r w:rsidRPr="00144804">
        <w:rPr>
          <w:rFonts w:asciiTheme="minorHAnsi" w:hAnsiTheme="minorHAnsi" w:cstheme="minorHAnsi"/>
          <w:color w:val="0000FF"/>
        </w:rPr>
        <w:t xml:space="preserve"> </w:t>
      </w:r>
      <w:r w:rsidR="00360220">
        <w:rPr>
          <w:rFonts w:asciiTheme="minorHAnsi" w:hAnsiTheme="minorHAnsi" w:cstheme="minorHAnsi"/>
          <w:color w:val="0000FF"/>
        </w:rPr>
        <w:t>11</w:t>
      </w:r>
      <w:r w:rsidRPr="00144804">
        <w:rPr>
          <w:rFonts w:asciiTheme="minorHAnsi" w:hAnsiTheme="minorHAnsi" w:cstheme="minorHAnsi"/>
          <w:color w:val="0000FF"/>
        </w:rPr>
        <w:t xml:space="preserve">. Observed Change in </w:t>
      </w:r>
      <w:bookmarkEnd w:id="79"/>
      <w:r w:rsidR="0095416E">
        <w:rPr>
          <w:rFonts w:asciiTheme="minorHAnsi" w:hAnsiTheme="minorHAnsi" w:cstheme="minorHAnsi"/>
          <w:color w:val="0000FF"/>
        </w:rPr>
        <w:t>Mobility</w:t>
      </w:r>
      <w:r w:rsidRPr="00144804">
        <w:rPr>
          <w:rFonts w:asciiTheme="minorHAnsi" w:hAnsiTheme="minorHAnsi" w:cstheme="minorHAnsi"/>
          <w:color w:val="0000FF"/>
        </w:rPr>
        <w:t xml:space="preserve"> Score </w:t>
      </w:r>
      <w:r w:rsidR="00A1783E">
        <w:rPr>
          <w:rFonts w:asciiTheme="minorHAnsi" w:hAnsiTheme="minorHAnsi" w:cstheme="minorHAnsi"/>
          <w:color w:val="0000FF"/>
        </w:rPr>
        <w:t xml:space="preserve">in Mobility Units </w:t>
      </w:r>
      <w:r w:rsidRPr="00144804">
        <w:rPr>
          <w:rFonts w:asciiTheme="minorHAnsi" w:hAnsiTheme="minorHAnsi" w:cstheme="minorHAnsi"/>
          <w:color w:val="0000FF"/>
        </w:rPr>
        <w:t>by Exclusion Criteria</w:t>
      </w:r>
      <w:r w:rsidR="00E52376">
        <w:rPr>
          <w:rFonts w:asciiTheme="minorHAnsi" w:hAnsiTheme="minorHAnsi" w:cstheme="minorHAnsi"/>
          <w:color w:val="0000FF"/>
        </w:rPr>
        <w:t>*</w:t>
      </w:r>
      <w:r w:rsidRPr="00144804">
        <w:rPr>
          <w:rFonts w:asciiTheme="minorHAnsi" w:hAnsiTheme="minorHAnsi" w:cstheme="minorHAnsi"/>
          <w:color w:val="0000FF"/>
        </w:rPr>
        <w:t xml:space="preserve"> (N=493,209) </w:t>
      </w:r>
    </w:p>
    <w:tbl>
      <w:tblPr>
        <w:tblW w:w="4760" w:type="pct"/>
        <w:tblLayout w:type="fixed"/>
        <w:tblLook w:val="00A0" w:firstRow="1" w:lastRow="0" w:firstColumn="1" w:lastColumn="0" w:noHBand="0" w:noVBand="0"/>
      </w:tblPr>
      <w:tblGrid>
        <w:gridCol w:w="2429"/>
        <w:gridCol w:w="1262"/>
        <w:gridCol w:w="989"/>
        <w:gridCol w:w="720"/>
        <w:gridCol w:w="1080"/>
        <w:gridCol w:w="1260"/>
        <w:gridCol w:w="1171"/>
      </w:tblGrid>
      <w:tr w:rsidR="00E52376" w:rsidRPr="00144804" w14:paraId="00D4D668" w14:textId="77777777" w:rsidTr="00302EF1">
        <w:trPr>
          <w:trHeight w:val="721"/>
          <w:tblHeader/>
        </w:trPr>
        <w:tc>
          <w:tcPr>
            <w:tcW w:w="1363" w:type="pct"/>
            <w:tcBorders>
              <w:top w:val="single" w:sz="4" w:space="0" w:color="auto"/>
              <w:bottom w:val="single" w:sz="4" w:space="0" w:color="auto"/>
            </w:tcBorders>
            <w:vAlign w:val="center"/>
            <w:hideMark/>
          </w:tcPr>
          <w:p w14:paraId="21423148"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Exclusion Criteria</w:t>
            </w:r>
          </w:p>
        </w:tc>
        <w:tc>
          <w:tcPr>
            <w:tcW w:w="708" w:type="pct"/>
            <w:tcBorders>
              <w:top w:val="single" w:sz="4" w:space="0" w:color="auto"/>
              <w:bottom w:val="single" w:sz="4" w:space="0" w:color="auto"/>
            </w:tcBorders>
            <w:vAlign w:val="center"/>
            <w:hideMark/>
          </w:tcPr>
          <w:p w14:paraId="03695CD8"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n (%)</w:t>
            </w:r>
          </w:p>
        </w:tc>
        <w:tc>
          <w:tcPr>
            <w:tcW w:w="555" w:type="pct"/>
            <w:tcBorders>
              <w:top w:val="single" w:sz="4" w:space="0" w:color="auto"/>
              <w:bottom w:val="single" w:sz="4" w:space="0" w:color="auto"/>
            </w:tcBorders>
            <w:vAlign w:val="center"/>
            <w:hideMark/>
          </w:tcPr>
          <w:p w14:paraId="7C1B8698"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Mean</w:t>
            </w:r>
          </w:p>
        </w:tc>
        <w:tc>
          <w:tcPr>
            <w:tcW w:w="404" w:type="pct"/>
            <w:tcBorders>
              <w:top w:val="single" w:sz="4" w:space="0" w:color="auto"/>
              <w:bottom w:val="single" w:sz="4" w:space="0" w:color="auto"/>
            </w:tcBorders>
            <w:vAlign w:val="center"/>
          </w:tcPr>
          <w:p w14:paraId="47077FA6"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SD</w:t>
            </w:r>
          </w:p>
        </w:tc>
        <w:tc>
          <w:tcPr>
            <w:tcW w:w="606" w:type="pct"/>
            <w:tcBorders>
              <w:top w:val="single" w:sz="4" w:space="0" w:color="auto"/>
              <w:bottom w:val="single" w:sz="4" w:space="0" w:color="auto"/>
            </w:tcBorders>
            <w:vAlign w:val="center"/>
            <w:hideMark/>
          </w:tcPr>
          <w:p w14:paraId="05B8E04B"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Median</w:t>
            </w:r>
          </w:p>
        </w:tc>
        <w:tc>
          <w:tcPr>
            <w:tcW w:w="707" w:type="pct"/>
            <w:tcBorders>
              <w:top w:val="single" w:sz="4" w:space="0" w:color="auto"/>
              <w:bottom w:val="single" w:sz="4" w:space="0" w:color="auto"/>
            </w:tcBorders>
            <w:vAlign w:val="center"/>
            <w:hideMark/>
          </w:tcPr>
          <w:p w14:paraId="1E66DF56"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25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c>
          <w:tcPr>
            <w:tcW w:w="657" w:type="pct"/>
            <w:tcBorders>
              <w:top w:val="single" w:sz="4" w:space="0" w:color="auto"/>
              <w:bottom w:val="single" w:sz="4" w:space="0" w:color="auto"/>
            </w:tcBorders>
            <w:vAlign w:val="center"/>
            <w:hideMark/>
          </w:tcPr>
          <w:p w14:paraId="72BE1266" w14:textId="77777777" w:rsidR="00E52376" w:rsidRPr="00144804" w:rsidRDefault="00E52376" w:rsidP="0095416E">
            <w:pPr>
              <w:pStyle w:val="TableHeaders"/>
              <w:rPr>
                <w:rFonts w:asciiTheme="minorHAnsi" w:hAnsiTheme="minorHAnsi" w:cstheme="minorHAnsi"/>
                <w:b/>
                <w:color w:val="0000FF"/>
                <w:sz w:val="20"/>
              </w:rPr>
            </w:pPr>
            <w:r w:rsidRPr="00144804">
              <w:rPr>
                <w:rFonts w:asciiTheme="minorHAnsi" w:hAnsiTheme="minorHAnsi" w:cstheme="minorHAnsi"/>
                <w:b/>
                <w:color w:val="0000FF"/>
                <w:sz w:val="20"/>
              </w:rPr>
              <w:t>75</w:t>
            </w:r>
            <w:r w:rsidRPr="00144804">
              <w:rPr>
                <w:rFonts w:asciiTheme="minorHAnsi" w:hAnsiTheme="minorHAnsi" w:cstheme="minorHAnsi"/>
                <w:b/>
                <w:color w:val="0000FF"/>
                <w:sz w:val="20"/>
                <w:vertAlign w:val="superscript"/>
              </w:rPr>
              <w:t>th</w:t>
            </w:r>
            <w:r w:rsidRPr="00144804">
              <w:rPr>
                <w:rFonts w:asciiTheme="minorHAnsi" w:hAnsiTheme="minorHAnsi" w:cstheme="minorHAnsi"/>
                <w:b/>
                <w:color w:val="0000FF"/>
                <w:sz w:val="20"/>
              </w:rPr>
              <w:t xml:space="preserve"> </w:t>
            </w:r>
            <w:r w:rsidRPr="00144804">
              <w:rPr>
                <w:rFonts w:asciiTheme="minorHAnsi" w:hAnsiTheme="minorHAnsi" w:cstheme="minorHAnsi"/>
                <w:b/>
                <w:color w:val="0000FF"/>
                <w:sz w:val="20"/>
              </w:rPr>
              <w:br/>
              <w:t>Percentile</w:t>
            </w:r>
          </w:p>
        </w:tc>
      </w:tr>
      <w:tr w:rsidR="00E52376" w:rsidRPr="00D60211" w14:paraId="4CECA5F5" w14:textId="77777777" w:rsidTr="00DD5392">
        <w:trPr>
          <w:trHeight w:val="370"/>
        </w:trPr>
        <w:tc>
          <w:tcPr>
            <w:tcW w:w="1363" w:type="pct"/>
            <w:shd w:val="clear" w:color="auto" w:fill="DBE5F1" w:themeFill="accent1" w:themeFillTint="33"/>
            <w:vAlign w:val="center"/>
          </w:tcPr>
          <w:p w14:paraId="2874D92E" w14:textId="77777777" w:rsidR="00E52376" w:rsidRPr="00D60211" w:rsidRDefault="00E52376" w:rsidP="00B66D4D">
            <w:pPr>
              <w:pStyle w:val="TableText"/>
              <w:spacing w:before="0" w:after="0"/>
              <w:ind w:left="210" w:hanging="210"/>
              <w:rPr>
                <w:rFonts w:asciiTheme="minorHAnsi" w:hAnsiTheme="minorHAnsi" w:cstheme="minorHAnsi"/>
                <w:color w:val="0000FF"/>
                <w:sz w:val="20"/>
              </w:rPr>
            </w:pPr>
            <w:r>
              <w:rPr>
                <w:rFonts w:asciiTheme="minorHAnsi" w:hAnsiTheme="minorHAnsi" w:cstheme="minorHAnsi"/>
                <w:color w:val="0000FF"/>
                <w:sz w:val="20"/>
              </w:rPr>
              <w:t xml:space="preserve">All </w:t>
            </w:r>
            <w:r w:rsidRPr="00D60211">
              <w:rPr>
                <w:rFonts w:asciiTheme="minorHAnsi" w:hAnsiTheme="minorHAnsi" w:cstheme="minorHAnsi"/>
                <w:color w:val="0000FF"/>
                <w:sz w:val="20"/>
              </w:rPr>
              <w:t>Excluded Medical Condition</w:t>
            </w:r>
            <w:r>
              <w:rPr>
                <w:rFonts w:asciiTheme="minorHAnsi" w:hAnsiTheme="minorHAnsi" w:cstheme="minorHAnsi"/>
                <w:color w:val="0000FF"/>
                <w:sz w:val="20"/>
              </w:rPr>
              <w:t xml:space="preserve">s </w:t>
            </w:r>
          </w:p>
        </w:tc>
        <w:tc>
          <w:tcPr>
            <w:tcW w:w="708" w:type="pct"/>
            <w:tcBorders>
              <w:top w:val="nil"/>
              <w:bottom w:val="nil"/>
              <w:right w:val="nil"/>
            </w:tcBorders>
            <w:shd w:val="clear" w:color="auto" w:fill="DBE5F1" w:themeFill="accent1" w:themeFillTint="33"/>
            <w:vAlign w:val="center"/>
          </w:tcPr>
          <w:p w14:paraId="25BC864A"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7,650 (1.6)</w:t>
            </w:r>
          </w:p>
        </w:tc>
        <w:tc>
          <w:tcPr>
            <w:tcW w:w="555" w:type="pct"/>
            <w:tcBorders>
              <w:top w:val="nil"/>
              <w:left w:val="nil"/>
              <w:bottom w:val="nil"/>
              <w:right w:val="nil"/>
            </w:tcBorders>
            <w:shd w:val="clear" w:color="auto" w:fill="DBE5F1" w:themeFill="accent1" w:themeFillTint="33"/>
            <w:vAlign w:val="center"/>
          </w:tcPr>
          <w:p w14:paraId="4C7890C9" w14:textId="32DCED0A" w:rsidR="00E52376" w:rsidRPr="00D60211" w:rsidRDefault="00E52376" w:rsidP="00B66D4D">
            <w:pPr>
              <w:spacing w:after="0"/>
              <w:jc w:val="center"/>
              <w:rPr>
                <w:rFonts w:cstheme="minorHAnsi"/>
                <w:color w:val="0000FF"/>
                <w:sz w:val="20"/>
                <w:szCs w:val="20"/>
              </w:rPr>
            </w:pPr>
            <w:r>
              <w:rPr>
                <w:rFonts w:cstheme="minorHAnsi"/>
                <w:color w:val="0000FF"/>
                <w:sz w:val="20"/>
                <w:szCs w:val="20"/>
              </w:rPr>
              <w:t>21.7</w:t>
            </w:r>
            <w:r w:rsidRPr="00D60211">
              <w:rPr>
                <w:rFonts w:cstheme="minorHAnsi"/>
                <w:color w:val="0000FF"/>
                <w:sz w:val="20"/>
                <w:szCs w:val="20"/>
              </w:rPr>
              <w:t xml:space="preserve"> </w:t>
            </w:r>
          </w:p>
        </w:tc>
        <w:tc>
          <w:tcPr>
            <w:tcW w:w="404" w:type="pct"/>
            <w:tcBorders>
              <w:top w:val="nil"/>
              <w:left w:val="nil"/>
              <w:bottom w:val="nil"/>
              <w:right w:val="nil"/>
            </w:tcBorders>
            <w:shd w:val="clear" w:color="auto" w:fill="DBE5F1" w:themeFill="accent1" w:themeFillTint="33"/>
            <w:vAlign w:val="center"/>
          </w:tcPr>
          <w:p w14:paraId="485748EF" w14:textId="6EBF5CC0" w:rsidR="00E52376" w:rsidRPr="00D60211" w:rsidRDefault="00E52376" w:rsidP="00B66D4D">
            <w:pPr>
              <w:spacing w:after="0"/>
              <w:jc w:val="center"/>
              <w:rPr>
                <w:rFonts w:cstheme="minorHAnsi"/>
                <w:color w:val="0000FF"/>
                <w:sz w:val="20"/>
                <w:szCs w:val="20"/>
              </w:rPr>
            </w:pPr>
            <w:r>
              <w:rPr>
                <w:rFonts w:cstheme="minorHAnsi"/>
                <w:color w:val="0000FF"/>
                <w:sz w:val="20"/>
                <w:szCs w:val="20"/>
              </w:rPr>
              <w:t>17.8</w:t>
            </w:r>
          </w:p>
        </w:tc>
        <w:tc>
          <w:tcPr>
            <w:tcW w:w="606" w:type="pct"/>
            <w:tcBorders>
              <w:top w:val="nil"/>
              <w:left w:val="nil"/>
              <w:bottom w:val="nil"/>
              <w:right w:val="nil"/>
            </w:tcBorders>
            <w:shd w:val="clear" w:color="auto" w:fill="DBE5F1" w:themeFill="accent1" w:themeFillTint="33"/>
            <w:vAlign w:val="center"/>
          </w:tcPr>
          <w:p w14:paraId="5795D177" w14:textId="133DD73E" w:rsidR="00E52376" w:rsidRPr="00D60211" w:rsidRDefault="00E52376" w:rsidP="00B66D4D">
            <w:pPr>
              <w:spacing w:after="0"/>
              <w:jc w:val="center"/>
              <w:rPr>
                <w:rFonts w:cstheme="minorHAnsi"/>
                <w:color w:val="0000FF"/>
                <w:sz w:val="20"/>
                <w:szCs w:val="20"/>
              </w:rPr>
            </w:pPr>
            <w:r>
              <w:rPr>
                <w:rFonts w:cstheme="minorHAnsi"/>
                <w:color w:val="0000FF"/>
                <w:sz w:val="20"/>
                <w:szCs w:val="20"/>
              </w:rPr>
              <w:t>22.</w:t>
            </w:r>
            <w:r w:rsidRPr="00D60211">
              <w:rPr>
                <w:rFonts w:cstheme="minorHAnsi"/>
                <w:color w:val="0000FF"/>
                <w:sz w:val="20"/>
                <w:szCs w:val="20"/>
              </w:rPr>
              <w:t>0</w:t>
            </w:r>
          </w:p>
        </w:tc>
        <w:tc>
          <w:tcPr>
            <w:tcW w:w="707" w:type="pct"/>
            <w:tcBorders>
              <w:top w:val="nil"/>
              <w:left w:val="nil"/>
              <w:bottom w:val="nil"/>
              <w:right w:val="nil"/>
            </w:tcBorders>
            <w:shd w:val="clear" w:color="auto" w:fill="DBE5F1" w:themeFill="accent1" w:themeFillTint="33"/>
            <w:vAlign w:val="center"/>
          </w:tcPr>
          <w:p w14:paraId="516DD819" w14:textId="793D9890" w:rsidR="00E52376" w:rsidRPr="00D60211" w:rsidRDefault="00E52376" w:rsidP="00B66D4D">
            <w:pPr>
              <w:spacing w:after="0"/>
              <w:jc w:val="center"/>
              <w:rPr>
                <w:rFonts w:cstheme="minorHAnsi"/>
                <w:color w:val="0000FF"/>
                <w:sz w:val="20"/>
                <w:szCs w:val="20"/>
              </w:rPr>
            </w:pPr>
            <w:r>
              <w:rPr>
                <w:rFonts w:cstheme="minorHAnsi"/>
                <w:color w:val="0000FF"/>
                <w:sz w:val="20"/>
                <w:szCs w:val="20"/>
              </w:rPr>
              <w:t>8</w:t>
            </w:r>
            <w:r w:rsidRPr="00D60211">
              <w:rPr>
                <w:rFonts w:cstheme="minorHAnsi"/>
                <w:color w:val="0000FF"/>
                <w:sz w:val="20"/>
                <w:szCs w:val="20"/>
              </w:rPr>
              <w:t>.0</w:t>
            </w:r>
          </w:p>
        </w:tc>
        <w:tc>
          <w:tcPr>
            <w:tcW w:w="657" w:type="pct"/>
            <w:tcBorders>
              <w:top w:val="nil"/>
              <w:left w:val="nil"/>
              <w:bottom w:val="nil"/>
              <w:right w:val="nil"/>
            </w:tcBorders>
            <w:shd w:val="clear" w:color="auto" w:fill="DBE5F1" w:themeFill="accent1" w:themeFillTint="33"/>
            <w:vAlign w:val="center"/>
          </w:tcPr>
          <w:p w14:paraId="199A3B96" w14:textId="58FADFED" w:rsidR="00E52376" w:rsidRPr="00D60211" w:rsidRDefault="00E52376" w:rsidP="00B66D4D">
            <w:pPr>
              <w:spacing w:after="0"/>
              <w:jc w:val="center"/>
              <w:rPr>
                <w:rFonts w:cstheme="minorHAnsi"/>
                <w:color w:val="0000FF"/>
                <w:sz w:val="20"/>
                <w:szCs w:val="20"/>
              </w:rPr>
            </w:pPr>
            <w:r>
              <w:rPr>
                <w:rFonts w:cstheme="minorHAnsi"/>
                <w:color w:val="0000FF"/>
                <w:sz w:val="20"/>
                <w:szCs w:val="20"/>
              </w:rPr>
              <w:t>34</w:t>
            </w:r>
            <w:r w:rsidRPr="00D60211">
              <w:rPr>
                <w:rFonts w:cstheme="minorHAnsi"/>
                <w:color w:val="0000FF"/>
                <w:sz w:val="20"/>
                <w:szCs w:val="20"/>
              </w:rPr>
              <w:t>.0</w:t>
            </w:r>
          </w:p>
        </w:tc>
      </w:tr>
      <w:tr w:rsidR="00E52376" w:rsidRPr="00D60211" w14:paraId="614D1D91" w14:textId="77777777" w:rsidTr="0074777D">
        <w:trPr>
          <w:trHeight w:val="370"/>
        </w:trPr>
        <w:tc>
          <w:tcPr>
            <w:tcW w:w="1363" w:type="pct"/>
            <w:vAlign w:val="center"/>
          </w:tcPr>
          <w:p w14:paraId="2DA7983F" w14:textId="77777777" w:rsidR="00E52376" w:rsidRPr="00D60211" w:rsidRDefault="00E52376"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Coma</w:t>
            </w:r>
          </w:p>
        </w:tc>
        <w:tc>
          <w:tcPr>
            <w:tcW w:w="708" w:type="pct"/>
            <w:tcBorders>
              <w:top w:val="nil"/>
              <w:bottom w:val="nil"/>
              <w:right w:val="nil"/>
            </w:tcBorders>
            <w:vAlign w:val="center"/>
          </w:tcPr>
          <w:p w14:paraId="1188867A" w14:textId="66962864"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65 (</w:t>
            </w:r>
            <w:r>
              <w:rPr>
                <w:rFonts w:cstheme="minorHAnsi"/>
                <w:color w:val="0000FF"/>
                <w:sz w:val="20"/>
                <w:szCs w:val="20"/>
              </w:rPr>
              <w:t>&lt; 0.1</w:t>
            </w:r>
            <w:r w:rsidRPr="00D60211">
              <w:rPr>
                <w:rFonts w:cstheme="minorHAnsi"/>
                <w:color w:val="0000FF"/>
                <w:sz w:val="20"/>
                <w:szCs w:val="20"/>
              </w:rPr>
              <w:t>)</w:t>
            </w:r>
          </w:p>
        </w:tc>
        <w:tc>
          <w:tcPr>
            <w:tcW w:w="555" w:type="pct"/>
            <w:tcBorders>
              <w:top w:val="nil"/>
              <w:left w:val="nil"/>
              <w:bottom w:val="nil"/>
              <w:right w:val="nil"/>
            </w:tcBorders>
            <w:shd w:val="clear" w:color="auto" w:fill="auto"/>
            <w:vAlign w:val="center"/>
          </w:tcPr>
          <w:p w14:paraId="3D9BA4C7" w14:textId="6A09FE67" w:rsidR="00E52376" w:rsidRPr="00D60211" w:rsidRDefault="00E52376" w:rsidP="00B66D4D">
            <w:pPr>
              <w:spacing w:after="0"/>
              <w:jc w:val="center"/>
              <w:rPr>
                <w:rFonts w:cstheme="minorHAnsi"/>
                <w:color w:val="0000FF"/>
                <w:sz w:val="20"/>
                <w:szCs w:val="20"/>
              </w:rPr>
            </w:pPr>
            <w:r>
              <w:rPr>
                <w:rFonts w:cstheme="minorHAnsi"/>
                <w:color w:val="0000FF"/>
                <w:sz w:val="20"/>
                <w:szCs w:val="20"/>
              </w:rPr>
              <w:t>17.9</w:t>
            </w:r>
            <w:r w:rsidRPr="00D60211">
              <w:rPr>
                <w:rFonts w:cstheme="minorHAnsi"/>
                <w:color w:val="0000FF"/>
                <w:sz w:val="20"/>
                <w:szCs w:val="20"/>
              </w:rPr>
              <w:t xml:space="preserve"> </w:t>
            </w:r>
          </w:p>
        </w:tc>
        <w:tc>
          <w:tcPr>
            <w:tcW w:w="404" w:type="pct"/>
            <w:tcBorders>
              <w:top w:val="nil"/>
              <w:left w:val="nil"/>
              <w:bottom w:val="nil"/>
              <w:right w:val="nil"/>
            </w:tcBorders>
            <w:shd w:val="clear" w:color="auto" w:fill="auto"/>
            <w:vAlign w:val="center"/>
          </w:tcPr>
          <w:p w14:paraId="170D3173" w14:textId="735A7C16" w:rsidR="00E52376" w:rsidRPr="00D60211" w:rsidRDefault="00E52376" w:rsidP="00B66D4D">
            <w:pPr>
              <w:spacing w:after="0"/>
              <w:jc w:val="center"/>
              <w:rPr>
                <w:rFonts w:cstheme="minorHAnsi"/>
                <w:color w:val="0000FF"/>
                <w:sz w:val="20"/>
                <w:szCs w:val="20"/>
              </w:rPr>
            </w:pPr>
            <w:r>
              <w:rPr>
                <w:rFonts w:cstheme="minorHAnsi"/>
                <w:color w:val="0000FF"/>
                <w:sz w:val="20"/>
                <w:szCs w:val="20"/>
              </w:rPr>
              <w:t>16.3</w:t>
            </w:r>
          </w:p>
        </w:tc>
        <w:tc>
          <w:tcPr>
            <w:tcW w:w="606" w:type="pct"/>
            <w:tcBorders>
              <w:top w:val="nil"/>
              <w:left w:val="nil"/>
              <w:bottom w:val="nil"/>
              <w:right w:val="nil"/>
            </w:tcBorders>
            <w:shd w:val="clear" w:color="auto" w:fill="auto"/>
            <w:vAlign w:val="center"/>
          </w:tcPr>
          <w:p w14:paraId="702EC35E" w14:textId="197828C9" w:rsidR="00E52376" w:rsidRPr="00D60211" w:rsidRDefault="00E52376" w:rsidP="00B66D4D">
            <w:pPr>
              <w:spacing w:after="0"/>
              <w:jc w:val="center"/>
              <w:rPr>
                <w:rFonts w:cstheme="minorHAnsi"/>
                <w:color w:val="0000FF"/>
                <w:sz w:val="20"/>
                <w:szCs w:val="20"/>
              </w:rPr>
            </w:pPr>
            <w:r>
              <w:rPr>
                <w:rFonts w:cstheme="minorHAnsi"/>
                <w:color w:val="0000FF"/>
                <w:sz w:val="20"/>
                <w:szCs w:val="20"/>
              </w:rPr>
              <w:t>15</w:t>
            </w:r>
            <w:r w:rsidRPr="00D60211">
              <w:rPr>
                <w:rFonts w:cstheme="minorHAnsi"/>
                <w:color w:val="0000FF"/>
                <w:sz w:val="20"/>
                <w:szCs w:val="20"/>
              </w:rPr>
              <w:t>.0</w:t>
            </w:r>
          </w:p>
        </w:tc>
        <w:tc>
          <w:tcPr>
            <w:tcW w:w="707" w:type="pct"/>
            <w:tcBorders>
              <w:top w:val="nil"/>
              <w:left w:val="nil"/>
              <w:bottom w:val="nil"/>
              <w:right w:val="nil"/>
            </w:tcBorders>
            <w:shd w:val="clear" w:color="auto" w:fill="auto"/>
            <w:vAlign w:val="center"/>
          </w:tcPr>
          <w:p w14:paraId="1122A49A" w14:textId="165E2B14" w:rsidR="00E52376" w:rsidRPr="00D60211" w:rsidRDefault="00E52376" w:rsidP="00B66D4D">
            <w:pPr>
              <w:spacing w:after="0"/>
              <w:jc w:val="center"/>
              <w:rPr>
                <w:rFonts w:cstheme="minorHAnsi"/>
                <w:color w:val="0000FF"/>
                <w:sz w:val="20"/>
                <w:szCs w:val="20"/>
              </w:rPr>
            </w:pPr>
            <w:r>
              <w:rPr>
                <w:rFonts w:cstheme="minorHAnsi"/>
                <w:color w:val="0000FF"/>
                <w:sz w:val="20"/>
                <w:szCs w:val="20"/>
              </w:rPr>
              <w:t>6</w:t>
            </w:r>
            <w:r w:rsidRPr="00D60211">
              <w:rPr>
                <w:rFonts w:cstheme="minorHAnsi"/>
                <w:color w:val="0000FF"/>
                <w:sz w:val="20"/>
                <w:szCs w:val="20"/>
              </w:rPr>
              <w:t>.0</w:t>
            </w:r>
          </w:p>
        </w:tc>
        <w:tc>
          <w:tcPr>
            <w:tcW w:w="657" w:type="pct"/>
            <w:tcBorders>
              <w:top w:val="nil"/>
              <w:left w:val="nil"/>
              <w:bottom w:val="nil"/>
              <w:right w:val="nil"/>
            </w:tcBorders>
            <w:shd w:val="clear" w:color="auto" w:fill="auto"/>
            <w:vAlign w:val="center"/>
          </w:tcPr>
          <w:p w14:paraId="28D07CB6" w14:textId="4226D984" w:rsidR="00E52376" w:rsidRPr="00D60211" w:rsidRDefault="00E52376" w:rsidP="00B66D4D">
            <w:pPr>
              <w:spacing w:after="0"/>
              <w:jc w:val="center"/>
              <w:rPr>
                <w:rFonts w:cstheme="minorHAnsi"/>
                <w:color w:val="0000FF"/>
                <w:sz w:val="20"/>
                <w:szCs w:val="20"/>
              </w:rPr>
            </w:pPr>
            <w:r>
              <w:rPr>
                <w:rFonts w:cstheme="minorHAnsi"/>
                <w:color w:val="0000FF"/>
                <w:sz w:val="20"/>
                <w:szCs w:val="20"/>
              </w:rPr>
              <w:t>28</w:t>
            </w:r>
            <w:r w:rsidRPr="00D60211">
              <w:rPr>
                <w:rFonts w:cstheme="minorHAnsi"/>
                <w:color w:val="0000FF"/>
                <w:sz w:val="20"/>
                <w:szCs w:val="20"/>
              </w:rPr>
              <w:t>.0</w:t>
            </w:r>
          </w:p>
        </w:tc>
      </w:tr>
      <w:tr w:rsidR="00E52376" w:rsidRPr="00D60211" w14:paraId="5BF92025" w14:textId="77777777" w:rsidTr="00DD5392">
        <w:trPr>
          <w:trHeight w:val="370"/>
        </w:trPr>
        <w:tc>
          <w:tcPr>
            <w:tcW w:w="1363" w:type="pct"/>
            <w:shd w:val="clear" w:color="auto" w:fill="DBE5F1" w:themeFill="accent1" w:themeFillTint="33"/>
            <w:vAlign w:val="center"/>
          </w:tcPr>
          <w:p w14:paraId="66744081" w14:textId="77777777" w:rsidR="00E52376" w:rsidRPr="00D60211" w:rsidRDefault="00E52376"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Complete Tetraplegia</w:t>
            </w:r>
          </w:p>
        </w:tc>
        <w:tc>
          <w:tcPr>
            <w:tcW w:w="708" w:type="pct"/>
            <w:tcBorders>
              <w:top w:val="nil"/>
              <w:bottom w:val="nil"/>
              <w:right w:val="nil"/>
            </w:tcBorders>
            <w:shd w:val="clear" w:color="auto" w:fill="DBE5F1" w:themeFill="accent1" w:themeFillTint="33"/>
            <w:vAlign w:val="center"/>
          </w:tcPr>
          <w:p w14:paraId="14DB863C"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311 (0.1)</w:t>
            </w:r>
          </w:p>
        </w:tc>
        <w:tc>
          <w:tcPr>
            <w:tcW w:w="555" w:type="pct"/>
            <w:tcBorders>
              <w:top w:val="nil"/>
              <w:left w:val="nil"/>
              <w:bottom w:val="nil"/>
              <w:right w:val="nil"/>
            </w:tcBorders>
            <w:shd w:val="clear" w:color="auto" w:fill="DBE5F1" w:themeFill="accent1" w:themeFillTint="33"/>
            <w:vAlign w:val="center"/>
          </w:tcPr>
          <w:p w14:paraId="44B95874" w14:textId="64F43355" w:rsidR="00E52376" w:rsidRPr="00D60211" w:rsidRDefault="00E52376" w:rsidP="00B66D4D">
            <w:pPr>
              <w:spacing w:after="0"/>
              <w:jc w:val="center"/>
              <w:rPr>
                <w:rFonts w:cstheme="minorHAnsi"/>
                <w:color w:val="0000FF"/>
                <w:sz w:val="20"/>
                <w:szCs w:val="20"/>
              </w:rPr>
            </w:pPr>
            <w:r>
              <w:rPr>
                <w:rFonts w:cstheme="minorHAnsi"/>
                <w:color w:val="0000FF"/>
                <w:sz w:val="20"/>
                <w:szCs w:val="20"/>
              </w:rPr>
              <w:t>11.7</w:t>
            </w:r>
          </w:p>
        </w:tc>
        <w:tc>
          <w:tcPr>
            <w:tcW w:w="404" w:type="pct"/>
            <w:tcBorders>
              <w:top w:val="nil"/>
              <w:left w:val="nil"/>
              <w:bottom w:val="nil"/>
              <w:right w:val="nil"/>
            </w:tcBorders>
            <w:shd w:val="clear" w:color="auto" w:fill="DBE5F1" w:themeFill="accent1" w:themeFillTint="33"/>
            <w:vAlign w:val="center"/>
          </w:tcPr>
          <w:p w14:paraId="15833DE0" w14:textId="2D937F48" w:rsidR="00E52376" w:rsidRPr="00D60211" w:rsidRDefault="00E52376" w:rsidP="00B66D4D">
            <w:pPr>
              <w:spacing w:after="0"/>
              <w:jc w:val="center"/>
              <w:rPr>
                <w:rFonts w:cstheme="minorHAnsi"/>
                <w:color w:val="0000FF"/>
                <w:sz w:val="20"/>
                <w:szCs w:val="20"/>
              </w:rPr>
            </w:pPr>
            <w:r>
              <w:rPr>
                <w:rFonts w:cstheme="minorHAnsi"/>
                <w:color w:val="0000FF"/>
                <w:sz w:val="20"/>
                <w:szCs w:val="20"/>
              </w:rPr>
              <w:t>13.0</w:t>
            </w:r>
          </w:p>
        </w:tc>
        <w:tc>
          <w:tcPr>
            <w:tcW w:w="606" w:type="pct"/>
            <w:tcBorders>
              <w:top w:val="nil"/>
              <w:left w:val="nil"/>
              <w:bottom w:val="nil"/>
              <w:right w:val="nil"/>
            </w:tcBorders>
            <w:shd w:val="clear" w:color="auto" w:fill="DBE5F1" w:themeFill="accent1" w:themeFillTint="33"/>
            <w:vAlign w:val="center"/>
          </w:tcPr>
          <w:p w14:paraId="66E964C8" w14:textId="5E88101E" w:rsidR="00E52376" w:rsidRPr="00D60211" w:rsidRDefault="00E52376" w:rsidP="00B66D4D">
            <w:pPr>
              <w:spacing w:after="0"/>
              <w:jc w:val="center"/>
              <w:rPr>
                <w:rFonts w:cstheme="minorHAnsi"/>
                <w:color w:val="0000FF"/>
                <w:sz w:val="20"/>
                <w:szCs w:val="20"/>
              </w:rPr>
            </w:pPr>
            <w:r>
              <w:rPr>
                <w:rFonts w:cstheme="minorHAnsi"/>
                <w:color w:val="0000FF"/>
                <w:sz w:val="20"/>
                <w:szCs w:val="20"/>
              </w:rPr>
              <w:t>9</w:t>
            </w:r>
            <w:r w:rsidRPr="00D60211">
              <w:rPr>
                <w:rFonts w:cstheme="minorHAnsi"/>
                <w:color w:val="0000FF"/>
                <w:sz w:val="20"/>
                <w:szCs w:val="20"/>
              </w:rPr>
              <w:t>.0</w:t>
            </w:r>
          </w:p>
        </w:tc>
        <w:tc>
          <w:tcPr>
            <w:tcW w:w="707" w:type="pct"/>
            <w:tcBorders>
              <w:top w:val="nil"/>
              <w:left w:val="nil"/>
              <w:bottom w:val="nil"/>
              <w:right w:val="nil"/>
            </w:tcBorders>
            <w:shd w:val="clear" w:color="auto" w:fill="DBE5F1" w:themeFill="accent1" w:themeFillTint="33"/>
            <w:vAlign w:val="center"/>
          </w:tcPr>
          <w:p w14:paraId="1193B245"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0.0</w:t>
            </w:r>
          </w:p>
        </w:tc>
        <w:tc>
          <w:tcPr>
            <w:tcW w:w="657" w:type="pct"/>
            <w:tcBorders>
              <w:top w:val="nil"/>
              <w:left w:val="nil"/>
              <w:bottom w:val="nil"/>
              <w:right w:val="nil"/>
            </w:tcBorders>
            <w:shd w:val="clear" w:color="auto" w:fill="DBE5F1" w:themeFill="accent1" w:themeFillTint="33"/>
            <w:vAlign w:val="center"/>
          </w:tcPr>
          <w:p w14:paraId="0653E808" w14:textId="452F640D" w:rsidR="00E52376" w:rsidRPr="00D60211" w:rsidRDefault="00E52376" w:rsidP="00B66D4D">
            <w:pPr>
              <w:spacing w:after="0"/>
              <w:jc w:val="center"/>
              <w:rPr>
                <w:rFonts w:cstheme="minorHAnsi"/>
                <w:color w:val="0000FF"/>
                <w:sz w:val="20"/>
                <w:szCs w:val="20"/>
              </w:rPr>
            </w:pPr>
            <w:r>
              <w:rPr>
                <w:rFonts w:cstheme="minorHAnsi"/>
                <w:color w:val="0000FF"/>
                <w:sz w:val="20"/>
                <w:szCs w:val="20"/>
              </w:rPr>
              <w:t>20</w:t>
            </w:r>
            <w:r w:rsidRPr="00D60211">
              <w:rPr>
                <w:rFonts w:cstheme="minorHAnsi"/>
                <w:color w:val="0000FF"/>
                <w:sz w:val="20"/>
                <w:szCs w:val="20"/>
              </w:rPr>
              <w:t>.0</w:t>
            </w:r>
          </w:p>
        </w:tc>
      </w:tr>
      <w:tr w:rsidR="0074777D" w:rsidRPr="00D60211" w14:paraId="564B3E8C" w14:textId="77777777" w:rsidTr="0074777D">
        <w:trPr>
          <w:trHeight w:val="370"/>
        </w:trPr>
        <w:tc>
          <w:tcPr>
            <w:tcW w:w="1363" w:type="pct"/>
            <w:vAlign w:val="center"/>
          </w:tcPr>
          <w:p w14:paraId="7F530FD7" w14:textId="25E1D774" w:rsidR="0074777D" w:rsidRPr="00D60211" w:rsidRDefault="0074777D"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Persistent vegetative state</w:t>
            </w:r>
            <w:r>
              <w:rPr>
                <w:rFonts w:asciiTheme="minorHAnsi" w:hAnsiTheme="minorHAnsi" w:cstheme="minorHAnsi"/>
                <w:color w:val="0000FF"/>
                <w:sz w:val="20"/>
              </w:rPr>
              <w:t>**</w:t>
            </w:r>
          </w:p>
        </w:tc>
        <w:tc>
          <w:tcPr>
            <w:tcW w:w="708" w:type="pct"/>
            <w:tcBorders>
              <w:top w:val="nil"/>
              <w:bottom w:val="nil"/>
              <w:right w:val="nil"/>
            </w:tcBorders>
            <w:vAlign w:val="center"/>
          </w:tcPr>
          <w:p w14:paraId="3093BA98" w14:textId="33CE3E31" w:rsidR="0074777D" w:rsidRPr="00D60211" w:rsidRDefault="0074777D" w:rsidP="00B66D4D">
            <w:pPr>
              <w:spacing w:after="0"/>
              <w:jc w:val="center"/>
              <w:rPr>
                <w:rFonts w:cstheme="minorHAnsi"/>
                <w:color w:val="0000FF"/>
                <w:sz w:val="20"/>
                <w:szCs w:val="20"/>
              </w:rPr>
            </w:pPr>
            <w:r>
              <w:rPr>
                <w:rFonts w:cstheme="minorHAnsi"/>
                <w:color w:val="0000FF"/>
                <w:sz w:val="20"/>
                <w:szCs w:val="20"/>
              </w:rPr>
              <w:t xml:space="preserve">&lt; 11 </w:t>
            </w:r>
            <w:r w:rsidRPr="00D60211">
              <w:rPr>
                <w:rFonts w:cstheme="minorHAnsi"/>
                <w:color w:val="0000FF"/>
                <w:sz w:val="20"/>
                <w:szCs w:val="20"/>
              </w:rPr>
              <w:t>(</w:t>
            </w:r>
            <w:r>
              <w:rPr>
                <w:rFonts w:cstheme="minorHAnsi"/>
                <w:color w:val="0000FF"/>
                <w:sz w:val="20"/>
                <w:szCs w:val="20"/>
              </w:rPr>
              <w:t>&lt;</w:t>
            </w:r>
            <w:r w:rsidRPr="00D60211">
              <w:rPr>
                <w:rFonts w:cstheme="minorHAnsi"/>
                <w:color w:val="0000FF"/>
                <w:sz w:val="20"/>
                <w:szCs w:val="20"/>
              </w:rPr>
              <w:t>0.</w:t>
            </w:r>
            <w:r>
              <w:rPr>
                <w:rFonts w:cstheme="minorHAnsi"/>
                <w:color w:val="0000FF"/>
                <w:sz w:val="20"/>
                <w:szCs w:val="20"/>
              </w:rPr>
              <w:t>1</w:t>
            </w:r>
            <w:r w:rsidRPr="00D60211">
              <w:rPr>
                <w:rFonts w:cstheme="minorHAnsi"/>
                <w:color w:val="0000FF"/>
                <w:sz w:val="20"/>
                <w:szCs w:val="20"/>
              </w:rPr>
              <w:t>)</w:t>
            </w:r>
          </w:p>
        </w:tc>
        <w:tc>
          <w:tcPr>
            <w:tcW w:w="555" w:type="pct"/>
            <w:tcBorders>
              <w:top w:val="nil"/>
              <w:left w:val="nil"/>
              <w:bottom w:val="nil"/>
              <w:right w:val="nil"/>
            </w:tcBorders>
            <w:shd w:val="clear" w:color="auto" w:fill="auto"/>
            <w:vAlign w:val="center"/>
          </w:tcPr>
          <w:p w14:paraId="2E6A2D11" w14:textId="0A34BEE9" w:rsidR="0074777D" w:rsidRPr="00D60211" w:rsidRDefault="0074777D" w:rsidP="00B66D4D">
            <w:pPr>
              <w:spacing w:after="0"/>
              <w:jc w:val="center"/>
              <w:rPr>
                <w:rFonts w:cstheme="minorHAnsi"/>
                <w:color w:val="0000FF"/>
                <w:sz w:val="20"/>
                <w:szCs w:val="20"/>
              </w:rPr>
            </w:pPr>
            <w:r>
              <w:rPr>
                <w:rFonts w:cstheme="minorHAnsi"/>
                <w:color w:val="0000FF"/>
                <w:sz w:val="20"/>
                <w:szCs w:val="20"/>
              </w:rPr>
              <w:t>**</w:t>
            </w:r>
          </w:p>
        </w:tc>
        <w:tc>
          <w:tcPr>
            <w:tcW w:w="404" w:type="pct"/>
            <w:tcBorders>
              <w:top w:val="nil"/>
              <w:left w:val="nil"/>
              <w:bottom w:val="nil"/>
              <w:right w:val="nil"/>
            </w:tcBorders>
            <w:shd w:val="clear" w:color="auto" w:fill="auto"/>
            <w:vAlign w:val="center"/>
          </w:tcPr>
          <w:p w14:paraId="3A4FA278" w14:textId="248CB3B5" w:rsidR="0074777D" w:rsidRPr="00D60211" w:rsidRDefault="0074777D" w:rsidP="00B66D4D">
            <w:pPr>
              <w:spacing w:after="0"/>
              <w:jc w:val="center"/>
              <w:rPr>
                <w:rFonts w:cstheme="minorHAnsi"/>
                <w:color w:val="0000FF"/>
                <w:sz w:val="20"/>
                <w:szCs w:val="20"/>
              </w:rPr>
            </w:pPr>
            <w:r>
              <w:rPr>
                <w:rFonts w:cstheme="minorHAnsi"/>
                <w:color w:val="0000FF"/>
                <w:sz w:val="20"/>
                <w:szCs w:val="20"/>
              </w:rPr>
              <w:t>**</w:t>
            </w:r>
          </w:p>
        </w:tc>
        <w:tc>
          <w:tcPr>
            <w:tcW w:w="606" w:type="pct"/>
            <w:tcBorders>
              <w:top w:val="nil"/>
              <w:left w:val="nil"/>
              <w:bottom w:val="nil"/>
              <w:right w:val="nil"/>
            </w:tcBorders>
            <w:shd w:val="clear" w:color="auto" w:fill="auto"/>
            <w:vAlign w:val="center"/>
          </w:tcPr>
          <w:p w14:paraId="1C189F67" w14:textId="44D6F009" w:rsidR="0074777D" w:rsidRPr="00D60211" w:rsidRDefault="0074777D" w:rsidP="00B66D4D">
            <w:pPr>
              <w:spacing w:after="0"/>
              <w:jc w:val="center"/>
              <w:rPr>
                <w:rFonts w:cstheme="minorHAnsi"/>
                <w:color w:val="0000FF"/>
                <w:sz w:val="20"/>
                <w:szCs w:val="20"/>
              </w:rPr>
            </w:pPr>
            <w:r>
              <w:rPr>
                <w:rFonts w:cstheme="minorHAnsi"/>
                <w:color w:val="0000FF"/>
                <w:sz w:val="20"/>
                <w:szCs w:val="20"/>
              </w:rPr>
              <w:t>**</w:t>
            </w:r>
          </w:p>
        </w:tc>
        <w:tc>
          <w:tcPr>
            <w:tcW w:w="707" w:type="pct"/>
            <w:tcBorders>
              <w:top w:val="nil"/>
              <w:left w:val="nil"/>
              <w:bottom w:val="nil"/>
              <w:right w:val="nil"/>
            </w:tcBorders>
            <w:shd w:val="clear" w:color="auto" w:fill="auto"/>
            <w:vAlign w:val="center"/>
          </w:tcPr>
          <w:p w14:paraId="7EAFB96C" w14:textId="04C3557A" w:rsidR="0074777D" w:rsidRPr="00D60211" w:rsidRDefault="0074777D" w:rsidP="00B66D4D">
            <w:pPr>
              <w:spacing w:after="0"/>
              <w:jc w:val="center"/>
              <w:rPr>
                <w:rFonts w:cstheme="minorHAnsi"/>
                <w:color w:val="0000FF"/>
                <w:sz w:val="20"/>
                <w:szCs w:val="20"/>
              </w:rPr>
            </w:pPr>
            <w:r>
              <w:rPr>
                <w:rFonts w:cstheme="minorHAnsi"/>
                <w:color w:val="0000FF"/>
                <w:sz w:val="20"/>
                <w:szCs w:val="20"/>
              </w:rPr>
              <w:t>**</w:t>
            </w:r>
          </w:p>
        </w:tc>
        <w:tc>
          <w:tcPr>
            <w:tcW w:w="657" w:type="pct"/>
            <w:tcBorders>
              <w:top w:val="nil"/>
              <w:left w:val="nil"/>
              <w:bottom w:val="nil"/>
              <w:right w:val="nil"/>
            </w:tcBorders>
            <w:shd w:val="clear" w:color="auto" w:fill="auto"/>
            <w:vAlign w:val="center"/>
          </w:tcPr>
          <w:p w14:paraId="0200084E" w14:textId="54B2D261" w:rsidR="0074777D" w:rsidRPr="00D60211" w:rsidRDefault="0074777D" w:rsidP="00B66D4D">
            <w:pPr>
              <w:spacing w:after="0"/>
              <w:jc w:val="center"/>
              <w:rPr>
                <w:rFonts w:cstheme="minorHAnsi"/>
                <w:color w:val="0000FF"/>
                <w:sz w:val="20"/>
                <w:szCs w:val="20"/>
              </w:rPr>
            </w:pPr>
            <w:r>
              <w:rPr>
                <w:rFonts w:cstheme="minorHAnsi"/>
                <w:color w:val="0000FF"/>
                <w:sz w:val="20"/>
                <w:szCs w:val="20"/>
              </w:rPr>
              <w:t>**</w:t>
            </w:r>
          </w:p>
        </w:tc>
      </w:tr>
      <w:tr w:rsidR="00E52376" w:rsidRPr="00D60211" w14:paraId="0AE2DD00" w14:textId="77777777" w:rsidTr="00DD5392">
        <w:trPr>
          <w:trHeight w:val="370"/>
        </w:trPr>
        <w:tc>
          <w:tcPr>
            <w:tcW w:w="1363" w:type="pct"/>
            <w:shd w:val="clear" w:color="auto" w:fill="DBE5F1" w:themeFill="accent1" w:themeFillTint="33"/>
            <w:vAlign w:val="center"/>
          </w:tcPr>
          <w:p w14:paraId="1FAB7321" w14:textId="77777777" w:rsidR="00E52376" w:rsidRPr="00D60211" w:rsidRDefault="00E52376"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Severe brain damage</w:t>
            </w:r>
          </w:p>
        </w:tc>
        <w:tc>
          <w:tcPr>
            <w:tcW w:w="708" w:type="pct"/>
            <w:tcBorders>
              <w:top w:val="nil"/>
              <w:bottom w:val="nil"/>
              <w:right w:val="nil"/>
            </w:tcBorders>
            <w:shd w:val="clear" w:color="auto" w:fill="DBE5F1" w:themeFill="accent1" w:themeFillTint="33"/>
            <w:vAlign w:val="center"/>
          </w:tcPr>
          <w:p w14:paraId="0F6C838C"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731 (0.1)</w:t>
            </w:r>
          </w:p>
        </w:tc>
        <w:tc>
          <w:tcPr>
            <w:tcW w:w="555" w:type="pct"/>
            <w:tcBorders>
              <w:top w:val="nil"/>
              <w:left w:val="nil"/>
              <w:bottom w:val="nil"/>
              <w:right w:val="nil"/>
            </w:tcBorders>
            <w:shd w:val="clear" w:color="auto" w:fill="DBE5F1" w:themeFill="accent1" w:themeFillTint="33"/>
            <w:vAlign w:val="center"/>
          </w:tcPr>
          <w:p w14:paraId="50FF3B12" w14:textId="53DBBA38" w:rsidR="00E52376" w:rsidRPr="00D60211" w:rsidRDefault="00E52376" w:rsidP="00B66D4D">
            <w:pPr>
              <w:spacing w:after="0"/>
              <w:jc w:val="center"/>
              <w:rPr>
                <w:rFonts w:cstheme="minorHAnsi"/>
                <w:color w:val="0000FF"/>
                <w:sz w:val="20"/>
                <w:szCs w:val="20"/>
              </w:rPr>
            </w:pPr>
            <w:r>
              <w:rPr>
                <w:rFonts w:cstheme="minorHAnsi"/>
                <w:color w:val="0000FF"/>
                <w:sz w:val="20"/>
                <w:szCs w:val="20"/>
              </w:rPr>
              <w:t>23.0</w:t>
            </w:r>
          </w:p>
        </w:tc>
        <w:tc>
          <w:tcPr>
            <w:tcW w:w="404" w:type="pct"/>
            <w:tcBorders>
              <w:top w:val="nil"/>
              <w:left w:val="nil"/>
              <w:bottom w:val="nil"/>
              <w:right w:val="nil"/>
            </w:tcBorders>
            <w:shd w:val="clear" w:color="auto" w:fill="DBE5F1" w:themeFill="accent1" w:themeFillTint="33"/>
            <w:vAlign w:val="center"/>
          </w:tcPr>
          <w:p w14:paraId="6A89F7A1" w14:textId="6C568E27" w:rsidR="00E52376" w:rsidRPr="00D60211" w:rsidRDefault="00E52376" w:rsidP="00B66D4D">
            <w:pPr>
              <w:spacing w:after="0"/>
              <w:jc w:val="center"/>
              <w:rPr>
                <w:rFonts w:cstheme="minorHAnsi"/>
                <w:color w:val="0000FF"/>
                <w:sz w:val="20"/>
                <w:szCs w:val="20"/>
              </w:rPr>
            </w:pPr>
            <w:r>
              <w:rPr>
                <w:rFonts w:cstheme="minorHAnsi"/>
                <w:color w:val="0000FF"/>
                <w:sz w:val="20"/>
                <w:szCs w:val="20"/>
              </w:rPr>
              <w:t>17.4</w:t>
            </w:r>
          </w:p>
        </w:tc>
        <w:tc>
          <w:tcPr>
            <w:tcW w:w="606" w:type="pct"/>
            <w:tcBorders>
              <w:top w:val="nil"/>
              <w:left w:val="nil"/>
              <w:bottom w:val="nil"/>
              <w:right w:val="nil"/>
            </w:tcBorders>
            <w:shd w:val="clear" w:color="auto" w:fill="DBE5F1" w:themeFill="accent1" w:themeFillTint="33"/>
            <w:vAlign w:val="center"/>
          </w:tcPr>
          <w:p w14:paraId="49EDD060" w14:textId="377B82D5" w:rsidR="00E52376" w:rsidRPr="00D60211" w:rsidRDefault="00E52376" w:rsidP="00B66D4D">
            <w:pPr>
              <w:spacing w:after="0"/>
              <w:jc w:val="center"/>
              <w:rPr>
                <w:rFonts w:cstheme="minorHAnsi"/>
                <w:color w:val="0000FF"/>
                <w:sz w:val="20"/>
                <w:szCs w:val="20"/>
              </w:rPr>
            </w:pPr>
            <w:r>
              <w:rPr>
                <w:rFonts w:cstheme="minorHAnsi"/>
                <w:color w:val="0000FF"/>
                <w:sz w:val="20"/>
                <w:szCs w:val="20"/>
              </w:rPr>
              <w:t>23</w:t>
            </w:r>
            <w:r w:rsidRPr="00D60211">
              <w:rPr>
                <w:rFonts w:cstheme="minorHAnsi"/>
                <w:color w:val="0000FF"/>
                <w:sz w:val="20"/>
                <w:szCs w:val="20"/>
              </w:rPr>
              <w:t>.0</w:t>
            </w:r>
          </w:p>
        </w:tc>
        <w:tc>
          <w:tcPr>
            <w:tcW w:w="707" w:type="pct"/>
            <w:tcBorders>
              <w:top w:val="nil"/>
              <w:left w:val="nil"/>
              <w:bottom w:val="nil"/>
              <w:right w:val="nil"/>
            </w:tcBorders>
            <w:shd w:val="clear" w:color="auto" w:fill="DBE5F1" w:themeFill="accent1" w:themeFillTint="33"/>
            <w:vAlign w:val="center"/>
          </w:tcPr>
          <w:p w14:paraId="4F4E425B" w14:textId="2248ED82" w:rsidR="00E52376" w:rsidRPr="00D60211" w:rsidRDefault="00E52376" w:rsidP="00B66D4D">
            <w:pPr>
              <w:spacing w:after="0"/>
              <w:jc w:val="center"/>
              <w:rPr>
                <w:rFonts w:cstheme="minorHAnsi"/>
                <w:color w:val="0000FF"/>
                <w:sz w:val="20"/>
                <w:szCs w:val="20"/>
              </w:rPr>
            </w:pPr>
            <w:r>
              <w:rPr>
                <w:rFonts w:cstheme="minorHAnsi"/>
                <w:color w:val="0000FF"/>
                <w:sz w:val="20"/>
                <w:szCs w:val="20"/>
              </w:rPr>
              <w:t>9</w:t>
            </w:r>
            <w:r w:rsidRPr="00D60211">
              <w:rPr>
                <w:rFonts w:cstheme="minorHAnsi"/>
                <w:color w:val="0000FF"/>
                <w:sz w:val="20"/>
                <w:szCs w:val="20"/>
              </w:rPr>
              <w:t>.0</w:t>
            </w:r>
          </w:p>
        </w:tc>
        <w:tc>
          <w:tcPr>
            <w:tcW w:w="657" w:type="pct"/>
            <w:tcBorders>
              <w:top w:val="nil"/>
              <w:left w:val="nil"/>
              <w:bottom w:val="nil"/>
              <w:right w:val="nil"/>
            </w:tcBorders>
            <w:shd w:val="clear" w:color="auto" w:fill="DBE5F1" w:themeFill="accent1" w:themeFillTint="33"/>
            <w:vAlign w:val="center"/>
          </w:tcPr>
          <w:p w14:paraId="2CA9D87C" w14:textId="782A9D0E" w:rsidR="00E52376" w:rsidRPr="00D60211" w:rsidRDefault="00E52376" w:rsidP="00B66D4D">
            <w:pPr>
              <w:spacing w:after="0"/>
              <w:jc w:val="center"/>
              <w:rPr>
                <w:rFonts w:cstheme="minorHAnsi"/>
                <w:color w:val="0000FF"/>
                <w:sz w:val="20"/>
                <w:szCs w:val="20"/>
              </w:rPr>
            </w:pPr>
            <w:r>
              <w:rPr>
                <w:rFonts w:cstheme="minorHAnsi"/>
                <w:color w:val="0000FF"/>
                <w:sz w:val="20"/>
                <w:szCs w:val="20"/>
              </w:rPr>
              <w:t>35</w:t>
            </w:r>
            <w:r w:rsidRPr="00D60211">
              <w:rPr>
                <w:rFonts w:cstheme="minorHAnsi"/>
                <w:color w:val="0000FF"/>
                <w:sz w:val="20"/>
                <w:szCs w:val="20"/>
              </w:rPr>
              <w:t>.0</w:t>
            </w:r>
          </w:p>
        </w:tc>
      </w:tr>
      <w:tr w:rsidR="00E52376" w:rsidRPr="00D60211" w14:paraId="43FA14A7" w14:textId="77777777" w:rsidTr="0074777D">
        <w:trPr>
          <w:trHeight w:val="370"/>
        </w:trPr>
        <w:tc>
          <w:tcPr>
            <w:tcW w:w="1363" w:type="pct"/>
            <w:vAlign w:val="center"/>
          </w:tcPr>
          <w:p w14:paraId="3C44F535" w14:textId="77777777" w:rsidR="00E52376" w:rsidRPr="00D60211" w:rsidRDefault="00E52376"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tab/>
              <w:t>Locked-In Syndrome</w:t>
            </w:r>
          </w:p>
        </w:tc>
        <w:tc>
          <w:tcPr>
            <w:tcW w:w="708" w:type="pct"/>
            <w:tcBorders>
              <w:top w:val="nil"/>
              <w:bottom w:val="nil"/>
              <w:right w:val="nil"/>
            </w:tcBorders>
            <w:vAlign w:val="center"/>
          </w:tcPr>
          <w:p w14:paraId="3C7FD28A" w14:textId="29986BBB"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12 (</w:t>
            </w:r>
            <w:r>
              <w:rPr>
                <w:rFonts w:cstheme="minorHAnsi"/>
                <w:color w:val="0000FF"/>
                <w:sz w:val="20"/>
                <w:szCs w:val="20"/>
              </w:rPr>
              <w:t>&lt; 0.1</w:t>
            </w:r>
            <w:r w:rsidRPr="00D60211">
              <w:rPr>
                <w:rFonts w:cstheme="minorHAnsi"/>
                <w:color w:val="0000FF"/>
                <w:sz w:val="20"/>
                <w:szCs w:val="20"/>
              </w:rPr>
              <w:t>)</w:t>
            </w:r>
          </w:p>
        </w:tc>
        <w:tc>
          <w:tcPr>
            <w:tcW w:w="555" w:type="pct"/>
            <w:tcBorders>
              <w:top w:val="nil"/>
              <w:left w:val="nil"/>
              <w:bottom w:val="nil"/>
              <w:right w:val="nil"/>
            </w:tcBorders>
            <w:shd w:val="clear" w:color="auto" w:fill="auto"/>
            <w:vAlign w:val="center"/>
          </w:tcPr>
          <w:p w14:paraId="0EBCBB46" w14:textId="05E31944" w:rsidR="00E52376" w:rsidRPr="00D60211" w:rsidRDefault="00E52376" w:rsidP="00B66D4D">
            <w:pPr>
              <w:spacing w:after="0"/>
              <w:jc w:val="center"/>
              <w:rPr>
                <w:rFonts w:cstheme="minorHAnsi"/>
                <w:color w:val="0000FF"/>
                <w:sz w:val="20"/>
                <w:szCs w:val="20"/>
              </w:rPr>
            </w:pPr>
            <w:r>
              <w:rPr>
                <w:rFonts w:cstheme="minorHAnsi"/>
                <w:color w:val="0000FF"/>
                <w:sz w:val="20"/>
                <w:szCs w:val="20"/>
              </w:rPr>
              <w:t>10.4</w:t>
            </w:r>
          </w:p>
        </w:tc>
        <w:tc>
          <w:tcPr>
            <w:tcW w:w="404" w:type="pct"/>
            <w:tcBorders>
              <w:top w:val="nil"/>
              <w:left w:val="nil"/>
              <w:bottom w:val="nil"/>
              <w:right w:val="nil"/>
            </w:tcBorders>
            <w:shd w:val="clear" w:color="auto" w:fill="auto"/>
            <w:vAlign w:val="center"/>
          </w:tcPr>
          <w:p w14:paraId="79691650" w14:textId="5A3887A9" w:rsidR="00E52376" w:rsidRPr="00D60211" w:rsidRDefault="00E52376" w:rsidP="00B66D4D">
            <w:pPr>
              <w:spacing w:after="0"/>
              <w:jc w:val="center"/>
              <w:rPr>
                <w:rFonts w:cstheme="minorHAnsi"/>
                <w:color w:val="0000FF"/>
                <w:sz w:val="20"/>
                <w:szCs w:val="20"/>
              </w:rPr>
            </w:pPr>
            <w:r>
              <w:rPr>
                <w:rFonts w:cstheme="minorHAnsi"/>
                <w:color w:val="0000FF"/>
                <w:sz w:val="20"/>
                <w:szCs w:val="20"/>
              </w:rPr>
              <w:t>17.0</w:t>
            </w:r>
          </w:p>
        </w:tc>
        <w:tc>
          <w:tcPr>
            <w:tcW w:w="606" w:type="pct"/>
            <w:tcBorders>
              <w:top w:val="nil"/>
              <w:left w:val="nil"/>
              <w:bottom w:val="nil"/>
              <w:right w:val="nil"/>
            </w:tcBorders>
            <w:shd w:val="clear" w:color="auto" w:fill="auto"/>
            <w:vAlign w:val="center"/>
          </w:tcPr>
          <w:p w14:paraId="4F89E982"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0.0</w:t>
            </w:r>
          </w:p>
        </w:tc>
        <w:tc>
          <w:tcPr>
            <w:tcW w:w="707" w:type="pct"/>
            <w:tcBorders>
              <w:top w:val="nil"/>
              <w:left w:val="nil"/>
              <w:bottom w:val="nil"/>
              <w:right w:val="nil"/>
            </w:tcBorders>
            <w:shd w:val="clear" w:color="auto" w:fill="auto"/>
            <w:vAlign w:val="center"/>
          </w:tcPr>
          <w:p w14:paraId="5C3DC0EB"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0.0</w:t>
            </w:r>
          </w:p>
        </w:tc>
        <w:tc>
          <w:tcPr>
            <w:tcW w:w="657" w:type="pct"/>
            <w:tcBorders>
              <w:top w:val="nil"/>
              <w:left w:val="nil"/>
              <w:bottom w:val="nil"/>
              <w:right w:val="nil"/>
            </w:tcBorders>
            <w:shd w:val="clear" w:color="auto" w:fill="auto"/>
            <w:vAlign w:val="center"/>
          </w:tcPr>
          <w:p w14:paraId="6249CAE8" w14:textId="7E07634E" w:rsidR="00E52376" w:rsidRPr="00D60211" w:rsidRDefault="00E52376" w:rsidP="00B66D4D">
            <w:pPr>
              <w:spacing w:after="0"/>
              <w:jc w:val="center"/>
              <w:rPr>
                <w:rFonts w:cstheme="minorHAnsi"/>
                <w:color w:val="0000FF"/>
                <w:sz w:val="20"/>
                <w:szCs w:val="20"/>
              </w:rPr>
            </w:pPr>
            <w:r>
              <w:rPr>
                <w:rFonts w:cstheme="minorHAnsi"/>
                <w:color w:val="0000FF"/>
                <w:sz w:val="20"/>
                <w:szCs w:val="20"/>
              </w:rPr>
              <w:t>21</w:t>
            </w:r>
            <w:r w:rsidRPr="00D60211">
              <w:rPr>
                <w:rFonts w:cstheme="minorHAnsi"/>
                <w:color w:val="0000FF"/>
                <w:sz w:val="20"/>
                <w:szCs w:val="20"/>
              </w:rPr>
              <w:t>.0</w:t>
            </w:r>
          </w:p>
        </w:tc>
      </w:tr>
      <w:tr w:rsidR="00E52376" w:rsidRPr="00D60211" w14:paraId="629FA8DF" w14:textId="77777777" w:rsidTr="00DD5392">
        <w:trPr>
          <w:trHeight w:val="370"/>
        </w:trPr>
        <w:tc>
          <w:tcPr>
            <w:tcW w:w="1363" w:type="pct"/>
            <w:shd w:val="clear" w:color="auto" w:fill="DBE5F1" w:themeFill="accent1" w:themeFillTint="33"/>
            <w:vAlign w:val="center"/>
          </w:tcPr>
          <w:p w14:paraId="6BF7137F" w14:textId="77777777" w:rsidR="00E52376" w:rsidRPr="00D60211" w:rsidRDefault="00E52376" w:rsidP="00B66D4D">
            <w:pPr>
              <w:pStyle w:val="TableText"/>
              <w:spacing w:before="0" w:after="0"/>
              <w:ind w:left="390" w:hanging="390"/>
              <w:rPr>
                <w:rFonts w:asciiTheme="minorHAnsi" w:hAnsiTheme="minorHAnsi" w:cstheme="minorHAnsi"/>
                <w:color w:val="0000FF"/>
                <w:sz w:val="20"/>
              </w:rPr>
            </w:pPr>
            <w:r w:rsidRPr="00D60211">
              <w:rPr>
                <w:rFonts w:asciiTheme="minorHAnsi" w:hAnsiTheme="minorHAnsi" w:cstheme="minorHAnsi"/>
                <w:color w:val="0000FF"/>
                <w:sz w:val="20"/>
              </w:rPr>
              <w:lastRenderedPageBreak/>
              <w:tab/>
              <w:t>Severe anoxic brain damage, cerebral edema, or compression of the brain</w:t>
            </w:r>
          </w:p>
        </w:tc>
        <w:tc>
          <w:tcPr>
            <w:tcW w:w="708" w:type="pct"/>
            <w:tcBorders>
              <w:top w:val="nil"/>
              <w:bottom w:val="nil"/>
              <w:right w:val="nil"/>
            </w:tcBorders>
            <w:shd w:val="clear" w:color="auto" w:fill="DBE5F1" w:themeFill="accent1" w:themeFillTint="33"/>
            <w:vAlign w:val="center"/>
          </w:tcPr>
          <w:p w14:paraId="00B3DE42"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6,631 (1.3)</w:t>
            </w:r>
          </w:p>
        </w:tc>
        <w:tc>
          <w:tcPr>
            <w:tcW w:w="555" w:type="pct"/>
            <w:tcBorders>
              <w:top w:val="nil"/>
              <w:left w:val="nil"/>
              <w:bottom w:val="nil"/>
              <w:right w:val="nil"/>
            </w:tcBorders>
            <w:shd w:val="clear" w:color="auto" w:fill="DBE5F1" w:themeFill="accent1" w:themeFillTint="33"/>
            <w:vAlign w:val="center"/>
          </w:tcPr>
          <w:p w14:paraId="0F624BD8" w14:textId="4CCB309B" w:rsidR="00E52376" w:rsidRPr="00D60211" w:rsidRDefault="00E52376" w:rsidP="00B66D4D">
            <w:pPr>
              <w:spacing w:after="0"/>
              <w:jc w:val="center"/>
              <w:rPr>
                <w:rFonts w:cstheme="minorHAnsi"/>
                <w:color w:val="0000FF"/>
                <w:sz w:val="20"/>
                <w:szCs w:val="20"/>
              </w:rPr>
            </w:pPr>
            <w:r>
              <w:rPr>
                <w:rFonts w:cstheme="minorHAnsi"/>
                <w:color w:val="0000FF"/>
                <w:sz w:val="20"/>
                <w:szCs w:val="20"/>
              </w:rPr>
              <w:t>22.1</w:t>
            </w:r>
          </w:p>
        </w:tc>
        <w:tc>
          <w:tcPr>
            <w:tcW w:w="404" w:type="pct"/>
            <w:tcBorders>
              <w:top w:val="nil"/>
              <w:left w:val="nil"/>
              <w:bottom w:val="nil"/>
              <w:right w:val="nil"/>
            </w:tcBorders>
            <w:shd w:val="clear" w:color="auto" w:fill="DBE5F1" w:themeFill="accent1" w:themeFillTint="33"/>
            <w:vAlign w:val="center"/>
          </w:tcPr>
          <w:p w14:paraId="490443FC" w14:textId="6E903439" w:rsidR="00E52376" w:rsidRPr="00D60211" w:rsidRDefault="00E52376" w:rsidP="00B66D4D">
            <w:pPr>
              <w:spacing w:after="0"/>
              <w:jc w:val="center"/>
              <w:rPr>
                <w:rFonts w:cstheme="minorHAnsi"/>
                <w:color w:val="0000FF"/>
                <w:sz w:val="20"/>
                <w:szCs w:val="20"/>
              </w:rPr>
            </w:pPr>
            <w:r>
              <w:rPr>
                <w:rFonts w:cstheme="minorHAnsi"/>
                <w:color w:val="0000FF"/>
                <w:sz w:val="20"/>
                <w:szCs w:val="20"/>
              </w:rPr>
              <w:t>17.9</w:t>
            </w:r>
          </w:p>
        </w:tc>
        <w:tc>
          <w:tcPr>
            <w:tcW w:w="606" w:type="pct"/>
            <w:tcBorders>
              <w:top w:val="nil"/>
              <w:left w:val="nil"/>
              <w:bottom w:val="nil"/>
              <w:right w:val="nil"/>
            </w:tcBorders>
            <w:shd w:val="clear" w:color="auto" w:fill="DBE5F1" w:themeFill="accent1" w:themeFillTint="33"/>
            <w:vAlign w:val="center"/>
          </w:tcPr>
          <w:p w14:paraId="43B0E776" w14:textId="1F5EC34C" w:rsidR="00E52376" w:rsidRPr="00D60211" w:rsidRDefault="00E52376" w:rsidP="00B66D4D">
            <w:pPr>
              <w:spacing w:after="0"/>
              <w:jc w:val="center"/>
              <w:rPr>
                <w:rFonts w:cstheme="minorHAnsi"/>
                <w:color w:val="0000FF"/>
                <w:sz w:val="20"/>
                <w:szCs w:val="20"/>
              </w:rPr>
            </w:pPr>
            <w:r>
              <w:rPr>
                <w:rFonts w:cstheme="minorHAnsi"/>
                <w:color w:val="0000FF"/>
                <w:sz w:val="20"/>
                <w:szCs w:val="20"/>
              </w:rPr>
              <w:t>23</w:t>
            </w:r>
            <w:r w:rsidRPr="00D60211">
              <w:rPr>
                <w:rFonts w:cstheme="minorHAnsi"/>
                <w:color w:val="0000FF"/>
                <w:sz w:val="20"/>
                <w:szCs w:val="20"/>
              </w:rPr>
              <w:t>.0</w:t>
            </w:r>
          </w:p>
        </w:tc>
        <w:tc>
          <w:tcPr>
            <w:tcW w:w="707" w:type="pct"/>
            <w:tcBorders>
              <w:top w:val="nil"/>
              <w:left w:val="nil"/>
              <w:bottom w:val="nil"/>
              <w:right w:val="nil"/>
            </w:tcBorders>
            <w:shd w:val="clear" w:color="auto" w:fill="DBE5F1" w:themeFill="accent1" w:themeFillTint="33"/>
            <w:vAlign w:val="center"/>
          </w:tcPr>
          <w:p w14:paraId="169D9B67" w14:textId="741D4C1B" w:rsidR="00E52376" w:rsidRPr="00D60211" w:rsidRDefault="00E52376" w:rsidP="00B66D4D">
            <w:pPr>
              <w:spacing w:after="0"/>
              <w:jc w:val="center"/>
              <w:rPr>
                <w:rFonts w:cstheme="minorHAnsi"/>
                <w:color w:val="0000FF"/>
                <w:sz w:val="20"/>
                <w:szCs w:val="20"/>
              </w:rPr>
            </w:pPr>
            <w:r>
              <w:rPr>
                <w:rFonts w:cstheme="minorHAnsi"/>
                <w:color w:val="0000FF"/>
                <w:sz w:val="20"/>
                <w:szCs w:val="20"/>
              </w:rPr>
              <w:t>9</w:t>
            </w:r>
            <w:r w:rsidRPr="00D60211">
              <w:rPr>
                <w:rFonts w:cstheme="minorHAnsi"/>
                <w:color w:val="0000FF"/>
                <w:sz w:val="20"/>
                <w:szCs w:val="20"/>
              </w:rPr>
              <w:t>.0</w:t>
            </w:r>
          </w:p>
        </w:tc>
        <w:tc>
          <w:tcPr>
            <w:tcW w:w="657" w:type="pct"/>
            <w:tcBorders>
              <w:top w:val="nil"/>
              <w:left w:val="nil"/>
              <w:bottom w:val="nil"/>
              <w:right w:val="nil"/>
            </w:tcBorders>
            <w:shd w:val="clear" w:color="auto" w:fill="DBE5F1" w:themeFill="accent1" w:themeFillTint="33"/>
            <w:vAlign w:val="center"/>
          </w:tcPr>
          <w:p w14:paraId="66479157" w14:textId="1B766B9B" w:rsidR="00E52376" w:rsidRPr="00D60211" w:rsidRDefault="00E52376" w:rsidP="00B66D4D">
            <w:pPr>
              <w:spacing w:after="0"/>
              <w:jc w:val="center"/>
              <w:rPr>
                <w:rFonts w:cstheme="minorHAnsi"/>
                <w:color w:val="0000FF"/>
                <w:sz w:val="20"/>
                <w:szCs w:val="20"/>
              </w:rPr>
            </w:pPr>
            <w:r>
              <w:rPr>
                <w:rFonts w:cstheme="minorHAnsi"/>
                <w:color w:val="0000FF"/>
                <w:sz w:val="20"/>
                <w:szCs w:val="20"/>
              </w:rPr>
              <w:t>35</w:t>
            </w:r>
            <w:r w:rsidRPr="00D60211">
              <w:rPr>
                <w:rFonts w:cstheme="minorHAnsi"/>
                <w:color w:val="0000FF"/>
                <w:sz w:val="20"/>
                <w:szCs w:val="20"/>
              </w:rPr>
              <w:t>.0</w:t>
            </w:r>
          </w:p>
        </w:tc>
      </w:tr>
      <w:tr w:rsidR="00E52376" w:rsidRPr="00D60211" w14:paraId="696E97E7" w14:textId="77777777" w:rsidTr="0074777D">
        <w:trPr>
          <w:trHeight w:val="370"/>
        </w:trPr>
        <w:tc>
          <w:tcPr>
            <w:tcW w:w="1363" w:type="pct"/>
            <w:tcBorders>
              <w:bottom w:val="nil"/>
            </w:tcBorders>
            <w:vAlign w:val="center"/>
          </w:tcPr>
          <w:p w14:paraId="221E4CEE" w14:textId="77777777" w:rsidR="00E52376" w:rsidRPr="00D60211" w:rsidRDefault="00E52376" w:rsidP="00B66D4D">
            <w:pPr>
              <w:pStyle w:val="TableText"/>
              <w:spacing w:before="0" w:after="0"/>
              <w:ind w:left="210" w:hanging="210"/>
              <w:rPr>
                <w:rFonts w:asciiTheme="minorHAnsi" w:hAnsiTheme="minorHAnsi" w:cstheme="minorHAnsi"/>
                <w:color w:val="0000FF"/>
                <w:sz w:val="20"/>
              </w:rPr>
            </w:pPr>
            <w:r w:rsidRPr="00D60211">
              <w:rPr>
                <w:rFonts w:asciiTheme="minorHAnsi" w:hAnsiTheme="minorHAnsi" w:cstheme="minorHAnsi"/>
                <w:color w:val="0000FF"/>
                <w:sz w:val="20"/>
              </w:rPr>
              <w:t>Discharged to Hospice</w:t>
            </w:r>
          </w:p>
        </w:tc>
        <w:tc>
          <w:tcPr>
            <w:tcW w:w="708" w:type="pct"/>
            <w:tcBorders>
              <w:top w:val="nil"/>
              <w:bottom w:val="nil"/>
              <w:right w:val="nil"/>
            </w:tcBorders>
            <w:vAlign w:val="center"/>
          </w:tcPr>
          <w:p w14:paraId="7F79F8BC"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2,548 (0.5)</w:t>
            </w:r>
          </w:p>
        </w:tc>
        <w:tc>
          <w:tcPr>
            <w:tcW w:w="555" w:type="pct"/>
            <w:tcBorders>
              <w:top w:val="nil"/>
              <w:left w:val="nil"/>
              <w:bottom w:val="nil"/>
              <w:right w:val="nil"/>
            </w:tcBorders>
            <w:shd w:val="clear" w:color="auto" w:fill="auto"/>
            <w:vAlign w:val="center"/>
          </w:tcPr>
          <w:p w14:paraId="05483FEF" w14:textId="6F316FB4" w:rsidR="00E52376" w:rsidRPr="00D60211" w:rsidRDefault="00E52376" w:rsidP="00B66D4D">
            <w:pPr>
              <w:spacing w:after="0"/>
              <w:jc w:val="center"/>
              <w:rPr>
                <w:rFonts w:cstheme="minorHAnsi"/>
                <w:color w:val="0000FF"/>
                <w:sz w:val="20"/>
                <w:szCs w:val="20"/>
              </w:rPr>
            </w:pPr>
            <w:r>
              <w:rPr>
                <w:rFonts w:cstheme="minorHAnsi"/>
                <w:color w:val="0000FF"/>
                <w:sz w:val="20"/>
                <w:szCs w:val="20"/>
              </w:rPr>
              <w:t>5.5</w:t>
            </w:r>
          </w:p>
        </w:tc>
        <w:tc>
          <w:tcPr>
            <w:tcW w:w="404" w:type="pct"/>
            <w:tcBorders>
              <w:top w:val="nil"/>
              <w:left w:val="nil"/>
              <w:bottom w:val="nil"/>
              <w:right w:val="nil"/>
            </w:tcBorders>
            <w:shd w:val="clear" w:color="auto" w:fill="auto"/>
            <w:vAlign w:val="center"/>
          </w:tcPr>
          <w:p w14:paraId="3FC95C36" w14:textId="4E4517CC" w:rsidR="00E52376" w:rsidRPr="00D60211" w:rsidRDefault="00E52376" w:rsidP="00B66D4D">
            <w:pPr>
              <w:spacing w:after="0"/>
              <w:jc w:val="center"/>
              <w:rPr>
                <w:rFonts w:cstheme="minorHAnsi"/>
                <w:color w:val="0000FF"/>
                <w:sz w:val="20"/>
                <w:szCs w:val="20"/>
              </w:rPr>
            </w:pPr>
            <w:r>
              <w:rPr>
                <w:rFonts w:cstheme="minorHAnsi"/>
                <w:color w:val="0000FF"/>
                <w:sz w:val="20"/>
                <w:szCs w:val="20"/>
              </w:rPr>
              <w:t>14.7</w:t>
            </w:r>
          </w:p>
        </w:tc>
        <w:tc>
          <w:tcPr>
            <w:tcW w:w="606" w:type="pct"/>
            <w:tcBorders>
              <w:top w:val="nil"/>
              <w:left w:val="nil"/>
              <w:bottom w:val="nil"/>
              <w:right w:val="nil"/>
            </w:tcBorders>
            <w:shd w:val="clear" w:color="auto" w:fill="auto"/>
            <w:vAlign w:val="center"/>
          </w:tcPr>
          <w:p w14:paraId="2AE359C9" w14:textId="4BAEDD80" w:rsidR="00E52376" w:rsidRPr="00D60211" w:rsidRDefault="00E52376" w:rsidP="00B66D4D">
            <w:pPr>
              <w:spacing w:after="0"/>
              <w:jc w:val="center"/>
              <w:rPr>
                <w:rFonts w:cstheme="minorHAnsi"/>
                <w:color w:val="0000FF"/>
                <w:sz w:val="20"/>
                <w:szCs w:val="20"/>
              </w:rPr>
            </w:pPr>
            <w:r>
              <w:rPr>
                <w:rFonts w:cstheme="minorHAnsi"/>
                <w:color w:val="0000FF"/>
                <w:sz w:val="20"/>
                <w:szCs w:val="20"/>
              </w:rPr>
              <w:t>2</w:t>
            </w:r>
            <w:r w:rsidRPr="00D60211">
              <w:rPr>
                <w:rFonts w:cstheme="minorHAnsi"/>
                <w:color w:val="0000FF"/>
                <w:sz w:val="20"/>
                <w:szCs w:val="20"/>
              </w:rPr>
              <w:t>.0</w:t>
            </w:r>
          </w:p>
        </w:tc>
        <w:tc>
          <w:tcPr>
            <w:tcW w:w="707" w:type="pct"/>
            <w:tcBorders>
              <w:top w:val="nil"/>
              <w:left w:val="nil"/>
              <w:bottom w:val="nil"/>
              <w:right w:val="nil"/>
            </w:tcBorders>
            <w:shd w:val="clear" w:color="auto" w:fill="auto"/>
            <w:vAlign w:val="center"/>
          </w:tcPr>
          <w:p w14:paraId="46290A18"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-2.0</w:t>
            </w:r>
          </w:p>
        </w:tc>
        <w:tc>
          <w:tcPr>
            <w:tcW w:w="657" w:type="pct"/>
            <w:tcBorders>
              <w:top w:val="nil"/>
              <w:left w:val="nil"/>
              <w:bottom w:val="nil"/>
              <w:right w:val="nil"/>
            </w:tcBorders>
            <w:shd w:val="clear" w:color="auto" w:fill="auto"/>
            <w:vAlign w:val="center"/>
          </w:tcPr>
          <w:p w14:paraId="3AE47523" w14:textId="538C4A1E" w:rsidR="00E52376" w:rsidRPr="00D60211" w:rsidRDefault="00E52376" w:rsidP="00B66D4D">
            <w:pPr>
              <w:spacing w:after="0"/>
              <w:jc w:val="center"/>
              <w:rPr>
                <w:rFonts w:cstheme="minorHAnsi"/>
                <w:color w:val="0000FF"/>
                <w:sz w:val="20"/>
                <w:szCs w:val="20"/>
              </w:rPr>
            </w:pPr>
            <w:r>
              <w:rPr>
                <w:rFonts w:cstheme="minorHAnsi"/>
                <w:color w:val="0000FF"/>
                <w:sz w:val="20"/>
                <w:szCs w:val="20"/>
              </w:rPr>
              <w:t>13</w:t>
            </w:r>
            <w:r w:rsidRPr="00D60211">
              <w:rPr>
                <w:rFonts w:cstheme="minorHAnsi"/>
                <w:color w:val="0000FF"/>
                <w:sz w:val="20"/>
                <w:szCs w:val="20"/>
              </w:rPr>
              <w:t>.0</w:t>
            </w:r>
          </w:p>
        </w:tc>
      </w:tr>
      <w:tr w:rsidR="00E52376" w:rsidRPr="00D60211" w14:paraId="66A869F1" w14:textId="77777777" w:rsidTr="00DD5392">
        <w:trPr>
          <w:trHeight w:val="370"/>
        </w:trPr>
        <w:tc>
          <w:tcPr>
            <w:tcW w:w="1363" w:type="pct"/>
            <w:tcBorders>
              <w:top w:val="nil"/>
              <w:bottom w:val="single" w:sz="12" w:space="0" w:color="auto"/>
            </w:tcBorders>
            <w:shd w:val="clear" w:color="auto" w:fill="DBE5F1" w:themeFill="accent1" w:themeFillTint="33"/>
            <w:vAlign w:val="center"/>
          </w:tcPr>
          <w:p w14:paraId="52C6711A" w14:textId="26480AEB" w:rsidR="00E52376" w:rsidRPr="00D60211" w:rsidRDefault="00E52376" w:rsidP="00B66D4D">
            <w:pPr>
              <w:pStyle w:val="TableText"/>
              <w:spacing w:before="0" w:after="0"/>
              <w:ind w:left="387" w:hanging="387"/>
              <w:rPr>
                <w:rFonts w:asciiTheme="minorHAnsi" w:hAnsiTheme="minorHAnsi" w:cstheme="minorHAnsi"/>
                <w:color w:val="0000FF"/>
                <w:sz w:val="20"/>
              </w:rPr>
            </w:pPr>
            <w:r w:rsidRPr="00D60211">
              <w:rPr>
                <w:rFonts w:asciiTheme="minorHAnsi" w:hAnsiTheme="minorHAnsi" w:cstheme="minorHAnsi"/>
                <w:color w:val="0000FF"/>
                <w:sz w:val="20"/>
              </w:rPr>
              <w:t xml:space="preserve">Independent with all Admission </w:t>
            </w:r>
            <w:r>
              <w:rPr>
                <w:rFonts w:asciiTheme="minorHAnsi" w:hAnsiTheme="minorHAnsi" w:cstheme="minorHAnsi"/>
                <w:color w:val="0000FF"/>
                <w:sz w:val="20"/>
              </w:rPr>
              <w:t>Mobility</w:t>
            </w:r>
            <w:r w:rsidRPr="00D60211">
              <w:rPr>
                <w:rFonts w:asciiTheme="minorHAnsi" w:hAnsiTheme="minorHAnsi" w:cstheme="minorHAnsi"/>
                <w:color w:val="0000FF"/>
                <w:sz w:val="20"/>
              </w:rPr>
              <w:t xml:space="preserve"> </w:t>
            </w:r>
            <w:r>
              <w:rPr>
                <w:rFonts w:asciiTheme="minorHAnsi" w:hAnsiTheme="minorHAnsi" w:cstheme="minorHAnsi"/>
                <w:color w:val="0000FF"/>
                <w:sz w:val="20"/>
              </w:rPr>
              <w:t>Data Elements</w:t>
            </w:r>
          </w:p>
        </w:tc>
        <w:tc>
          <w:tcPr>
            <w:tcW w:w="708" w:type="pct"/>
            <w:tcBorders>
              <w:top w:val="nil"/>
              <w:bottom w:val="single" w:sz="12" w:space="0" w:color="auto"/>
              <w:right w:val="nil"/>
            </w:tcBorders>
            <w:shd w:val="clear" w:color="auto" w:fill="DBE5F1" w:themeFill="accent1" w:themeFillTint="33"/>
            <w:vAlign w:val="center"/>
          </w:tcPr>
          <w:p w14:paraId="21EDD9C6" w14:textId="5769B1E2" w:rsidR="00E52376" w:rsidRPr="00D60211" w:rsidRDefault="00E52376" w:rsidP="00B66D4D">
            <w:pPr>
              <w:spacing w:after="0"/>
              <w:jc w:val="center"/>
              <w:rPr>
                <w:rFonts w:cstheme="minorHAnsi"/>
                <w:color w:val="0000FF"/>
                <w:sz w:val="20"/>
                <w:szCs w:val="20"/>
              </w:rPr>
            </w:pPr>
            <w:r>
              <w:rPr>
                <w:rFonts w:cstheme="minorHAnsi"/>
                <w:color w:val="0000FF"/>
                <w:sz w:val="20"/>
                <w:szCs w:val="20"/>
              </w:rPr>
              <w:t>151</w:t>
            </w:r>
            <w:r w:rsidRPr="00D60211">
              <w:rPr>
                <w:rFonts w:cstheme="minorHAnsi"/>
                <w:color w:val="0000FF"/>
                <w:sz w:val="20"/>
                <w:szCs w:val="20"/>
              </w:rPr>
              <w:t xml:space="preserve"> (</w:t>
            </w:r>
            <w:r>
              <w:rPr>
                <w:rFonts w:cstheme="minorHAnsi"/>
                <w:color w:val="0000FF"/>
                <w:sz w:val="20"/>
                <w:szCs w:val="20"/>
              </w:rPr>
              <w:t>&lt; 0.1</w:t>
            </w:r>
            <w:r w:rsidRPr="00D60211">
              <w:rPr>
                <w:rFonts w:cstheme="minorHAnsi"/>
                <w:color w:val="0000FF"/>
                <w:sz w:val="20"/>
                <w:szCs w:val="20"/>
              </w:rPr>
              <w:t>)</w:t>
            </w:r>
          </w:p>
        </w:tc>
        <w:tc>
          <w:tcPr>
            <w:tcW w:w="555" w:type="pct"/>
            <w:tcBorders>
              <w:top w:val="nil"/>
              <w:left w:val="nil"/>
              <w:bottom w:val="single" w:sz="12" w:space="0" w:color="auto"/>
              <w:right w:val="nil"/>
            </w:tcBorders>
            <w:shd w:val="clear" w:color="auto" w:fill="DBE5F1" w:themeFill="accent1" w:themeFillTint="33"/>
            <w:vAlign w:val="center"/>
          </w:tcPr>
          <w:p w14:paraId="3CC846EA" w14:textId="1573C033"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-2.</w:t>
            </w:r>
            <w:r>
              <w:rPr>
                <w:rFonts w:cstheme="minorHAnsi"/>
                <w:color w:val="0000FF"/>
                <w:sz w:val="20"/>
                <w:szCs w:val="20"/>
              </w:rPr>
              <w:t>7</w:t>
            </w:r>
          </w:p>
        </w:tc>
        <w:tc>
          <w:tcPr>
            <w:tcW w:w="404" w:type="pct"/>
            <w:tcBorders>
              <w:top w:val="nil"/>
              <w:left w:val="nil"/>
              <w:bottom w:val="single" w:sz="12" w:space="0" w:color="auto"/>
              <w:right w:val="nil"/>
            </w:tcBorders>
            <w:shd w:val="clear" w:color="auto" w:fill="DBE5F1" w:themeFill="accent1" w:themeFillTint="33"/>
            <w:vAlign w:val="center"/>
          </w:tcPr>
          <w:p w14:paraId="6A554B82" w14:textId="047E870D" w:rsidR="00E52376" w:rsidRPr="00D60211" w:rsidRDefault="00E52376" w:rsidP="00B66D4D">
            <w:pPr>
              <w:spacing w:after="0"/>
              <w:jc w:val="center"/>
              <w:rPr>
                <w:rFonts w:cstheme="minorHAnsi"/>
                <w:color w:val="0000FF"/>
                <w:sz w:val="20"/>
                <w:szCs w:val="20"/>
              </w:rPr>
            </w:pPr>
            <w:r>
              <w:rPr>
                <w:rFonts w:cstheme="minorHAnsi"/>
                <w:color w:val="0000FF"/>
                <w:sz w:val="20"/>
                <w:szCs w:val="20"/>
              </w:rPr>
              <w:t>11.4</w:t>
            </w:r>
          </w:p>
        </w:tc>
        <w:tc>
          <w:tcPr>
            <w:tcW w:w="606" w:type="pct"/>
            <w:tcBorders>
              <w:top w:val="nil"/>
              <w:left w:val="nil"/>
              <w:bottom w:val="single" w:sz="12" w:space="0" w:color="auto"/>
              <w:right w:val="nil"/>
            </w:tcBorders>
            <w:shd w:val="clear" w:color="auto" w:fill="DBE5F1" w:themeFill="accent1" w:themeFillTint="33"/>
            <w:vAlign w:val="center"/>
          </w:tcPr>
          <w:p w14:paraId="653EA586"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0.0</w:t>
            </w:r>
          </w:p>
        </w:tc>
        <w:tc>
          <w:tcPr>
            <w:tcW w:w="707" w:type="pct"/>
            <w:tcBorders>
              <w:top w:val="nil"/>
              <w:left w:val="nil"/>
              <w:bottom w:val="single" w:sz="12" w:space="0" w:color="auto"/>
              <w:right w:val="nil"/>
            </w:tcBorders>
            <w:shd w:val="clear" w:color="auto" w:fill="DBE5F1" w:themeFill="accent1" w:themeFillTint="33"/>
            <w:vAlign w:val="center"/>
          </w:tcPr>
          <w:p w14:paraId="330CBBBF" w14:textId="4609E51E" w:rsidR="00E52376" w:rsidRPr="00D60211" w:rsidRDefault="00E52376" w:rsidP="00B66D4D">
            <w:pPr>
              <w:spacing w:after="0"/>
              <w:jc w:val="center"/>
              <w:rPr>
                <w:rFonts w:cstheme="minorHAnsi"/>
                <w:color w:val="0000FF"/>
                <w:sz w:val="20"/>
                <w:szCs w:val="20"/>
              </w:rPr>
            </w:pPr>
            <w:r>
              <w:rPr>
                <w:rFonts w:cstheme="minorHAnsi"/>
                <w:color w:val="0000FF"/>
                <w:sz w:val="20"/>
                <w:szCs w:val="20"/>
              </w:rPr>
              <w:t>0</w:t>
            </w:r>
            <w:r w:rsidRPr="00D60211">
              <w:rPr>
                <w:rFonts w:cstheme="minorHAnsi"/>
                <w:color w:val="0000FF"/>
                <w:sz w:val="20"/>
                <w:szCs w:val="20"/>
              </w:rPr>
              <w:t>.0</w:t>
            </w:r>
          </w:p>
        </w:tc>
        <w:tc>
          <w:tcPr>
            <w:tcW w:w="657" w:type="pct"/>
            <w:tcBorders>
              <w:top w:val="nil"/>
              <w:left w:val="nil"/>
              <w:bottom w:val="single" w:sz="12" w:space="0" w:color="auto"/>
              <w:right w:val="nil"/>
            </w:tcBorders>
            <w:shd w:val="clear" w:color="auto" w:fill="DBE5F1" w:themeFill="accent1" w:themeFillTint="33"/>
            <w:vAlign w:val="center"/>
          </w:tcPr>
          <w:p w14:paraId="21020C8E" w14:textId="77777777" w:rsidR="00E52376" w:rsidRPr="00D60211" w:rsidRDefault="00E52376" w:rsidP="00B66D4D">
            <w:pPr>
              <w:spacing w:after="0"/>
              <w:jc w:val="center"/>
              <w:rPr>
                <w:rFonts w:cstheme="minorHAnsi"/>
                <w:color w:val="0000FF"/>
                <w:sz w:val="20"/>
                <w:szCs w:val="20"/>
              </w:rPr>
            </w:pPr>
            <w:r w:rsidRPr="00D60211">
              <w:rPr>
                <w:rFonts w:cstheme="minorHAnsi"/>
                <w:color w:val="0000FF"/>
                <w:sz w:val="20"/>
                <w:szCs w:val="20"/>
              </w:rPr>
              <w:t>0.0</w:t>
            </w:r>
          </w:p>
        </w:tc>
      </w:tr>
    </w:tbl>
    <w:p w14:paraId="65F531E4" w14:textId="50FA2CDB" w:rsidR="00BB7B36" w:rsidRDefault="00BB7B36" w:rsidP="00BB7B36">
      <w:pPr>
        <w:pStyle w:val="NoSpacing"/>
        <w:contextualSpacing/>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Note: N = number of patient stays; Observed Change in </w:t>
      </w:r>
      <w:r>
        <w:rPr>
          <w:rFonts w:asciiTheme="minorHAnsi" w:hAnsiTheme="minorHAnsi" w:cstheme="minorHAnsi"/>
          <w:color w:val="0000FF"/>
          <w:sz w:val="20"/>
          <w:szCs w:val="20"/>
        </w:rPr>
        <w:t>Mobility</w:t>
      </w:r>
      <w:r w:rsidRPr="00B915C7">
        <w:rPr>
          <w:rFonts w:asciiTheme="minorHAnsi" w:hAnsiTheme="minorHAnsi" w:cstheme="minorHAnsi"/>
          <w:color w:val="0000FF"/>
          <w:sz w:val="20"/>
          <w:szCs w:val="20"/>
        </w:rPr>
        <w:t xml:space="preserve"> values are reported as units of change in </w:t>
      </w:r>
      <w:r>
        <w:rPr>
          <w:rFonts w:asciiTheme="minorHAnsi" w:hAnsiTheme="minorHAnsi" w:cstheme="minorHAnsi"/>
          <w:color w:val="0000FF"/>
          <w:sz w:val="20"/>
          <w:szCs w:val="20"/>
        </w:rPr>
        <w:t>mobility</w:t>
      </w:r>
      <w:r w:rsidRPr="00B915C7">
        <w:rPr>
          <w:rFonts w:asciiTheme="minorHAnsi" w:hAnsiTheme="minorHAnsi" w:cstheme="minorHAnsi"/>
          <w:color w:val="0000FF"/>
          <w:sz w:val="20"/>
          <w:szCs w:val="20"/>
        </w:rPr>
        <w:t xml:space="preserve"> (possible range: </w:t>
      </w:r>
      <w:r>
        <w:rPr>
          <w:rFonts w:asciiTheme="minorHAnsi" w:hAnsiTheme="minorHAnsi" w:cstheme="minorHAnsi"/>
          <w:color w:val="0000FF"/>
          <w:sz w:val="20"/>
          <w:szCs w:val="20"/>
        </w:rPr>
        <w:t>-75</w:t>
      </w:r>
      <w:r w:rsidRPr="00B915C7">
        <w:rPr>
          <w:rFonts w:asciiTheme="minorHAnsi" w:hAnsiTheme="minorHAnsi" w:cstheme="minorHAnsi"/>
          <w:color w:val="0000FF"/>
          <w:sz w:val="20"/>
          <w:szCs w:val="20"/>
        </w:rPr>
        <w:t xml:space="preserve"> to </w:t>
      </w:r>
      <w:r>
        <w:rPr>
          <w:rFonts w:asciiTheme="minorHAnsi" w:hAnsiTheme="minorHAnsi" w:cstheme="minorHAnsi"/>
          <w:color w:val="0000FF"/>
          <w:sz w:val="20"/>
          <w:szCs w:val="20"/>
        </w:rPr>
        <w:t>7</w:t>
      </w:r>
      <w:r w:rsidRPr="00B915C7">
        <w:rPr>
          <w:rFonts w:asciiTheme="minorHAnsi" w:hAnsiTheme="minorHAnsi" w:cstheme="minorHAnsi"/>
          <w:color w:val="0000FF"/>
          <w:sz w:val="20"/>
          <w:szCs w:val="20"/>
        </w:rPr>
        <w:t>5)</w:t>
      </w:r>
    </w:p>
    <w:p w14:paraId="753FD0F7" w14:textId="77777777" w:rsidR="0074777D" w:rsidRDefault="0074777D" w:rsidP="0074777D">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EF04DD">
        <w:rPr>
          <w:rFonts w:asciiTheme="minorHAnsi" w:hAnsiTheme="minorHAnsi" w:cstheme="minorHAnsi"/>
          <w:color w:val="0000FF"/>
          <w:sz w:val="20"/>
          <w:szCs w:val="20"/>
        </w:rPr>
        <w:t xml:space="preserve">For patients who have an incomplete stay (e.g., emergency discharge), it is </w:t>
      </w:r>
      <w:r>
        <w:rPr>
          <w:rFonts w:asciiTheme="minorHAnsi" w:hAnsiTheme="minorHAnsi" w:cstheme="minorHAnsi"/>
          <w:color w:val="0000FF"/>
          <w:sz w:val="20"/>
          <w:szCs w:val="20"/>
        </w:rPr>
        <w:t>challenging</w:t>
      </w:r>
      <w:r w:rsidRPr="00EF04DD">
        <w:rPr>
          <w:rFonts w:asciiTheme="minorHAnsi" w:hAnsiTheme="minorHAnsi" w:cstheme="minorHAnsi"/>
          <w:color w:val="0000FF"/>
          <w:sz w:val="20"/>
          <w:szCs w:val="20"/>
        </w:rPr>
        <w:t xml:space="preserve"> to collect</w:t>
      </w:r>
      <w:r>
        <w:rPr>
          <w:rFonts w:asciiTheme="minorHAnsi" w:hAnsiTheme="minorHAnsi" w:cstheme="minorHAnsi"/>
          <w:color w:val="0000FF"/>
          <w:sz w:val="20"/>
          <w:szCs w:val="20"/>
        </w:rPr>
        <w:t xml:space="preserve"> accurate</w:t>
      </w:r>
      <w:r w:rsidRPr="00EF04DD">
        <w:rPr>
          <w:rFonts w:asciiTheme="minorHAnsi" w:hAnsiTheme="minorHAnsi" w:cstheme="minorHAnsi"/>
          <w:color w:val="0000FF"/>
          <w:sz w:val="20"/>
          <w:szCs w:val="20"/>
        </w:rPr>
        <w:t xml:space="preserve"> discharge functional status data. Therefore, we are unable to conduct analyses due to the unavailability of</w:t>
      </w:r>
      <w:r>
        <w:rPr>
          <w:rFonts w:asciiTheme="minorHAnsi" w:hAnsiTheme="minorHAnsi" w:cstheme="minorHAnsi"/>
          <w:color w:val="0000FF"/>
          <w:sz w:val="20"/>
          <w:szCs w:val="20"/>
        </w:rPr>
        <w:t xml:space="preserve"> IRF-PAI</w:t>
      </w:r>
      <w:r w:rsidRPr="00EF04DD">
        <w:rPr>
          <w:rFonts w:asciiTheme="minorHAnsi" w:hAnsiTheme="minorHAnsi" w:cstheme="minorHAnsi"/>
          <w:color w:val="0000FF"/>
          <w:sz w:val="20"/>
          <w:szCs w:val="20"/>
        </w:rPr>
        <w:t xml:space="preserve"> data.</w:t>
      </w:r>
      <w:r>
        <w:rPr>
          <w:rFonts w:asciiTheme="minorHAnsi" w:hAnsiTheme="minorHAnsi" w:cstheme="minorHAnsi"/>
          <w:color w:val="0000FF"/>
          <w:sz w:val="20"/>
          <w:szCs w:val="20"/>
        </w:rPr>
        <w:t xml:space="preserve"> </w:t>
      </w:r>
      <w:r w:rsidRPr="00EF04DD">
        <w:rPr>
          <w:rFonts w:asciiTheme="minorHAnsi" w:hAnsiTheme="minorHAnsi" w:cstheme="minorHAnsi"/>
          <w:color w:val="0000FF"/>
          <w:sz w:val="20"/>
          <w:szCs w:val="20"/>
        </w:rPr>
        <w:t>For the exclusion criterion age younger than 21, we have not conducted analyses due to the very small number of patient</w:t>
      </w:r>
      <w:r>
        <w:rPr>
          <w:rFonts w:asciiTheme="minorHAnsi" w:hAnsiTheme="minorHAnsi" w:cstheme="minorHAnsi"/>
          <w:color w:val="0000FF"/>
          <w:sz w:val="20"/>
          <w:szCs w:val="20"/>
        </w:rPr>
        <w:t xml:space="preserve">s </w:t>
      </w:r>
      <w:r w:rsidRPr="00EF04DD">
        <w:rPr>
          <w:rFonts w:asciiTheme="minorHAnsi" w:hAnsiTheme="minorHAnsi" w:cstheme="minorHAnsi"/>
          <w:color w:val="0000FF"/>
          <w:sz w:val="20"/>
          <w:szCs w:val="20"/>
        </w:rPr>
        <w:t>in this age group. In calendar year 2017, there were 32 patients younger than 21.</w:t>
      </w:r>
    </w:p>
    <w:p w14:paraId="2C407A02" w14:textId="1D5693CF" w:rsidR="0074777D" w:rsidRPr="00B915C7" w:rsidRDefault="0074777D" w:rsidP="0074777D">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w:t>
      </w:r>
      <w:r w:rsidRPr="00020928">
        <w:rPr>
          <w:rFonts w:asciiTheme="minorHAnsi" w:hAnsiTheme="minorHAnsi" w:cstheme="minorHAnsi"/>
          <w:color w:val="0000FF"/>
          <w:sz w:val="20"/>
          <w:szCs w:val="20"/>
        </w:rPr>
        <w:t>The number of patient</w:t>
      </w:r>
      <w:r>
        <w:rPr>
          <w:rFonts w:asciiTheme="minorHAnsi" w:hAnsiTheme="minorHAnsi" w:cstheme="minorHAnsi"/>
          <w:color w:val="0000FF"/>
          <w:sz w:val="20"/>
          <w:szCs w:val="20"/>
        </w:rPr>
        <w:t>s</w:t>
      </w:r>
      <w:r w:rsidRPr="00020928">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with this medical condition </w:t>
      </w:r>
      <w:r w:rsidRPr="00020928">
        <w:rPr>
          <w:rFonts w:asciiTheme="minorHAnsi" w:hAnsiTheme="minorHAnsi" w:cstheme="minorHAnsi"/>
          <w:color w:val="0000FF"/>
          <w:sz w:val="20"/>
          <w:szCs w:val="20"/>
        </w:rPr>
        <w:t xml:space="preserve">is </w:t>
      </w:r>
      <w:r>
        <w:rPr>
          <w:rFonts w:asciiTheme="minorHAnsi" w:hAnsiTheme="minorHAnsi" w:cstheme="minorHAnsi"/>
          <w:color w:val="0000FF"/>
          <w:sz w:val="20"/>
          <w:szCs w:val="20"/>
        </w:rPr>
        <w:t xml:space="preserve">less than 11, and thus </w:t>
      </w:r>
      <w:r w:rsidRPr="00020928">
        <w:rPr>
          <w:rFonts w:asciiTheme="minorHAnsi" w:hAnsiTheme="minorHAnsi" w:cstheme="minorHAnsi"/>
          <w:color w:val="0000FF"/>
          <w:sz w:val="20"/>
          <w:szCs w:val="20"/>
        </w:rPr>
        <w:t xml:space="preserve">too small to </w:t>
      </w:r>
      <w:r>
        <w:rPr>
          <w:rFonts w:asciiTheme="minorHAnsi" w:hAnsiTheme="minorHAnsi" w:cstheme="minorHAnsi"/>
          <w:color w:val="0000FF"/>
          <w:sz w:val="20"/>
          <w:szCs w:val="20"/>
        </w:rPr>
        <w:t xml:space="preserve">publicly </w:t>
      </w:r>
      <w:r w:rsidRPr="00020928">
        <w:rPr>
          <w:rFonts w:asciiTheme="minorHAnsi" w:hAnsiTheme="minorHAnsi" w:cstheme="minorHAnsi"/>
          <w:color w:val="0000FF"/>
          <w:sz w:val="20"/>
          <w:szCs w:val="20"/>
        </w:rPr>
        <w:t>report.</w:t>
      </w:r>
    </w:p>
    <w:p w14:paraId="1B1ED3C0" w14:textId="61969820" w:rsidR="00BB7B36" w:rsidRDefault="00BB7B36" w:rsidP="00BB7B36">
      <w:pPr>
        <w:pStyle w:val="NoSpacing"/>
        <w:contextualSpacing/>
        <w:rPr>
          <w:rFonts w:asciiTheme="minorHAnsi" w:hAnsiTheme="minorHAnsi" w:cstheme="minorHAnsi"/>
          <w:color w:val="0000FF"/>
          <w:sz w:val="20"/>
          <w:szCs w:val="20"/>
        </w:rPr>
      </w:pPr>
      <w:bookmarkStart w:id="80" w:name="_Hlk532325129"/>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47</w:t>
      </w:r>
      <w:r w:rsidRPr="00B915C7">
        <w:rPr>
          <w:rFonts w:asciiTheme="minorHAnsi" w:hAnsiTheme="minorHAnsi" w:cstheme="minorHAnsi"/>
          <w:color w:val="0000FF"/>
          <w:sz w:val="20"/>
          <w:szCs w:val="20"/>
        </w:rPr>
        <w:t>)</w:t>
      </w:r>
      <w:bookmarkEnd w:id="80"/>
    </w:p>
    <w:p w14:paraId="1CBDAFBC" w14:textId="77777777" w:rsidR="00BB7B36" w:rsidRPr="00B915C7" w:rsidRDefault="00BB7B36" w:rsidP="00BB7B36">
      <w:pPr>
        <w:pStyle w:val="NoSpacing"/>
        <w:contextualSpacing/>
        <w:rPr>
          <w:rFonts w:asciiTheme="minorHAnsi" w:hAnsiTheme="minorHAnsi" w:cstheme="minorHAnsi"/>
          <w:color w:val="0000FF"/>
          <w:sz w:val="20"/>
          <w:szCs w:val="20"/>
        </w:rPr>
      </w:pPr>
    </w:p>
    <w:bookmarkEnd w:id="77"/>
    <w:p w14:paraId="0CABCFE8" w14:textId="220FA49E" w:rsidR="007422FD"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F91AC87" w14:textId="110CB543" w:rsidR="00BB7B36" w:rsidRPr="001B4B1B" w:rsidRDefault="00BB7B36" w:rsidP="00BB7B36">
      <w:pPr>
        <w:autoSpaceDE w:val="0"/>
        <w:autoSpaceDN w:val="0"/>
        <w:adjustRightInd w:val="0"/>
        <w:spacing w:after="0" w:line="240" w:lineRule="auto"/>
        <w:rPr>
          <w:rFonts w:eastAsia="Calibri" w:cs="Times New Roman"/>
          <w:color w:val="0000FF"/>
        </w:rPr>
      </w:pPr>
      <w:bookmarkStart w:id="81" w:name="_Hlk533965910"/>
      <w:r>
        <w:rPr>
          <w:rFonts w:eastAsia="Calibri" w:cs="Times New Roman"/>
          <w:color w:val="0000FF"/>
        </w:rPr>
        <w:t xml:space="preserve">In calendar year 2017 data, </w:t>
      </w:r>
      <w:r w:rsidR="00DD426B">
        <w:rPr>
          <w:rFonts w:eastAsia="Calibri" w:cs="Times New Roman"/>
          <w:color w:val="0000FF"/>
        </w:rPr>
        <w:t>13.1</w:t>
      </w:r>
      <w:r w:rsidRPr="00B14F25">
        <w:rPr>
          <w:rFonts w:eastAsia="Calibri" w:cs="Times New Roman"/>
          <w:color w:val="0000FF"/>
        </w:rPr>
        <w:t>%</w:t>
      </w:r>
      <w:r>
        <w:rPr>
          <w:rFonts w:eastAsia="Calibri" w:cs="Times New Roman"/>
          <w:color w:val="0000FF"/>
        </w:rPr>
        <w:t xml:space="preserve"> of patient stays were excluded from the calculat</w:t>
      </w:r>
      <w:r w:rsidR="00E52376">
        <w:rPr>
          <w:rFonts w:eastAsia="Calibri" w:cs="Times New Roman"/>
          <w:color w:val="0000FF"/>
        </w:rPr>
        <w:t>ed performance scores</w:t>
      </w:r>
      <w:r>
        <w:rPr>
          <w:rFonts w:eastAsia="Calibri" w:cs="Times New Roman"/>
          <w:color w:val="0000FF"/>
        </w:rPr>
        <w:t xml:space="preserve">. </w:t>
      </w:r>
      <w:r w:rsidR="009C39AB">
        <w:rPr>
          <w:rFonts w:eastAsia="Calibri" w:cs="Times New Roman"/>
          <w:color w:val="0000FF"/>
        </w:rPr>
        <w:t>T</w:t>
      </w:r>
      <w:r w:rsidR="009C39AB" w:rsidRPr="00F666CA">
        <w:rPr>
          <w:rFonts w:eastAsia="Calibri" w:cs="Times New Roman"/>
          <w:color w:val="0000FF"/>
        </w:rPr>
        <w:t xml:space="preserve">he exclusion criteria are applied to the data in order to maintain the validity of the </w:t>
      </w:r>
      <w:r w:rsidR="009C39AB">
        <w:rPr>
          <w:rFonts w:eastAsia="Calibri" w:cs="Times New Roman"/>
          <w:color w:val="0000FF"/>
        </w:rPr>
        <w:t>calculated performance measure</w:t>
      </w:r>
      <w:r w:rsidR="009C39AB" w:rsidRPr="00F666CA">
        <w:rPr>
          <w:rFonts w:eastAsia="Calibri" w:cs="Times New Roman"/>
          <w:color w:val="0000FF"/>
        </w:rPr>
        <w:t xml:space="preserve"> score</w:t>
      </w:r>
      <w:r w:rsidR="009C39AB">
        <w:rPr>
          <w:rFonts w:eastAsia="Calibri" w:cs="Times New Roman"/>
          <w:color w:val="0000FF"/>
        </w:rPr>
        <w:t xml:space="preserve">s. </w:t>
      </w:r>
      <w:r>
        <w:rPr>
          <w:rFonts w:eastAsia="Calibri" w:cs="Times New Roman"/>
          <w:color w:val="0000FF"/>
        </w:rPr>
        <w:t>Data analysis results support these exclusions, because</w:t>
      </w:r>
      <w:r w:rsidR="00E52376">
        <w:rPr>
          <w:rFonts w:eastAsia="Calibri" w:cs="Times New Roman"/>
          <w:color w:val="0000FF"/>
        </w:rPr>
        <w:t xml:space="preserve"> inclusion of </w:t>
      </w:r>
      <w:r>
        <w:rPr>
          <w:rFonts w:eastAsia="Calibri" w:cs="Times New Roman"/>
          <w:color w:val="0000FF"/>
        </w:rPr>
        <w:t xml:space="preserve">limited and </w:t>
      </w:r>
      <w:r w:rsidR="00E52376">
        <w:rPr>
          <w:rFonts w:eastAsia="Calibri" w:cs="Times New Roman"/>
          <w:color w:val="0000FF"/>
        </w:rPr>
        <w:t xml:space="preserve">less </w:t>
      </w:r>
      <w:r>
        <w:rPr>
          <w:rFonts w:eastAsia="Calibri" w:cs="Times New Roman"/>
          <w:color w:val="0000FF"/>
        </w:rPr>
        <w:t xml:space="preserve">predictable mobility improvement for these patients </w:t>
      </w:r>
      <w:r w:rsidR="00E52376">
        <w:rPr>
          <w:rFonts w:eastAsia="Calibri" w:cs="Times New Roman"/>
          <w:color w:val="0000FF"/>
        </w:rPr>
        <w:t>c</w:t>
      </w:r>
      <w:r>
        <w:rPr>
          <w:rFonts w:eastAsia="Calibri" w:cs="Times New Roman"/>
          <w:color w:val="0000FF"/>
        </w:rPr>
        <w:t xml:space="preserve">ould </w:t>
      </w:r>
      <w:r w:rsidR="009C39AB">
        <w:rPr>
          <w:rFonts w:eastAsia="Calibri" w:cs="Times New Roman"/>
          <w:color w:val="0000FF"/>
        </w:rPr>
        <w:t>affect</w:t>
      </w:r>
      <w:r>
        <w:rPr>
          <w:rFonts w:eastAsia="Calibri" w:cs="Times New Roman"/>
          <w:color w:val="0000FF"/>
        </w:rPr>
        <w:t xml:space="preserve"> </w:t>
      </w:r>
      <w:r w:rsidR="00E52376">
        <w:rPr>
          <w:rFonts w:eastAsia="Calibri" w:cs="Times New Roman"/>
          <w:color w:val="0000FF"/>
        </w:rPr>
        <w:t>computed performance</w:t>
      </w:r>
      <w:r>
        <w:rPr>
          <w:rFonts w:eastAsia="Calibri" w:cs="Times New Roman"/>
          <w:color w:val="0000FF"/>
        </w:rPr>
        <w:t xml:space="preserve"> measure scores for the selected IRFs that admit patients who meet these criteria. </w:t>
      </w:r>
    </w:p>
    <w:bookmarkEnd w:id="81"/>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82" w:name="section2b4"/>
      <w:bookmarkEnd w:id="8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F9391C">
        <w:rPr>
          <w:rFonts w:cstheme="minorHAnsi"/>
          <w:b/>
          <w:bCs/>
          <w:i/>
        </w:rPr>
        <w:t>If not an intermediate or health outcome</w:t>
      </w:r>
      <w:r w:rsidR="00127C06" w:rsidRPr="00F9391C">
        <w:rPr>
          <w:rFonts w:cstheme="minorHAnsi"/>
          <w:b/>
          <w:bCs/>
          <w:i/>
        </w:rPr>
        <w:t>,</w:t>
      </w:r>
      <w:r w:rsidR="00AC1D8E" w:rsidRPr="00F9391C">
        <w:rPr>
          <w:rFonts w:cstheme="minorHAnsi"/>
          <w:b/>
          <w:bCs/>
          <w:i/>
        </w:rPr>
        <w:t xml:space="preserve"> </w:t>
      </w:r>
      <w:r w:rsidR="00127C06" w:rsidRPr="00F9391C">
        <w:rPr>
          <w:rFonts w:cstheme="minorHAnsi"/>
          <w:b/>
          <w:bCs/>
          <w:i/>
        </w:rPr>
        <w:t xml:space="preserve">or PRO-PM, </w:t>
      </w:r>
      <w:r w:rsidR="00AC1D8E" w:rsidRPr="00F9391C">
        <w:rPr>
          <w:rFonts w:cstheme="minorHAnsi"/>
          <w:b/>
          <w:bCs/>
          <w:i/>
        </w:rPr>
        <w:t xml:space="preserve">or resource use measure, </w:t>
      </w:r>
      <w:r w:rsidR="00BE592D" w:rsidRPr="00F9391C">
        <w:rPr>
          <w:rFonts w:cstheme="minorHAnsi"/>
          <w:b/>
          <w:bCs/>
          <w:i/>
        </w:rPr>
        <w:t xml:space="preserve">skip to section </w:t>
      </w:r>
      <w:hyperlink w:anchor="section2b5" w:history="1">
        <w:r w:rsidR="00BE592D" w:rsidRPr="00F9391C">
          <w:rPr>
            <w:rStyle w:val="Hyperlink"/>
            <w:rFonts w:cstheme="minorHAnsi"/>
            <w:b/>
            <w:bCs/>
            <w:i/>
          </w:rPr>
          <w:t>2b</w:t>
        </w:r>
        <w:r w:rsidR="00565946" w:rsidRPr="00F9391C">
          <w:rPr>
            <w:rStyle w:val="Hyperlink"/>
            <w:rFonts w:cstheme="minorHAnsi"/>
            <w:b/>
            <w:bCs/>
            <w:i/>
          </w:rPr>
          <w:t>4</w:t>
        </w:r>
      </w:hyperlink>
      <w:r w:rsidR="00BE592D" w:rsidRPr="00F9391C">
        <w:rPr>
          <w:rFonts w:cstheme="minorHAnsi"/>
          <w:b/>
          <w:bCs/>
          <w:i/>
        </w:rPr>
        <w:t>.</w:t>
      </w: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DF56A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38979C17" w:rsidR="00743E46" w:rsidRPr="005232D6" w:rsidRDefault="00DF56A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073016">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BD55B9" w:rsidRPr="00D77E49">
            <w:rPr>
              <w:rStyle w:val="Style4"/>
              <w:u w:val="none"/>
            </w:rPr>
            <w:t>105</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DF56A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DF56A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5E88A3E1" w14:textId="7E0B0CEA" w:rsidR="00A86704" w:rsidRDefault="000B7D57" w:rsidP="00391957">
      <w:pPr>
        <w:autoSpaceDE w:val="0"/>
        <w:autoSpaceDN w:val="0"/>
        <w:adjustRightInd w:val="0"/>
        <w:spacing w:after="0" w:line="240" w:lineRule="auto"/>
        <w:rPr>
          <w:rFonts w:cs="Calibri"/>
          <w:bCs/>
          <w:color w:val="0000FF"/>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5C5905AF" w14:textId="77777777" w:rsidR="00302EF1" w:rsidRDefault="00302EF1" w:rsidP="00037CD1">
      <w:pPr>
        <w:rPr>
          <w:rFonts w:cs="Calibri"/>
          <w:bCs/>
          <w:color w:val="0000FF"/>
        </w:rPr>
      </w:pPr>
    </w:p>
    <w:p w14:paraId="20F1C575" w14:textId="58E82179" w:rsidR="00037CD1" w:rsidRPr="00981CB7" w:rsidRDefault="00037CD1" w:rsidP="00037CD1">
      <w:pPr>
        <w:rPr>
          <w:rFonts w:cs="Calibri"/>
          <w:bCs/>
          <w:color w:val="0000FF"/>
        </w:rPr>
      </w:pPr>
      <w:r w:rsidRPr="00981CB7">
        <w:rPr>
          <w:rFonts w:cs="Calibri"/>
          <w:bCs/>
          <w:color w:val="0000FF"/>
        </w:rPr>
        <w:t xml:space="preserve">The risk adjustment model, including the intercept (constant), covariates (risk factors) with definitions and coefficients are provided </w:t>
      </w:r>
      <w:r>
        <w:rPr>
          <w:rFonts w:cs="Calibri"/>
          <w:bCs/>
          <w:color w:val="0000FF"/>
        </w:rPr>
        <w:t xml:space="preserve">as </w:t>
      </w:r>
      <w:r w:rsidRPr="00981CB7">
        <w:rPr>
          <w:rFonts w:cs="Calibri"/>
          <w:bCs/>
          <w:color w:val="0000FF"/>
        </w:rPr>
        <w:t xml:space="preserve">an attached excel file and in Appendix A Table A-1. </w:t>
      </w:r>
      <w:r w:rsidRPr="00981CB7">
        <w:rPr>
          <w:color w:val="0000FF"/>
        </w:rPr>
        <w:t xml:space="preserve">We used a Generalized Linear Model regression analysis to obtain the regression intercept (constant) and regression coefficient values. </w:t>
      </w:r>
    </w:p>
    <w:p w14:paraId="7630DC30" w14:textId="77777777" w:rsidR="00037CD1" w:rsidRPr="00981CB7" w:rsidRDefault="00037CD1" w:rsidP="00037CD1">
      <w:pPr>
        <w:pStyle w:val="BodyText"/>
        <w:rPr>
          <w:rFonts w:asciiTheme="minorHAnsi" w:eastAsiaTheme="minorEastAsia" w:hAnsiTheme="minorHAnsi" w:cstheme="minorBidi"/>
          <w:b/>
          <w:i/>
          <w:iCs/>
          <w:color w:val="0000FF"/>
          <w:sz w:val="22"/>
        </w:rPr>
      </w:pPr>
      <w:r w:rsidRPr="00981CB7">
        <w:rPr>
          <w:rFonts w:asciiTheme="minorHAnsi" w:eastAsiaTheme="minorEastAsia" w:hAnsiTheme="minorHAnsi" w:cstheme="minorBidi"/>
          <w:b/>
          <w:i/>
          <w:iCs/>
          <w:color w:val="0000FF"/>
          <w:sz w:val="22"/>
        </w:rPr>
        <w:lastRenderedPageBreak/>
        <w:t xml:space="preserve">Model for Individual Patient’s Expected Change in </w:t>
      </w:r>
      <w:r>
        <w:rPr>
          <w:rFonts w:asciiTheme="minorHAnsi" w:eastAsiaTheme="minorEastAsia" w:hAnsiTheme="minorHAnsi" w:cstheme="minorBidi"/>
          <w:b/>
          <w:i/>
          <w:iCs/>
          <w:color w:val="0000FF"/>
          <w:sz w:val="22"/>
        </w:rPr>
        <w:t>Mobility</w:t>
      </w:r>
      <w:r w:rsidRPr="00981CB7">
        <w:rPr>
          <w:rFonts w:asciiTheme="minorHAnsi" w:eastAsiaTheme="minorEastAsia" w:hAnsiTheme="minorHAnsi" w:cstheme="minorBidi"/>
          <w:b/>
          <w:i/>
          <w:iCs/>
          <w:color w:val="0000FF"/>
          <w:sz w:val="22"/>
        </w:rPr>
        <w:t xml:space="preserve"> Score</w:t>
      </w:r>
    </w:p>
    <w:p w14:paraId="33226C0E" w14:textId="3B42BC7D" w:rsidR="00A1783E" w:rsidRDefault="00A1783E" w:rsidP="00A1783E">
      <w:pPr>
        <w:pStyle w:val="BodyText"/>
        <w:rPr>
          <w:rFonts w:cs="Calibri"/>
          <w:bCs/>
          <w:color w:val="0000FF"/>
          <w:sz w:val="22"/>
        </w:rPr>
      </w:pPr>
      <w:bookmarkStart w:id="83" w:name="_Hlk534495012"/>
      <w:r>
        <w:rPr>
          <w:rFonts w:cs="Calibri"/>
          <w:bCs/>
          <w:color w:val="0000FF"/>
          <w:sz w:val="22"/>
        </w:rPr>
        <w:t xml:space="preserve">The risk-adjustment model includes a total of 105 covariates. For each individual patient, not every covariate will apply, because, for example, only one age group, one primary diagnosis group, and one bladder incontinence covariate will apply. In addition, patients could have 0 or up to </w:t>
      </w:r>
      <w:r w:rsidR="006550D6">
        <w:rPr>
          <w:rFonts w:cs="Calibri"/>
          <w:bCs/>
          <w:color w:val="0000FF"/>
          <w:sz w:val="22"/>
        </w:rPr>
        <w:t>50</w:t>
      </w:r>
      <w:r>
        <w:rPr>
          <w:rFonts w:cs="Calibri"/>
          <w:bCs/>
          <w:color w:val="0000FF"/>
          <w:sz w:val="22"/>
        </w:rPr>
        <w:t xml:space="preserve"> comorbidities. Therefore, for an individual patient stay, up to </w:t>
      </w:r>
      <w:r w:rsidR="006550D6">
        <w:rPr>
          <w:rFonts w:cs="Calibri"/>
          <w:bCs/>
          <w:color w:val="0000FF"/>
          <w:sz w:val="22"/>
        </w:rPr>
        <w:t>72</w:t>
      </w:r>
      <w:r>
        <w:rPr>
          <w:rFonts w:cs="Calibri"/>
          <w:bCs/>
          <w:color w:val="0000FF"/>
          <w:sz w:val="22"/>
        </w:rPr>
        <w:t xml:space="preserve"> covariates may apply.</w:t>
      </w:r>
    </w:p>
    <w:p w14:paraId="4B7C109A" w14:textId="2F928DBA" w:rsidR="00037CD1" w:rsidRPr="00981CB7" w:rsidRDefault="00037CD1" w:rsidP="00037CD1">
      <w:pPr>
        <w:pStyle w:val="BodyText"/>
        <w:rPr>
          <w:rFonts w:asciiTheme="minorHAnsi" w:eastAsiaTheme="minorEastAsia" w:hAnsiTheme="minorHAnsi" w:cstheme="minorBidi"/>
          <w:iCs/>
          <w:color w:val="0000FF"/>
          <w:sz w:val="22"/>
        </w:rPr>
      </w:pPr>
      <w:r w:rsidRPr="00981CB7">
        <w:rPr>
          <w:rFonts w:cs="Calibri"/>
          <w:bCs/>
          <w:color w:val="0000FF"/>
          <w:sz w:val="22"/>
        </w:rPr>
        <w:t xml:space="preserve">As described in the measure </w:t>
      </w:r>
      <w:r w:rsidR="00E94725">
        <w:rPr>
          <w:rFonts w:cs="Calibri"/>
          <w:bCs/>
          <w:color w:val="0000FF"/>
          <w:sz w:val="22"/>
        </w:rPr>
        <w:t>calculation algorithm</w:t>
      </w:r>
      <w:r w:rsidRPr="00981CB7">
        <w:rPr>
          <w:rFonts w:cs="Calibri"/>
          <w:bCs/>
          <w:color w:val="0000FF"/>
          <w:sz w:val="22"/>
        </w:rPr>
        <w:t xml:space="preserve">, the regression intercept and coefficients are used to calculate an expected change in </w:t>
      </w:r>
      <w:r>
        <w:rPr>
          <w:rFonts w:cs="Calibri"/>
          <w:bCs/>
          <w:color w:val="0000FF"/>
          <w:sz w:val="22"/>
        </w:rPr>
        <w:t>mobility</w:t>
      </w:r>
      <w:r w:rsidRPr="00981CB7">
        <w:rPr>
          <w:rFonts w:cs="Calibri"/>
          <w:bCs/>
          <w:color w:val="0000FF"/>
          <w:sz w:val="22"/>
        </w:rPr>
        <w:t xml:space="preserve"> score for each patient stay </w:t>
      </w:r>
      <w:r w:rsidRPr="00981CB7">
        <w:rPr>
          <w:rFonts w:asciiTheme="minorHAnsi" w:eastAsiaTheme="minorEastAsia" w:hAnsiTheme="minorHAnsi" w:cstheme="minorBidi"/>
          <w:iCs/>
          <w:color w:val="0000FF"/>
          <w:sz w:val="22"/>
        </w:rPr>
        <w:t>using the formula below:</w:t>
      </w:r>
    </w:p>
    <w:bookmarkEnd w:id="83"/>
    <w:p w14:paraId="7195C4D3" w14:textId="77777777" w:rsidR="00037CD1" w:rsidRPr="00981CB7" w:rsidRDefault="00037CD1" w:rsidP="00037CD1">
      <w:pPr>
        <w:pStyle w:val="BodyText"/>
        <w:rPr>
          <w:rFonts w:asciiTheme="minorHAnsi" w:eastAsiaTheme="minorEastAsia" w:hAnsiTheme="minorHAnsi" w:cstheme="minorBidi"/>
          <w:i/>
          <w:iCs/>
          <w:color w:val="0000FF"/>
          <w:sz w:val="22"/>
        </w:rPr>
      </w:pPr>
      <w:r w:rsidRPr="00981CB7">
        <w:rPr>
          <w:rFonts w:asciiTheme="minorHAnsi" w:eastAsiaTheme="minorEastAsia" w:hAnsiTheme="minorHAnsi" w:cstheme="minorBidi"/>
          <w:i/>
          <w:iCs/>
          <w:color w:val="0000FF"/>
          <w:sz w:val="22"/>
        </w:rPr>
        <w:t xml:space="preserve">Expected change in </w:t>
      </w:r>
      <w:r>
        <w:rPr>
          <w:rFonts w:asciiTheme="minorHAnsi" w:eastAsiaTheme="minorEastAsia" w:hAnsiTheme="minorHAnsi" w:cstheme="minorBidi"/>
          <w:i/>
          <w:iCs/>
          <w:color w:val="0000FF"/>
          <w:sz w:val="22"/>
        </w:rPr>
        <w:t>mobility</w:t>
      </w:r>
      <w:r w:rsidRPr="00981CB7">
        <w:rPr>
          <w:rFonts w:asciiTheme="minorHAnsi" w:eastAsiaTheme="minorEastAsia" w:hAnsiTheme="minorHAnsi" w:cstheme="minorBidi"/>
          <w:i/>
          <w:iCs/>
          <w:color w:val="0000FF"/>
          <w:sz w:val="22"/>
        </w:rPr>
        <w:t xml:space="preserve"> score = </w:t>
      </w:r>
    </w:p>
    <w:p w14:paraId="19ACCD8A" w14:textId="18801254" w:rsidR="00037CD1" w:rsidRDefault="00037CD1" w:rsidP="00037CD1">
      <w:pPr>
        <w:pStyle w:val="BodyText"/>
        <w:ind w:left="360" w:right="540"/>
        <w:rPr>
          <w:rFonts w:asciiTheme="minorHAnsi" w:hAnsiTheme="minorHAnsi"/>
          <w:color w:val="0000FF"/>
          <w:sz w:val="22"/>
        </w:rPr>
      </w:pPr>
      <w:r w:rsidRPr="007C33B1">
        <w:rPr>
          <w:rFonts w:asciiTheme="minorHAnsi" w:hAnsiTheme="minorHAnsi"/>
          <w:color w:val="0000FF"/>
          <w:sz w:val="22"/>
        </w:rPr>
        <w:t>intercept + (age group * coefficient)</w:t>
      </w:r>
      <w:r w:rsidR="00391957">
        <w:rPr>
          <w:rFonts w:asciiTheme="minorHAnsi" w:hAnsiTheme="minorHAnsi"/>
          <w:color w:val="0000FF"/>
          <w:sz w:val="22"/>
        </w:rPr>
        <w:t xml:space="preserve"> +</w:t>
      </w:r>
      <w:r>
        <w:rPr>
          <w:rFonts w:asciiTheme="minorHAnsi" w:hAnsiTheme="minorHAnsi"/>
          <w:color w:val="0000FF"/>
          <w:sz w:val="22"/>
        </w:rPr>
        <w:t xml:space="preserve"> (continuous admission mobility * coefficient) </w:t>
      </w:r>
      <w:r w:rsidRPr="007C33B1">
        <w:rPr>
          <w:rFonts w:asciiTheme="minorHAnsi" w:hAnsiTheme="minorHAnsi"/>
          <w:color w:val="0000FF"/>
          <w:sz w:val="22"/>
        </w:rPr>
        <w:t xml:space="preserve">+ (squared admission </w:t>
      </w:r>
      <w:r>
        <w:rPr>
          <w:rFonts w:asciiTheme="minorHAnsi" w:hAnsiTheme="minorHAnsi"/>
          <w:color w:val="0000FF"/>
          <w:sz w:val="22"/>
        </w:rPr>
        <w:t>mobility *</w:t>
      </w:r>
      <w:r w:rsidRPr="007C33B1">
        <w:rPr>
          <w:rFonts w:asciiTheme="minorHAnsi" w:hAnsiTheme="minorHAnsi"/>
          <w:color w:val="0000FF"/>
          <w:sz w:val="22"/>
        </w:rPr>
        <w:t xml:space="preserve"> coefficient) + (primary diagnosis group * coefficient) + (interaction term for admission </w:t>
      </w:r>
      <w:r>
        <w:rPr>
          <w:rFonts w:asciiTheme="minorHAnsi" w:hAnsiTheme="minorHAnsi"/>
          <w:color w:val="0000FF"/>
          <w:sz w:val="22"/>
        </w:rPr>
        <w:t>mobility</w:t>
      </w:r>
      <w:r w:rsidRPr="007C33B1">
        <w:rPr>
          <w:rFonts w:asciiTheme="minorHAnsi" w:hAnsiTheme="minorHAnsi"/>
          <w:color w:val="0000FF"/>
          <w:sz w:val="22"/>
        </w:rPr>
        <w:t xml:space="preserve"> and primary diagnosis group</w:t>
      </w:r>
      <w:r>
        <w:rPr>
          <w:rFonts w:asciiTheme="minorHAnsi" w:hAnsiTheme="minorHAnsi"/>
          <w:color w:val="0000FF"/>
          <w:sz w:val="22"/>
        </w:rPr>
        <w:t xml:space="preserve"> * coefficient</w:t>
      </w:r>
      <w:r w:rsidRPr="007C33B1">
        <w:rPr>
          <w:rFonts w:asciiTheme="minorHAnsi" w:hAnsiTheme="minorHAnsi"/>
          <w:color w:val="0000FF"/>
          <w:sz w:val="22"/>
        </w:rPr>
        <w:t xml:space="preserve">) + </w:t>
      </w:r>
      <w:r w:rsidRPr="00DD0C83">
        <w:rPr>
          <w:rFonts w:asciiTheme="minorHAnsi" w:hAnsiTheme="minorHAnsi"/>
          <w:color w:val="0000FF"/>
          <w:sz w:val="22"/>
        </w:rPr>
        <w:t>(prior surgery * coefficient) + (prior functioning</w:t>
      </w:r>
      <w:r>
        <w:rPr>
          <w:rFonts w:asciiTheme="minorHAnsi" w:hAnsiTheme="minorHAnsi"/>
          <w:color w:val="0000FF"/>
          <w:sz w:val="22"/>
        </w:rPr>
        <w:t>:</w:t>
      </w:r>
      <w:r w:rsidRPr="00DD0C83">
        <w:rPr>
          <w:rFonts w:asciiTheme="minorHAnsi" w:hAnsiTheme="minorHAnsi"/>
          <w:color w:val="0000FF"/>
          <w:sz w:val="22"/>
        </w:rPr>
        <w:t xml:space="preserve"> indoor ambulation * coefficient) + (prior functioning</w:t>
      </w:r>
      <w:r>
        <w:rPr>
          <w:rFonts w:asciiTheme="minorHAnsi" w:hAnsiTheme="minorHAnsi"/>
          <w:color w:val="0000FF"/>
          <w:sz w:val="22"/>
        </w:rPr>
        <w:t>:</w:t>
      </w:r>
      <w:r w:rsidRPr="00DD0C83">
        <w:rPr>
          <w:rFonts w:asciiTheme="minorHAnsi" w:hAnsiTheme="minorHAnsi"/>
          <w:color w:val="0000FF"/>
          <w:sz w:val="22"/>
        </w:rPr>
        <w:t xml:space="preserve"> stair negotiation * coefficient) + (prior functioning</w:t>
      </w:r>
      <w:r>
        <w:rPr>
          <w:rFonts w:asciiTheme="minorHAnsi" w:hAnsiTheme="minorHAnsi"/>
          <w:color w:val="0000FF"/>
          <w:sz w:val="22"/>
        </w:rPr>
        <w:t>:</w:t>
      </w:r>
      <w:r w:rsidRPr="00DD0C83">
        <w:rPr>
          <w:rFonts w:asciiTheme="minorHAnsi" w:hAnsiTheme="minorHAnsi"/>
          <w:color w:val="0000FF"/>
          <w:sz w:val="22"/>
        </w:rPr>
        <w:t xml:space="preserve"> cognition *coefficient) + (prior use of walker * coefficient) + (prior use of wheelchair</w:t>
      </w:r>
      <w:r>
        <w:rPr>
          <w:rFonts w:asciiTheme="minorHAnsi" w:hAnsiTheme="minorHAnsi"/>
          <w:color w:val="0000FF"/>
          <w:sz w:val="22"/>
        </w:rPr>
        <w:t>/scooter full time/part time</w:t>
      </w:r>
      <w:r w:rsidRPr="00DD0C83">
        <w:rPr>
          <w:rFonts w:asciiTheme="minorHAnsi" w:hAnsiTheme="minorHAnsi"/>
          <w:color w:val="0000FF"/>
          <w:sz w:val="22"/>
        </w:rPr>
        <w:t xml:space="preserve"> * coefficient) + (prior use of mechanical lift * coefficient) + (prior use of orthotics/prosthetics * coefficient) + (cognitive function * coefficient) + (communication impairment * coefficient) + (stage 2 pressure ulcer * coefficient) + (stage 3, 4 or unstageable pressure ulcer * coefficient) + (bladder incontinence * coefficient) + (bowel incontinence * coefficient) + (swallowing ability: tube</w:t>
      </w:r>
      <w:r>
        <w:rPr>
          <w:rFonts w:asciiTheme="minorHAnsi" w:hAnsiTheme="minorHAnsi"/>
          <w:color w:val="0000FF"/>
          <w:sz w:val="22"/>
        </w:rPr>
        <w:t>/parenteral</w:t>
      </w:r>
      <w:r w:rsidRPr="00DD0C83">
        <w:rPr>
          <w:rFonts w:asciiTheme="minorHAnsi" w:hAnsiTheme="minorHAnsi"/>
          <w:color w:val="0000FF"/>
          <w:sz w:val="22"/>
        </w:rPr>
        <w:t xml:space="preserve"> feeding * coefficient) + (history of falls * coefficient) </w:t>
      </w:r>
      <w:r w:rsidRPr="007C33B1">
        <w:rPr>
          <w:rFonts w:asciiTheme="minorHAnsi" w:hAnsiTheme="minorHAnsi"/>
          <w:color w:val="0000FF"/>
          <w:sz w:val="22"/>
        </w:rPr>
        <w:t>+ (</w:t>
      </w:r>
      <w:r>
        <w:rPr>
          <w:rFonts w:asciiTheme="minorHAnsi" w:hAnsiTheme="minorHAnsi"/>
          <w:color w:val="0000FF"/>
          <w:sz w:val="22"/>
        </w:rPr>
        <w:t>low BMI</w:t>
      </w:r>
      <w:r w:rsidRPr="007C33B1">
        <w:rPr>
          <w:rFonts w:asciiTheme="minorHAnsi" w:hAnsiTheme="minorHAnsi"/>
          <w:color w:val="0000FF"/>
          <w:sz w:val="22"/>
        </w:rPr>
        <w:t xml:space="preserve"> * coefficient)</w:t>
      </w:r>
      <w:r>
        <w:rPr>
          <w:rFonts w:asciiTheme="minorHAnsi" w:hAnsiTheme="minorHAnsi"/>
          <w:color w:val="0000FF"/>
          <w:sz w:val="22"/>
        </w:rPr>
        <w:t xml:space="preserve"> </w:t>
      </w:r>
      <w:r w:rsidRPr="00DD0C83">
        <w:rPr>
          <w:rFonts w:asciiTheme="minorHAnsi" w:hAnsiTheme="minorHAnsi"/>
          <w:color w:val="0000FF"/>
          <w:sz w:val="22"/>
        </w:rPr>
        <w:t xml:space="preserve">+ </w:t>
      </w:r>
      <w:r w:rsidRPr="007C33B1">
        <w:rPr>
          <w:rFonts w:asciiTheme="minorHAnsi" w:hAnsiTheme="minorHAnsi"/>
          <w:color w:val="0000FF"/>
          <w:sz w:val="22"/>
        </w:rPr>
        <w:t>(comorbidity * coefficient)</w:t>
      </w:r>
    </w:p>
    <w:p w14:paraId="1B18C0B8" w14:textId="77777777" w:rsidR="003915B7" w:rsidRPr="002E3FEB" w:rsidRDefault="003915B7" w:rsidP="003915B7">
      <w:pPr>
        <w:spacing w:before="160" w:after="120" w:line="240" w:lineRule="auto"/>
        <w:ind w:right="720"/>
        <w:rPr>
          <w:rFonts w:eastAsia="Times New Roman" w:cs="Times New Roman"/>
          <w:color w:val="0000FF"/>
        </w:rPr>
      </w:pPr>
      <w:bookmarkStart w:id="84" w:name="_Hlk534616391"/>
      <w:r w:rsidRPr="002E3FEB">
        <w:rPr>
          <w:rFonts w:eastAsia="Times New Roman" w:cs="Times New Roman"/>
          <w:color w:val="0000FF"/>
        </w:rPr>
        <w:t>In the equation above, the intercept and coefficient values were constant for each patient, while risk adjustor values were specific to the patient. Patients could have multiple comorbidities</w:t>
      </w:r>
      <w:r>
        <w:rPr>
          <w:rFonts w:eastAsia="Times New Roman" w:cs="Times New Roman"/>
          <w:color w:val="0000FF"/>
        </w:rPr>
        <w:t>.</w:t>
      </w:r>
      <w:r w:rsidRPr="002E3FEB">
        <w:rPr>
          <w:rFonts w:eastAsia="Times New Roman" w:cs="Times New Roman"/>
          <w:color w:val="0000FF"/>
        </w:rPr>
        <w:t xml:space="preserve"> </w:t>
      </w:r>
    </w:p>
    <w:bookmarkEnd w:id="84"/>
    <w:p w14:paraId="25A5FF29" w14:textId="25D64A43" w:rsidR="00AF314D" w:rsidRPr="00981CB7" w:rsidRDefault="00837708" w:rsidP="00AF314D">
      <w:pPr>
        <w:pStyle w:val="BodyText"/>
        <w:rPr>
          <w:rFonts w:asciiTheme="minorHAnsi" w:eastAsiaTheme="minorEastAsia" w:hAnsiTheme="minorHAnsi" w:cstheme="minorBidi"/>
          <w:iCs/>
          <w:color w:val="0000FF"/>
          <w:sz w:val="22"/>
        </w:rPr>
      </w:pPr>
      <w:r w:rsidRPr="00C16056">
        <w:rPr>
          <w:rFonts w:asciiTheme="minorHAnsi" w:eastAsiaTheme="minorEastAsia" w:hAnsiTheme="minorHAnsi" w:cstheme="minorBidi"/>
          <w:iCs/>
          <w:color w:val="0000FF"/>
          <w:sz w:val="22"/>
        </w:rPr>
        <w:t xml:space="preserve">We provide detailed measure calculation instructions for this performance measure in an attachment in the “NQF Specifications” document.  The detailed measure calculation instructions are available to the public in the document entitled </w:t>
      </w:r>
      <w:r w:rsidR="004F1EF3" w:rsidRPr="00C16056">
        <w:rPr>
          <w:rFonts w:asciiTheme="minorHAnsi" w:eastAsiaTheme="minorEastAsia" w:hAnsiTheme="minorHAnsi" w:cstheme="minorBidi"/>
          <w:iCs/>
          <w:color w:val="0000FF"/>
          <w:sz w:val="22"/>
        </w:rPr>
        <w:t xml:space="preserve">“IRF Quality Reporting Program Measure Calculations and Reporting User’s Manual” that can be found at: </w:t>
      </w:r>
      <w:hyperlink r:id="rId118" w:history="1">
        <w:r w:rsidR="00DF0169" w:rsidRPr="00C16056">
          <w:rPr>
            <w:rStyle w:val="Hyperlink"/>
            <w:rFonts w:asciiTheme="minorHAnsi" w:eastAsiaTheme="minorEastAsia" w:hAnsiTheme="minorHAnsi" w:cstheme="minorBidi"/>
            <w:iCs/>
            <w:color w:val="0000FF"/>
            <w:sz w:val="22"/>
          </w:rPr>
          <w:t>https://www.cms.gov/Medicare/Quality-Initiatives-Patient-Assessment-Instruments/IRF-Quality-Reporting/IRF-Quality-Reporting-Program-Measures-Information-.html</w:t>
        </w:r>
      </w:hyperlink>
      <w:r w:rsidR="00DF0169" w:rsidRPr="00C16056">
        <w:rPr>
          <w:rFonts w:asciiTheme="minorHAnsi" w:eastAsiaTheme="minorEastAsia" w:hAnsiTheme="minorHAnsi" w:cstheme="minorBidi"/>
          <w:iCs/>
          <w:color w:val="0000FF"/>
          <w:sz w:val="22"/>
        </w:rPr>
        <w:t xml:space="preserve">. </w:t>
      </w:r>
      <w:r w:rsidR="009C39AB" w:rsidRPr="00C16056">
        <w:rPr>
          <w:rFonts w:asciiTheme="minorHAnsi" w:eastAsiaTheme="minorEastAsia" w:hAnsiTheme="minorHAnsi" w:cstheme="minorBidi"/>
          <w:iCs/>
          <w:color w:val="0000FF"/>
          <w:sz w:val="22"/>
        </w:rPr>
        <w:t xml:space="preserve">The current version of the manual, Version </w:t>
      </w:r>
      <w:r w:rsidR="00AF314D" w:rsidRPr="00C16056">
        <w:rPr>
          <w:rFonts w:asciiTheme="minorHAnsi" w:eastAsiaTheme="minorEastAsia" w:hAnsiTheme="minorHAnsi" w:cstheme="minorBidi"/>
          <w:iCs/>
          <w:color w:val="0000FF"/>
          <w:sz w:val="22"/>
        </w:rPr>
        <w:t>3.0</w:t>
      </w:r>
      <w:r w:rsidR="00DF0169" w:rsidRPr="00C16056">
        <w:rPr>
          <w:rFonts w:asciiTheme="minorHAnsi" w:eastAsiaTheme="minorEastAsia" w:hAnsiTheme="minorHAnsi" w:cstheme="minorBidi"/>
          <w:iCs/>
          <w:color w:val="0000FF"/>
          <w:sz w:val="22"/>
        </w:rPr>
        <w:t xml:space="preserve">, reflects current measure specifications. </w:t>
      </w:r>
    </w:p>
    <w:p w14:paraId="1B3CB5F2" w14:textId="0055AFD4" w:rsidR="00AF314D" w:rsidRPr="00981CB7" w:rsidRDefault="00AF314D" w:rsidP="00AF314D">
      <w:pPr>
        <w:rPr>
          <w:b/>
          <w:i/>
          <w:iCs/>
          <w:color w:val="0000FF"/>
        </w:rPr>
      </w:pPr>
      <w:r w:rsidRPr="00981CB7">
        <w:rPr>
          <w:b/>
          <w:i/>
          <w:iCs/>
          <w:color w:val="0000FF"/>
        </w:rPr>
        <w:t xml:space="preserve">Risk Adjusted Change in </w:t>
      </w:r>
      <w:r w:rsidR="00DD0C83">
        <w:rPr>
          <w:b/>
          <w:i/>
          <w:iCs/>
          <w:color w:val="0000FF"/>
        </w:rPr>
        <w:t>Mobility</w:t>
      </w:r>
      <w:r w:rsidRPr="00981CB7">
        <w:rPr>
          <w:b/>
          <w:i/>
          <w:iCs/>
          <w:color w:val="0000FF"/>
        </w:rPr>
        <w:t xml:space="preserve"> Outcome for Each IRF</w:t>
      </w:r>
    </w:p>
    <w:p w14:paraId="031CB77F" w14:textId="77777777" w:rsidR="00AF314D" w:rsidRPr="00981CB7" w:rsidRDefault="00AF314D" w:rsidP="00302EF1">
      <w:pPr>
        <w:pStyle w:val="BodyText"/>
        <w:spacing w:after="0"/>
        <w:rPr>
          <w:rFonts w:asciiTheme="minorHAnsi" w:eastAsiaTheme="minorEastAsia" w:hAnsiTheme="minorHAnsi" w:cstheme="minorBidi"/>
          <w:iCs/>
          <w:color w:val="0000FF"/>
          <w:sz w:val="22"/>
        </w:rPr>
      </w:pPr>
      <w:r w:rsidRPr="00981CB7">
        <w:rPr>
          <w:rFonts w:asciiTheme="minorHAnsi" w:eastAsiaTheme="minorEastAsia" w:hAnsiTheme="minorHAnsi" w:cstheme="minorBidi"/>
          <w:iCs/>
          <w:color w:val="0000FF"/>
          <w:sz w:val="22"/>
        </w:rPr>
        <w:t xml:space="preserve">To calculate the risk adjusted change score for each IRF, we compute three values: </w:t>
      </w:r>
    </w:p>
    <w:p w14:paraId="7FB8278C" w14:textId="621AFC3B" w:rsidR="00AF314D" w:rsidRPr="00981CB7" w:rsidRDefault="00AF314D" w:rsidP="00AF314D">
      <w:pPr>
        <w:pStyle w:val="Heading5"/>
        <w:keepLines w:val="0"/>
        <w:numPr>
          <w:ilvl w:val="0"/>
          <w:numId w:val="32"/>
        </w:numPr>
        <w:spacing w:before="0" w:line="240" w:lineRule="auto"/>
        <w:rPr>
          <w:rFonts w:asciiTheme="minorHAnsi" w:eastAsiaTheme="minorEastAsia" w:hAnsiTheme="minorHAnsi" w:cstheme="minorBidi"/>
          <w:b/>
          <w:bCs/>
          <w:iCs/>
          <w:color w:val="0000FF"/>
        </w:rPr>
      </w:pPr>
      <w:r w:rsidRPr="00981CB7">
        <w:rPr>
          <w:rFonts w:asciiTheme="minorHAnsi" w:eastAsiaTheme="minorEastAsia" w:hAnsiTheme="minorHAnsi" w:cstheme="minorBidi"/>
          <w:b/>
          <w:iCs/>
          <w:color w:val="0000FF"/>
        </w:rPr>
        <w:t xml:space="preserve">Mean observed change in </w:t>
      </w:r>
      <w:r w:rsidR="00DD0C83">
        <w:rPr>
          <w:rFonts w:asciiTheme="minorHAnsi" w:eastAsiaTheme="minorEastAsia" w:hAnsiTheme="minorHAnsi" w:cstheme="minorBidi"/>
          <w:b/>
          <w:iCs/>
          <w:color w:val="0000FF"/>
        </w:rPr>
        <w:t>mobility</w:t>
      </w:r>
      <w:r w:rsidRPr="00981CB7">
        <w:rPr>
          <w:rFonts w:asciiTheme="minorHAnsi" w:eastAsiaTheme="minorEastAsia" w:hAnsiTheme="minorHAnsi" w:cstheme="minorBidi"/>
          <w:b/>
          <w:iCs/>
          <w:color w:val="0000FF"/>
        </w:rPr>
        <w:t xml:space="preserve"> score for each IRF:</w:t>
      </w:r>
      <w:r w:rsidRPr="00981CB7">
        <w:rPr>
          <w:rFonts w:asciiTheme="minorHAnsi" w:eastAsiaTheme="minorEastAsia" w:hAnsiTheme="minorHAnsi" w:cstheme="minorBidi"/>
          <w:iCs/>
          <w:color w:val="0000FF"/>
        </w:rPr>
        <w:t xml:space="preserve"> We calculated the mean observed change score for each IRF as the mean of the observed change in </w:t>
      </w:r>
      <w:r w:rsidR="00DD0C83">
        <w:rPr>
          <w:rFonts w:asciiTheme="minorHAnsi" w:eastAsiaTheme="minorEastAsia" w:hAnsiTheme="minorHAnsi" w:cstheme="minorBidi"/>
          <w:iCs/>
          <w:color w:val="0000FF"/>
        </w:rPr>
        <w:t>mobility</w:t>
      </w:r>
      <w:r w:rsidRPr="00981CB7">
        <w:rPr>
          <w:rFonts w:asciiTheme="minorHAnsi" w:eastAsiaTheme="minorEastAsia" w:hAnsiTheme="minorHAnsi" w:cstheme="minorBidi"/>
          <w:iCs/>
          <w:color w:val="0000FF"/>
        </w:rPr>
        <w:t xml:space="preserve"> scores for all patients in the IRF.</w:t>
      </w:r>
    </w:p>
    <w:p w14:paraId="56D230B4" w14:textId="7EFE2572" w:rsidR="00AF314D" w:rsidRPr="00981CB7" w:rsidRDefault="00AF314D" w:rsidP="00AF314D">
      <w:pPr>
        <w:pStyle w:val="Heading5"/>
        <w:keepLines w:val="0"/>
        <w:numPr>
          <w:ilvl w:val="0"/>
          <w:numId w:val="32"/>
        </w:numPr>
        <w:spacing w:before="0" w:line="240" w:lineRule="auto"/>
        <w:rPr>
          <w:rFonts w:asciiTheme="minorHAnsi" w:eastAsiaTheme="minorEastAsia" w:hAnsiTheme="minorHAnsi" w:cstheme="minorBidi"/>
          <w:b/>
          <w:bCs/>
          <w:iCs/>
          <w:color w:val="0000FF"/>
        </w:rPr>
      </w:pPr>
      <w:r w:rsidRPr="00981CB7">
        <w:rPr>
          <w:rFonts w:asciiTheme="minorHAnsi" w:eastAsiaTheme="minorEastAsia" w:hAnsiTheme="minorHAnsi" w:cstheme="minorBidi"/>
          <w:b/>
          <w:iCs/>
          <w:color w:val="0000FF"/>
        </w:rPr>
        <w:t xml:space="preserve">Mean expected change in </w:t>
      </w:r>
      <w:r w:rsidR="00DD0C83">
        <w:rPr>
          <w:rFonts w:asciiTheme="minorHAnsi" w:eastAsiaTheme="minorEastAsia" w:hAnsiTheme="minorHAnsi" w:cstheme="minorBidi"/>
          <w:b/>
          <w:iCs/>
          <w:color w:val="0000FF"/>
        </w:rPr>
        <w:t>mobility</w:t>
      </w:r>
      <w:r w:rsidRPr="00981CB7">
        <w:rPr>
          <w:rFonts w:asciiTheme="minorHAnsi" w:eastAsiaTheme="minorEastAsia" w:hAnsiTheme="minorHAnsi" w:cstheme="minorBidi"/>
          <w:b/>
          <w:iCs/>
          <w:color w:val="0000FF"/>
        </w:rPr>
        <w:t xml:space="preserve"> score for each IRF:</w:t>
      </w:r>
      <w:r w:rsidRPr="00981CB7">
        <w:rPr>
          <w:rFonts w:asciiTheme="minorHAnsi" w:eastAsiaTheme="minorEastAsia" w:hAnsiTheme="minorHAnsi" w:cstheme="minorBidi"/>
          <w:iCs/>
          <w:color w:val="0000FF"/>
        </w:rPr>
        <w:t xml:space="preserve"> We calculate each patient’s expected change in </w:t>
      </w:r>
      <w:r w:rsidR="00DD0C83">
        <w:rPr>
          <w:rFonts w:asciiTheme="minorHAnsi" w:eastAsiaTheme="minorEastAsia" w:hAnsiTheme="minorHAnsi" w:cstheme="minorBidi"/>
          <w:iCs/>
          <w:color w:val="0000FF"/>
        </w:rPr>
        <w:t>mobility</w:t>
      </w:r>
      <w:r w:rsidRPr="00981CB7">
        <w:rPr>
          <w:rFonts w:asciiTheme="minorHAnsi" w:eastAsiaTheme="minorEastAsia" w:hAnsiTheme="minorHAnsi" w:cstheme="minorBidi"/>
          <w:iCs/>
          <w:color w:val="0000FF"/>
        </w:rPr>
        <w:t xml:space="preserve"> score using the intercept and coefficient values that apply to the patient. We then compute the mean expected change in </w:t>
      </w:r>
      <w:r w:rsidR="00DD0C83">
        <w:rPr>
          <w:rFonts w:asciiTheme="minorHAnsi" w:eastAsiaTheme="minorEastAsia" w:hAnsiTheme="minorHAnsi" w:cstheme="minorBidi"/>
          <w:iCs/>
          <w:color w:val="0000FF"/>
        </w:rPr>
        <w:t>mobility</w:t>
      </w:r>
      <w:r w:rsidRPr="00981CB7">
        <w:rPr>
          <w:rFonts w:asciiTheme="minorHAnsi" w:eastAsiaTheme="minorEastAsia" w:hAnsiTheme="minorHAnsi" w:cstheme="minorBidi"/>
          <w:iCs/>
          <w:color w:val="0000FF"/>
        </w:rPr>
        <w:t xml:space="preserve"> score for each IRF by calculating the mean of the expected change score for all patients in the IRF.</w:t>
      </w:r>
    </w:p>
    <w:p w14:paraId="58A34A1F" w14:textId="59BBA59A" w:rsidR="00AF314D" w:rsidRPr="00981CB7" w:rsidRDefault="00AF314D" w:rsidP="00AF314D">
      <w:pPr>
        <w:pStyle w:val="Heading5"/>
        <w:keepLines w:val="0"/>
        <w:numPr>
          <w:ilvl w:val="0"/>
          <w:numId w:val="32"/>
        </w:numPr>
        <w:spacing w:before="0" w:line="240" w:lineRule="auto"/>
        <w:rPr>
          <w:rFonts w:asciiTheme="minorHAnsi" w:eastAsiaTheme="minorEastAsia" w:hAnsiTheme="minorHAnsi" w:cstheme="minorBidi"/>
          <w:b/>
          <w:bCs/>
          <w:iCs/>
          <w:color w:val="0000FF"/>
        </w:rPr>
      </w:pPr>
      <w:r w:rsidRPr="00981CB7">
        <w:rPr>
          <w:rFonts w:asciiTheme="minorHAnsi" w:eastAsiaTheme="minorEastAsia" w:hAnsiTheme="minorHAnsi" w:cstheme="minorBidi"/>
          <w:b/>
          <w:iCs/>
          <w:color w:val="0000FF"/>
        </w:rPr>
        <w:t xml:space="preserve">National mean observed change in </w:t>
      </w:r>
      <w:r w:rsidR="00DD0C83">
        <w:rPr>
          <w:rFonts w:asciiTheme="minorHAnsi" w:eastAsiaTheme="minorEastAsia" w:hAnsiTheme="minorHAnsi" w:cstheme="minorBidi"/>
          <w:b/>
          <w:iCs/>
          <w:color w:val="0000FF"/>
        </w:rPr>
        <w:t>mobility</w:t>
      </w:r>
      <w:r w:rsidRPr="00981CB7">
        <w:rPr>
          <w:rFonts w:asciiTheme="minorHAnsi" w:eastAsiaTheme="minorEastAsia" w:hAnsiTheme="minorHAnsi" w:cstheme="minorBidi"/>
          <w:b/>
          <w:iCs/>
          <w:color w:val="0000FF"/>
        </w:rPr>
        <w:t xml:space="preserve"> score:</w:t>
      </w:r>
      <w:r w:rsidRPr="00981CB7">
        <w:rPr>
          <w:rFonts w:asciiTheme="minorHAnsi" w:eastAsiaTheme="minorEastAsia" w:hAnsiTheme="minorHAnsi" w:cstheme="minorBidi"/>
          <w:iCs/>
          <w:color w:val="0000FF"/>
        </w:rPr>
        <w:t xml:space="preserve"> We calculated national mean observed change in </w:t>
      </w:r>
      <w:r w:rsidR="00DD0C83">
        <w:rPr>
          <w:rFonts w:asciiTheme="minorHAnsi" w:eastAsiaTheme="minorEastAsia" w:hAnsiTheme="minorHAnsi" w:cstheme="minorBidi"/>
          <w:iCs/>
          <w:color w:val="0000FF"/>
        </w:rPr>
        <w:t xml:space="preserve">mobility </w:t>
      </w:r>
      <w:r w:rsidRPr="00981CB7">
        <w:rPr>
          <w:rFonts w:asciiTheme="minorHAnsi" w:eastAsiaTheme="minorEastAsia" w:hAnsiTheme="minorHAnsi" w:cstheme="minorBidi"/>
          <w:iCs/>
          <w:color w:val="0000FF"/>
        </w:rPr>
        <w:t>score using data for all patients and all IRFs.</w:t>
      </w:r>
    </w:p>
    <w:p w14:paraId="0B5F7436" w14:textId="77777777" w:rsidR="00AF314D" w:rsidRPr="00981CB7" w:rsidRDefault="00AF314D" w:rsidP="00AF314D">
      <w:pPr>
        <w:spacing w:after="0" w:line="240" w:lineRule="auto"/>
        <w:rPr>
          <w:b/>
          <w:bCs/>
          <w:iCs/>
          <w:color w:val="0000FF"/>
        </w:rPr>
      </w:pPr>
    </w:p>
    <w:p w14:paraId="7DB35A75" w14:textId="77777777" w:rsidR="00302EF1" w:rsidRDefault="00AF314D" w:rsidP="00302EF1">
      <w:pPr>
        <w:spacing w:after="0" w:line="240" w:lineRule="auto"/>
        <w:rPr>
          <w:iCs/>
          <w:color w:val="0000FF"/>
        </w:rPr>
      </w:pPr>
      <w:r w:rsidRPr="00981CB7">
        <w:rPr>
          <w:iCs/>
          <w:color w:val="0000FF"/>
        </w:rPr>
        <w:t xml:space="preserve">Using the above three values, the risk adjusted change in </w:t>
      </w:r>
      <w:r w:rsidR="00DD0C83">
        <w:rPr>
          <w:iCs/>
          <w:color w:val="0000FF"/>
        </w:rPr>
        <w:t>mobility</w:t>
      </w:r>
      <w:r w:rsidRPr="00981CB7">
        <w:rPr>
          <w:iCs/>
          <w:color w:val="0000FF"/>
        </w:rPr>
        <w:t xml:space="preserve"> outcome for each IRF is calculated using the formula: </w:t>
      </w:r>
    </w:p>
    <w:p w14:paraId="0A1E352E" w14:textId="3AE1A63E" w:rsidR="00AF2D68" w:rsidRPr="00DF0169" w:rsidRDefault="00DF56AE" w:rsidP="00302EF1">
      <w:pPr>
        <w:spacing w:line="240" w:lineRule="auto"/>
        <w:rPr>
          <w:i/>
          <w:color w:val="0000FF"/>
          <w:sz w:val="18"/>
          <w:szCs w:val="18"/>
        </w:rPr>
      </w:pPr>
      <m:oMathPara>
        <m:oMath>
          <m:d>
            <m:dPr>
              <m:ctrlPr>
                <w:rPr>
                  <w:rFonts w:ascii="Cambria Math" w:hAnsi="Cambria Math"/>
                  <w:color w:val="0000FF"/>
                  <w:sz w:val="18"/>
                  <w:szCs w:val="18"/>
                </w:rPr>
              </m:ctrlPr>
            </m:dPr>
            <m:e>
              <m:r>
                <m:rPr>
                  <m:sty m:val="p"/>
                </m:rPr>
                <w:rPr>
                  <w:rFonts w:ascii="Cambria Math" w:hAnsi="Cambria Math"/>
                  <w:color w:val="0000FF"/>
                  <w:sz w:val="18"/>
                  <w:szCs w:val="18"/>
                </w:rPr>
                <m:t>IRF mean observed change score-IRF mean expected change score</m:t>
              </m:r>
            </m:e>
          </m:d>
          <m:r>
            <m:rPr>
              <m:sty m:val="p"/>
            </m:rPr>
            <w:rPr>
              <w:rFonts w:ascii="Cambria Math" w:hAnsi="Cambria Math"/>
              <w:color w:val="0000FF"/>
              <w:sz w:val="18"/>
              <w:szCs w:val="18"/>
            </w:rPr>
            <m:t>+National mean observed change score</m:t>
          </m:r>
        </m:oMath>
      </m:oMathPara>
    </w:p>
    <w:p w14:paraId="02B56199" w14:textId="3AACA75B" w:rsidR="00AF314D" w:rsidRPr="001B4B1B" w:rsidRDefault="009C7513" w:rsidP="00DD0C83">
      <w:pPr>
        <w:rPr>
          <w:iCs/>
          <w:color w:val="0000FF"/>
        </w:rPr>
      </w:pPr>
      <w:r>
        <w:rPr>
          <w:rFonts w:cs="Calibri"/>
          <w:b/>
          <w:bCs/>
        </w:rPr>
        <w:lastRenderedPageBreak/>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AF314D" w:rsidRPr="001B4B1B">
        <w:rPr>
          <w:iCs/>
          <w:color w:val="0000FF"/>
        </w:rPr>
        <w:t xml:space="preserve">Not applicable. This </w:t>
      </w:r>
      <w:r w:rsidR="00745539">
        <w:rPr>
          <w:iCs/>
          <w:color w:val="0000FF"/>
        </w:rPr>
        <w:t>performance measure</w:t>
      </w:r>
      <w:r w:rsidR="00AF314D" w:rsidRPr="001B4B1B">
        <w:rPr>
          <w:iCs/>
          <w:color w:val="0000FF"/>
        </w:rPr>
        <w:t xml:space="preserve"> is risk adjusted.</w:t>
      </w:r>
    </w:p>
    <w:p w14:paraId="0CABCFF6" w14:textId="7FE59992"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36C40CE5" w14:textId="0136368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iCs/>
          <w:color w:val="0000FF"/>
          <w:sz w:val="22"/>
        </w:rPr>
        <w:t xml:space="preserve">This </w:t>
      </w:r>
      <w:r w:rsidR="003915B7">
        <w:rPr>
          <w:rFonts w:asciiTheme="minorHAnsi" w:eastAsiaTheme="minorEastAsia" w:hAnsiTheme="minorHAnsi" w:cstheme="minorBidi"/>
          <w:iCs/>
          <w:color w:val="0000FF"/>
          <w:sz w:val="22"/>
        </w:rPr>
        <w:t>performance</w:t>
      </w:r>
      <w:r w:rsidR="003915B7" w:rsidRPr="00673F1F">
        <w:rPr>
          <w:rFonts w:asciiTheme="minorHAnsi" w:eastAsiaTheme="minorEastAsia" w:hAnsiTheme="minorHAnsi" w:cstheme="minorBidi"/>
          <w:iCs/>
          <w:color w:val="0000FF"/>
          <w:sz w:val="22"/>
        </w:rPr>
        <w:t xml:space="preserve"> </w:t>
      </w:r>
      <w:r w:rsidRPr="00673F1F">
        <w:rPr>
          <w:rFonts w:asciiTheme="minorHAnsi" w:eastAsiaTheme="minorEastAsia" w:hAnsiTheme="minorHAnsi" w:cstheme="minorBidi"/>
          <w:iCs/>
          <w:color w:val="0000FF"/>
          <w:sz w:val="22"/>
        </w:rPr>
        <w:t xml:space="preserve">measure estimates the risk adjusted mean change in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score between admission and discharge among IRF patients. </w:t>
      </w:r>
      <w:r w:rsidRPr="00673F1F">
        <w:rPr>
          <w:color w:val="0000FF"/>
          <w:sz w:val="22"/>
        </w:rPr>
        <w:t xml:space="preserve">Functional improvement can vary based on patients’ demographic or clinical characteristics, therefore, this measure is risk adjusted. The goal of risk adjustment is to control for differences across facilities in patient characteristics at admission that might be related to the outcome of interest. This allows outcomes to be compared across facilities after differences in patient complexity (i.e., patient characteristics) have been accounted for in the analysis. The risk adjustment model for this measure controls for variation across facilities in patient demographics (e.g., age) and clinical (e.g., diagnosis) characteristics present at the time of admission that may influence functional outcomes, to allow change in </w:t>
      </w:r>
      <w:r>
        <w:rPr>
          <w:color w:val="0000FF"/>
          <w:sz w:val="22"/>
        </w:rPr>
        <w:t>mobility</w:t>
      </w:r>
      <w:r w:rsidRPr="00673F1F">
        <w:rPr>
          <w:color w:val="0000FF"/>
          <w:sz w:val="22"/>
        </w:rPr>
        <w:t xml:space="preserve"> outcomes to be compared across IRFs</w:t>
      </w:r>
      <w:r w:rsidRPr="00673F1F">
        <w:rPr>
          <w:rFonts w:asciiTheme="minorHAnsi" w:eastAsiaTheme="minorEastAsia" w:hAnsiTheme="minorHAnsi" w:cstheme="minorBidi"/>
          <w:iCs/>
          <w:color w:val="0000FF"/>
          <w:sz w:val="22"/>
        </w:rPr>
        <w:t xml:space="preserve">. </w:t>
      </w:r>
    </w:p>
    <w:p w14:paraId="71F2997A" w14:textId="77777777" w:rsidR="008776EB" w:rsidRDefault="00037CD1" w:rsidP="00037CD1">
      <w:pPr>
        <w:pStyle w:val="BodyText"/>
        <w:rPr>
          <w:rFonts w:asciiTheme="minorHAnsi" w:eastAsiaTheme="minorEastAsia" w:hAnsiTheme="minorHAnsi" w:cstheme="minorBidi"/>
          <w:iCs/>
          <w:color w:val="0000FF"/>
          <w:sz w:val="22"/>
        </w:rPr>
      </w:pPr>
      <w:bookmarkStart w:id="85" w:name="_Hlk534495418"/>
      <w:r>
        <w:rPr>
          <w:rFonts w:asciiTheme="minorHAnsi" w:eastAsiaTheme="minorEastAsia" w:hAnsiTheme="minorHAnsi" w:cstheme="minorBidi"/>
          <w:iCs/>
          <w:color w:val="0000FF"/>
          <w:sz w:val="22"/>
        </w:rPr>
        <w:t>Initial development of the risk adjustment model can be found on this measure’s previous testing form. We are now updating the</w:t>
      </w:r>
      <w:r w:rsidRPr="005329F6">
        <w:rPr>
          <w:rFonts w:asciiTheme="minorHAnsi" w:eastAsiaTheme="minorEastAsia" w:hAnsiTheme="minorHAnsi" w:cstheme="minorBidi"/>
          <w:iCs/>
          <w:color w:val="0000FF"/>
          <w:sz w:val="22"/>
        </w:rPr>
        <w:t xml:space="preserve"> risk adjustment model for this measure</w:t>
      </w:r>
      <w:r>
        <w:rPr>
          <w:rFonts w:asciiTheme="minorHAnsi" w:eastAsiaTheme="minorEastAsia" w:hAnsiTheme="minorHAnsi" w:cstheme="minorBidi"/>
          <w:iCs/>
          <w:color w:val="0000FF"/>
          <w:sz w:val="22"/>
        </w:rPr>
        <w:t xml:space="preserve"> </w:t>
      </w:r>
      <w:r w:rsidRPr="005329F6">
        <w:rPr>
          <w:rFonts w:asciiTheme="minorHAnsi" w:eastAsiaTheme="minorEastAsia" w:hAnsiTheme="minorHAnsi" w:cstheme="minorBidi"/>
          <w:iCs/>
          <w:color w:val="0000FF"/>
          <w:sz w:val="22"/>
        </w:rPr>
        <w:t>us</w:t>
      </w:r>
      <w:r>
        <w:rPr>
          <w:rFonts w:asciiTheme="minorHAnsi" w:eastAsiaTheme="minorEastAsia" w:hAnsiTheme="minorHAnsi" w:cstheme="minorBidi"/>
          <w:iCs/>
          <w:color w:val="0000FF"/>
          <w:sz w:val="22"/>
        </w:rPr>
        <w:t>ing the national</w:t>
      </w:r>
      <w:r w:rsidRPr="005329F6">
        <w:rPr>
          <w:rFonts w:asciiTheme="minorHAnsi" w:eastAsiaTheme="minorEastAsia" w:hAnsiTheme="minorHAnsi" w:cstheme="minorBidi"/>
          <w:iCs/>
          <w:color w:val="0000FF"/>
          <w:sz w:val="22"/>
        </w:rPr>
        <w:t xml:space="preserve"> data </w:t>
      </w:r>
      <w:r>
        <w:rPr>
          <w:rFonts w:asciiTheme="minorHAnsi" w:eastAsiaTheme="minorEastAsia" w:hAnsiTheme="minorHAnsi" w:cstheme="minorBidi"/>
          <w:iCs/>
          <w:color w:val="0000FF"/>
          <w:sz w:val="22"/>
        </w:rPr>
        <w:t xml:space="preserve">collected using the </w:t>
      </w:r>
      <w:r w:rsidRPr="005329F6">
        <w:rPr>
          <w:rFonts w:asciiTheme="minorHAnsi" w:eastAsiaTheme="minorEastAsia" w:hAnsiTheme="minorHAnsi" w:cstheme="minorBidi"/>
          <w:iCs/>
          <w:color w:val="0000FF"/>
          <w:sz w:val="22"/>
        </w:rPr>
        <w:t>Inpatient Rehabilitation Facility Patient Assessment Instrument (IRF-PAI)</w:t>
      </w:r>
      <w:r>
        <w:rPr>
          <w:rFonts w:asciiTheme="minorHAnsi" w:eastAsiaTheme="minorEastAsia" w:hAnsiTheme="minorHAnsi" w:cstheme="minorBidi"/>
          <w:iCs/>
          <w:color w:val="0000FF"/>
          <w:sz w:val="22"/>
        </w:rPr>
        <w:t>,</w:t>
      </w:r>
      <w:r w:rsidRPr="005329F6">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including patients’</w:t>
      </w:r>
      <w:r w:rsidRPr="005329F6">
        <w:rPr>
          <w:rFonts w:asciiTheme="minorHAnsi" w:eastAsiaTheme="minorEastAsia" w:hAnsiTheme="minorHAnsi" w:cstheme="minorBidi"/>
          <w:iCs/>
          <w:color w:val="0000FF"/>
          <w:sz w:val="22"/>
        </w:rPr>
        <w:t xml:space="preserve"> primary condition</w:t>
      </w:r>
      <w:r>
        <w:rPr>
          <w:rFonts w:asciiTheme="minorHAnsi" w:eastAsiaTheme="minorEastAsia" w:hAnsiTheme="minorHAnsi" w:cstheme="minorBidi"/>
          <w:iCs/>
          <w:color w:val="0000FF"/>
          <w:sz w:val="22"/>
        </w:rPr>
        <w:t>s, prior functioning, and comorbidities at admission</w:t>
      </w:r>
      <w:r w:rsidRPr="005329F6">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Testing</w:t>
      </w:r>
      <w:r w:rsidRPr="005329F6">
        <w:rPr>
          <w:rFonts w:asciiTheme="minorHAnsi" w:eastAsiaTheme="minorEastAsia" w:hAnsiTheme="minorHAnsi" w:cstheme="minorBidi"/>
          <w:iCs/>
          <w:color w:val="0000FF"/>
          <w:sz w:val="22"/>
        </w:rPr>
        <w:t xml:space="preserve"> of the risk adjustment model was conducted after applying the exclusion criteria described in 2b</w:t>
      </w:r>
      <w:r>
        <w:rPr>
          <w:rFonts w:asciiTheme="minorHAnsi" w:eastAsiaTheme="minorEastAsia" w:hAnsiTheme="minorHAnsi" w:cstheme="minorBidi"/>
          <w:iCs/>
          <w:color w:val="0000FF"/>
          <w:sz w:val="22"/>
        </w:rPr>
        <w:t>2</w:t>
      </w:r>
      <w:r w:rsidR="008776EB">
        <w:rPr>
          <w:rFonts w:asciiTheme="minorHAnsi" w:eastAsiaTheme="minorEastAsia" w:hAnsiTheme="minorHAnsi" w:cstheme="minorBidi"/>
          <w:iCs/>
          <w:color w:val="0000FF"/>
          <w:sz w:val="22"/>
        </w:rPr>
        <w:t>.</w:t>
      </w:r>
    </w:p>
    <w:p w14:paraId="2A484781" w14:textId="35358D8E" w:rsidR="00037CD1" w:rsidRPr="004A2A22" w:rsidRDefault="00037CD1" w:rsidP="00037CD1">
      <w:pPr>
        <w:pStyle w:val="BodyText"/>
        <w:rPr>
          <w:rFonts w:asciiTheme="minorHAnsi" w:eastAsiaTheme="minorEastAsia" w:hAnsiTheme="minorHAnsi" w:cstheme="minorBidi"/>
          <w:b/>
          <w:i/>
          <w:iCs/>
          <w:color w:val="0000FF"/>
          <w:sz w:val="22"/>
        </w:rPr>
      </w:pPr>
      <w:r w:rsidRPr="005329F6">
        <w:rPr>
          <w:rFonts w:asciiTheme="minorHAnsi" w:eastAsiaTheme="minorEastAsia" w:hAnsiTheme="minorHAnsi" w:cstheme="minorBidi"/>
          <w:iCs/>
          <w:color w:val="0000FF"/>
          <w:sz w:val="22"/>
        </w:rPr>
        <w:t xml:space="preserve"> </w:t>
      </w:r>
      <w:bookmarkEnd w:id="85"/>
      <w:r w:rsidRPr="004A2A22">
        <w:rPr>
          <w:rFonts w:asciiTheme="minorHAnsi" w:eastAsiaTheme="minorEastAsia" w:hAnsiTheme="minorHAnsi" w:cstheme="minorBidi"/>
          <w:b/>
          <w:i/>
          <w:iCs/>
          <w:color w:val="0000FF"/>
          <w:sz w:val="22"/>
        </w:rPr>
        <w:t>Risk Adjustor Selection – Conceptual Rationale and Statistical Testing</w:t>
      </w:r>
    </w:p>
    <w:p w14:paraId="34A80155" w14:textId="77777777" w:rsidR="00837708" w:rsidRPr="00837708" w:rsidRDefault="00837708" w:rsidP="00837708">
      <w:pPr>
        <w:pStyle w:val="BodyText"/>
        <w:rPr>
          <w:rFonts w:asciiTheme="minorHAnsi" w:eastAsiaTheme="minorEastAsia" w:hAnsiTheme="minorHAnsi" w:cstheme="minorBidi"/>
          <w:iCs/>
          <w:color w:val="0000FF"/>
          <w:sz w:val="22"/>
        </w:rPr>
      </w:pPr>
      <w:bookmarkStart w:id="86" w:name="_Hlk534495510"/>
      <w:r w:rsidRPr="00837708">
        <w:rPr>
          <w:rFonts w:asciiTheme="minorHAnsi" w:eastAsiaTheme="minorEastAsia" w:hAnsiTheme="minorHAnsi" w:cstheme="minorBidi"/>
          <w:iCs/>
          <w:color w:val="0000FF"/>
          <w:sz w:val="22"/>
        </w:rPr>
        <w:t xml:space="preserve">The initial selection of risk adjustors was based on a review of the literature, input from technical experts and public comments, followed by data analysis. Please see the 2014 testing form on this measure for more detailed information on the initial selection of risk adjustors for this measure. In preparation for endorsement maintenance, we updated our literature review and conducted additional analyses. </w:t>
      </w:r>
    </w:p>
    <w:p w14:paraId="440B293F" w14:textId="77777777" w:rsidR="00037CD1" w:rsidRPr="00EA0C8D" w:rsidRDefault="00037CD1" w:rsidP="00037CD1">
      <w:pPr>
        <w:pStyle w:val="BodyText"/>
        <w:rPr>
          <w:rFonts w:asciiTheme="minorHAnsi" w:eastAsiaTheme="minorEastAsia" w:hAnsiTheme="minorHAnsi" w:cstheme="minorBidi"/>
          <w:iCs/>
          <w:color w:val="0000FF"/>
          <w:sz w:val="22"/>
        </w:rPr>
      </w:pPr>
      <w:bookmarkStart w:id="87" w:name="_Hlk534495590"/>
      <w:bookmarkEnd w:id="86"/>
      <w:r>
        <w:rPr>
          <w:rFonts w:asciiTheme="minorHAnsi" w:eastAsiaTheme="minorEastAsia" w:hAnsiTheme="minorHAnsi" w:cstheme="minorBidi"/>
          <w:iCs/>
          <w:color w:val="0000FF"/>
          <w:sz w:val="22"/>
        </w:rPr>
        <w:t>We tested the risk adjustors using</w:t>
      </w:r>
      <w:r w:rsidRPr="00EA0C8D">
        <w:rPr>
          <w:rFonts w:asciiTheme="minorHAnsi" w:eastAsiaTheme="minorEastAsia" w:hAnsiTheme="minorHAnsi" w:cstheme="minorBidi"/>
          <w:iCs/>
          <w:color w:val="0000FF"/>
          <w:sz w:val="22"/>
        </w:rPr>
        <w:t xml:space="preserve"> a </w:t>
      </w:r>
      <w:r w:rsidRPr="00EA0C8D">
        <w:rPr>
          <w:color w:val="0000FF"/>
          <w:sz w:val="22"/>
        </w:rPr>
        <w:t xml:space="preserve">generalized linear model </w:t>
      </w:r>
      <w:r>
        <w:rPr>
          <w:color w:val="0000FF"/>
          <w:sz w:val="22"/>
        </w:rPr>
        <w:t>with</w:t>
      </w:r>
      <w:r w:rsidRPr="00EA0C8D">
        <w:rPr>
          <w:color w:val="0000FF"/>
          <w:sz w:val="22"/>
        </w:rPr>
        <w:t xml:space="preserve"> generalized estimation equations (GEE) as the estimation method to account for clustering of data</w:t>
      </w:r>
      <w:r w:rsidRPr="00EA0C8D">
        <w:rPr>
          <w:rFonts w:asciiTheme="minorHAnsi" w:eastAsiaTheme="minorEastAsia" w:hAnsiTheme="minorHAnsi" w:cstheme="minorBidi"/>
          <w:iCs/>
          <w:color w:val="0000FF"/>
          <w:sz w:val="22"/>
        </w:rPr>
        <w:t xml:space="preserve"> within each IRF. The </w:t>
      </w:r>
      <w:r w:rsidRPr="00EA0C8D">
        <w:rPr>
          <w:color w:val="0000FF"/>
          <w:sz w:val="22"/>
        </w:rPr>
        <w:t xml:space="preserve">generalized estimation equations </w:t>
      </w:r>
      <w:r w:rsidRPr="00EA0C8D">
        <w:rPr>
          <w:rFonts w:asciiTheme="minorHAnsi" w:eastAsiaTheme="minorEastAsia" w:hAnsiTheme="minorHAnsi" w:cstheme="minorBidi"/>
          <w:iCs/>
          <w:color w:val="0000FF"/>
          <w:sz w:val="22"/>
        </w:rPr>
        <w:t xml:space="preserve">method accounted for potentially correlated outcomes of patients within the same IRF, in addition to risk adjusting the change in </w:t>
      </w:r>
      <w:r>
        <w:rPr>
          <w:rFonts w:asciiTheme="minorHAnsi" w:eastAsiaTheme="minorEastAsia" w:hAnsiTheme="minorHAnsi" w:cstheme="minorBidi"/>
          <w:iCs/>
          <w:color w:val="0000FF"/>
          <w:sz w:val="22"/>
        </w:rPr>
        <w:t>mobility</w:t>
      </w:r>
      <w:r w:rsidRPr="00EA0C8D">
        <w:rPr>
          <w:rFonts w:asciiTheme="minorHAnsi" w:eastAsiaTheme="minorEastAsia" w:hAnsiTheme="minorHAnsi" w:cstheme="minorBidi"/>
          <w:iCs/>
          <w:color w:val="0000FF"/>
          <w:sz w:val="22"/>
        </w:rPr>
        <w:t xml:space="preserve"> outcome using the final set of risk adjustors. </w:t>
      </w:r>
    </w:p>
    <w:p w14:paraId="3522BF67" w14:textId="251ABF49" w:rsidR="00A1783E" w:rsidRDefault="00037CD1" w:rsidP="00A1783E">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iCs/>
          <w:color w:val="0000FF"/>
          <w:sz w:val="22"/>
        </w:rPr>
        <w:t xml:space="preserve">The dependent variable was the change in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score for each patient, calculated as the difference between the discharge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score and admission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score. </w:t>
      </w:r>
      <w:bookmarkStart w:id="88" w:name="_Hlk536010778"/>
      <w:r w:rsidR="00A1783E">
        <w:rPr>
          <w:rFonts w:asciiTheme="minorHAnsi" w:eastAsiaTheme="minorEastAsia" w:hAnsiTheme="minorHAnsi" w:cstheme="minorBidi"/>
          <w:iCs/>
          <w:color w:val="0000FF"/>
          <w:sz w:val="22"/>
        </w:rPr>
        <w:t>The regression coefficient represents the effect of an individual covariate. For example, a coefficient value of -0.5 for a comorbidity would be interpreted to mean that, on average, patients with that comorbidity had a change in mobility score that was 0.5 mobility units less than patients without that comorbidity.</w:t>
      </w:r>
      <w:bookmarkEnd w:id="88"/>
    </w:p>
    <w:p w14:paraId="7B3A20F6" w14:textId="5731F3FB" w:rsidR="00037CD1" w:rsidRPr="00673F1F" w:rsidRDefault="00037CD1" w:rsidP="00037CD1">
      <w:pPr>
        <w:pStyle w:val="BodyText"/>
        <w:rPr>
          <w:rFonts w:asciiTheme="minorHAnsi" w:eastAsiaTheme="minorEastAsia" w:hAnsiTheme="minorHAnsi" w:cstheme="minorBidi"/>
          <w:iCs/>
          <w:color w:val="0000FF"/>
          <w:sz w:val="22"/>
        </w:rPr>
      </w:pPr>
      <w:r>
        <w:rPr>
          <w:rFonts w:asciiTheme="minorHAnsi" w:eastAsiaTheme="minorEastAsia" w:hAnsiTheme="minorHAnsi" w:cstheme="minorBidi"/>
          <w:iCs/>
          <w:color w:val="0000FF"/>
          <w:sz w:val="22"/>
        </w:rPr>
        <w:lastRenderedPageBreak/>
        <w:t xml:space="preserve">Risk adjustors were added to the model together and </w:t>
      </w:r>
      <w:r w:rsidRPr="00673F1F">
        <w:rPr>
          <w:rFonts w:asciiTheme="minorHAnsi" w:eastAsiaTheme="minorEastAsia" w:hAnsiTheme="minorHAnsi" w:cstheme="minorBidi"/>
          <w:iCs/>
          <w:color w:val="0000FF"/>
          <w:sz w:val="22"/>
        </w:rPr>
        <w:t xml:space="preserve">decisions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outcomes. </w:t>
      </w:r>
      <w:bookmarkStart w:id="89" w:name="_Hlk536010804"/>
      <w:r w:rsidR="00A1783E">
        <w:rPr>
          <w:rFonts w:asciiTheme="minorHAnsi" w:eastAsiaTheme="minorEastAsia" w:hAnsiTheme="minorHAnsi" w:cstheme="minorBidi"/>
          <w:iCs/>
          <w:color w:val="0000FF"/>
          <w:sz w:val="22"/>
        </w:rPr>
        <w:t xml:space="preserve">For example, we dropped comorbidities that no longer showed a negative association with the dependent variable, because comorbidities are expected to limit functional improvement. We added </w:t>
      </w:r>
      <w:r w:rsidR="00A1783E" w:rsidRPr="0068700E">
        <w:rPr>
          <w:rFonts w:asciiTheme="minorHAnsi" w:eastAsiaTheme="minorEastAsia" w:hAnsiTheme="minorHAnsi" w:cstheme="minorBidi"/>
          <w:iCs/>
          <w:color w:val="0000FF"/>
          <w:sz w:val="22"/>
        </w:rPr>
        <w:t xml:space="preserve">comorbidities that showed a </w:t>
      </w:r>
      <w:r w:rsidR="00A1783E">
        <w:rPr>
          <w:rFonts w:asciiTheme="minorHAnsi" w:eastAsiaTheme="minorEastAsia" w:hAnsiTheme="minorHAnsi" w:cstheme="minorBidi"/>
          <w:iCs/>
          <w:color w:val="0000FF"/>
          <w:sz w:val="22"/>
        </w:rPr>
        <w:t xml:space="preserve">significant </w:t>
      </w:r>
      <w:r w:rsidR="00A1783E" w:rsidRPr="0068700E">
        <w:rPr>
          <w:rFonts w:asciiTheme="minorHAnsi" w:eastAsiaTheme="minorEastAsia" w:hAnsiTheme="minorHAnsi" w:cstheme="minorBidi"/>
          <w:iCs/>
          <w:color w:val="0000FF"/>
          <w:sz w:val="22"/>
        </w:rPr>
        <w:t>negative association</w:t>
      </w:r>
      <w:r w:rsidR="00A1783E">
        <w:rPr>
          <w:rFonts w:asciiTheme="minorHAnsi" w:eastAsiaTheme="minorEastAsia" w:hAnsiTheme="minorHAnsi" w:cstheme="minorBidi"/>
          <w:iCs/>
          <w:color w:val="0000FF"/>
          <w:sz w:val="22"/>
        </w:rPr>
        <w:t xml:space="preserve"> with the dependent variable</w:t>
      </w:r>
      <w:r w:rsidR="00A1783E" w:rsidRPr="0068700E">
        <w:rPr>
          <w:rFonts w:asciiTheme="minorHAnsi" w:eastAsiaTheme="minorEastAsia" w:hAnsiTheme="minorHAnsi" w:cstheme="minorBidi"/>
          <w:iCs/>
          <w:color w:val="0000FF"/>
          <w:sz w:val="22"/>
        </w:rPr>
        <w:t>.</w:t>
      </w:r>
      <w:bookmarkEnd w:id="89"/>
      <w:r w:rsidR="00A1783E" w:rsidRPr="0068700E">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The f</w:t>
      </w:r>
      <w:r w:rsidRPr="00673F1F">
        <w:rPr>
          <w:rFonts w:asciiTheme="minorHAnsi" w:eastAsiaTheme="minorEastAsia" w:hAnsiTheme="minorHAnsi" w:cstheme="minorBidi"/>
          <w:iCs/>
          <w:color w:val="0000FF"/>
          <w:sz w:val="22"/>
        </w:rPr>
        <w:t xml:space="preserve">inal risk adjustor </w:t>
      </w:r>
      <w:r>
        <w:rPr>
          <w:rFonts w:asciiTheme="minorHAnsi" w:eastAsiaTheme="minorEastAsia" w:hAnsiTheme="minorHAnsi" w:cstheme="minorBidi"/>
          <w:iCs/>
          <w:color w:val="0000FF"/>
          <w:sz w:val="22"/>
        </w:rPr>
        <w:t>decisions were</w:t>
      </w:r>
      <w:r w:rsidRPr="00673F1F">
        <w:rPr>
          <w:rFonts w:asciiTheme="minorHAnsi" w:eastAsiaTheme="minorEastAsia" w:hAnsiTheme="minorHAnsi" w:cstheme="minorBidi"/>
          <w:iCs/>
          <w:color w:val="0000FF"/>
          <w:sz w:val="22"/>
        </w:rPr>
        <w:t xml:space="preserve"> based on a combination of clinical reasoning and statistical findings. </w:t>
      </w:r>
    </w:p>
    <w:p w14:paraId="1EBB244A" w14:textId="77777777" w:rsidR="0082222C" w:rsidRPr="00EA0C8D" w:rsidRDefault="0082222C" w:rsidP="0082222C">
      <w:pPr>
        <w:pStyle w:val="BodyText"/>
        <w:rPr>
          <w:rFonts w:asciiTheme="minorHAnsi" w:eastAsiaTheme="minorEastAsia" w:hAnsiTheme="minorHAnsi" w:cstheme="minorBidi"/>
          <w:iCs/>
          <w:color w:val="0000FF"/>
          <w:sz w:val="22"/>
        </w:rPr>
      </w:pPr>
      <w:r w:rsidRPr="00EA0C8D">
        <w:rPr>
          <w:rFonts w:asciiTheme="minorHAnsi" w:eastAsiaTheme="minorEastAsia" w:hAnsiTheme="minorHAnsi" w:cstheme="minorBidi"/>
          <w:iCs/>
          <w:color w:val="0000FF"/>
          <w:sz w:val="22"/>
        </w:rPr>
        <w:t xml:space="preserve">Risk adjustors included in the final model are described below, and also presented in </w:t>
      </w:r>
      <w:r w:rsidRPr="00C1498A">
        <w:rPr>
          <w:rFonts w:asciiTheme="minorHAnsi" w:eastAsiaTheme="minorEastAsia" w:hAnsiTheme="minorHAnsi" w:cstheme="minorBidi"/>
          <w:iCs/>
          <w:color w:val="0000FF"/>
          <w:sz w:val="22"/>
        </w:rPr>
        <w:t>S.2b. Data Dictionary, Code Table, or Value Sets</w:t>
      </w:r>
      <w:r w:rsidRPr="00EA0C8D">
        <w:rPr>
          <w:rFonts w:asciiTheme="minorHAnsi" w:eastAsiaTheme="minorEastAsia" w:hAnsiTheme="minorHAnsi" w:cstheme="minorBidi"/>
          <w:iCs/>
          <w:color w:val="0000FF"/>
          <w:sz w:val="22"/>
        </w:rPr>
        <w:t>.</w:t>
      </w:r>
      <w:r>
        <w:rPr>
          <w:rFonts w:asciiTheme="minorHAnsi" w:eastAsiaTheme="minorEastAsia" w:hAnsiTheme="minorHAnsi" w:cstheme="minorBidi"/>
          <w:iCs/>
          <w:color w:val="0000FF"/>
          <w:sz w:val="22"/>
        </w:rPr>
        <w:t xml:space="preserve"> </w:t>
      </w:r>
    </w:p>
    <w:p w14:paraId="6D56DB86" w14:textId="1D47047B" w:rsidR="00037CD1" w:rsidRPr="00C45C89" w:rsidRDefault="00037CD1" w:rsidP="00037CD1">
      <w:pPr>
        <w:pStyle w:val="BodyText"/>
        <w:rPr>
          <w:iCs/>
          <w:color w:val="0000FF"/>
          <w:sz w:val="22"/>
          <w:highlight w:val="yellow"/>
        </w:rPr>
      </w:pPr>
      <w:bookmarkStart w:id="90" w:name="_Hlk534280785"/>
      <w:bookmarkEnd w:id="87"/>
      <w:r w:rsidRPr="00673F1F">
        <w:rPr>
          <w:rFonts w:asciiTheme="minorHAnsi" w:eastAsiaTheme="minorEastAsia" w:hAnsiTheme="minorHAnsi" w:cstheme="minorBidi"/>
          <w:b/>
          <w:i/>
          <w:iCs/>
          <w:color w:val="0000FF"/>
          <w:sz w:val="22"/>
        </w:rPr>
        <w:t>Age Groups:</w:t>
      </w:r>
      <w:r w:rsidRPr="00673F1F">
        <w:rPr>
          <w:rFonts w:asciiTheme="minorHAnsi" w:eastAsiaTheme="minorEastAsia" w:hAnsiTheme="minorHAnsi" w:cstheme="minorBidi"/>
          <w:iCs/>
          <w:color w:val="0000FF"/>
          <w:sz w:val="22"/>
        </w:rPr>
        <w:t xml:space="preserve"> We included seven age groups in the risk adjustment model (&lt; 35 years, 35–44 years, 45–54 years, 55–64 years, 75–84 years, 85–90 years, and ≥ 90 years). The age group 65–74 years formed the reference category. Age was not normally distributed in our sample, so it was more appropriate to use age groups in our analyses. </w:t>
      </w:r>
      <w:r w:rsidRPr="0016376F">
        <w:rPr>
          <w:iCs/>
          <w:color w:val="0000FF"/>
          <w:sz w:val="22"/>
        </w:rPr>
        <w:t>When compared to the reference group (patients 65–74 years), patients younger than 35 years (coefficient = -1.0232</w:t>
      </w:r>
      <w:r w:rsidRPr="002F5B93">
        <w:rPr>
          <w:iCs/>
          <w:color w:val="0000FF"/>
          <w:sz w:val="22"/>
        </w:rPr>
        <w:t xml:space="preserve">, </w:t>
      </w:r>
      <w:r w:rsidRPr="00D77E49">
        <w:rPr>
          <w:i/>
          <w:iCs/>
          <w:color w:val="0000FF"/>
          <w:sz w:val="22"/>
        </w:rPr>
        <w:t>p</w:t>
      </w:r>
      <w:r w:rsidRPr="00D77E49">
        <w:rPr>
          <w:iCs/>
          <w:color w:val="0000FF"/>
          <w:sz w:val="22"/>
        </w:rPr>
        <w:t xml:space="preserve"> </w:t>
      </w:r>
      <w:r w:rsidR="002F5B93" w:rsidRPr="00D77E49">
        <w:rPr>
          <w:iCs/>
          <w:color w:val="0000FF"/>
          <w:sz w:val="22"/>
        </w:rPr>
        <w:t>=</w:t>
      </w:r>
      <w:r w:rsidRPr="00D77E49">
        <w:rPr>
          <w:iCs/>
          <w:color w:val="0000FF"/>
          <w:sz w:val="22"/>
        </w:rPr>
        <w:t xml:space="preserve"> 0.0</w:t>
      </w:r>
      <w:r w:rsidR="002F5B93" w:rsidRPr="00D77E49">
        <w:rPr>
          <w:iCs/>
          <w:color w:val="0000FF"/>
          <w:sz w:val="22"/>
        </w:rPr>
        <w:t>05</w:t>
      </w:r>
      <w:r w:rsidRPr="002F5B93">
        <w:rPr>
          <w:iCs/>
          <w:color w:val="0000FF"/>
          <w:sz w:val="22"/>
        </w:rPr>
        <w:t>)</w:t>
      </w:r>
      <w:r w:rsidRPr="0016376F">
        <w:rPr>
          <w:iCs/>
          <w:color w:val="0000FF"/>
          <w:sz w:val="22"/>
        </w:rPr>
        <w:t xml:space="preserve"> and patients 35-44 years (coefficient = -0.6223, </w:t>
      </w:r>
      <w:r w:rsidR="002F5B93" w:rsidRPr="00531564">
        <w:rPr>
          <w:i/>
          <w:iCs/>
          <w:color w:val="0000FF"/>
          <w:sz w:val="22"/>
        </w:rPr>
        <w:t>p</w:t>
      </w:r>
      <w:r w:rsidR="002F5B93" w:rsidRPr="00531564">
        <w:rPr>
          <w:iCs/>
          <w:color w:val="0000FF"/>
          <w:sz w:val="22"/>
        </w:rPr>
        <w:t xml:space="preserve"> = 0.005</w:t>
      </w:r>
      <w:r w:rsidRPr="0016376F">
        <w:rPr>
          <w:iCs/>
          <w:color w:val="0000FF"/>
          <w:sz w:val="22"/>
        </w:rPr>
        <w:t xml:space="preserve">) had significantly smaller change in mobility scores. Patients 45-54 years (coefficient = 0.3772, </w:t>
      </w:r>
      <w:r w:rsidRPr="0016376F">
        <w:rPr>
          <w:i/>
          <w:iCs/>
          <w:color w:val="0000FF"/>
          <w:sz w:val="22"/>
        </w:rPr>
        <w:t>p</w:t>
      </w:r>
      <w:r w:rsidRPr="0016376F">
        <w:rPr>
          <w:iCs/>
          <w:color w:val="0000FF"/>
          <w:sz w:val="22"/>
        </w:rPr>
        <w:t xml:space="preserve"> </w:t>
      </w:r>
      <w:r w:rsidR="00B109D4">
        <w:rPr>
          <w:iCs/>
          <w:color w:val="0000FF"/>
          <w:sz w:val="22"/>
        </w:rPr>
        <w:t>=</w:t>
      </w:r>
      <w:r w:rsidRPr="0016376F">
        <w:rPr>
          <w:iCs/>
          <w:color w:val="0000FF"/>
          <w:sz w:val="22"/>
        </w:rPr>
        <w:t xml:space="preserve"> 0.0</w:t>
      </w:r>
      <w:r w:rsidR="00B109D4">
        <w:rPr>
          <w:iCs/>
          <w:color w:val="0000FF"/>
          <w:sz w:val="22"/>
        </w:rPr>
        <w:t>03</w:t>
      </w:r>
      <w:r w:rsidRPr="0016376F">
        <w:rPr>
          <w:iCs/>
          <w:color w:val="0000FF"/>
          <w:sz w:val="22"/>
        </w:rPr>
        <w:t xml:space="preserve">) had slightly larger change in mobility scores than patients in the reference category. Patients 75–84 years (coefficient = -1.1907, </w:t>
      </w:r>
      <w:r w:rsidRPr="0016376F">
        <w:rPr>
          <w:i/>
          <w:iCs/>
          <w:color w:val="0000FF"/>
          <w:sz w:val="22"/>
        </w:rPr>
        <w:t>p</w:t>
      </w:r>
      <w:r w:rsidRPr="0016376F">
        <w:rPr>
          <w:iCs/>
          <w:color w:val="0000FF"/>
          <w:sz w:val="22"/>
        </w:rPr>
        <w:t xml:space="preserve"> &lt; 0.001), 85–90 years (coefficient = -2.7306, </w:t>
      </w:r>
      <w:r w:rsidRPr="0016376F">
        <w:rPr>
          <w:i/>
          <w:iCs/>
          <w:color w:val="0000FF"/>
          <w:sz w:val="22"/>
        </w:rPr>
        <w:t>p</w:t>
      </w:r>
      <w:r w:rsidRPr="0016376F">
        <w:rPr>
          <w:iCs/>
          <w:color w:val="0000FF"/>
          <w:sz w:val="22"/>
        </w:rPr>
        <w:t xml:space="preserve"> &lt; 0.001), and over 90 years (coefficient = -4.5621, </w:t>
      </w:r>
      <w:r w:rsidRPr="0016376F">
        <w:rPr>
          <w:i/>
          <w:iCs/>
          <w:color w:val="0000FF"/>
          <w:sz w:val="22"/>
        </w:rPr>
        <w:t>p</w:t>
      </w:r>
      <w:r w:rsidRPr="0016376F">
        <w:rPr>
          <w:iCs/>
          <w:color w:val="0000FF"/>
          <w:sz w:val="22"/>
        </w:rPr>
        <w:t xml:space="preserve"> &lt; 0.001) also had significantly, and progressively, smaller change in mobility scores than patients in the reference category. Patients 55–64 years did not have significantly different change scores compared with the reference category. Nevertheless, we chose not to collapse any groups based on public comment feedback regarding the clinical importance of maintaining fine discrimination among age groups.</w:t>
      </w:r>
    </w:p>
    <w:p w14:paraId="3830A229"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 xml:space="preserve">Admission </w:t>
      </w:r>
      <w:r>
        <w:rPr>
          <w:rFonts w:asciiTheme="minorHAnsi" w:eastAsiaTheme="minorEastAsia" w:hAnsiTheme="minorHAnsi" w:cstheme="minorBidi"/>
          <w:b/>
          <w:i/>
          <w:iCs/>
          <w:color w:val="0000FF"/>
          <w:sz w:val="22"/>
        </w:rPr>
        <w:t>Mobility</w:t>
      </w:r>
      <w:r w:rsidRPr="00673F1F">
        <w:rPr>
          <w:rFonts w:asciiTheme="minorHAnsi" w:eastAsiaTheme="minorEastAsia" w:hAnsiTheme="minorHAnsi" w:cstheme="minorBidi"/>
          <w:b/>
          <w:i/>
          <w:iCs/>
          <w:color w:val="0000FF"/>
          <w:sz w:val="22"/>
        </w:rPr>
        <w:t xml:space="preserve"> Scores:</w:t>
      </w:r>
      <w:r w:rsidRPr="00673F1F">
        <w:rPr>
          <w:rFonts w:asciiTheme="minorHAnsi" w:eastAsiaTheme="minorEastAsia" w:hAnsiTheme="minorHAnsi" w:cstheme="minorBidi"/>
          <w:iCs/>
          <w:color w:val="0000FF"/>
          <w:sz w:val="22"/>
        </w:rPr>
        <w:t xml:space="preserve"> Since improvement in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during the IRF stay may vary based on admission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ability, we risk adjusted for admission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scores in our regression mode</w:t>
      </w:r>
      <w:r w:rsidRPr="008516D0">
        <w:rPr>
          <w:rFonts w:asciiTheme="minorHAnsi" w:eastAsiaTheme="minorEastAsia" w:hAnsiTheme="minorHAnsi" w:cstheme="minorBidi"/>
          <w:iCs/>
          <w:color w:val="0000FF"/>
          <w:sz w:val="22"/>
        </w:rPr>
        <w:t xml:space="preserve">l. </w:t>
      </w:r>
      <w:r w:rsidRPr="0016376F">
        <w:rPr>
          <w:rFonts w:asciiTheme="minorHAnsi" w:eastAsiaTheme="minorEastAsia" w:hAnsiTheme="minorHAnsi" w:cstheme="minorBidi"/>
          <w:iCs/>
          <w:color w:val="0000FF"/>
          <w:sz w:val="22"/>
        </w:rPr>
        <w:t xml:space="preserve">Both the squared form of admission mobility scores (coefficient = -0.0169, </w:t>
      </w:r>
      <w:r w:rsidRPr="0016376F">
        <w:rPr>
          <w:rFonts w:asciiTheme="minorHAnsi" w:eastAsiaTheme="minorEastAsia" w:hAnsiTheme="minorHAnsi" w:cstheme="minorBidi"/>
          <w:i/>
          <w:iCs/>
          <w:color w:val="0000FF"/>
          <w:sz w:val="22"/>
        </w:rPr>
        <w:t>p</w:t>
      </w:r>
      <w:r w:rsidRPr="0016376F">
        <w:rPr>
          <w:rFonts w:asciiTheme="minorHAnsi" w:eastAsiaTheme="minorEastAsia" w:hAnsiTheme="minorHAnsi" w:cstheme="minorBidi"/>
          <w:iCs/>
          <w:color w:val="0000FF"/>
          <w:sz w:val="22"/>
        </w:rPr>
        <w:t xml:space="preserve"> &lt; 0.001) and the continuous form  of admission mobility scores (coefficient = 0.8718, </w:t>
      </w:r>
      <w:r w:rsidRPr="0016376F">
        <w:rPr>
          <w:rFonts w:asciiTheme="minorHAnsi" w:eastAsiaTheme="minorEastAsia" w:hAnsiTheme="minorHAnsi" w:cstheme="minorBidi"/>
          <w:i/>
          <w:iCs/>
          <w:color w:val="0000FF"/>
          <w:sz w:val="22"/>
        </w:rPr>
        <w:t>p</w:t>
      </w:r>
      <w:r w:rsidRPr="0016376F">
        <w:rPr>
          <w:rFonts w:asciiTheme="minorHAnsi" w:eastAsiaTheme="minorEastAsia" w:hAnsiTheme="minorHAnsi" w:cstheme="minorBidi"/>
          <w:iCs/>
          <w:color w:val="0000FF"/>
          <w:sz w:val="22"/>
        </w:rPr>
        <w:t xml:space="preserve"> &lt; 0.001) were significant</w:t>
      </w:r>
      <w:r>
        <w:rPr>
          <w:rFonts w:asciiTheme="minorHAnsi" w:eastAsiaTheme="minorEastAsia" w:hAnsiTheme="minorHAnsi" w:cstheme="minorBidi"/>
          <w:iCs/>
          <w:color w:val="0000FF"/>
          <w:sz w:val="22"/>
        </w:rPr>
        <w:t xml:space="preserve"> in the regression model</w:t>
      </w:r>
      <w:r w:rsidRPr="0016376F">
        <w:rPr>
          <w:rFonts w:asciiTheme="minorHAnsi" w:eastAsiaTheme="minorEastAsia" w:hAnsiTheme="minorHAnsi" w:cstheme="minorBidi"/>
          <w:iCs/>
          <w:color w:val="0000FF"/>
          <w:sz w:val="22"/>
        </w:rPr>
        <w:t xml:space="preserve">. </w:t>
      </w:r>
    </w:p>
    <w:p w14:paraId="3CC9D789"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875CF4">
        <w:rPr>
          <w:rFonts w:asciiTheme="minorHAnsi" w:eastAsiaTheme="minorEastAsia" w:hAnsiTheme="minorHAnsi" w:cstheme="minorBidi"/>
          <w:b/>
          <w:i/>
          <w:iCs/>
          <w:color w:val="0000FF"/>
          <w:sz w:val="22"/>
        </w:rPr>
        <w:t>Primary Diagnosis Groups Based on IRF Primary Diagnosis:</w:t>
      </w:r>
      <w:r w:rsidRPr="00875CF4">
        <w:rPr>
          <w:rFonts w:asciiTheme="minorHAnsi" w:eastAsiaTheme="minorEastAsia" w:hAnsiTheme="minorHAnsi" w:cstheme="minorBidi"/>
          <w:iCs/>
          <w:color w:val="0000FF"/>
          <w:sz w:val="22"/>
        </w:rPr>
        <w:t xml:space="preserve"> We used Impairment Group codes reported on the IRF-PAI (Item 21) to create the following 13 mutually-exclusive primary diagnosis groups: (1) stroke, (2) non-traumatic brain dysfunction, (3) traumatic brain dysfunction, (4) non-traumatic spinal cord dysfunction, (5) traumatic spinal cord dysfunction, (6) progressive neurological conditions, (7) other neurological conditions (e.g., polyneuropathy), (8) fractures and other multiple trauma, (9) hip and knee replacements, (10) amputation, (11) other orthopedic conditions (e.g., arthritis), (12) debility and cardiorespiratory conditions, and (13) medically complex conditions. </w:t>
      </w:r>
      <w:r w:rsidRPr="00875CF4">
        <w:rPr>
          <w:rFonts w:asciiTheme="minorHAnsi" w:hAnsiTheme="minorHAnsi"/>
          <w:color w:val="0000FF"/>
          <w:sz w:val="22"/>
        </w:rPr>
        <w:t xml:space="preserve">“Hip and knee replacements” formed the reference category, and the remaining 12 primary diagnosis groups were risk adjustors in the model. </w:t>
      </w:r>
      <w:r w:rsidRPr="0016376F">
        <w:rPr>
          <w:rFonts w:asciiTheme="minorHAnsi" w:eastAsiaTheme="minorEastAsia" w:hAnsiTheme="minorHAnsi" w:cstheme="minorBidi"/>
          <w:iCs/>
          <w:color w:val="0000FF"/>
          <w:sz w:val="22"/>
        </w:rPr>
        <w:t xml:space="preserve">When compared to the reference category, all diagnosis groups were significant predictors of change in mobility scores. The primary diagnosis groups had significantly smaller change in mobility scores compared with the “hip and knee replacements” group. The “stroke” group had the largest coefficient (-21.2855, </w:t>
      </w:r>
      <w:r w:rsidRPr="0016376F">
        <w:rPr>
          <w:rFonts w:asciiTheme="minorHAnsi" w:eastAsiaTheme="minorEastAsia" w:hAnsiTheme="minorHAnsi" w:cstheme="minorBidi"/>
          <w:i/>
          <w:iCs/>
          <w:color w:val="0000FF"/>
          <w:sz w:val="22"/>
        </w:rPr>
        <w:t>p</w:t>
      </w:r>
      <w:r w:rsidRPr="0016376F">
        <w:rPr>
          <w:rFonts w:asciiTheme="minorHAnsi" w:eastAsiaTheme="minorEastAsia" w:hAnsiTheme="minorHAnsi" w:cstheme="minorBidi"/>
          <w:iCs/>
          <w:color w:val="0000FF"/>
          <w:sz w:val="22"/>
        </w:rPr>
        <w:t xml:space="preserve"> &lt; 0.001).</w:t>
      </w:r>
    </w:p>
    <w:p w14:paraId="265E780A" w14:textId="4883B135" w:rsidR="00037CD1" w:rsidRPr="0016376F" w:rsidRDefault="00037CD1" w:rsidP="00037CD1">
      <w:pPr>
        <w:pStyle w:val="BodyText"/>
        <w:rPr>
          <w:rFonts w:asciiTheme="minorHAnsi" w:eastAsiaTheme="minorEastAsia" w:hAnsiTheme="minorHAnsi" w:cstheme="minorBidi"/>
          <w:iCs/>
          <w:color w:val="0000FF"/>
          <w:sz w:val="22"/>
        </w:rPr>
      </w:pPr>
      <w:r w:rsidRPr="00875CF4">
        <w:rPr>
          <w:rFonts w:asciiTheme="minorHAnsi" w:eastAsiaTheme="minorEastAsia" w:hAnsiTheme="minorHAnsi" w:cstheme="minorBidi"/>
          <w:b/>
          <w:i/>
          <w:iCs/>
          <w:color w:val="0000FF"/>
          <w:sz w:val="22"/>
        </w:rPr>
        <w:t xml:space="preserve">Interaction between Primary Diagnosis Groups and Admission </w:t>
      </w:r>
      <w:r>
        <w:rPr>
          <w:rFonts w:asciiTheme="minorHAnsi" w:eastAsiaTheme="minorEastAsia" w:hAnsiTheme="minorHAnsi" w:cstheme="minorBidi"/>
          <w:b/>
          <w:i/>
          <w:iCs/>
          <w:color w:val="0000FF"/>
          <w:sz w:val="22"/>
        </w:rPr>
        <w:t>Mobility</w:t>
      </w:r>
      <w:r w:rsidRPr="00875CF4">
        <w:rPr>
          <w:rFonts w:asciiTheme="minorHAnsi" w:eastAsiaTheme="minorEastAsia" w:hAnsiTheme="minorHAnsi" w:cstheme="minorBidi"/>
          <w:b/>
          <w:i/>
          <w:iCs/>
          <w:color w:val="0000FF"/>
          <w:sz w:val="22"/>
        </w:rPr>
        <w:t xml:space="preserve"> Scores:</w:t>
      </w:r>
      <w:r w:rsidRPr="00875CF4">
        <w:rPr>
          <w:rFonts w:asciiTheme="minorHAnsi" w:eastAsiaTheme="minorEastAsia" w:hAnsiTheme="minorHAnsi" w:cstheme="minorBidi"/>
          <w:iCs/>
          <w:color w:val="0000FF"/>
          <w:sz w:val="22"/>
        </w:rPr>
        <w:t xml:space="preserve"> To account for the possibility that the relationship between admission </w:t>
      </w:r>
      <w:r>
        <w:rPr>
          <w:rFonts w:asciiTheme="minorHAnsi" w:eastAsiaTheme="minorEastAsia" w:hAnsiTheme="minorHAnsi" w:cstheme="minorBidi"/>
          <w:iCs/>
          <w:color w:val="0000FF"/>
          <w:sz w:val="22"/>
        </w:rPr>
        <w:t>mobility</w:t>
      </w:r>
      <w:r w:rsidRPr="00875CF4">
        <w:rPr>
          <w:rFonts w:asciiTheme="minorHAnsi" w:eastAsiaTheme="minorEastAsia" w:hAnsiTheme="minorHAnsi" w:cstheme="minorBidi"/>
          <w:iCs/>
          <w:color w:val="0000FF"/>
          <w:sz w:val="22"/>
        </w:rPr>
        <w:t xml:space="preserve"> and change in </w:t>
      </w:r>
      <w:r>
        <w:rPr>
          <w:rFonts w:asciiTheme="minorHAnsi" w:eastAsiaTheme="minorEastAsia" w:hAnsiTheme="minorHAnsi" w:cstheme="minorBidi"/>
          <w:iCs/>
          <w:color w:val="0000FF"/>
          <w:sz w:val="22"/>
        </w:rPr>
        <w:t>mobility</w:t>
      </w:r>
      <w:r w:rsidRPr="00875CF4">
        <w:rPr>
          <w:rFonts w:asciiTheme="minorHAnsi" w:eastAsiaTheme="minorEastAsia" w:hAnsiTheme="minorHAnsi" w:cstheme="minorBidi"/>
          <w:iCs/>
          <w:color w:val="0000FF"/>
          <w:sz w:val="22"/>
        </w:rPr>
        <w:t xml:space="preserve"> scores may vary based on the patient’s </w:t>
      </w:r>
      <w:r>
        <w:rPr>
          <w:rFonts w:asciiTheme="minorHAnsi" w:eastAsiaTheme="minorEastAsia" w:hAnsiTheme="minorHAnsi" w:cstheme="minorBidi"/>
          <w:iCs/>
          <w:color w:val="0000FF"/>
          <w:sz w:val="22"/>
        </w:rPr>
        <w:t xml:space="preserve">primary </w:t>
      </w:r>
      <w:r w:rsidRPr="00875CF4">
        <w:rPr>
          <w:rFonts w:asciiTheme="minorHAnsi" w:eastAsiaTheme="minorEastAsia" w:hAnsiTheme="minorHAnsi" w:cstheme="minorBidi"/>
          <w:iCs/>
          <w:color w:val="0000FF"/>
          <w:sz w:val="22"/>
        </w:rPr>
        <w:t xml:space="preserve">diagnosis group, we tested interaction terms between admission </w:t>
      </w:r>
      <w:r>
        <w:rPr>
          <w:rFonts w:asciiTheme="minorHAnsi" w:eastAsiaTheme="minorEastAsia" w:hAnsiTheme="minorHAnsi" w:cstheme="minorBidi"/>
          <w:iCs/>
          <w:color w:val="0000FF"/>
          <w:sz w:val="22"/>
        </w:rPr>
        <w:t>mobility</w:t>
      </w:r>
      <w:r w:rsidRPr="00875CF4">
        <w:rPr>
          <w:rFonts w:asciiTheme="minorHAnsi" w:eastAsiaTheme="minorEastAsia" w:hAnsiTheme="minorHAnsi" w:cstheme="minorBidi"/>
          <w:iCs/>
          <w:color w:val="0000FF"/>
          <w:sz w:val="22"/>
        </w:rPr>
        <w:t xml:space="preserve"> scores (continuous form) and each </w:t>
      </w:r>
      <w:r>
        <w:rPr>
          <w:rFonts w:asciiTheme="minorHAnsi" w:eastAsiaTheme="minorEastAsia" w:hAnsiTheme="minorHAnsi" w:cstheme="minorBidi"/>
          <w:iCs/>
          <w:color w:val="0000FF"/>
          <w:sz w:val="22"/>
        </w:rPr>
        <w:t xml:space="preserve">primary </w:t>
      </w:r>
      <w:r w:rsidRPr="00875CF4">
        <w:rPr>
          <w:rFonts w:asciiTheme="minorHAnsi" w:eastAsiaTheme="minorEastAsia" w:hAnsiTheme="minorHAnsi" w:cstheme="minorBidi"/>
          <w:iCs/>
          <w:color w:val="0000FF"/>
          <w:sz w:val="22"/>
        </w:rPr>
        <w:t xml:space="preserve">diagnosis group included in the model. Thus, 12 interaction terms for admission </w:t>
      </w:r>
      <w:r>
        <w:rPr>
          <w:rFonts w:asciiTheme="minorHAnsi" w:eastAsiaTheme="minorEastAsia" w:hAnsiTheme="minorHAnsi" w:cstheme="minorBidi"/>
          <w:iCs/>
          <w:color w:val="0000FF"/>
          <w:sz w:val="22"/>
        </w:rPr>
        <w:t>mobility</w:t>
      </w:r>
      <w:r w:rsidRPr="00875CF4">
        <w:rPr>
          <w:rFonts w:asciiTheme="minorHAnsi" w:eastAsiaTheme="minorEastAsia" w:hAnsiTheme="minorHAnsi" w:cstheme="minorBidi"/>
          <w:iCs/>
          <w:color w:val="0000FF"/>
          <w:sz w:val="22"/>
        </w:rPr>
        <w:t xml:space="preserve"> by diagnosis group were tested. </w:t>
      </w:r>
      <w:r w:rsidRPr="0016376F">
        <w:rPr>
          <w:rFonts w:asciiTheme="minorHAnsi" w:eastAsiaTheme="minorEastAsia" w:hAnsiTheme="minorHAnsi" w:cstheme="minorBidi"/>
          <w:iCs/>
          <w:color w:val="0000FF"/>
          <w:sz w:val="22"/>
        </w:rPr>
        <w:t xml:space="preserve">All interaction terms were significant, as shown in </w:t>
      </w:r>
      <w:r w:rsidR="005B0EA3" w:rsidRPr="00C1498A">
        <w:rPr>
          <w:rFonts w:asciiTheme="minorHAnsi" w:eastAsiaTheme="minorEastAsia" w:hAnsiTheme="minorHAnsi" w:cstheme="minorBidi"/>
          <w:iCs/>
          <w:color w:val="0000FF"/>
          <w:sz w:val="22"/>
        </w:rPr>
        <w:t>S.2b. Data Dictionary, Code Table, or Value Sets</w:t>
      </w:r>
      <w:r w:rsidRPr="0016376F">
        <w:rPr>
          <w:rFonts w:asciiTheme="minorHAnsi" w:eastAsiaTheme="minorEastAsia" w:hAnsiTheme="minorHAnsi" w:cstheme="minorBidi"/>
          <w:iCs/>
          <w:color w:val="0000FF"/>
          <w:sz w:val="22"/>
        </w:rPr>
        <w:t xml:space="preserve">. </w:t>
      </w:r>
    </w:p>
    <w:p w14:paraId="22C46E48" w14:textId="467230CD" w:rsidR="00037CD1" w:rsidRPr="00304AEB" w:rsidRDefault="00037CD1" w:rsidP="00037CD1">
      <w:pPr>
        <w:pStyle w:val="BodyText"/>
        <w:rPr>
          <w:rFonts w:asciiTheme="minorHAnsi" w:eastAsiaTheme="minorEastAsia" w:hAnsiTheme="minorHAnsi" w:cstheme="minorBidi"/>
          <w:b/>
          <w:i/>
          <w:iCs/>
          <w:color w:val="0000FF"/>
          <w:sz w:val="22"/>
        </w:rPr>
      </w:pPr>
      <w:r w:rsidRPr="00673F1F">
        <w:rPr>
          <w:rFonts w:asciiTheme="minorHAnsi" w:eastAsiaTheme="minorEastAsia" w:hAnsiTheme="minorHAnsi" w:cstheme="minorBidi"/>
          <w:b/>
          <w:i/>
          <w:iCs/>
          <w:color w:val="0000FF"/>
          <w:sz w:val="22"/>
        </w:rPr>
        <w:lastRenderedPageBreak/>
        <w:t>Prior Surgery</w:t>
      </w:r>
      <w:r>
        <w:rPr>
          <w:rFonts w:asciiTheme="minorHAnsi" w:eastAsiaTheme="minorEastAsia" w:hAnsiTheme="minorHAnsi" w:cstheme="minorBidi"/>
          <w:b/>
          <w:i/>
          <w:iCs/>
          <w:color w:val="0000FF"/>
          <w:sz w:val="22"/>
        </w:rPr>
        <w:t xml:space="preserve">: </w:t>
      </w:r>
      <w:r>
        <w:rPr>
          <w:rFonts w:asciiTheme="minorHAnsi" w:eastAsiaTheme="minorEastAsia" w:hAnsiTheme="minorHAnsi" w:cstheme="minorBidi"/>
          <w:iCs/>
          <w:color w:val="0000FF"/>
          <w:sz w:val="22"/>
        </w:rPr>
        <w:t xml:space="preserve">We included patients who had a major surgery during the 100 days prior to admission </w:t>
      </w:r>
      <w:r w:rsidRPr="0016376F">
        <w:rPr>
          <w:rFonts w:asciiTheme="minorHAnsi" w:eastAsiaTheme="minorEastAsia" w:hAnsiTheme="minorHAnsi" w:cstheme="minorBidi"/>
          <w:iCs/>
          <w:color w:val="0000FF"/>
          <w:sz w:val="22"/>
        </w:rPr>
        <w:t xml:space="preserve">(coefficient = 0.4752, </w:t>
      </w:r>
      <w:r w:rsidRPr="0016376F">
        <w:rPr>
          <w:i/>
          <w:iCs/>
          <w:color w:val="0000FF"/>
          <w:sz w:val="22"/>
        </w:rPr>
        <w:t>p</w:t>
      </w:r>
      <w:r w:rsidRPr="0016376F">
        <w:rPr>
          <w:iCs/>
          <w:color w:val="0000FF"/>
          <w:sz w:val="22"/>
        </w:rPr>
        <w:t xml:space="preserve"> &lt; 0.001)</w:t>
      </w:r>
      <w:r w:rsidRPr="00673F1F">
        <w:rPr>
          <w:rFonts w:asciiTheme="minorHAnsi" w:eastAsiaTheme="minorEastAsia" w:hAnsiTheme="minorHAnsi" w:cstheme="minorBidi"/>
          <w:b/>
          <w:i/>
          <w:iCs/>
          <w:color w:val="0000FF"/>
          <w:sz w:val="22"/>
        </w:rPr>
        <w:t xml:space="preserve"> </w:t>
      </w:r>
      <w:r>
        <w:rPr>
          <w:rFonts w:asciiTheme="minorHAnsi" w:eastAsiaTheme="minorEastAsia" w:hAnsiTheme="minorHAnsi" w:cstheme="minorBidi"/>
          <w:iCs/>
          <w:color w:val="0000FF"/>
          <w:sz w:val="22"/>
        </w:rPr>
        <w:t xml:space="preserve">as a risk adjustor in the model as major surgeries can impact function. </w:t>
      </w:r>
      <w:r w:rsidRPr="00673F1F">
        <w:rPr>
          <w:rFonts w:asciiTheme="minorHAnsi" w:eastAsiaTheme="minorEastAsia" w:hAnsiTheme="minorHAnsi" w:cstheme="minorBidi"/>
          <w:b/>
          <w:i/>
          <w:iCs/>
          <w:color w:val="0000FF"/>
          <w:sz w:val="22"/>
        </w:rPr>
        <w:t xml:space="preserve"> </w:t>
      </w:r>
    </w:p>
    <w:p w14:paraId="64C77C9F" w14:textId="77777777" w:rsidR="00037CD1"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Prior Functioning - Indoor Ambulation:</w:t>
      </w:r>
      <w:r w:rsidRPr="00673F1F">
        <w:rPr>
          <w:rFonts w:asciiTheme="minorHAnsi" w:eastAsiaTheme="minorEastAsia" w:hAnsiTheme="minorHAnsi" w:cstheme="minorBidi"/>
          <w:iCs/>
          <w:color w:val="0000FF"/>
          <w:sz w:val="22"/>
        </w:rPr>
        <w:t xml:space="preserve"> We included patients’ functional ability in indoor ambulation before onset of their current illness, injury or exacerbation, as a risk adjustor in the model. We </w:t>
      </w:r>
      <w:r>
        <w:rPr>
          <w:rFonts w:asciiTheme="minorHAnsi" w:eastAsiaTheme="minorEastAsia" w:hAnsiTheme="minorHAnsi" w:cstheme="minorBidi"/>
          <w:iCs/>
          <w:color w:val="0000FF"/>
          <w:sz w:val="22"/>
        </w:rPr>
        <w:t>included separate categories for patients who were</w:t>
      </w:r>
      <w:r w:rsidRPr="00673F1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dependent</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xml:space="preserve"> and</w:t>
      </w:r>
      <w:r>
        <w:rPr>
          <w:rFonts w:asciiTheme="minorHAnsi" w:eastAsiaTheme="minorEastAsia" w:hAnsiTheme="minorHAnsi" w:cstheme="minorBidi"/>
          <w:iCs/>
          <w:color w:val="0000FF"/>
          <w:sz w:val="22"/>
        </w:rPr>
        <w:t xml:space="preserve"> those who needed</w:t>
      </w:r>
      <w:r w:rsidRPr="00673F1F">
        <w:rPr>
          <w:rFonts w:asciiTheme="minorHAnsi" w:eastAsiaTheme="minorEastAsia" w:hAnsiTheme="minorHAnsi" w:cstheme="minorBidi"/>
          <w:iCs/>
          <w:color w:val="0000FF"/>
          <w:sz w:val="22"/>
        </w:rPr>
        <w:t xml:space="preserve"> </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some help</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 and patients who were previously independent in indoor ambulation formed the reference category.</w:t>
      </w:r>
      <w:r w:rsidRPr="00673F1F">
        <w:rPr>
          <w:rFonts w:asciiTheme="minorHAnsi" w:hAnsiTheme="minorHAnsi"/>
          <w:color w:val="FF0000"/>
          <w:sz w:val="22"/>
        </w:rPr>
        <w:t xml:space="preserve"> </w:t>
      </w:r>
      <w:r w:rsidRPr="0016376F">
        <w:rPr>
          <w:rFonts w:asciiTheme="minorHAnsi" w:hAnsiTheme="minorHAnsi"/>
          <w:color w:val="0000FF"/>
          <w:sz w:val="22"/>
        </w:rPr>
        <w:t>P</w:t>
      </w:r>
      <w:r w:rsidRPr="0016376F">
        <w:rPr>
          <w:rFonts w:asciiTheme="minorHAnsi" w:eastAsiaTheme="minorEastAsia" w:hAnsiTheme="minorHAnsi" w:cstheme="minorBidi"/>
          <w:iCs/>
          <w:color w:val="0000FF"/>
          <w:sz w:val="22"/>
        </w:rPr>
        <w:t xml:space="preserve">atients who were previously dependent in indoor ambulation (coefficient = -4.4336, </w:t>
      </w:r>
      <w:r w:rsidRPr="0016376F">
        <w:rPr>
          <w:i/>
          <w:iCs/>
          <w:color w:val="0000FF"/>
          <w:sz w:val="22"/>
        </w:rPr>
        <w:t>p</w:t>
      </w:r>
      <w:r w:rsidRPr="0016376F">
        <w:rPr>
          <w:iCs/>
          <w:color w:val="0000FF"/>
          <w:sz w:val="22"/>
        </w:rPr>
        <w:t xml:space="preserve"> &lt; 0.001) </w:t>
      </w:r>
      <w:r w:rsidRPr="0016376F">
        <w:rPr>
          <w:rFonts w:asciiTheme="minorHAnsi" w:eastAsiaTheme="minorEastAsia" w:hAnsiTheme="minorHAnsi" w:cstheme="minorBidi"/>
          <w:iCs/>
          <w:color w:val="0000FF"/>
          <w:sz w:val="22"/>
        </w:rPr>
        <w:t xml:space="preserve">and patients who previously needed some help (coefficient = -3.1450, </w:t>
      </w:r>
      <w:r w:rsidRPr="0016376F">
        <w:rPr>
          <w:i/>
          <w:iCs/>
          <w:color w:val="0000FF"/>
          <w:sz w:val="22"/>
        </w:rPr>
        <w:t>p</w:t>
      </w:r>
      <w:r w:rsidRPr="0016376F">
        <w:rPr>
          <w:iCs/>
          <w:color w:val="0000FF"/>
          <w:sz w:val="22"/>
        </w:rPr>
        <w:t xml:space="preserve"> &lt; 0.001) </w:t>
      </w:r>
      <w:r w:rsidRPr="0016376F">
        <w:rPr>
          <w:rFonts w:asciiTheme="minorHAnsi" w:eastAsiaTheme="minorEastAsia" w:hAnsiTheme="minorHAnsi" w:cstheme="minorBidi"/>
          <w:iCs/>
          <w:color w:val="0000FF"/>
          <w:sz w:val="22"/>
        </w:rPr>
        <w:t xml:space="preserve">had significantly smaller change in mobility scores compared with the reference category. </w:t>
      </w:r>
    </w:p>
    <w:p w14:paraId="5404D001" w14:textId="17D69789" w:rsidR="00037CD1" w:rsidRDefault="00037CD1" w:rsidP="00037CD1">
      <w:pPr>
        <w:pStyle w:val="BodyText"/>
        <w:rPr>
          <w:rFonts w:asciiTheme="minorHAnsi" w:eastAsiaTheme="minorEastAsia" w:hAnsiTheme="minorHAnsi" w:cstheme="minorBidi"/>
          <w:iCs/>
          <w:color w:val="0000FF"/>
          <w:sz w:val="22"/>
        </w:rPr>
      </w:pPr>
      <w:r w:rsidRPr="00673F1F">
        <w:rPr>
          <w:rFonts w:asciiTheme="minorHAnsi" w:eastAsiaTheme="minorEastAsia" w:hAnsiTheme="minorHAnsi" w:cstheme="minorBidi"/>
          <w:b/>
          <w:i/>
          <w:iCs/>
          <w:color w:val="0000FF"/>
          <w:sz w:val="22"/>
        </w:rPr>
        <w:t>Prior Functioning</w:t>
      </w:r>
      <w:r>
        <w:rPr>
          <w:rFonts w:asciiTheme="minorHAnsi" w:eastAsiaTheme="minorEastAsia" w:hAnsiTheme="minorHAnsi" w:cstheme="minorBidi"/>
          <w:b/>
          <w:i/>
          <w:iCs/>
          <w:color w:val="0000FF"/>
          <w:sz w:val="22"/>
        </w:rPr>
        <w:t xml:space="preserve"> – Stair Negotiation: </w:t>
      </w:r>
      <w:r w:rsidRPr="00C83804">
        <w:rPr>
          <w:rFonts w:asciiTheme="minorHAnsi" w:eastAsiaTheme="minorEastAsia" w:hAnsiTheme="minorHAnsi" w:cstheme="minorBidi"/>
          <w:iCs/>
          <w:color w:val="0000FF"/>
          <w:sz w:val="22"/>
        </w:rPr>
        <w:t>We included patients’ functional ability in stair negotiation before onset of their current illness, injury, or exacerbation as a risk adjustor in the model. We included separate categories for patients who were “dependent” and those who needed “some help”</w:t>
      </w:r>
      <w:r w:rsidR="00CB76CD">
        <w:rPr>
          <w:rFonts w:asciiTheme="minorHAnsi" w:eastAsiaTheme="minorEastAsia" w:hAnsiTheme="minorHAnsi" w:cstheme="minorBidi"/>
          <w:iCs/>
          <w:color w:val="0000FF"/>
          <w:sz w:val="22"/>
        </w:rPr>
        <w:t xml:space="preserve"> </w:t>
      </w:r>
      <w:bookmarkStart w:id="91" w:name="_Hlk534552044"/>
      <w:r w:rsidR="00CB76CD">
        <w:rPr>
          <w:rFonts w:asciiTheme="minorHAnsi" w:eastAsiaTheme="minorEastAsia" w:hAnsiTheme="minorHAnsi" w:cstheme="minorBidi"/>
          <w:iCs/>
          <w:color w:val="0000FF"/>
          <w:sz w:val="22"/>
        </w:rPr>
        <w:t>in stair negotiation before their current medical issue.</w:t>
      </w:r>
      <w:r>
        <w:rPr>
          <w:rFonts w:asciiTheme="minorHAnsi" w:eastAsiaTheme="minorEastAsia" w:hAnsiTheme="minorHAnsi" w:cstheme="minorBidi"/>
          <w:iCs/>
          <w:color w:val="0000FF"/>
          <w:sz w:val="22"/>
        </w:rPr>
        <w:t xml:space="preserve"> </w:t>
      </w:r>
      <w:bookmarkEnd w:id="91"/>
      <w:r>
        <w:rPr>
          <w:rFonts w:asciiTheme="minorHAnsi" w:eastAsiaTheme="minorEastAsia" w:hAnsiTheme="minorHAnsi" w:cstheme="minorBidi"/>
          <w:iCs/>
          <w:color w:val="0000FF"/>
          <w:sz w:val="22"/>
        </w:rPr>
        <w:t xml:space="preserve">Patients who were previously dependent in stair negotiation had </w:t>
      </w:r>
      <w:r w:rsidRPr="0016376F">
        <w:rPr>
          <w:rFonts w:asciiTheme="minorHAnsi" w:eastAsiaTheme="minorEastAsia" w:hAnsiTheme="minorHAnsi" w:cstheme="minorBidi"/>
          <w:iCs/>
          <w:color w:val="0000FF"/>
          <w:sz w:val="22"/>
        </w:rPr>
        <w:t xml:space="preserve">significantly smaller change in mobility scores (coefficient = -3.0295,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Patients who previously needed some help with stair negotiation also had significantly smaller change in mobility scores (coefficient = -1.2775,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w:t>
      </w:r>
    </w:p>
    <w:p w14:paraId="57AC93F3"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Prior Functioning</w:t>
      </w:r>
      <w:r>
        <w:rPr>
          <w:rFonts w:asciiTheme="minorHAnsi" w:eastAsiaTheme="minorEastAsia" w:hAnsiTheme="minorHAnsi" w:cstheme="minorBidi"/>
          <w:b/>
          <w:i/>
          <w:iCs/>
          <w:color w:val="0000FF"/>
          <w:sz w:val="22"/>
        </w:rPr>
        <w:t xml:space="preserve"> – Cognition: </w:t>
      </w:r>
      <w:r w:rsidRPr="0016376F">
        <w:rPr>
          <w:rFonts w:asciiTheme="minorHAnsi" w:eastAsiaTheme="minorEastAsia" w:hAnsiTheme="minorHAnsi" w:cstheme="minorBidi"/>
          <w:iCs/>
          <w:color w:val="0000FF"/>
          <w:sz w:val="22"/>
        </w:rPr>
        <w:t>We included patients’ functional cognition before</w:t>
      </w:r>
      <w:r w:rsidRPr="00DC39DD">
        <w:rPr>
          <w:rFonts w:asciiTheme="minorHAnsi" w:eastAsiaTheme="minorEastAsia" w:hAnsiTheme="minorHAnsi" w:cstheme="minorBidi"/>
          <w:iCs/>
          <w:color w:val="0000FF"/>
          <w:sz w:val="22"/>
        </w:rPr>
        <w:t xml:space="preserve"> </w:t>
      </w:r>
      <w:r w:rsidRPr="00C83804">
        <w:rPr>
          <w:rFonts w:asciiTheme="minorHAnsi" w:eastAsiaTheme="minorEastAsia" w:hAnsiTheme="minorHAnsi" w:cstheme="minorBidi"/>
          <w:iCs/>
          <w:color w:val="0000FF"/>
          <w:sz w:val="22"/>
        </w:rPr>
        <w:t>onset of their current illness, injury, or exacerbation as a risk adjustor in the model.</w:t>
      </w:r>
      <w:r>
        <w:rPr>
          <w:rFonts w:asciiTheme="minorHAnsi" w:eastAsiaTheme="minorEastAsia" w:hAnsiTheme="minorHAnsi" w:cstheme="minorBidi"/>
          <w:iCs/>
          <w:color w:val="0000FF"/>
          <w:sz w:val="22"/>
        </w:rPr>
        <w:t xml:space="preserve"> We included one category for patients who were “dependent.” (coefficient = -2.4905</w:t>
      </w:r>
      <w:r w:rsidRPr="00037CD1">
        <w:rPr>
          <w:rFonts w:asciiTheme="minorHAnsi" w:eastAsiaTheme="minorEastAsia" w:hAnsiTheme="minorHAnsi" w:cstheme="minorBidi"/>
          <w:iCs/>
          <w:color w:val="0000FF"/>
          <w:sz w:val="22"/>
        </w:rPr>
        <w:t xml:space="preserve">, </w:t>
      </w:r>
      <w:r w:rsidRPr="00037CD1">
        <w:rPr>
          <w:i/>
          <w:iCs/>
          <w:color w:val="0000FF"/>
          <w:sz w:val="22"/>
        </w:rPr>
        <w:t>p</w:t>
      </w:r>
      <w:r w:rsidRPr="00037CD1">
        <w:rPr>
          <w:iCs/>
          <w:color w:val="0000FF"/>
          <w:sz w:val="22"/>
        </w:rPr>
        <w:t xml:space="preserve"> &lt; 0.001</w:t>
      </w:r>
      <w:r w:rsidRPr="00037CD1">
        <w:rPr>
          <w:rFonts w:asciiTheme="minorHAnsi" w:eastAsiaTheme="minorEastAsia" w:hAnsiTheme="minorHAnsi" w:cstheme="minorBidi"/>
          <w:iCs/>
          <w:color w:val="0000FF"/>
          <w:sz w:val="22"/>
        </w:rPr>
        <w:t>)</w:t>
      </w:r>
    </w:p>
    <w:p w14:paraId="12B4A619"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Prior Mobility Devices/Aids:</w:t>
      </w:r>
      <w:r w:rsidRPr="00673F1F">
        <w:rPr>
          <w:rFonts w:asciiTheme="minorHAnsi" w:eastAsiaTheme="minorEastAsia" w:hAnsiTheme="minorHAnsi" w:cstheme="minorBidi"/>
          <w:iCs/>
          <w:color w:val="0000FF"/>
          <w:sz w:val="22"/>
        </w:rPr>
        <w:t xml:space="preserve"> We risk adjusted for use of four types of mobility devices or aids before the current illness, injury, or exacerbation, including walker, wheelchair/scooter</w:t>
      </w:r>
      <w:r>
        <w:rPr>
          <w:rFonts w:asciiTheme="minorHAnsi" w:eastAsiaTheme="minorEastAsia" w:hAnsiTheme="minorHAnsi" w:cstheme="minorBidi"/>
          <w:iCs/>
          <w:color w:val="0000FF"/>
          <w:sz w:val="22"/>
        </w:rPr>
        <w:t xml:space="preserve"> (full time/part time)</w:t>
      </w:r>
      <w:r w:rsidRPr="00673F1F">
        <w:rPr>
          <w:rFonts w:asciiTheme="minorHAnsi" w:eastAsiaTheme="minorEastAsia" w:hAnsiTheme="minorHAnsi" w:cstheme="minorBidi"/>
          <w:iCs/>
          <w:color w:val="0000FF"/>
          <w:sz w:val="22"/>
        </w:rPr>
        <w:t xml:space="preserve">, mechanical lift, and orthotics or prosthetics. </w:t>
      </w:r>
      <w:r w:rsidRPr="0016376F">
        <w:rPr>
          <w:rFonts w:asciiTheme="minorHAnsi" w:eastAsiaTheme="minorEastAsia" w:hAnsiTheme="minorHAnsi" w:cstheme="minorBidi"/>
          <w:iCs/>
          <w:color w:val="0000FF"/>
          <w:sz w:val="22"/>
        </w:rPr>
        <w:t xml:space="preserve">Prior use of each of these mobility devices or aids was associated with significantly smaller change in mobility scores, with prior use of a mechanical lift having the largest coefficient (-3.6862,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followed by prior use of wheelchair or scooter (coefficient = -3.3862,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w:t>
      </w:r>
    </w:p>
    <w:p w14:paraId="3754D83C" w14:textId="77777777" w:rsidR="00037CD1" w:rsidRPr="0016376F" w:rsidRDefault="00037CD1" w:rsidP="00037CD1">
      <w:pPr>
        <w:pStyle w:val="BodyText"/>
        <w:rPr>
          <w:rFonts w:asciiTheme="minorHAnsi" w:hAnsiTheme="minorHAnsi"/>
          <w:sz w:val="22"/>
        </w:rPr>
      </w:pPr>
      <w:r w:rsidRPr="00673F1F">
        <w:rPr>
          <w:rFonts w:asciiTheme="minorHAnsi" w:eastAsiaTheme="minorEastAsia" w:hAnsiTheme="minorHAnsi" w:cstheme="minorBidi"/>
          <w:b/>
          <w:i/>
          <w:iCs/>
          <w:color w:val="0000FF"/>
          <w:sz w:val="22"/>
        </w:rPr>
        <w:t>Stage 2 Pressure Ulcer</w:t>
      </w:r>
      <w:r w:rsidRPr="00673F1F">
        <w:rPr>
          <w:rFonts w:asciiTheme="minorHAnsi" w:eastAsiaTheme="minorEastAsia" w:hAnsiTheme="minorHAnsi" w:cstheme="minorBidi"/>
          <w:i/>
          <w:iCs/>
          <w:color w:val="0000FF"/>
          <w:sz w:val="22"/>
        </w:rPr>
        <w:t>:</w:t>
      </w:r>
      <w:r w:rsidRPr="00673F1F">
        <w:rPr>
          <w:rFonts w:asciiTheme="minorHAnsi" w:eastAsiaTheme="minorEastAsia" w:hAnsiTheme="minorHAnsi" w:cstheme="minorBidi"/>
          <w:iCs/>
          <w:color w:val="0000FF"/>
          <w:sz w:val="22"/>
        </w:rPr>
        <w:t xml:space="preserve"> Our risk adjustment model included an indicator variable for the presence of one or more stage 2 pressure ulcers on admission, with the reference category being patients who did not have a stage 2 pressure ulcer</w:t>
      </w:r>
      <w:r w:rsidRPr="00C639A3">
        <w:rPr>
          <w:rFonts w:asciiTheme="minorHAnsi" w:eastAsiaTheme="minorEastAsia" w:hAnsiTheme="minorHAnsi" w:cstheme="minorBidi"/>
          <w:iCs/>
          <w:color w:val="0000FF"/>
          <w:sz w:val="22"/>
        </w:rPr>
        <w:t xml:space="preserve">. </w:t>
      </w:r>
      <w:r w:rsidRPr="0016376F">
        <w:rPr>
          <w:rFonts w:asciiTheme="minorHAnsi" w:eastAsiaTheme="minorEastAsia" w:hAnsiTheme="minorHAnsi" w:cstheme="minorBidi"/>
          <w:iCs/>
          <w:color w:val="0000FF"/>
          <w:sz w:val="22"/>
        </w:rPr>
        <w:t xml:space="preserve">Patients with stage 2 pressure ulcers had a significantly smaller change in mobility scores (coefficient = -1.8035,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compared with the reference category.</w:t>
      </w:r>
    </w:p>
    <w:p w14:paraId="4CF856C1" w14:textId="77777777" w:rsidR="00037CD1" w:rsidRPr="0016376F" w:rsidRDefault="00037CD1" w:rsidP="00037CD1">
      <w:pPr>
        <w:pStyle w:val="BodyText"/>
        <w:rPr>
          <w:rFonts w:asciiTheme="minorHAnsi" w:hAnsiTheme="minorHAnsi"/>
          <w:sz w:val="22"/>
        </w:rPr>
      </w:pPr>
      <w:r w:rsidRPr="00C639A3">
        <w:rPr>
          <w:rFonts w:asciiTheme="minorHAnsi" w:eastAsiaTheme="minorEastAsia" w:hAnsiTheme="minorHAnsi" w:cstheme="minorBidi"/>
          <w:b/>
          <w:i/>
          <w:iCs/>
          <w:color w:val="0000FF"/>
          <w:sz w:val="22"/>
        </w:rPr>
        <w:t>Stage 3, 4, or Unstageable Pressure Ulcers:</w:t>
      </w:r>
      <w:r w:rsidRPr="00C639A3">
        <w:rPr>
          <w:rFonts w:asciiTheme="minorHAnsi" w:hAnsiTheme="minorHAnsi"/>
          <w:b/>
          <w:i/>
          <w:sz w:val="22"/>
        </w:rPr>
        <w:t xml:space="preserve"> </w:t>
      </w:r>
      <w:r w:rsidRPr="00C639A3">
        <w:rPr>
          <w:rFonts w:asciiTheme="minorHAnsi" w:eastAsiaTheme="minorEastAsia" w:hAnsiTheme="minorHAnsi" w:cstheme="minorBidi"/>
          <w:iCs/>
          <w:color w:val="0000FF"/>
          <w:sz w:val="22"/>
        </w:rPr>
        <w:t xml:space="preserve">We included an indicator variable for the presence of one or more stage 3, 4, or unstageable pressure ulcers, with the reference category being patients who did not have such ulcers. </w:t>
      </w:r>
      <w:r w:rsidRPr="0016376F">
        <w:rPr>
          <w:rFonts w:asciiTheme="minorHAnsi" w:eastAsiaTheme="minorEastAsia" w:hAnsiTheme="minorHAnsi" w:cstheme="minorBidi"/>
          <w:iCs/>
          <w:color w:val="0000FF"/>
          <w:sz w:val="22"/>
        </w:rPr>
        <w:t xml:space="preserve">Patients with stage 3, 4, or unstageable pressure ulcers had significantly smaller change in mobility scores (coefficient = -2.8531,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compared with the reference category.</w:t>
      </w:r>
      <w:r w:rsidRPr="0016376F">
        <w:rPr>
          <w:rFonts w:asciiTheme="minorHAnsi" w:hAnsiTheme="minorHAnsi"/>
          <w:sz w:val="22"/>
        </w:rPr>
        <w:t xml:space="preserve"> </w:t>
      </w:r>
    </w:p>
    <w:p w14:paraId="6E250599" w14:textId="77777777" w:rsidR="00037CD1" w:rsidRPr="00C45C89" w:rsidRDefault="00037CD1" w:rsidP="00037CD1">
      <w:pPr>
        <w:pStyle w:val="BodyText"/>
        <w:rPr>
          <w:rFonts w:asciiTheme="minorHAnsi" w:hAnsiTheme="minorHAnsi"/>
          <w:color w:val="FF0000"/>
          <w:sz w:val="22"/>
          <w:highlight w:val="yellow"/>
        </w:rPr>
      </w:pPr>
      <w:r w:rsidRPr="00673F1F">
        <w:rPr>
          <w:rFonts w:asciiTheme="minorHAnsi" w:eastAsiaTheme="minorEastAsia" w:hAnsiTheme="minorHAnsi" w:cstheme="minorBidi"/>
          <w:b/>
          <w:i/>
          <w:iCs/>
          <w:color w:val="0000FF"/>
          <w:sz w:val="22"/>
        </w:rPr>
        <w:t>Cognitive Function Assessed by the Brief Interview for Mental Status:</w:t>
      </w:r>
      <w:r w:rsidRPr="00673F1F">
        <w:rPr>
          <w:rFonts w:asciiTheme="minorHAnsi" w:hAnsiTheme="minorHAnsi"/>
          <w:b/>
          <w:i/>
          <w:sz w:val="22"/>
        </w:rPr>
        <w:t xml:space="preserve"> </w:t>
      </w:r>
      <w:r w:rsidRPr="00673F1F">
        <w:rPr>
          <w:rFonts w:asciiTheme="minorHAnsi" w:eastAsiaTheme="minorEastAsia" w:hAnsiTheme="minorHAnsi" w:cstheme="minorBidi"/>
          <w:iCs/>
          <w:color w:val="0000FF"/>
          <w:sz w:val="22"/>
        </w:rPr>
        <w:t>Based on Brief Interview for Mental Status scores, patients’ cognitive function was classified as intact or borderline, moderately impaired, or severely impaired. “Moderately impaired” and “severely impaired” cognitive function were included as two separate risk adjustors in the model, while “intact or borderline” cognitive function formed the reference category</w:t>
      </w:r>
      <w:r w:rsidRPr="00C639A3">
        <w:rPr>
          <w:rFonts w:asciiTheme="minorHAnsi" w:eastAsiaTheme="minorEastAsia" w:hAnsiTheme="minorHAnsi" w:cstheme="minorBidi"/>
          <w:iCs/>
          <w:color w:val="0000FF"/>
          <w:sz w:val="22"/>
        </w:rPr>
        <w:t xml:space="preserve">. </w:t>
      </w:r>
      <w:r w:rsidRPr="0016376F">
        <w:rPr>
          <w:rFonts w:asciiTheme="minorHAnsi" w:eastAsiaTheme="minorEastAsia" w:hAnsiTheme="minorHAnsi" w:cstheme="minorBidi"/>
          <w:iCs/>
          <w:color w:val="0000FF"/>
          <w:sz w:val="22"/>
        </w:rPr>
        <w:t xml:space="preserve">Patients with moderately impaired cognitive function (coefficient =          -1.6275,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and those with severely impaired cognitive function (coefficient = -3.6158, </w:t>
      </w:r>
      <w:r w:rsidRPr="0016376F">
        <w:rPr>
          <w:rFonts w:asciiTheme="minorHAnsi" w:eastAsiaTheme="minorEastAsia" w:hAnsiTheme="minorHAnsi" w:cstheme="minorBidi"/>
          <w:i/>
          <w:iCs/>
          <w:color w:val="0000FF"/>
          <w:sz w:val="22"/>
        </w:rPr>
        <w:t>p</w:t>
      </w:r>
      <w:r w:rsidRPr="0016376F">
        <w:t xml:space="preserve"> </w:t>
      </w:r>
      <w:r w:rsidRPr="0016376F">
        <w:rPr>
          <w:rFonts w:asciiTheme="minorHAnsi" w:eastAsiaTheme="minorEastAsia" w:hAnsiTheme="minorHAnsi" w:cstheme="minorBidi"/>
          <w:iCs/>
          <w:color w:val="0000FF"/>
          <w:sz w:val="22"/>
        </w:rPr>
        <w:t xml:space="preserve">&lt; 0.001) had significantly smaller change scores compared with the reference category. </w:t>
      </w:r>
    </w:p>
    <w:p w14:paraId="1D54B678"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Communication Impairment:</w:t>
      </w:r>
      <w:r w:rsidRPr="00673F1F">
        <w:rPr>
          <w:rFonts w:asciiTheme="minorHAnsi" w:eastAsiaTheme="minorEastAsia" w:hAnsiTheme="minorHAnsi" w:cstheme="minorBidi"/>
          <w:iCs/>
          <w:color w:val="0000FF"/>
          <w:sz w:val="22"/>
        </w:rPr>
        <w:t xml:space="preserve"> Communication impairment includes both expression (expression of ideas and wants) and comprehension (understanding verbal content) abilities. While expression and comprehension abilities are separate assessment items, we combined them into a single communication </w:t>
      </w:r>
      <w:r w:rsidRPr="00673F1F">
        <w:rPr>
          <w:rFonts w:asciiTheme="minorHAnsi" w:eastAsiaTheme="minorEastAsia" w:hAnsiTheme="minorHAnsi" w:cstheme="minorBidi"/>
          <w:iCs/>
          <w:color w:val="0000FF"/>
          <w:sz w:val="22"/>
        </w:rPr>
        <w:lastRenderedPageBreak/>
        <w:t xml:space="preserve">impairment risk adjustor given these two variables were correlated, with considerable overlap in patients who had expression and comprehension impairment and based on input from the expert panel. </w:t>
      </w:r>
      <w:r w:rsidRPr="0016376F">
        <w:rPr>
          <w:rFonts w:asciiTheme="minorHAnsi" w:eastAsiaTheme="minorEastAsia" w:hAnsiTheme="minorHAnsi" w:cstheme="minorBidi"/>
          <w:iCs/>
          <w:color w:val="0000FF"/>
          <w:sz w:val="22"/>
        </w:rPr>
        <w:t>The final risk adjustment model included “moderate to severe communication impairment</w:t>
      </w:r>
      <w:r w:rsidRPr="0016376F">
        <w:rPr>
          <w:rFonts w:asciiTheme="minorHAnsi" w:eastAsiaTheme="minorEastAsia" w:hAnsiTheme="minorHAnsi" w:cstheme="minorBidi"/>
          <w:i/>
          <w:iCs/>
          <w:color w:val="0000FF"/>
          <w:sz w:val="22"/>
        </w:rPr>
        <w:t>”</w:t>
      </w:r>
      <w:r w:rsidRPr="0016376F">
        <w:rPr>
          <w:rFonts w:asciiTheme="minorHAnsi" w:eastAsiaTheme="minorEastAsia" w:hAnsiTheme="minorHAnsi" w:cstheme="minorBidi"/>
          <w:iCs/>
          <w:color w:val="0000FF"/>
          <w:sz w:val="22"/>
        </w:rPr>
        <w:t xml:space="preserve"> (coefficient = -1.8199, </w:t>
      </w:r>
      <w:r w:rsidRPr="0016376F">
        <w:rPr>
          <w:rFonts w:asciiTheme="minorHAnsi" w:eastAsiaTheme="minorEastAsia" w:hAnsiTheme="minorHAnsi" w:cstheme="minorBidi"/>
          <w:i/>
          <w:iCs/>
          <w:color w:val="0000FF"/>
          <w:sz w:val="22"/>
        </w:rPr>
        <w:t>p</w:t>
      </w:r>
      <w:r w:rsidRPr="0016376F">
        <w:rPr>
          <w:rFonts w:asciiTheme="minorHAnsi" w:eastAsiaTheme="minorEastAsia" w:hAnsiTheme="minorHAnsi" w:cstheme="minorBidi"/>
          <w:iCs/>
          <w:color w:val="0000FF"/>
          <w:sz w:val="22"/>
        </w:rPr>
        <w:t xml:space="preserve"> &lt; 0.001) and “mild communication impairment” (coefficient= -0.2523,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as risk adjustors, with both groups having significantly smaller change in mobility scores compared</w:t>
      </w:r>
      <w:r>
        <w:rPr>
          <w:rFonts w:asciiTheme="minorHAnsi" w:eastAsiaTheme="minorEastAsia" w:hAnsiTheme="minorHAnsi" w:cstheme="minorBidi"/>
          <w:iCs/>
          <w:color w:val="0000FF"/>
          <w:sz w:val="22"/>
        </w:rPr>
        <w:t xml:space="preserve"> with</w:t>
      </w:r>
      <w:r w:rsidRPr="0016376F">
        <w:rPr>
          <w:rFonts w:asciiTheme="minorHAnsi" w:eastAsiaTheme="minorEastAsia" w:hAnsiTheme="minorHAnsi" w:cstheme="minorBidi"/>
          <w:iCs/>
          <w:color w:val="0000FF"/>
          <w:sz w:val="22"/>
        </w:rPr>
        <w:t xml:space="preserve"> the reference category. </w:t>
      </w:r>
    </w:p>
    <w:p w14:paraId="55E8E50C" w14:textId="77777777" w:rsidR="00037CD1" w:rsidRPr="00C45C89"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Bladder Incontinence:</w:t>
      </w:r>
      <w:r w:rsidRPr="00673F1F">
        <w:rPr>
          <w:rFonts w:asciiTheme="minorHAnsi" w:eastAsiaTheme="minorEastAsia" w:hAnsiTheme="minorHAnsi" w:cstheme="minorBidi"/>
          <w:iCs/>
          <w:color w:val="0000FF"/>
          <w:sz w:val="22"/>
        </w:rPr>
        <w:t xml:space="preserve"> We included a risk adjustor for bladder incontinence, which comprises patients with bladder incontinence “less than daily,” “daily,” </w:t>
      </w:r>
      <w:r>
        <w:rPr>
          <w:rFonts w:asciiTheme="minorHAnsi" w:eastAsiaTheme="minorEastAsia" w:hAnsiTheme="minorHAnsi" w:cstheme="minorBidi"/>
          <w:iCs/>
          <w:color w:val="0000FF"/>
          <w:sz w:val="22"/>
        </w:rPr>
        <w:t>and</w:t>
      </w:r>
      <w:r w:rsidRPr="00673F1F">
        <w:rPr>
          <w:rFonts w:asciiTheme="minorHAnsi" w:eastAsiaTheme="minorEastAsia" w:hAnsiTheme="minorHAnsi" w:cstheme="minorBidi"/>
          <w:iCs/>
          <w:color w:val="0000FF"/>
          <w:sz w:val="22"/>
        </w:rPr>
        <w:t xml:space="preserve"> “always.” The reference category included patients who had “stress incontinence only, were always continent, or had no urine output</w:t>
      </w:r>
      <w:r>
        <w:rPr>
          <w:rFonts w:asciiTheme="minorHAnsi" w:eastAsiaTheme="minorEastAsia" w:hAnsiTheme="minorHAnsi" w:cstheme="minorBidi"/>
          <w:iCs/>
          <w:color w:val="0000FF"/>
          <w:sz w:val="22"/>
        </w:rPr>
        <w:t>.</w:t>
      </w:r>
      <w:r w:rsidRPr="00673F1F">
        <w:rPr>
          <w:rFonts w:asciiTheme="minorHAnsi" w:eastAsiaTheme="minorEastAsia" w:hAnsiTheme="minorHAnsi" w:cstheme="minorBidi"/>
          <w:iCs/>
          <w:color w:val="0000FF"/>
          <w:sz w:val="22"/>
        </w:rPr>
        <w:t>”</w:t>
      </w:r>
      <w:r w:rsidRPr="00673F1F">
        <w:rPr>
          <w:rFonts w:asciiTheme="minorHAnsi" w:eastAsia="Times New Roman" w:hAnsiTheme="minorHAnsi"/>
          <w:sz w:val="22"/>
        </w:rPr>
        <w:t xml:space="preserve"> </w:t>
      </w:r>
      <w:r w:rsidRPr="0016376F">
        <w:rPr>
          <w:rFonts w:asciiTheme="minorHAnsi" w:eastAsiaTheme="minorEastAsia" w:hAnsiTheme="minorHAnsi" w:cstheme="minorBidi"/>
          <w:iCs/>
          <w:color w:val="0000FF"/>
          <w:sz w:val="22"/>
        </w:rPr>
        <w:t xml:space="preserve">Patients with bladder incontinence (coefficient = -2.1385,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had significantly smaller change in mobility scores compared with the reference category. </w:t>
      </w:r>
    </w:p>
    <w:p w14:paraId="62A7D3D3" w14:textId="77777777" w:rsidR="00037CD1" w:rsidRDefault="00037CD1" w:rsidP="00037CD1">
      <w:pPr>
        <w:pStyle w:val="BodyText"/>
        <w:rPr>
          <w:rFonts w:asciiTheme="minorHAnsi" w:eastAsiaTheme="minorEastAsia" w:hAnsiTheme="minorHAnsi" w:cstheme="minorBidi"/>
          <w:iCs/>
          <w:color w:val="0000FF"/>
          <w:sz w:val="22"/>
          <w:highlight w:val="yellow"/>
        </w:rPr>
      </w:pPr>
      <w:r w:rsidRPr="00673F1F">
        <w:rPr>
          <w:rFonts w:asciiTheme="minorHAnsi" w:eastAsiaTheme="minorEastAsia" w:hAnsiTheme="minorHAnsi" w:cstheme="minorBidi"/>
          <w:b/>
          <w:i/>
          <w:iCs/>
          <w:color w:val="0000FF"/>
          <w:sz w:val="22"/>
        </w:rPr>
        <w:t>Bowel Incontinence:</w:t>
      </w:r>
      <w:r w:rsidRPr="00673F1F">
        <w:rPr>
          <w:rFonts w:asciiTheme="minorHAnsi" w:eastAsiaTheme="minorEastAsia" w:hAnsiTheme="minorHAnsi" w:cstheme="minorBidi"/>
          <w:iCs/>
          <w:color w:val="0000FF"/>
          <w:sz w:val="22"/>
        </w:rPr>
        <w:t xml:space="preserve"> We included two separate risk adjustors related to bowel incontinence: “always incontinent” and “less than daily or daily incontinence.” The reference category included patients who “were always continent, had no bowel output during the assessment period, or had a bowel catheter management system”</w:t>
      </w:r>
      <w:r w:rsidRPr="00673F1F">
        <w:rPr>
          <w:rFonts w:asciiTheme="minorHAnsi" w:eastAsia="Times New Roman" w:hAnsiTheme="minorHAnsi"/>
          <w:sz w:val="22"/>
        </w:rPr>
        <w:t xml:space="preserve">. </w:t>
      </w:r>
      <w:r w:rsidRPr="0016376F">
        <w:rPr>
          <w:rFonts w:asciiTheme="minorHAnsi" w:eastAsiaTheme="minorEastAsia" w:hAnsiTheme="minorHAnsi" w:cstheme="minorBidi"/>
          <w:iCs/>
          <w:color w:val="0000FF"/>
          <w:sz w:val="22"/>
        </w:rPr>
        <w:t xml:space="preserve">Patients with bowel incontinence had significantly smaller change in mobility scores compared with the reference group, with the “always incontinent” category (coefficient = -4.4006,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 xml:space="preserve">) having a larger negative coefficient compared with the “less than daily” or “daily incontinence” category (coefficient = -1.7334, </w:t>
      </w:r>
      <w:r w:rsidRPr="0016376F">
        <w:rPr>
          <w:i/>
          <w:iCs/>
          <w:color w:val="0000FF"/>
          <w:sz w:val="22"/>
        </w:rPr>
        <w:t>p</w:t>
      </w:r>
      <w:r w:rsidRPr="0016376F">
        <w:rPr>
          <w:iCs/>
          <w:color w:val="0000FF"/>
          <w:sz w:val="22"/>
        </w:rPr>
        <w:t xml:space="preserve"> &lt; 0.001</w:t>
      </w:r>
      <w:r w:rsidRPr="0016376F">
        <w:rPr>
          <w:rFonts w:asciiTheme="minorHAnsi" w:eastAsiaTheme="minorEastAsia" w:hAnsiTheme="minorHAnsi" w:cstheme="minorBidi"/>
          <w:iCs/>
          <w:color w:val="0000FF"/>
          <w:sz w:val="22"/>
        </w:rPr>
        <w:t>).</w:t>
      </w:r>
    </w:p>
    <w:p w14:paraId="5B763704" w14:textId="77777777" w:rsidR="00037CD1" w:rsidRPr="0016376F" w:rsidRDefault="00037CD1" w:rsidP="00037CD1">
      <w:pPr>
        <w:pStyle w:val="BodyText"/>
        <w:rPr>
          <w:rFonts w:asciiTheme="minorHAnsi" w:eastAsiaTheme="minorEastAsia" w:hAnsiTheme="minorHAnsi" w:cstheme="minorBidi"/>
          <w:iCs/>
          <w:color w:val="0000FF"/>
          <w:sz w:val="22"/>
        </w:rPr>
      </w:pPr>
      <w:r w:rsidRPr="0016376F">
        <w:rPr>
          <w:rFonts w:asciiTheme="minorHAnsi" w:eastAsiaTheme="minorEastAsia" w:hAnsiTheme="minorHAnsi" w:cstheme="minorBidi"/>
          <w:b/>
          <w:i/>
          <w:iCs/>
          <w:color w:val="0000FF"/>
          <w:sz w:val="22"/>
        </w:rPr>
        <w:t>Health Conditions – History of Falls:</w:t>
      </w:r>
      <w:r w:rsidRPr="0016376F">
        <w:rPr>
          <w:rFonts w:asciiTheme="minorHAnsi" w:eastAsiaTheme="minorEastAsia" w:hAnsiTheme="minorHAnsi" w:cstheme="minorBidi"/>
          <w:iCs/>
          <w:color w:val="0000FF"/>
          <w:sz w:val="22"/>
        </w:rPr>
        <w:t xml:space="preserve"> We included a risk adjustor </w:t>
      </w:r>
      <w:r>
        <w:rPr>
          <w:rFonts w:asciiTheme="minorHAnsi" w:eastAsiaTheme="minorEastAsia" w:hAnsiTheme="minorHAnsi" w:cstheme="minorBidi"/>
          <w:iCs/>
          <w:color w:val="0000FF"/>
          <w:sz w:val="22"/>
        </w:rPr>
        <w:t xml:space="preserve">for patients who had two or more falls in the past year or any fall with injury in the past year. Patients with a fall history (coefficient = -0.9022, </w:t>
      </w:r>
      <w:r w:rsidRPr="0016376F">
        <w:rPr>
          <w:rFonts w:asciiTheme="minorHAnsi" w:eastAsiaTheme="minorEastAsia" w:hAnsiTheme="minorHAnsi" w:cstheme="minorBidi"/>
          <w:i/>
          <w:iCs/>
          <w:color w:val="0000FF"/>
          <w:sz w:val="22"/>
        </w:rPr>
        <w:t>p</w:t>
      </w:r>
      <w:r>
        <w:rPr>
          <w:rFonts w:asciiTheme="minorHAnsi" w:eastAsiaTheme="minorEastAsia" w:hAnsiTheme="minorHAnsi" w:cstheme="minorBidi"/>
          <w:iCs/>
          <w:color w:val="0000FF"/>
          <w:sz w:val="22"/>
        </w:rPr>
        <w:t xml:space="preserve"> &lt; 0.001) had significantly smaller change in mobility compared to the reference category (i.e., patients without a fall history). </w:t>
      </w:r>
    </w:p>
    <w:p w14:paraId="61298DD6" w14:textId="77777777" w:rsidR="00037CD1" w:rsidRPr="0016376F" w:rsidRDefault="00037CD1" w:rsidP="00037CD1">
      <w:pPr>
        <w:rPr>
          <w:highlight w:val="yellow"/>
        </w:rPr>
      </w:pPr>
      <w:r w:rsidRPr="00673F1F">
        <w:rPr>
          <w:b/>
          <w:i/>
          <w:iCs/>
          <w:color w:val="0000FF"/>
        </w:rPr>
        <w:t>Swallowing Ability</w:t>
      </w:r>
      <w:r w:rsidRPr="00673F1F">
        <w:rPr>
          <w:i/>
          <w:iCs/>
          <w:color w:val="0000FF"/>
        </w:rPr>
        <w:t>:</w:t>
      </w:r>
      <w:r w:rsidRPr="00673F1F">
        <w:rPr>
          <w:iCs/>
          <w:color w:val="0000FF"/>
        </w:rPr>
        <w:t xml:space="preserve"> Our model included </w:t>
      </w:r>
      <w:r>
        <w:rPr>
          <w:iCs/>
          <w:color w:val="0000FF"/>
        </w:rPr>
        <w:t>a</w:t>
      </w:r>
      <w:r w:rsidRPr="00673F1F">
        <w:rPr>
          <w:iCs/>
          <w:color w:val="0000FF"/>
        </w:rPr>
        <w:t xml:space="preserve"> risk adjustor related to patients’</w:t>
      </w:r>
      <w:r>
        <w:rPr>
          <w:iCs/>
          <w:color w:val="0000FF"/>
        </w:rPr>
        <w:t xml:space="preserve"> </w:t>
      </w:r>
      <w:r w:rsidRPr="00673F1F">
        <w:rPr>
          <w:iCs/>
          <w:color w:val="0000FF"/>
        </w:rPr>
        <w:t xml:space="preserve">need for tube or parenteral feeding. </w:t>
      </w:r>
      <w:r w:rsidRPr="0016376F">
        <w:rPr>
          <w:iCs/>
          <w:color w:val="0000FF"/>
        </w:rPr>
        <w:t xml:space="preserve">The need for tube or parenteral feeding was significantly predictive of smaller change in mobility scores (coefficient = -1.2839, </w:t>
      </w:r>
      <w:r w:rsidRPr="0016376F">
        <w:rPr>
          <w:i/>
          <w:iCs/>
          <w:color w:val="0000FF"/>
        </w:rPr>
        <w:t>p</w:t>
      </w:r>
      <w:r w:rsidRPr="0016376F">
        <w:rPr>
          <w:iCs/>
          <w:color w:val="0000FF"/>
        </w:rPr>
        <w:t xml:space="preserve"> &lt; 0.001).</w:t>
      </w:r>
    </w:p>
    <w:p w14:paraId="12332E7A" w14:textId="57038526" w:rsidR="00037CD1" w:rsidRPr="003C43B3" w:rsidRDefault="00837708" w:rsidP="00037CD1">
      <w:r>
        <w:rPr>
          <w:b/>
          <w:i/>
          <w:iCs/>
          <w:color w:val="0000FF"/>
        </w:rPr>
        <w:t>Low Body Mass Index (</w:t>
      </w:r>
      <w:r w:rsidR="00037CD1" w:rsidRPr="0016376F">
        <w:rPr>
          <w:b/>
          <w:i/>
          <w:iCs/>
          <w:color w:val="0000FF"/>
        </w:rPr>
        <w:t>BMI</w:t>
      </w:r>
      <w:r>
        <w:rPr>
          <w:b/>
          <w:i/>
          <w:iCs/>
          <w:color w:val="0000FF"/>
        </w:rPr>
        <w:t>)</w:t>
      </w:r>
      <w:r w:rsidR="00037CD1" w:rsidRPr="003C43B3">
        <w:rPr>
          <w:b/>
          <w:i/>
        </w:rPr>
        <w:t>:</w:t>
      </w:r>
      <w:r w:rsidR="00037CD1" w:rsidRPr="003C43B3">
        <w:t xml:space="preserve"> </w:t>
      </w:r>
      <w:r w:rsidR="00037CD1" w:rsidRPr="0016376F">
        <w:rPr>
          <w:iCs/>
          <w:color w:val="0000FF"/>
        </w:rPr>
        <w:t xml:space="preserve">We included a risk adjustor for </w:t>
      </w:r>
      <w:r w:rsidR="00037CD1">
        <w:rPr>
          <w:iCs/>
          <w:color w:val="0000FF"/>
        </w:rPr>
        <w:t xml:space="preserve">patients with </w:t>
      </w:r>
      <w:r w:rsidR="00037CD1" w:rsidRPr="0016376F">
        <w:rPr>
          <w:iCs/>
          <w:color w:val="0000FF"/>
        </w:rPr>
        <w:t>low BMI</w:t>
      </w:r>
      <w:r w:rsidR="00037CD1">
        <w:rPr>
          <w:iCs/>
          <w:color w:val="0000FF"/>
        </w:rPr>
        <w:t xml:space="preserve"> based on their height and weight</w:t>
      </w:r>
      <w:r w:rsidR="00037CD1" w:rsidRPr="0016376F">
        <w:rPr>
          <w:iCs/>
          <w:color w:val="0000FF"/>
        </w:rPr>
        <w:t>. Patients with low BMI</w:t>
      </w:r>
      <w:r w:rsidR="00037CD1">
        <w:rPr>
          <w:iCs/>
          <w:color w:val="0000FF"/>
        </w:rPr>
        <w:t xml:space="preserve"> had significantly smaller change in mobility scores </w:t>
      </w:r>
      <w:r w:rsidR="00037CD1" w:rsidRPr="0016376F">
        <w:rPr>
          <w:iCs/>
          <w:color w:val="0000FF"/>
        </w:rPr>
        <w:t xml:space="preserve">(coefficient = -1.0548, </w:t>
      </w:r>
      <w:r w:rsidR="00F9391C" w:rsidRPr="0016376F">
        <w:rPr>
          <w:i/>
          <w:iCs/>
          <w:color w:val="0000FF"/>
        </w:rPr>
        <w:t>p</w:t>
      </w:r>
      <w:r w:rsidR="00F9391C" w:rsidRPr="0016376F">
        <w:rPr>
          <w:iCs/>
          <w:color w:val="0000FF"/>
        </w:rPr>
        <w:t xml:space="preserve"> </w:t>
      </w:r>
      <w:r w:rsidR="00037CD1" w:rsidRPr="0016376F">
        <w:rPr>
          <w:iCs/>
          <w:color w:val="0000FF"/>
        </w:rPr>
        <w:t>&lt; 0.001)</w:t>
      </w:r>
      <w:r w:rsidR="00037CD1">
        <w:rPr>
          <w:iCs/>
          <w:color w:val="0000FF"/>
        </w:rPr>
        <w:t>.</w:t>
      </w:r>
    </w:p>
    <w:p w14:paraId="508AA8BB" w14:textId="77777777" w:rsidR="00037CD1" w:rsidRPr="002E790C" w:rsidRDefault="00037CD1" w:rsidP="00037CD1">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b/>
          <w:i/>
          <w:iCs/>
          <w:color w:val="0000FF"/>
          <w:sz w:val="22"/>
        </w:rPr>
        <w:t>Comorbidities:</w:t>
      </w:r>
      <w:r w:rsidRPr="002E790C">
        <w:rPr>
          <w:rFonts w:asciiTheme="minorHAnsi" w:eastAsiaTheme="minorEastAsia" w:hAnsiTheme="minorHAnsi" w:cstheme="minorBidi"/>
          <w:iCs/>
          <w:color w:val="0000FF"/>
          <w:sz w:val="22"/>
        </w:rPr>
        <w:t xml:space="preserve"> We used the International Classification of Diseases, </w:t>
      </w:r>
      <w:r w:rsidRPr="00673F1F">
        <w:rPr>
          <w:rFonts w:asciiTheme="minorHAnsi" w:eastAsiaTheme="minorEastAsia" w:hAnsiTheme="minorHAnsi" w:cstheme="minorBidi"/>
          <w:iCs/>
          <w:color w:val="0000FF"/>
          <w:sz w:val="22"/>
        </w:rPr>
        <w:t>Tenth</w:t>
      </w:r>
      <w:r w:rsidRPr="002E790C">
        <w:rPr>
          <w:rFonts w:asciiTheme="minorHAnsi" w:eastAsiaTheme="minorEastAsia" w:hAnsiTheme="minorHAnsi" w:cstheme="minorBidi"/>
          <w:iCs/>
          <w:color w:val="0000FF"/>
          <w:sz w:val="22"/>
        </w:rPr>
        <w:t xml:space="preserve"> Revision, Clinical Modification (ICD-10-CM) codes reported on the IRF-PAI (Item 24 - Comorbid Conditions) to identify patient comorbidities. ICD-10-CM codes were used to assign patients into one or more of the Hierarchical Condition Categories. We tested approximately </w:t>
      </w:r>
      <w:r w:rsidRPr="0016376F">
        <w:rPr>
          <w:rFonts w:asciiTheme="minorHAnsi" w:eastAsiaTheme="minorEastAsia" w:hAnsiTheme="minorHAnsi" w:cstheme="minorBidi"/>
          <w:iCs/>
          <w:color w:val="0000FF"/>
          <w:sz w:val="22"/>
        </w:rPr>
        <w:t>135</w:t>
      </w:r>
      <w:r w:rsidRPr="002E790C">
        <w:rPr>
          <w:rFonts w:asciiTheme="minorHAnsi" w:eastAsiaTheme="minorEastAsia" w:hAnsiTheme="minorHAnsi" w:cstheme="minorBidi"/>
          <w:iCs/>
          <w:color w:val="0000FF"/>
          <w:sz w:val="22"/>
        </w:rPr>
        <w:t xml:space="preserve"> of the Hierarchical Condition Categories that were determined to be clinically relevant to </w:t>
      </w:r>
      <w:r>
        <w:rPr>
          <w:rFonts w:asciiTheme="minorHAnsi" w:eastAsiaTheme="minorEastAsia" w:hAnsiTheme="minorHAnsi" w:cstheme="minorBidi"/>
          <w:iCs/>
          <w:color w:val="0000FF"/>
          <w:sz w:val="22"/>
        </w:rPr>
        <w:t>mobility</w:t>
      </w:r>
      <w:r w:rsidRPr="002E790C">
        <w:rPr>
          <w:rFonts w:asciiTheme="minorHAnsi" w:eastAsiaTheme="minorEastAsia" w:hAnsiTheme="minorHAnsi" w:cstheme="minorBidi"/>
          <w:iCs/>
          <w:color w:val="0000FF"/>
          <w:sz w:val="22"/>
        </w:rPr>
        <w:t xml:space="preserve"> outcomes. </w:t>
      </w:r>
    </w:p>
    <w:p w14:paraId="7277E06D" w14:textId="77777777" w:rsidR="00037CD1" w:rsidRPr="00A94FF1" w:rsidRDefault="00037CD1" w:rsidP="00037CD1">
      <w:pPr>
        <w:pStyle w:val="BodyText"/>
        <w:rPr>
          <w:rFonts w:asciiTheme="minorHAnsi" w:eastAsiaTheme="minorEastAsia" w:hAnsiTheme="minorHAnsi" w:cstheme="minorBidi"/>
          <w:iCs/>
          <w:color w:val="0000FF"/>
          <w:sz w:val="22"/>
        </w:rPr>
      </w:pPr>
      <w:r w:rsidRPr="002E790C">
        <w:rPr>
          <w:rFonts w:asciiTheme="minorHAnsi" w:eastAsiaTheme="minorEastAsia" w:hAnsiTheme="minorHAnsi" w:cstheme="minorBidi"/>
          <w:iCs/>
          <w:color w:val="0000FF"/>
          <w:sz w:val="22"/>
        </w:rPr>
        <w:t>To ensure that the same diagnoses or conditions were not represented in both the primary diagnosis groups and comorbidities, we applied exclusion criteria such that certain comorbidities were excluded if they were also present as primary diagnoses. For example, tetraplegia and paraplegia were excluded as comorbidities if the patient’s primary diagnosis group was “non-traumatic spinal cord dysfunction” or “traumatic spinal cord dysfunction”; amputation was excluded as a comorbidity if the patient’s primary diagnosis group was “amputation.”</w:t>
      </w:r>
      <w:r w:rsidRPr="00A94FF1">
        <w:rPr>
          <w:rFonts w:asciiTheme="minorHAnsi" w:eastAsiaTheme="minorEastAsia" w:hAnsiTheme="minorHAnsi" w:cstheme="minorBidi"/>
          <w:iCs/>
          <w:color w:val="0000FF"/>
          <w:sz w:val="22"/>
        </w:rPr>
        <w:t xml:space="preserve"> </w:t>
      </w:r>
    </w:p>
    <w:p w14:paraId="26416B74" w14:textId="2937C1F8" w:rsidR="00037CD1" w:rsidRPr="00AF2D68" w:rsidRDefault="005B0EA3" w:rsidP="00EE3DF5">
      <w:pPr>
        <w:pStyle w:val="BodyText"/>
        <w:rPr>
          <w:rFonts w:cstheme="minorHAnsi"/>
          <w:bCs/>
          <w:sz w:val="4"/>
        </w:rPr>
      </w:pPr>
      <w:r w:rsidRPr="00C1498A">
        <w:rPr>
          <w:rFonts w:asciiTheme="minorHAnsi" w:eastAsiaTheme="minorEastAsia" w:hAnsiTheme="minorHAnsi" w:cstheme="minorBidi"/>
          <w:iCs/>
          <w:color w:val="0000FF"/>
          <w:sz w:val="22"/>
        </w:rPr>
        <w:t>S.2b. Data Dictionary, Code Table, or Value Sets</w:t>
      </w:r>
      <w:r w:rsidR="00037CD1" w:rsidRPr="00673F1F">
        <w:rPr>
          <w:rFonts w:asciiTheme="minorHAnsi" w:eastAsiaTheme="minorEastAsia" w:hAnsiTheme="minorHAnsi" w:cstheme="minorBidi"/>
          <w:iCs/>
          <w:color w:val="0000FF"/>
          <w:sz w:val="22"/>
        </w:rPr>
        <w:t xml:space="preserve"> shows the regression coefficients and significance values for all comorbidities in the final risk adjustment model. We retained comorbidities that were clinically important or had large coefficients, even when they were not statistically significant. </w:t>
      </w:r>
      <w:r w:rsidR="00037CD1" w:rsidRPr="0016376F">
        <w:rPr>
          <w:rFonts w:asciiTheme="minorHAnsi" w:eastAsiaTheme="minorEastAsia" w:hAnsiTheme="minorHAnsi" w:cstheme="minorBidi"/>
          <w:iCs/>
          <w:color w:val="0000FF"/>
          <w:sz w:val="22"/>
        </w:rPr>
        <w:lastRenderedPageBreak/>
        <w:t>Comorbidities with the largest negative coefficients, indicating smaller change in mobility scores, include certain cancers; paraplegia; tetraplegia; muscular dystrophy; major fracture, except of skull, vertebrae, or hip; cerebral palsy; legally blind; and dialysis and stage 5 chronic kidney disease.</w:t>
      </w:r>
      <w:bookmarkEnd w:id="90"/>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DF56A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9F98B85" w:rsidR="00275563" w:rsidRPr="005232D6" w:rsidRDefault="00DF56A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C63FB5">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DF56A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649DD0D7"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4A1099F0" w14:textId="77777777" w:rsidR="00A1783E" w:rsidRDefault="00914CCC" w:rsidP="00914CCC">
      <w:pPr>
        <w:pStyle w:val="CommentText"/>
        <w:rPr>
          <w:iCs/>
          <w:color w:val="0000FF"/>
          <w:sz w:val="22"/>
          <w:szCs w:val="22"/>
        </w:rPr>
      </w:pPr>
      <w:bookmarkStart w:id="92" w:name="_Hlk534495928"/>
      <w:bookmarkStart w:id="93" w:name="_Hlk534280866"/>
      <w:r w:rsidRPr="00D77E49">
        <w:rPr>
          <w:iCs/>
          <w:color w:val="0000FF"/>
          <w:sz w:val="22"/>
          <w:szCs w:val="22"/>
        </w:rPr>
        <w:t xml:space="preserve">Results of the final risk adjustment model are shown in S.2b. Data Dictionary, Code Table, or Value Sets, along with regression coefficients and significance values of the final set of risk adjustors. </w:t>
      </w:r>
      <w:bookmarkStart w:id="94" w:name="_Hlk536010830"/>
    </w:p>
    <w:p w14:paraId="4CF787BF" w14:textId="6C1AEA1A" w:rsidR="00A1783E" w:rsidRDefault="00A1783E" w:rsidP="00F40534">
      <w:pPr>
        <w:pStyle w:val="BodyText"/>
        <w:rPr>
          <w:iCs/>
          <w:color w:val="0000FF"/>
          <w:sz w:val="22"/>
        </w:rPr>
      </w:pPr>
      <w:r>
        <w:rPr>
          <w:rFonts w:asciiTheme="minorHAnsi" w:eastAsiaTheme="minorEastAsia" w:hAnsiTheme="minorHAnsi" w:cstheme="minorBidi"/>
          <w:iCs/>
          <w:color w:val="0000FF"/>
          <w:sz w:val="22"/>
        </w:rPr>
        <w:t>As described above, d</w:t>
      </w:r>
      <w:r w:rsidRPr="00673F1F">
        <w:rPr>
          <w:rFonts w:asciiTheme="minorHAnsi" w:eastAsiaTheme="minorEastAsia" w:hAnsiTheme="minorHAnsi" w:cstheme="minorBidi"/>
          <w:iCs/>
          <w:color w:val="0000FF"/>
          <w:sz w:val="22"/>
        </w:rPr>
        <w:t xml:space="preserve">ecisions </w:t>
      </w:r>
      <w:r>
        <w:rPr>
          <w:rFonts w:asciiTheme="minorHAnsi" w:eastAsiaTheme="minorEastAsia" w:hAnsiTheme="minorHAnsi" w:cstheme="minorBidi"/>
          <w:iCs/>
          <w:color w:val="0000FF"/>
          <w:sz w:val="22"/>
        </w:rPr>
        <w:t xml:space="preserve">were made </w:t>
      </w:r>
      <w:r w:rsidRPr="00673F1F">
        <w:rPr>
          <w:rFonts w:asciiTheme="minorHAnsi" w:eastAsiaTheme="minorEastAsia" w:hAnsiTheme="minorHAnsi" w:cstheme="minorBidi"/>
          <w:iCs/>
          <w:color w:val="0000FF"/>
          <w:sz w:val="22"/>
        </w:rPr>
        <w:t xml:space="preserve">to retain or drop each risk adjustor based on its sample size, regression coefficient, significance level, and clinical relevance to </w:t>
      </w:r>
      <w:r>
        <w:rPr>
          <w:rFonts w:asciiTheme="minorHAnsi" w:eastAsiaTheme="minorEastAsia" w:hAnsiTheme="minorHAnsi" w:cstheme="minorBidi"/>
          <w:iCs/>
          <w:color w:val="0000FF"/>
          <w:sz w:val="22"/>
        </w:rPr>
        <w:t>mobility</w:t>
      </w:r>
      <w:r w:rsidRPr="00673F1F">
        <w:rPr>
          <w:rFonts w:asciiTheme="minorHAnsi" w:eastAsiaTheme="minorEastAsia" w:hAnsiTheme="minorHAnsi" w:cstheme="minorBidi"/>
          <w:iCs/>
          <w:color w:val="0000FF"/>
          <w:sz w:val="22"/>
        </w:rPr>
        <w:t xml:space="preserve"> outcomes. </w:t>
      </w:r>
      <w:r>
        <w:rPr>
          <w:rFonts w:asciiTheme="minorHAnsi" w:eastAsiaTheme="minorEastAsia" w:hAnsiTheme="minorHAnsi" w:cstheme="minorBidi"/>
          <w:iCs/>
          <w:color w:val="0000FF"/>
          <w:sz w:val="22"/>
        </w:rPr>
        <w:t xml:space="preserve">For example, we dropped comorbidities that no longer showed a negative association with the dependent variable, because comorbidities are expected to limit functional improvement. We added </w:t>
      </w:r>
      <w:r w:rsidRPr="0068700E">
        <w:rPr>
          <w:rFonts w:asciiTheme="minorHAnsi" w:eastAsiaTheme="minorEastAsia" w:hAnsiTheme="minorHAnsi" w:cstheme="minorBidi"/>
          <w:iCs/>
          <w:color w:val="0000FF"/>
          <w:sz w:val="22"/>
        </w:rPr>
        <w:t xml:space="preserve">comorbidities that showed a </w:t>
      </w:r>
      <w:r>
        <w:rPr>
          <w:rFonts w:asciiTheme="minorHAnsi" w:eastAsiaTheme="minorEastAsia" w:hAnsiTheme="minorHAnsi" w:cstheme="minorBidi"/>
          <w:iCs/>
          <w:color w:val="0000FF"/>
          <w:sz w:val="22"/>
        </w:rPr>
        <w:t xml:space="preserve">significant </w:t>
      </w:r>
      <w:r w:rsidRPr="0068700E">
        <w:rPr>
          <w:rFonts w:asciiTheme="minorHAnsi" w:eastAsiaTheme="minorEastAsia" w:hAnsiTheme="minorHAnsi" w:cstheme="minorBidi"/>
          <w:iCs/>
          <w:color w:val="0000FF"/>
          <w:sz w:val="22"/>
        </w:rPr>
        <w:t>negative association</w:t>
      </w:r>
      <w:r>
        <w:rPr>
          <w:rFonts w:asciiTheme="minorHAnsi" w:eastAsiaTheme="minorEastAsia" w:hAnsiTheme="minorHAnsi" w:cstheme="minorBidi"/>
          <w:iCs/>
          <w:color w:val="0000FF"/>
          <w:sz w:val="22"/>
        </w:rPr>
        <w:t xml:space="preserve"> with the dependent variable</w:t>
      </w:r>
      <w:r w:rsidRPr="0068700E">
        <w:rPr>
          <w:rFonts w:asciiTheme="minorHAnsi" w:eastAsiaTheme="minorEastAsia" w:hAnsiTheme="minorHAnsi" w:cstheme="minorBidi"/>
          <w:iCs/>
          <w:color w:val="0000FF"/>
          <w:sz w:val="22"/>
        </w:rPr>
        <w:t>. The final risk adjustor decisions were based on a c</w:t>
      </w:r>
      <w:r w:rsidRPr="00673F1F">
        <w:rPr>
          <w:rFonts w:asciiTheme="minorHAnsi" w:eastAsiaTheme="minorEastAsia" w:hAnsiTheme="minorHAnsi" w:cstheme="minorBidi"/>
          <w:iCs/>
          <w:color w:val="0000FF"/>
          <w:sz w:val="22"/>
        </w:rPr>
        <w:t xml:space="preserve">ombination of clinical reasoning and statistical findings. </w:t>
      </w:r>
    </w:p>
    <w:bookmarkEnd w:id="94"/>
    <w:p w14:paraId="5E919485" w14:textId="79EE7B27" w:rsidR="00914CCC" w:rsidRPr="00D77E49" w:rsidRDefault="00914CCC" w:rsidP="00914CCC">
      <w:pPr>
        <w:pStyle w:val="CommentText"/>
        <w:rPr>
          <w:iCs/>
          <w:color w:val="0000FF"/>
          <w:sz w:val="22"/>
          <w:szCs w:val="22"/>
        </w:rPr>
      </w:pPr>
      <w:r w:rsidRPr="00D77E49">
        <w:rPr>
          <w:iCs/>
          <w:color w:val="0000FF"/>
          <w:sz w:val="22"/>
          <w:szCs w:val="22"/>
        </w:rPr>
        <w:t xml:space="preserve">The overall model was a significant predictor of change in </w:t>
      </w:r>
      <w:r w:rsidR="008D1672" w:rsidRPr="00D77E49">
        <w:rPr>
          <w:iCs/>
          <w:color w:val="0000FF"/>
          <w:sz w:val="22"/>
          <w:szCs w:val="22"/>
        </w:rPr>
        <w:t>mobility</w:t>
      </w:r>
      <w:r w:rsidRPr="00D77E49">
        <w:rPr>
          <w:iCs/>
          <w:color w:val="0000FF"/>
          <w:sz w:val="22"/>
          <w:szCs w:val="22"/>
        </w:rPr>
        <w:t xml:space="preserve"> scores, with a </w:t>
      </w:r>
      <w:r w:rsidRPr="00D77E49">
        <w:rPr>
          <w:i/>
          <w:iCs/>
          <w:color w:val="0000FF"/>
          <w:sz w:val="22"/>
          <w:szCs w:val="22"/>
        </w:rPr>
        <w:t>p</w:t>
      </w:r>
      <w:r w:rsidRPr="00D77E49">
        <w:rPr>
          <w:iCs/>
          <w:color w:val="0000FF"/>
          <w:sz w:val="22"/>
          <w:szCs w:val="22"/>
        </w:rPr>
        <w:t xml:space="preserve">-value less than 0.001. </w:t>
      </w:r>
      <w:bookmarkEnd w:id="92"/>
      <w:r w:rsidRPr="00D77E49">
        <w:rPr>
          <w:iCs/>
          <w:color w:val="0000FF"/>
          <w:sz w:val="22"/>
          <w:szCs w:val="22"/>
        </w:rPr>
        <w:t>The overall model R-square was 0.2</w:t>
      </w:r>
      <w:r w:rsidR="008D1672" w:rsidRPr="00D77E49">
        <w:rPr>
          <w:iCs/>
          <w:color w:val="0000FF"/>
          <w:sz w:val="22"/>
          <w:szCs w:val="22"/>
        </w:rPr>
        <w:t>0</w:t>
      </w:r>
      <w:r w:rsidRPr="00D77E49">
        <w:rPr>
          <w:iCs/>
          <w:color w:val="0000FF"/>
          <w:sz w:val="22"/>
          <w:szCs w:val="22"/>
        </w:rPr>
        <w:t>, indicating that 2</w:t>
      </w:r>
      <w:r w:rsidR="008D1672" w:rsidRPr="00D77E49">
        <w:rPr>
          <w:iCs/>
          <w:color w:val="0000FF"/>
          <w:sz w:val="22"/>
          <w:szCs w:val="22"/>
        </w:rPr>
        <w:t>0</w:t>
      </w:r>
      <w:r w:rsidRPr="00D77E49">
        <w:rPr>
          <w:iCs/>
          <w:color w:val="0000FF"/>
          <w:sz w:val="22"/>
          <w:szCs w:val="22"/>
        </w:rPr>
        <w:t xml:space="preserve">% of the variance in change in </w:t>
      </w:r>
      <w:r w:rsidR="008D1672" w:rsidRPr="00D77E49">
        <w:rPr>
          <w:iCs/>
          <w:color w:val="0000FF"/>
          <w:sz w:val="22"/>
          <w:szCs w:val="22"/>
        </w:rPr>
        <w:t>mobility</w:t>
      </w:r>
      <w:r w:rsidRPr="00D77E49">
        <w:rPr>
          <w:iCs/>
          <w:color w:val="0000FF"/>
          <w:sz w:val="22"/>
          <w:szCs w:val="22"/>
        </w:rPr>
        <w:t xml:space="preserve"> was explained by the model. In general, regression coefficients of individual risk adjustors demonstrated that the predictive ability of risk adjustors was as clinically expected.</w:t>
      </w:r>
    </w:p>
    <w:p w14:paraId="11FB9D64" w14:textId="5F502C27" w:rsidR="00914CCC" w:rsidRPr="00D77E49" w:rsidRDefault="00914CCC" w:rsidP="00914CCC">
      <w:pPr>
        <w:spacing w:before="100" w:beforeAutospacing="1" w:after="100" w:afterAutospacing="1" w:line="240" w:lineRule="auto"/>
        <w:rPr>
          <w:iCs/>
          <w:color w:val="0000FF"/>
        </w:rPr>
      </w:pPr>
      <w:bookmarkStart w:id="95" w:name="_Hlk534208544"/>
      <w:r w:rsidRPr="00D77E49">
        <w:rPr>
          <w:bCs/>
          <w:iCs/>
          <w:color w:val="0000FF"/>
        </w:rPr>
        <w:t xml:space="preserve">Distributions of the facility-level mean unadjusted and risk adjusted change in </w:t>
      </w:r>
      <w:r w:rsidR="008D1672" w:rsidRPr="00D77E49">
        <w:rPr>
          <w:bCs/>
          <w:iCs/>
          <w:color w:val="0000FF"/>
        </w:rPr>
        <w:t>mobility</w:t>
      </w:r>
      <w:r w:rsidRPr="00D77E49">
        <w:rPr>
          <w:bCs/>
          <w:iCs/>
          <w:color w:val="0000FF"/>
        </w:rPr>
        <w:t xml:space="preserve"> scores are shown in </w:t>
      </w:r>
      <w:r w:rsidRPr="00D77E49">
        <w:rPr>
          <w:b/>
          <w:iCs/>
          <w:color w:val="0000FF"/>
        </w:rPr>
        <w:t xml:space="preserve">Figures 2 and 3 </w:t>
      </w:r>
      <w:r w:rsidRPr="00D77E49">
        <w:rPr>
          <w:iCs/>
          <w:color w:val="0000FF"/>
        </w:rPr>
        <w:t>and</w:t>
      </w:r>
      <w:r w:rsidRPr="00D77E49">
        <w:rPr>
          <w:b/>
          <w:iCs/>
          <w:color w:val="0000FF"/>
        </w:rPr>
        <w:t xml:space="preserve"> Table </w:t>
      </w:r>
      <w:r w:rsidR="00360220">
        <w:rPr>
          <w:b/>
          <w:iCs/>
          <w:color w:val="0000FF"/>
        </w:rPr>
        <w:t>12</w:t>
      </w:r>
      <w:r w:rsidRPr="00D77E49">
        <w:rPr>
          <w:b/>
          <w:iCs/>
          <w:color w:val="0000FF"/>
        </w:rPr>
        <w:t xml:space="preserve">. </w:t>
      </w:r>
      <w:r w:rsidRPr="00D77E49">
        <w:rPr>
          <w:iCs/>
          <w:color w:val="0000FF"/>
        </w:rPr>
        <w:t xml:space="preserve">Important differences in the distribution of the two sets of scores were noted, which speaks to the importance of risk adjustment. </w:t>
      </w:r>
      <w:r w:rsidRPr="00D77E49">
        <w:rPr>
          <w:b/>
          <w:bCs/>
          <w:iCs/>
          <w:color w:val="0000FF"/>
        </w:rPr>
        <w:t>Figure 2</w:t>
      </w:r>
      <w:r w:rsidRPr="00D77E49">
        <w:rPr>
          <w:iCs/>
          <w:color w:val="0000FF"/>
        </w:rPr>
        <w:t xml:space="preserve"> shows that the </w:t>
      </w:r>
      <w:r w:rsidRPr="00D77E49">
        <w:rPr>
          <w:bCs/>
          <w:iCs/>
          <w:color w:val="0000FF"/>
        </w:rPr>
        <w:t xml:space="preserve">facility-level mean </w:t>
      </w:r>
      <w:r w:rsidRPr="00D77E49">
        <w:rPr>
          <w:iCs/>
          <w:color w:val="0000FF"/>
        </w:rPr>
        <w:t xml:space="preserve">unadjusted change scores are largely concentrated in the center of the distribution, with fewer IRFs at the extremes of the distribution, particularly at the higher extreme. In contrast, </w:t>
      </w:r>
      <w:r w:rsidRPr="00D77E49">
        <w:rPr>
          <w:b/>
          <w:bCs/>
          <w:iCs/>
          <w:color w:val="0000FF"/>
        </w:rPr>
        <w:t>Figure 3</w:t>
      </w:r>
      <w:r w:rsidRPr="00D77E49">
        <w:rPr>
          <w:iCs/>
          <w:color w:val="0000FF"/>
        </w:rPr>
        <w:t xml:space="preserve"> demonstrates normal distribution and good variability of the </w:t>
      </w:r>
      <w:r w:rsidRPr="00D77E49">
        <w:rPr>
          <w:bCs/>
          <w:iCs/>
          <w:color w:val="0000FF"/>
        </w:rPr>
        <w:t xml:space="preserve">facility-level mean </w:t>
      </w:r>
      <w:r w:rsidRPr="00D77E49">
        <w:rPr>
          <w:iCs/>
          <w:color w:val="0000FF"/>
        </w:rPr>
        <w:t xml:space="preserve">risk adjusted change in </w:t>
      </w:r>
      <w:r w:rsidR="008D1672" w:rsidRPr="00D77E49">
        <w:rPr>
          <w:iCs/>
          <w:color w:val="0000FF"/>
        </w:rPr>
        <w:t>mobility</w:t>
      </w:r>
      <w:r w:rsidRPr="00D77E49">
        <w:rPr>
          <w:iCs/>
          <w:color w:val="0000FF"/>
        </w:rPr>
        <w:t xml:space="preserve"> scores. </w:t>
      </w:r>
    </w:p>
    <w:p w14:paraId="7C073E6E" w14:textId="14673549" w:rsidR="00E73B3B" w:rsidRDefault="00577CD8" w:rsidP="003B1FC1">
      <w:pPr>
        <w:spacing w:before="100" w:beforeAutospacing="1" w:after="100" w:afterAutospacing="1" w:line="240" w:lineRule="auto"/>
        <w:jc w:val="center"/>
        <w:rPr>
          <w:b/>
          <w:iCs/>
          <w:color w:val="0000FF"/>
        </w:rPr>
      </w:pPr>
      <w:r w:rsidRPr="00D77E49">
        <w:rPr>
          <w:b/>
          <w:iCs/>
          <w:color w:val="0000FF"/>
        </w:rPr>
        <w:lastRenderedPageBreak/>
        <w:t>Figure 2. Distribution of Facility-Level Mean Unadjusted Change in Mobility Scores (</w:t>
      </w:r>
      <w:bookmarkStart w:id="96" w:name="_Hlk534616731"/>
      <w:r w:rsidRPr="00D77E49">
        <w:rPr>
          <w:b/>
          <w:iCs/>
          <w:color w:val="0000FF"/>
        </w:rPr>
        <w:t>n=</w:t>
      </w:r>
      <w:r w:rsidR="00A33932">
        <w:rPr>
          <w:b/>
          <w:iCs/>
          <w:color w:val="0000FF"/>
        </w:rPr>
        <w:t>1</w:t>
      </w:r>
      <w:r w:rsidR="004F1EF3">
        <w:rPr>
          <w:b/>
          <w:iCs/>
          <w:color w:val="0000FF"/>
        </w:rPr>
        <w:t>,117</w:t>
      </w:r>
      <w:bookmarkEnd w:id="96"/>
      <w:r w:rsidRPr="00D77E49">
        <w:rPr>
          <w:b/>
          <w:iCs/>
          <w:color w:val="0000FF"/>
        </w:rPr>
        <w:t>)</w:t>
      </w:r>
      <w:r w:rsidR="00E73B3B">
        <w:rPr>
          <w:b/>
          <w:iCs/>
          <w:noProof/>
          <w:color w:val="0000FF"/>
        </w:rPr>
        <w:drawing>
          <wp:inline distT="0" distB="0" distL="0" distR="0" wp14:anchorId="67F0A860" wp14:editId="0FE5C5BA">
            <wp:extent cx="4793600" cy="3468874"/>
            <wp:effectExtent l="0" t="0" r="0" b="0"/>
            <wp:docPr id="225" name="Picture 225" descr="This distribution shows the facility-level mean unadjusted (observed) change in mobility scores for calendar year 2017. It is based on Inpatient Rehabilitation Facility Patient Assessment Instrument data from 1,117 IRFs. The facility-level mean unadjusted change scores are largely concentrated in the center of the distribution, with fewer IRFs at the extremes of the distribution, particularly at the higher extreme. Important differences are observed between this distribution and the distribution in Figure 3, which speaks to the importance of risk adjustment. This analysis was conducted by RTI International and the programming reference is MV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9"/>
                    <a:stretch>
                      <a:fillRect/>
                    </a:stretch>
                  </pic:blipFill>
                  <pic:spPr bwMode="auto">
                    <a:xfrm>
                      <a:off x="0" y="0"/>
                      <a:ext cx="4793600" cy="3468874"/>
                    </a:xfrm>
                    <a:prstGeom prst="rect">
                      <a:avLst/>
                    </a:prstGeom>
                    <a:noFill/>
                  </pic:spPr>
                </pic:pic>
              </a:graphicData>
            </a:graphic>
          </wp:inline>
        </w:drawing>
      </w:r>
    </w:p>
    <w:p w14:paraId="66C4BE8E" w14:textId="77777777" w:rsidR="00577CD8" w:rsidRDefault="00577CD8" w:rsidP="00577CD8">
      <w:pPr>
        <w:spacing w:after="0"/>
        <w:jc w:val="center"/>
        <w:rPr>
          <w:b/>
          <w:iCs/>
          <w:color w:val="0000FF"/>
        </w:rPr>
      </w:pPr>
      <w:r w:rsidRPr="00B915C7">
        <w:rPr>
          <w:rFonts w:cstheme="minorHAnsi"/>
          <w:color w:val="0000FF"/>
          <w:sz w:val="20"/>
          <w:szCs w:val="20"/>
        </w:rPr>
        <w:t>Source: RTI analysis of IRF-PAI, January – December 2017. (Program reference: MV</w:t>
      </w:r>
      <w:r>
        <w:rPr>
          <w:rFonts w:cstheme="minorHAnsi"/>
          <w:color w:val="0000FF"/>
          <w:sz w:val="20"/>
          <w:szCs w:val="20"/>
        </w:rPr>
        <w:t>50</w:t>
      </w:r>
      <w:r w:rsidRPr="00B915C7">
        <w:rPr>
          <w:rFonts w:cstheme="minorHAnsi"/>
          <w:color w:val="0000FF"/>
          <w:sz w:val="20"/>
          <w:szCs w:val="20"/>
        </w:rPr>
        <w:t>)</w:t>
      </w:r>
    </w:p>
    <w:p w14:paraId="434BBCF8" w14:textId="77777777" w:rsidR="00912BA6" w:rsidRPr="00515394" w:rsidRDefault="00912BA6" w:rsidP="00912BA6">
      <w:pPr>
        <w:spacing w:before="100" w:beforeAutospacing="1" w:after="0" w:line="240" w:lineRule="auto"/>
        <w:jc w:val="center"/>
        <w:rPr>
          <w:b/>
          <w:iCs/>
          <w:color w:val="0000FF"/>
        </w:rPr>
      </w:pPr>
      <w:r w:rsidRPr="00515394">
        <w:rPr>
          <w:b/>
          <w:iCs/>
          <w:color w:val="0000FF"/>
        </w:rPr>
        <w:t>Figure 2 Data Table. Distribution of Facility-Level Mean Unadjusted Change in Mobility Scores (n=1,117)</w:t>
      </w:r>
    </w:p>
    <w:tbl>
      <w:tblPr>
        <w:tblW w:w="5000" w:type="pct"/>
        <w:tblLook w:val="06A0" w:firstRow="1" w:lastRow="0" w:firstColumn="1" w:lastColumn="0" w:noHBand="1" w:noVBand="1"/>
      </w:tblPr>
      <w:tblGrid>
        <w:gridCol w:w="4500"/>
        <w:gridCol w:w="4860"/>
      </w:tblGrid>
      <w:tr w:rsidR="00912BA6" w:rsidRPr="001B21D9" w14:paraId="32928F57" w14:textId="77777777" w:rsidTr="005F4D1B">
        <w:trPr>
          <w:trHeight w:val="432"/>
          <w:tblHeader/>
        </w:trPr>
        <w:tc>
          <w:tcPr>
            <w:tcW w:w="2404" w:type="pct"/>
            <w:tcBorders>
              <w:top w:val="single" w:sz="4" w:space="0" w:color="auto"/>
              <w:bottom w:val="single" w:sz="4" w:space="0" w:color="auto"/>
            </w:tcBorders>
            <w:shd w:val="clear" w:color="auto" w:fill="auto"/>
            <w:vAlign w:val="center"/>
          </w:tcPr>
          <w:p w14:paraId="4B9D4CA3" w14:textId="77777777" w:rsidR="00912BA6" w:rsidRPr="00F73335" w:rsidRDefault="00912BA6" w:rsidP="005F4D1B">
            <w:pPr>
              <w:spacing w:after="0" w:line="240" w:lineRule="auto"/>
              <w:rPr>
                <w:rFonts w:eastAsia="Calibri" w:cstheme="minorHAnsi"/>
                <w:b/>
                <w:color w:val="0000FF"/>
                <w:sz w:val="20"/>
              </w:rPr>
            </w:pPr>
            <w:r w:rsidRPr="00F73335">
              <w:rPr>
                <w:rFonts w:eastAsia="Calibri" w:cstheme="minorHAnsi"/>
                <w:b/>
                <w:color w:val="0000FF"/>
                <w:sz w:val="20"/>
              </w:rPr>
              <w:t xml:space="preserve">Observed (Unadjusted) Change in </w:t>
            </w:r>
            <w:r>
              <w:rPr>
                <w:rFonts w:eastAsia="Calibri" w:cstheme="minorHAnsi"/>
                <w:b/>
                <w:color w:val="0000FF"/>
                <w:sz w:val="20"/>
              </w:rPr>
              <w:t xml:space="preserve">Mobility </w:t>
            </w:r>
            <w:r w:rsidRPr="00F73335">
              <w:rPr>
                <w:rFonts w:eastAsia="Calibri" w:cstheme="minorHAnsi"/>
                <w:b/>
                <w:color w:val="0000FF"/>
                <w:sz w:val="20"/>
              </w:rPr>
              <w:t>Scores</w:t>
            </w:r>
            <w:r>
              <w:rPr>
                <w:rFonts w:eastAsia="Calibri" w:cstheme="minorHAnsi"/>
                <w:b/>
                <w:color w:val="0000FF"/>
                <w:sz w:val="20"/>
              </w:rPr>
              <w:t>*</w:t>
            </w:r>
          </w:p>
        </w:tc>
        <w:tc>
          <w:tcPr>
            <w:tcW w:w="2596" w:type="pct"/>
            <w:tcBorders>
              <w:top w:val="single" w:sz="4" w:space="0" w:color="auto"/>
              <w:bottom w:val="single" w:sz="4" w:space="0" w:color="auto"/>
            </w:tcBorders>
            <w:shd w:val="clear" w:color="auto" w:fill="auto"/>
            <w:vAlign w:val="center"/>
          </w:tcPr>
          <w:p w14:paraId="6C91DB2F" w14:textId="77777777" w:rsidR="00912BA6" w:rsidRPr="00F73335" w:rsidRDefault="00912BA6"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912BA6" w:rsidRPr="001B21D9" w14:paraId="64D76346" w14:textId="77777777" w:rsidTr="005F4D1B">
        <w:trPr>
          <w:trHeight w:val="315"/>
        </w:trPr>
        <w:tc>
          <w:tcPr>
            <w:tcW w:w="2404" w:type="pct"/>
            <w:vAlign w:val="center"/>
          </w:tcPr>
          <w:p w14:paraId="3B91BA6C"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14.0 to 20.0</w:t>
            </w:r>
          </w:p>
        </w:tc>
        <w:tc>
          <w:tcPr>
            <w:tcW w:w="2596" w:type="pct"/>
            <w:vAlign w:val="center"/>
          </w:tcPr>
          <w:p w14:paraId="60A9957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45</w:t>
            </w:r>
          </w:p>
        </w:tc>
      </w:tr>
      <w:tr w:rsidR="00912BA6" w:rsidRPr="001B21D9" w14:paraId="0AF1758A" w14:textId="77777777" w:rsidTr="005F4D1B">
        <w:trPr>
          <w:trHeight w:val="315"/>
        </w:trPr>
        <w:tc>
          <w:tcPr>
            <w:tcW w:w="2404" w:type="pct"/>
            <w:vAlign w:val="center"/>
          </w:tcPr>
          <w:p w14:paraId="36084FFE"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21.0 to 22.0</w:t>
            </w:r>
          </w:p>
        </w:tc>
        <w:tc>
          <w:tcPr>
            <w:tcW w:w="2596" w:type="pct"/>
            <w:vAlign w:val="center"/>
          </w:tcPr>
          <w:p w14:paraId="77F19BC3"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70</w:t>
            </w:r>
          </w:p>
        </w:tc>
      </w:tr>
      <w:tr w:rsidR="00912BA6" w:rsidRPr="001B21D9" w14:paraId="359D19E2" w14:textId="77777777" w:rsidTr="005F4D1B">
        <w:trPr>
          <w:trHeight w:val="315"/>
        </w:trPr>
        <w:tc>
          <w:tcPr>
            <w:tcW w:w="2404" w:type="pct"/>
            <w:vAlign w:val="center"/>
          </w:tcPr>
          <w:p w14:paraId="6C36DF9C"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23.0 to 24.0</w:t>
            </w:r>
          </w:p>
        </w:tc>
        <w:tc>
          <w:tcPr>
            <w:tcW w:w="2596" w:type="pct"/>
            <w:vAlign w:val="center"/>
          </w:tcPr>
          <w:p w14:paraId="102D5185"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132</w:t>
            </w:r>
          </w:p>
        </w:tc>
      </w:tr>
      <w:tr w:rsidR="00912BA6" w:rsidRPr="001B21D9" w14:paraId="333C7B93" w14:textId="77777777" w:rsidTr="005F4D1B">
        <w:trPr>
          <w:trHeight w:val="315"/>
        </w:trPr>
        <w:tc>
          <w:tcPr>
            <w:tcW w:w="2404" w:type="pct"/>
            <w:vAlign w:val="center"/>
          </w:tcPr>
          <w:p w14:paraId="66F6C04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25.0 to 26.0</w:t>
            </w:r>
          </w:p>
        </w:tc>
        <w:tc>
          <w:tcPr>
            <w:tcW w:w="2596" w:type="pct"/>
            <w:vAlign w:val="center"/>
          </w:tcPr>
          <w:p w14:paraId="233B4115"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171</w:t>
            </w:r>
          </w:p>
        </w:tc>
      </w:tr>
      <w:tr w:rsidR="00912BA6" w:rsidRPr="001B21D9" w14:paraId="1FA480EF" w14:textId="77777777" w:rsidTr="005F4D1B">
        <w:trPr>
          <w:trHeight w:val="315"/>
        </w:trPr>
        <w:tc>
          <w:tcPr>
            <w:tcW w:w="2404" w:type="pct"/>
            <w:vAlign w:val="center"/>
          </w:tcPr>
          <w:p w14:paraId="325D920A"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27.0 to 28.0</w:t>
            </w:r>
          </w:p>
        </w:tc>
        <w:tc>
          <w:tcPr>
            <w:tcW w:w="2596" w:type="pct"/>
            <w:vAlign w:val="center"/>
          </w:tcPr>
          <w:p w14:paraId="4AB8691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177</w:t>
            </w:r>
          </w:p>
        </w:tc>
      </w:tr>
      <w:tr w:rsidR="00912BA6" w:rsidRPr="001B21D9" w14:paraId="45A24C28" w14:textId="77777777" w:rsidTr="005F4D1B">
        <w:trPr>
          <w:trHeight w:val="315"/>
        </w:trPr>
        <w:tc>
          <w:tcPr>
            <w:tcW w:w="2404" w:type="pct"/>
            <w:vAlign w:val="center"/>
          </w:tcPr>
          <w:p w14:paraId="04F301AE"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29.0 to 30.0</w:t>
            </w:r>
          </w:p>
        </w:tc>
        <w:tc>
          <w:tcPr>
            <w:tcW w:w="2596" w:type="pct"/>
            <w:vAlign w:val="center"/>
          </w:tcPr>
          <w:p w14:paraId="7994342B"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173</w:t>
            </w:r>
          </w:p>
        </w:tc>
      </w:tr>
      <w:tr w:rsidR="00912BA6" w:rsidRPr="001B21D9" w14:paraId="59672A7F" w14:textId="77777777" w:rsidTr="005F4D1B">
        <w:trPr>
          <w:trHeight w:val="315"/>
        </w:trPr>
        <w:tc>
          <w:tcPr>
            <w:tcW w:w="2404" w:type="pct"/>
            <w:vAlign w:val="center"/>
          </w:tcPr>
          <w:p w14:paraId="7E50822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31.0 to 32.0</w:t>
            </w:r>
          </w:p>
        </w:tc>
        <w:tc>
          <w:tcPr>
            <w:tcW w:w="2596" w:type="pct"/>
            <w:vAlign w:val="center"/>
          </w:tcPr>
          <w:p w14:paraId="719E1A63"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129</w:t>
            </w:r>
          </w:p>
        </w:tc>
      </w:tr>
      <w:tr w:rsidR="00912BA6" w:rsidRPr="001B21D9" w14:paraId="193E960A" w14:textId="77777777" w:rsidTr="005F4D1B">
        <w:trPr>
          <w:trHeight w:val="315"/>
        </w:trPr>
        <w:tc>
          <w:tcPr>
            <w:tcW w:w="2404" w:type="pct"/>
            <w:vAlign w:val="center"/>
          </w:tcPr>
          <w:p w14:paraId="65D61E9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33.0 to 34.0</w:t>
            </w:r>
          </w:p>
        </w:tc>
        <w:tc>
          <w:tcPr>
            <w:tcW w:w="2596" w:type="pct"/>
            <w:vAlign w:val="center"/>
          </w:tcPr>
          <w:p w14:paraId="626008CD"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100</w:t>
            </w:r>
          </w:p>
        </w:tc>
      </w:tr>
      <w:tr w:rsidR="00912BA6" w:rsidRPr="001B21D9" w14:paraId="78300A2F" w14:textId="77777777" w:rsidTr="005F4D1B">
        <w:trPr>
          <w:trHeight w:val="315"/>
        </w:trPr>
        <w:tc>
          <w:tcPr>
            <w:tcW w:w="2404" w:type="pct"/>
            <w:vAlign w:val="center"/>
          </w:tcPr>
          <w:p w14:paraId="110EB0E3"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35.0 to 36.0</w:t>
            </w:r>
          </w:p>
        </w:tc>
        <w:tc>
          <w:tcPr>
            <w:tcW w:w="2596" w:type="pct"/>
            <w:vAlign w:val="center"/>
          </w:tcPr>
          <w:p w14:paraId="7BA4B13A"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65</w:t>
            </w:r>
          </w:p>
        </w:tc>
      </w:tr>
      <w:tr w:rsidR="00912BA6" w:rsidRPr="001B21D9" w14:paraId="726B66DB" w14:textId="77777777" w:rsidTr="005F4D1B">
        <w:trPr>
          <w:trHeight w:val="315"/>
        </w:trPr>
        <w:tc>
          <w:tcPr>
            <w:tcW w:w="2404" w:type="pct"/>
            <w:vAlign w:val="center"/>
          </w:tcPr>
          <w:p w14:paraId="6603A0B0"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37.0 to 38.0</w:t>
            </w:r>
          </w:p>
        </w:tc>
        <w:tc>
          <w:tcPr>
            <w:tcW w:w="2596" w:type="pct"/>
            <w:vAlign w:val="center"/>
          </w:tcPr>
          <w:p w14:paraId="3438644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30</w:t>
            </w:r>
          </w:p>
        </w:tc>
      </w:tr>
      <w:tr w:rsidR="00912BA6" w:rsidRPr="001B21D9" w14:paraId="52CD52B1" w14:textId="77777777" w:rsidTr="005F4D1B">
        <w:trPr>
          <w:trHeight w:val="315"/>
        </w:trPr>
        <w:tc>
          <w:tcPr>
            <w:tcW w:w="2404" w:type="pct"/>
            <w:vAlign w:val="center"/>
          </w:tcPr>
          <w:p w14:paraId="1D55DDD1" w14:textId="77777777" w:rsidR="00912BA6" w:rsidRPr="00F73335" w:rsidDel="004005B0" w:rsidRDefault="00912BA6" w:rsidP="005F4D1B">
            <w:pPr>
              <w:spacing w:after="0" w:line="240" w:lineRule="auto"/>
              <w:jc w:val="center"/>
              <w:rPr>
                <w:rFonts w:cstheme="minorHAnsi"/>
                <w:color w:val="0000FF"/>
                <w:sz w:val="20"/>
              </w:rPr>
            </w:pPr>
            <w:r>
              <w:rPr>
                <w:rFonts w:ascii="Calibri" w:hAnsi="Calibri" w:cs="Calibri"/>
                <w:color w:val="0000FF"/>
                <w:sz w:val="20"/>
                <w:szCs w:val="20"/>
              </w:rPr>
              <w:t>39.0 to 40.0</w:t>
            </w:r>
          </w:p>
        </w:tc>
        <w:tc>
          <w:tcPr>
            <w:tcW w:w="2596" w:type="pct"/>
            <w:vAlign w:val="center"/>
          </w:tcPr>
          <w:p w14:paraId="022B50F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12</w:t>
            </w:r>
          </w:p>
        </w:tc>
      </w:tr>
      <w:tr w:rsidR="00912BA6" w:rsidRPr="001B21D9" w14:paraId="5F69D4A1" w14:textId="77777777" w:rsidTr="005F4D1B">
        <w:trPr>
          <w:trHeight w:val="315"/>
        </w:trPr>
        <w:tc>
          <w:tcPr>
            <w:tcW w:w="2404" w:type="pct"/>
            <w:vAlign w:val="center"/>
          </w:tcPr>
          <w:p w14:paraId="29EA3708"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41.0 to 56.0</w:t>
            </w:r>
          </w:p>
        </w:tc>
        <w:tc>
          <w:tcPr>
            <w:tcW w:w="2596" w:type="pct"/>
            <w:vAlign w:val="center"/>
          </w:tcPr>
          <w:p w14:paraId="194DF983"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13</w:t>
            </w:r>
          </w:p>
        </w:tc>
      </w:tr>
      <w:tr w:rsidR="00912BA6" w:rsidRPr="001B21D9" w14:paraId="0226A2AD" w14:textId="77777777" w:rsidTr="005F4D1B">
        <w:trPr>
          <w:trHeight w:val="315"/>
        </w:trPr>
        <w:tc>
          <w:tcPr>
            <w:tcW w:w="2404" w:type="pct"/>
            <w:tcBorders>
              <w:bottom w:val="single" w:sz="4" w:space="0" w:color="auto"/>
            </w:tcBorders>
            <w:vAlign w:val="center"/>
          </w:tcPr>
          <w:p w14:paraId="7A0F0D9C" w14:textId="77777777" w:rsidR="00912BA6" w:rsidRPr="00BD586C" w:rsidRDefault="00912BA6" w:rsidP="005F4D1B">
            <w:pPr>
              <w:spacing w:after="0" w:line="240" w:lineRule="auto"/>
              <w:jc w:val="center"/>
              <w:rPr>
                <w:rFonts w:cstheme="minorHAnsi"/>
                <w:b/>
                <w:color w:val="0000FF"/>
                <w:sz w:val="20"/>
              </w:rPr>
            </w:pPr>
            <w:r w:rsidRPr="00BD586C">
              <w:rPr>
                <w:rFonts w:cstheme="minorHAnsi"/>
                <w:b/>
                <w:color w:val="0000FF"/>
                <w:sz w:val="20"/>
              </w:rPr>
              <w:t>Total</w:t>
            </w:r>
          </w:p>
        </w:tc>
        <w:tc>
          <w:tcPr>
            <w:tcW w:w="2596" w:type="pct"/>
            <w:tcBorders>
              <w:bottom w:val="single" w:sz="4" w:space="0" w:color="auto"/>
            </w:tcBorders>
            <w:vAlign w:val="center"/>
          </w:tcPr>
          <w:p w14:paraId="2E8A13CE" w14:textId="77777777" w:rsidR="00912BA6" w:rsidRPr="00BD586C" w:rsidRDefault="00912BA6" w:rsidP="005F4D1B">
            <w:pPr>
              <w:spacing w:after="0" w:line="240" w:lineRule="auto"/>
              <w:jc w:val="center"/>
              <w:rPr>
                <w:rFonts w:cstheme="minorHAnsi"/>
                <w:b/>
                <w:color w:val="0000FF"/>
                <w:sz w:val="20"/>
              </w:rPr>
            </w:pPr>
            <w:r w:rsidRPr="00BD586C">
              <w:rPr>
                <w:rFonts w:cstheme="minorHAnsi"/>
                <w:b/>
                <w:color w:val="0000FF"/>
                <w:sz w:val="20"/>
              </w:rPr>
              <w:t>1117</w:t>
            </w:r>
          </w:p>
        </w:tc>
      </w:tr>
    </w:tbl>
    <w:p w14:paraId="1F3B7C59" w14:textId="77777777" w:rsidR="00912BA6" w:rsidRDefault="00912BA6" w:rsidP="00912BA6">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*Scores were rounded to the nearest whole number for the figure</w:t>
      </w:r>
    </w:p>
    <w:p w14:paraId="481E3056" w14:textId="77777777" w:rsidR="00912BA6" w:rsidRDefault="00912BA6" w:rsidP="00912BA6">
      <w:pPr>
        <w:pStyle w:val="NoSpacing"/>
        <w:jc w:val="both"/>
        <w:rPr>
          <w:rFonts w:asciiTheme="minorHAnsi" w:hAnsiTheme="minorHAnsi" w:cstheme="minorHAnsi"/>
          <w:color w:val="0000FF"/>
          <w:sz w:val="20"/>
          <w:szCs w:val="20"/>
        </w:rPr>
      </w:pPr>
      <w:r>
        <w:rPr>
          <w:rFonts w:asciiTheme="minorHAnsi" w:hAnsiTheme="minorHAnsi" w:cstheme="minorHAnsi"/>
          <w:color w:val="0000FF"/>
          <w:sz w:val="20"/>
          <w:szCs w:val="20"/>
        </w:rPr>
        <w:t>Note: Smaller score frequencies were combined into ranges to make table readable.</w:t>
      </w:r>
    </w:p>
    <w:p w14:paraId="49312118" w14:textId="77777777" w:rsidR="00912BA6" w:rsidRPr="00531564" w:rsidRDefault="00912BA6" w:rsidP="00912BA6">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52B98BCE" w14:textId="77777777" w:rsidR="00577CD8" w:rsidRDefault="00577CD8" w:rsidP="00577CD8">
      <w:pPr>
        <w:spacing w:after="0"/>
        <w:jc w:val="center"/>
        <w:rPr>
          <w:b/>
          <w:iCs/>
          <w:color w:val="0000FF"/>
        </w:rPr>
      </w:pPr>
    </w:p>
    <w:p w14:paraId="4D99051E" w14:textId="4788B512" w:rsidR="00577CD8" w:rsidRPr="00D77E49" w:rsidRDefault="00577CD8" w:rsidP="00577CD8">
      <w:pPr>
        <w:spacing w:after="0"/>
        <w:jc w:val="center"/>
        <w:rPr>
          <w:b/>
          <w:iCs/>
          <w:color w:val="0000FF"/>
        </w:rPr>
      </w:pPr>
      <w:r w:rsidRPr="00D77E49">
        <w:rPr>
          <w:b/>
          <w:iCs/>
          <w:color w:val="0000FF"/>
        </w:rPr>
        <w:lastRenderedPageBreak/>
        <w:t>Figure</w:t>
      </w:r>
      <w:bookmarkStart w:id="97" w:name="_GoBack"/>
      <w:bookmarkEnd w:id="97"/>
      <w:r w:rsidRPr="00D77E49">
        <w:rPr>
          <w:b/>
          <w:iCs/>
          <w:color w:val="0000FF"/>
        </w:rPr>
        <w:t xml:space="preserve"> 3. Distribution of Facility-Level Mean Risk Adjusted Change in </w:t>
      </w:r>
      <w:r w:rsidR="009E477D" w:rsidRPr="00D77E49">
        <w:rPr>
          <w:b/>
          <w:iCs/>
          <w:color w:val="0000FF"/>
        </w:rPr>
        <w:t>Mobility</w:t>
      </w:r>
      <w:r w:rsidRPr="00D77E49">
        <w:rPr>
          <w:b/>
          <w:iCs/>
          <w:color w:val="0000FF"/>
        </w:rPr>
        <w:t xml:space="preserve"> Scores (</w:t>
      </w:r>
      <w:r w:rsidR="004F1EF3" w:rsidRPr="00D77E49">
        <w:rPr>
          <w:b/>
          <w:iCs/>
          <w:color w:val="0000FF"/>
        </w:rPr>
        <w:t>n=</w:t>
      </w:r>
      <w:r w:rsidR="004F1EF3">
        <w:rPr>
          <w:b/>
          <w:iCs/>
          <w:color w:val="0000FF"/>
        </w:rPr>
        <w:t>1,117</w:t>
      </w:r>
      <w:r w:rsidRPr="00D77E49">
        <w:rPr>
          <w:b/>
          <w:iCs/>
          <w:color w:val="0000FF"/>
        </w:rPr>
        <w:t>)</w:t>
      </w:r>
    </w:p>
    <w:p w14:paraId="14B4A8C9" w14:textId="1608C6BA" w:rsidR="00E73B3B" w:rsidRDefault="00E73B3B" w:rsidP="00302EF1">
      <w:pPr>
        <w:spacing w:after="0"/>
        <w:ind w:hanging="990"/>
        <w:jc w:val="center"/>
        <w:rPr>
          <w:b/>
          <w:iCs/>
          <w:color w:val="0000FF"/>
        </w:rPr>
      </w:pPr>
      <w:r>
        <w:rPr>
          <w:b/>
          <w:iCs/>
          <w:noProof/>
          <w:color w:val="0000FF"/>
        </w:rPr>
        <w:drawing>
          <wp:inline distT="0" distB="0" distL="0" distR="0" wp14:anchorId="51D647FC" wp14:editId="4452F3AF">
            <wp:extent cx="4710897" cy="3471903"/>
            <wp:effectExtent l="0" t="0" r="0" b="0"/>
            <wp:docPr id="226" name="Picture 226" descr="In contrast to Figure 2, this distribution shows the facility-level mean risk-adjusted (expected) change in mobility scores for calendar year 2017. It is based on Inpatient Rehabilitation Facility Patient Assessment Instrument data from 1,117 IRFs. The facility-level mean risk-adjusted change scores demonstrate a normal distribution and good variability. Important differences are observed between this distribution and the distribution in Figure 2, which speaks to the importance of risk adjustment. This analysis was conducted by RTI International and the programming reference is MV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0"/>
                    <a:stretch>
                      <a:fillRect/>
                    </a:stretch>
                  </pic:blipFill>
                  <pic:spPr bwMode="auto">
                    <a:xfrm>
                      <a:off x="0" y="0"/>
                      <a:ext cx="4714341" cy="3474441"/>
                    </a:xfrm>
                    <a:prstGeom prst="rect">
                      <a:avLst/>
                    </a:prstGeom>
                    <a:noFill/>
                  </pic:spPr>
                </pic:pic>
              </a:graphicData>
            </a:graphic>
          </wp:inline>
        </w:drawing>
      </w:r>
    </w:p>
    <w:p w14:paraId="7EBE54B6" w14:textId="08D77D7A" w:rsidR="00577CD8" w:rsidRDefault="009E477D" w:rsidP="00D77E49">
      <w:pPr>
        <w:spacing w:before="100" w:beforeAutospacing="1" w:after="100" w:afterAutospacing="1" w:line="240" w:lineRule="auto"/>
        <w:jc w:val="center"/>
        <w:rPr>
          <w:rFonts w:cstheme="minorHAnsi"/>
          <w:color w:val="0000FF"/>
          <w:sz w:val="20"/>
          <w:szCs w:val="20"/>
        </w:rPr>
      </w:pPr>
      <w:r w:rsidRPr="00B915C7">
        <w:rPr>
          <w:rFonts w:cstheme="minorHAnsi"/>
          <w:color w:val="0000FF"/>
          <w:sz w:val="20"/>
          <w:szCs w:val="20"/>
        </w:rPr>
        <w:t>Source: RTI analysis of IRF-PAI, January – December 2017. (Program reference: MV</w:t>
      </w:r>
      <w:r>
        <w:rPr>
          <w:rFonts w:cstheme="minorHAnsi"/>
          <w:color w:val="0000FF"/>
          <w:sz w:val="20"/>
          <w:szCs w:val="20"/>
        </w:rPr>
        <w:t>50</w:t>
      </w:r>
      <w:r w:rsidRPr="00B915C7">
        <w:rPr>
          <w:rFonts w:cstheme="minorHAnsi"/>
          <w:color w:val="0000FF"/>
          <w:sz w:val="20"/>
          <w:szCs w:val="20"/>
        </w:rPr>
        <w:t>)</w:t>
      </w:r>
    </w:p>
    <w:p w14:paraId="58E3E665" w14:textId="77777777" w:rsidR="00912BA6" w:rsidRPr="00515394" w:rsidRDefault="00912BA6" w:rsidP="00912BA6">
      <w:pPr>
        <w:spacing w:before="100" w:beforeAutospacing="1" w:after="0" w:line="240" w:lineRule="auto"/>
        <w:jc w:val="center"/>
        <w:rPr>
          <w:b/>
          <w:iCs/>
          <w:color w:val="0000FF"/>
        </w:rPr>
      </w:pPr>
      <w:r w:rsidRPr="00515394">
        <w:rPr>
          <w:b/>
          <w:iCs/>
          <w:color w:val="0000FF"/>
        </w:rPr>
        <w:t>Figure 3</w:t>
      </w:r>
      <w:r>
        <w:rPr>
          <w:b/>
          <w:iCs/>
          <w:color w:val="0000FF"/>
        </w:rPr>
        <w:t xml:space="preserve"> Data Table</w:t>
      </w:r>
      <w:r w:rsidRPr="00515394">
        <w:rPr>
          <w:b/>
          <w:iCs/>
          <w:color w:val="0000FF"/>
        </w:rPr>
        <w:t>. Distribution of Facility-Level Mean Risk Adjusted Change in Mobility Scores (n=1,117)</w:t>
      </w:r>
    </w:p>
    <w:tbl>
      <w:tblPr>
        <w:tblW w:w="5000" w:type="pct"/>
        <w:tblLook w:val="06A0" w:firstRow="1" w:lastRow="0" w:firstColumn="1" w:lastColumn="0" w:noHBand="1" w:noVBand="1"/>
      </w:tblPr>
      <w:tblGrid>
        <w:gridCol w:w="4680"/>
        <w:gridCol w:w="4680"/>
      </w:tblGrid>
      <w:tr w:rsidR="00912BA6" w:rsidRPr="001B21D9" w14:paraId="33BA9C8D" w14:textId="77777777" w:rsidTr="005F4D1B">
        <w:trPr>
          <w:trHeight w:val="432"/>
          <w:tblHeader/>
        </w:trPr>
        <w:tc>
          <w:tcPr>
            <w:tcW w:w="2500" w:type="pct"/>
            <w:tcBorders>
              <w:top w:val="single" w:sz="4" w:space="0" w:color="auto"/>
              <w:bottom w:val="single" w:sz="4" w:space="0" w:color="auto"/>
            </w:tcBorders>
            <w:shd w:val="clear" w:color="auto" w:fill="auto"/>
            <w:vAlign w:val="center"/>
          </w:tcPr>
          <w:p w14:paraId="3A0A8F67" w14:textId="77777777" w:rsidR="00912BA6" w:rsidRPr="00F73335" w:rsidRDefault="00912BA6" w:rsidP="005F4D1B">
            <w:pPr>
              <w:spacing w:after="0" w:line="240" w:lineRule="auto"/>
              <w:rPr>
                <w:rFonts w:eastAsia="Calibri" w:cstheme="minorHAnsi"/>
                <w:b/>
                <w:color w:val="0000FF"/>
                <w:sz w:val="20"/>
              </w:rPr>
            </w:pPr>
            <w:r>
              <w:rPr>
                <w:rFonts w:eastAsia="Calibri" w:cstheme="minorHAnsi"/>
                <w:b/>
                <w:color w:val="0000FF"/>
                <w:sz w:val="20"/>
              </w:rPr>
              <w:t>Facility-Level Mean Risk Adjusted Change in Mobility Scores*</w:t>
            </w:r>
          </w:p>
        </w:tc>
        <w:tc>
          <w:tcPr>
            <w:tcW w:w="2500" w:type="pct"/>
            <w:tcBorders>
              <w:top w:val="single" w:sz="4" w:space="0" w:color="auto"/>
              <w:bottom w:val="single" w:sz="4" w:space="0" w:color="auto"/>
            </w:tcBorders>
            <w:shd w:val="clear" w:color="auto" w:fill="auto"/>
            <w:vAlign w:val="center"/>
          </w:tcPr>
          <w:p w14:paraId="422C2CAC" w14:textId="77777777" w:rsidR="00912BA6" w:rsidRPr="00F73335" w:rsidRDefault="00912BA6" w:rsidP="005F4D1B">
            <w:pPr>
              <w:spacing w:after="0" w:line="240" w:lineRule="auto"/>
              <w:jc w:val="center"/>
              <w:rPr>
                <w:rFonts w:cstheme="minorHAnsi"/>
                <w:b/>
                <w:bCs/>
                <w:color w:val="0000FF"/>
                <w:sz w:val="20"/>
              </w:rPr>
            </w:pPr>
            <w:r w:rsidRPr="00F73335">
              <w:rPr>
                <w:rFonts w:cstheme="minorHAnsi"/>
                <w:b/>
                <w:bCs/>
                <w:color w:val="0000FF"/>
                <w:sz w:val="20"/>
              </w:rPr>
              <w:t>Number of IRFs</w:t>
            </w:r>
          </w:p>
        </w:tc>
      </w:tr>
      <w:tr w:rsidR="00912BA6" w:rsidRPr="001B21D9" w14:paraId="694111D4" w14:textId="77777777" w:rsidTr="005F4D1B">
        <w:trPr>
          <w:trHeight w:val="315"/>
        </w:trPr>
        <w:tc>
          <w:tcPr>
            <w:tcW w:w="2500" w:type="pct"/>
            <w:vAlign w:val="center"/>
          </w:tcPr>
          <w:p w14:paraId="19148D70"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13.0 to 20.0</w:t>
            </w:r>
          </w:p>
        </w:tc>
        <w:tc>
          <w:tcPr>
            <w:tcW w:w="2500" w:type="pct"/>
            <w:vAlign w:val="center"/>
          </w:tcPr>
          <w:p w14:paraId="4482CEB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34</w:t>
            </w:r>
          </w:p>
        </w:tc>
      </w:tr>
      <w:tr w:rsidR="00912BA6" w:rsidRPr="001B21D9" w14:paraId="246CFCD1" w14:textId="77777777" w:rsidTr="005F4D1B">
        <w:trPr>
          <w:trHeight w:val="315"/>
        </w:trPr>
        <w:tc>
          <w:tcPr>
            <w:tcW w:w="2500" w:type="pct"/>
            <w:vAlign w:val="center"/>
          </w:tcPr>
          <w:p w14:paraId="0055D992"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21.0 to 22.0</w:t>
            </w:r>
          </w:p>
        </w:tc>
        <w:tc>
          <w:tcPr>
            <w:tcW w:w="2500" w:type="pct"/>
            <w:vAlign w:val="center"/>
          </w:tcPr>
          <w:p w14:paraId="78886A90"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73</w:t>
            </w:r>
          </w:p>
        </w:tc>
      </w:tr>
      <w:tr w:rsidR="00912BA6" w:rsidRPr="001B21D9" w14:paraId="4E41C1A3" w14:textId="77777777" w:rsidTr="005F4D1B">
        <w:trPr>
          <w:trHeight w:val="315"/>
        </w:trPr>
        <w:tc>
          <w:tcPr>
            <w:tcW w:w="2500" w:type="pct"/>
            <w:vAlign w:val="center"/>
          </w:tcPr>
          <w:p w14:paraId="042BB260"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23.0 to 24.0</w:t>
            </w:r>
          </w:p>
        </w:tc>
        <w:tc>
          <w:tcPr>
            <w:tcW w:w="2500" w:type="pct"/>
            <w:vAlign w:val="center"/>
          </w:tcPr>
          <w:p w14:paraId="1B66B530"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114</w:t>
            </w:r>
          </w:p>
        </w:tc>
      </w:tr>
      <w:tr w:rsidR="00912BA6" w:rsidRPr="001B21D9" w14:paraId="233E3432" w14:textId="77777777" w:rsidTr="005F4D1B">
        <w:trPr>
          <w:trHeight w:val="315"/>
        </w:trPr>
        <w:tc>
          <w:tcPr>
            <w:tcW w:w="2500" w:type="pct"/>
            <w:vAlign w:val="center"/>
          </w:tcPr>
          <w:p w14:paraId="4BAE63D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25.0 to 26.0</w:t>
            </w:r>
          </w:p>
        </w:tc>
        <w:tc>
          <w:tcPr>
            <w:tcW w:w="2500" w:type="pct"/>
            <w:vAlign w:val="center"/>
          </w:tcPr>
          <w:p w14:paraId="7C389F2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174</w:t>
            </w:r>
          </w:p>
        </w:tc>
      </w:tr>
      <w:tr w:rsidR="00912BA6" w:rsidRPr="001B21D9" w14:paraId="1226E908" w14:textId="77777777" w:rsidTr="005F4D1B">
        <w:trPr>
          <w:trHeight w:val="315"/>
        </w:trPr>
        <w:tc>
          <w:tcPr>
            <w:tcW w:w="2500" w:type="pct"/>
            <w:vAlign w:val="center"/>
          </w:tcPr>
          <w:p w14:paraId="24652F6B"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27.0 to 28.0</w:t>
            </w:r>
          </w:p>
        </w:tc>
        <w:tc>
          <w:tcPr>
            <w:tcW w:w="2500" w:type="pct"/>
            <w:vAlign w:val="center"/>
          </w:tcPr>
          <w:p w14:paraId="58D8D9C3"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206</w:t>
            </w:r>
          </w:p>
        </w:tc>
      </w:tr>
      <w:tr w:rsidR="00912BA6" w:rsidRPr="001B21D9" w14:paraId="6DB755B9" w14:textId="77777777" w:rsidTr="005F4D1B">
        <w:trPr>
          <w:trHeight w:val="315"/>
        </w:trPr>
        <w:tc>
          <w:tcPr>
            <w:tcW w:w="2500" w:type="pct"/>
            <w:vAlign w:val="center"/>
          </w:tcPr>
          <w:p w14:paraId="79C68D8D"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29.0 to 30.0</w:t>
            </w:r>
          </w:p>
        </w:tc>
        <w:tc>
          <w:tcPr>
            <w:tcW w:w="2500" w:type="pct"/>
            <w:vAlign w:val="center"/>
          </w:tcPr>
          <w:p w14:paraId="51315C86"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157</w:t>
            </w:r>
          </w:p>
        </w:tc>
      </w:tr>
      <w:tr w:rsidR="00912BA6" w:rsidRPr="001B21D9" w14:paraId="3E0A9AF6" w14:textId="77777777" w:rsidTr="005F4D1B">
        <w:trPr>
          <w:trHeight w:val="315"/>
        </w:trPr>
        <w:tc>
          <w:tcPr>
            <w:tcW w:w="2500" w:type="pct"/>
            <w:vAlign w:val="center"/>
          </w:tcPr>
          <w:p w14:paraId="2D607A44"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31.0 to 32.0</w:t>
            </w:r>
          </w:p>
        </w:tc>
        <w:tc>
          <w:tcPr>
            <w:tcW w:w="2500" w:type="pct"/>
            <w:vAlign w:val="center"/>
          </w:tcPr>
          <w:p w14:paraId="693F5772"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145</w:t>
            </w:r>
          </w:p>
        </w:tc>
      </w:tr>
      <w:tr w:rsidR="00912BA6" w:rsidRPr="001B21D9" w14:paraId="27719417" w14:textId="77777777" w:rsidTr="005F4D1B">
        <w:trPr>
          <w:trHeight w:val="315"/>
        </w:trPr>
        <w:tc>
          <w:tcPr>
            <w:tcW w:w="2500" w:type="pct"/>
            <w:vAlign w:val="center"/>
          </w:tcPr>
          <w:p w14:paraId="37E7B472"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33.0 to 34.0</w:t>
            </w:r>
          </w:p>
        </w:tc>
        <w:tc>
          <w:tcPr>
            <w:tcW w:w="2500" w:type="pct"/>
            <w:vAlign w:val="center"/>
          </w:tcPr>
          <w:p w14:paraId="4F02548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105</w:t>
            </w:r>
          </w:p>
        </w:tc>
      </w:tr>
      <w:tr w:rsidR="00912BA6" w:rsidRPr="001B21D9" w14:paraId="2207BB0A" w14:textId="77777777" w:rsidTr="005F4D1B">
        <w:trPr>
          <w:trHeight w:val="315"/>
        </w:trPr>
        <w:tc>
          <w:tcPr>
            <w:tcW w:w="2500" w:type="pct"/>
            <w:vAlign w:val="center"/>
          </w:tcPr>
          <w:p w14:paraId="4B4AF00D"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35.0 to 36.0</w:t>
            </w:r>
          </w:p>
        </w:tc>
        <w:tc>
          <w:tcPr>
            <w:tcW w:w="2500" w:type="pct"/>
            <w:vAlign w:val="center"/>
          </w:tcPr>
          <w:p w14:paraId="14E7F752"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69</w:t>
            </w:r>
          </w:p>
        </w:tc>
      </w:tr>
      <w:tr w:rsidR="00912BA6" w:rsidRPr="001B21D9" w14:paraId="125C8C6F" w14:textId="77777777" w:rsidTr="005F4D1B">
        <w:trPr>
          <w:trHeight w:val="315"/>
        </w:trPr>
        <w:tc>
          <w:tcPr>
            <w:tcW w:w="2500" w:type="pct"/>
            <w:vAlign w:val="center"/>
          </w:tcPr>
          <w:p w14:paraId="1D9F3598"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37.0 to 38.0</w:t>
            </w:r>
          </w:p>
        </w:tc>
        <w:tc>
          <w:tcPr>
            <w:tcW w:w="2500" w:type="pct"/>
            <w:vAlign w:val="center"/>
          </w:tcPr>
          <w:p w14:paraId="7FD7BC3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25</w:t>
            </w:r>
          </w:p>
        </w:tc>
      </w:tr>
      <w:tr w:rsidR="00912BA6" w:rsidRPr="001B21D9" w14:paraId="67E5767D" w14:textId="77777777" w:rsidTr="005F4D1B">
        <w:trPr>
          <w:trHeight w:val="315"/>
        </w:trPr>
        <w:tc>
          <w:tcPr>
            <w:tcW w:w="2500" w:type="pct"/>
            <w:vAlign w:val="center"/>
          </w:tcPr>
          <w:p w14:paraId="03843AF2" w14:textId="77777777" w:rsidR="00912BA6" w:rsidRPr="00F73335" w:rsidDel="004005B0" w:rsidRDefault="00912BA6" w:rsidP="005F4D1B">
            <w:pPr>
              <w:spacing w:after="0" w:line="240" w:lineRule="auto"/>
              <w:jc w:val="center"/>
              <w:rPr>
                <w:rFonts w:cstheme="minorHAnsi"/>
                <w:color w:val="0000FF"/>
                <w:sz w:val="20"/>
              </w:rPr>
            </w:pPr>
            <w:r>
              <w:rPr>
                <w:rFonts w:ascii="Calibri" w:hAnsi="Calibri" w:cs="Calibri"/>
                <w:color w:val="0000FF"/>
                <w:sz w:val="20"/>
                <w:szCs w:val="20"/>
              </w:rPr>
              <w:t>39.0 to 40.0</w:t>
            </w:r>
          </w:p>
        </w:tc>
        <w:tc>
          <w:tcPr>
            <w:tcW w:w="2500" w:type="pct"/>
            <w:vAlign w:val="center"/>
          </w:tcPr>
          <w:p w14:paraId="02D6075F"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10</w:t>
            </w:r>
          </w:p>
        </w:tc>
      </w:tr>
      <w:tr w:rsidR="00912BA6" w:rsidRPr="001B21D9" w14:paraId="1DD4F6AD" w14:textId="77777777" w:rsidTr="005F4D1B">
        <w:trPr>
          <w:trHeight w:val="315"/>
        </w:trPr>
        <w:tc>
          <w:tcPr>
            <w:tcW w:w="2500" w:type="pct"/>
            <w:vAlign w:val="center"/>
          </w:tcPr>
          <w:p w14:paraId="68FF9557"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40.0 to 47.0</w:t>
            </w:r>
          </w:p>
        </w:tc>
        <w:tc>
          <w:tcPr>
            <w:tcW w:w="2500" w:type="pct"/>
            <w:vAlign w:val="center"/>
          </w:tcPr>
          <w:p w14:paraId="30112C15" w14:textId="77777777" w:rsidR="00912BA6" w:rsidRPr="00F73335" w:rsidRDefault="00912BA6" w:rsidP="005F4D1B">
            <w:pPr>
              <w:spacing w:after="0" w:line="240" w:lineRule="auto"/>
              <w:jc w:val="center"/>
              <w:rPr>
                <w:rFonts w:cstheme="minorHAnsi"/>
                <w:color w:val="0000FF"/>
                <w:sz w:val="20"/>
              </w:rPr>
            </w:pPr>
            <w:r>
              <w:rPr>
                <w:rFonts w:ascii="Calibri" w:hAnsi="Calibri" w:cs="Calibri"/>
                <w:color w:val="0000FF"/>
                <w:sz w:val="20"/>
                <w:szCs w:val="20"/>
              </w:rPr>
              <w:t>5</w:t>
            </w:r>
          </w:p>
        </w:tc>
      </w:tr>
      <w:tr w:rsidR="00912BA6" w:rsidRPr="001B21D9" w14:paraId="609FD7F7" w14:textId="77777777" w:rsidTr="005F4D1B">
        <w:trPr>
          <w:trHeight w:val="315"/>
        </w:trPr>
        <w:tc>
          <w:tcPr>
            <w:tcW w:w="2500" w:type="pct"/>
            <w:tcBorders>
              <w:bottom w:val="single" w:sz="4" w:space="0" w:color="auto"/>
            </w:tcBorders>
            <w:vAlign w:val="center"/>
          </w:tcPr>
          <w:p w14:paraId="0E08048C" w14:textId="77777777" w:rsidR="00912BA6" w:rsidRPr="008B7ADB" w:rsidRDefault="00912BA6" w:rsidP="005F4D1B">
            <w:pPr>
              <w:spacing w:after="0" w:line="240" w:lineRule="auto"/>
              <w:jc w:val="center"/>
              <w:rPr>
                <w:rFonts w:cstheme="minorHAnsi"/>
                <w:b/>
                <w:color w:val="0000FF"/>
                <w:sz w:val="20"/>
              </w:rPr>
            </w:pPr>
            <w:r w:rsidRPr="008B7ADB">
              <w:rPr>
                <w:rFonts w:cstheme="minorHAnsi"/>
                <w:b/>
                <w:color w:val="0000FF"/>
                <w:sz w:val="20"/>
              </w:rPr>
              <w:t>Total</w:t>
            </w:r>
          </w:p>
        </w:tc>
        <w:tc>
          <w:tcPr>
            <w:tcW w:w="2500" w:type="pct"/>
            <w:tcBorders>
              <w:bottom w:val="single" w:sz="4" w:space="0" w:color="auto"/>
            </w:tcBorders>
            <w:vAlign w:val="center"/>
          </w:tcPr>
          <w:p w14:paraId="64A31D17" w14:textId="77777777" w:rsidR="00912BA6" w:rsidRPr="008B7ADB" w:rsidRDefault="00912BA6" w:rsidP="005F4D1B">
            <w:pPr>
              <w:spacing w:after="0" w:line="240" w:lineRule="auto"/>
              <w:jc w:val="center"/>
              <w:rPr>
                <w:rFonts w:cstheme="minorHAnsi"/>
                <w:b/>
                <w:color w:val="0000FF"/>
                <w:sz w:val="20"/>
              </w:rPr>
            </w:pPr>
            <w:r w:rsidRPr="008B7ADB">
              <w:rPr>
                <w:rFonts w:cstheme="minorHAnsi"/>
                <w:b/>
                <w:color w:val="0000FF"/>
                <w:sz w:val="20"/>
              </w:rPr>
              <w:t>1,117</w:t>
            </w:r>
          </w:p>
        </w:tc>
      </w:tr>
    </w:tbl>
    <w:p w14:paraId="6F2D0C0C" w14:textId="77777777" w:rsidR="00912BA6" w:rsidRDefault="00912BA6" w:rsidP="00912BA6">
      <w:pPr>
        <w:pStyle w:val="NoSpacing"/>
        <w:contextualSpacing/>
        <w:jc w:val="both"/>
        <w:rPr>
          <w:rFonts w:asciiTheme="minorHAnsi" w:hAnsiTheme="minorHAnsi" w:cstheme="minorHAnsi"/>
          <w:color w:val="0000FF"/>
          <w:sz w:val="20"/>
          <w:szCs w:val="20"/>
        </w:rPr>
      </w:pPr>
      <w:r>
        <w:rPr>
          <w:rFonts w:asciiTheme="minorHAnsi" w:hAnsiTheme="minorHAnsi" w:cstheme="minorHAnsi"/>
          <w:color w:val="0000FF"/>
          <w:sz w:val="20"/>
          <w:szCs w:val="20"/>
        </w:rPr>
        <w:t>*Scores were rounded to the nearest whole number for the figure</w:t>
      </w:r>
    </w:p>
    <w:p w14:paraId="2E342916" w14:textId="77777777" w:rsidR="00912BA6" w:rsidRDefault="00912BA6" w:rsidP="00912BA6">
      <w:pPr>
        <w:pStyle w:val="NoSpacing"/>
        <w:jc w:val="both"/>
        <w:rPr>
          <w:rFonts w:asciiTheme="minorHAnsi" w:hAnsiTheme="minorHAnsi" w:cstheme="minorHAnsi"/>
          <w:color w:val="0000FF"/>
          <w:sz w:val="20"/>
          <w:szCs w:val="20"/>
        </w:rPr>
      </w:pPr>
      <w:r>
        <w:rPr>
          <w:rFonts w:asciiTheme="minorHAnsi" w:hAnsiTheme="minorHAnsi" w:cstheme="minorHAnsi"/>
          <w:color w:val="0000FF"/>
          <w:sz w:val="20"/>
          <w:szCs w:val="20"/>
        </w:rPr>
        <w:t>Note: Smaller score frequencies were combined into ranges to make table readable.</w:t>
      </w:r>
    </w:p>
    <w:p w14:paraId="22190D3B" w14:textId="77777777" w:rsidR="00912BA6" w:rsidRPr="00531564" w:rsidRDefault="00912BA6" w:rsidP="00912BA6">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Source: RTI analysis of IRF-PAI, January – December 2017. (Program reference: MV</w:t>
      </w:r>
      <w:r>
        <w:rPr>
          <w:rFonts w:asciiTheme="minorHAnsi" w:hAnsiTheme="minorHAnsi" w:cstheme="minorHAnsi"/>
          <w:color w:val="0000FF"/>
          <w:sz w:val="20"/>
          <w:szCs w:val="20"/>
        </w:rPr>
        <w:t>50</w:t>
      </w:r>
      <w:r w:rsidRPr="00B915C7">
        <w:rPr>
          <w:rFonts w:asciiTheme="minorHAnsi" w:hAnsiTheme="minorHAnsi" w:cstheme="minorHAnsi"/>
          <w:color w:val="0000FF"/>
          <w:sz w:val="20"/>
          <w:szCs w:val="20"/>
        </w:rPr>
        <w:t>)</w:t>
      </w:r>
    </w:p>
    <w:p w14:paraId="4DF55C54" w14:textId="77777777" w:rsidR="00912BA6" w:rsidRDefault="00912BA6" w:rsidP="00D77E49">
      <w:pPr>
        <w:spacing w:before="100" w:beforeAutospacing="1" w:after="100" w:afterAutospacing="1" w:line="240" w:lineRule="auto"/>
        <w:jc w:val="center"/>
        <w:rPr>
          <w:iCs/>
          <w:color w:val="0000FF"/>
          <w:highlight w:val="yellow"/>
        </w:rPr>
      </w:pPr>
    </w:p>
    <w:p w14:paraId="0F6F88A6" w14:textId="63F5D191" w:rsidR="00577CD8" w:rsidRDefault="00577CD8" w:rsidP="00577CD8">
      <w:pPr>
        <w:spacing w:after="0"/>
        <w:rPr>
          <w:iCs/>
          <w:color w:val="0000FF"/>
        </w:rPr>
      </w:pPr>
      <w:r w:rsidRPr="00BA188F">
        <w:rPr>
          <w:iCs/>
          <w:color w:val="0000FF"/>
        </w:rPr>
        <w:t xml:space="preserve">Skewness and kurtosis values of the </w:t>
      </w:r>
      <w:r w:rsidRPr="00BA188F">
        <w:rPr>
          <w:bCs/>
          <w:iCs/>
          <w:color w:val="0000FF"/>
        </w:rPr>
        <w:t xml:space="preserve">facility-level mean </w:t>
      </w:r>
      <w:r w:rsidRPr="00BA188F">
        <w:rPr>
          <w:iCs/>
          <w:color w:val="0000FF"/>
        </w:rPr>
        <w:t>unadjusted change scores are larger than those of the mean risk adjusted change scores (</w:t>
      </w:r>
      <w:r w:rsidRPr="00BA188F">
        <w:rPr>
          <w:b/>
          <w:bCs/>
          <w:iCs/>
          <w:color w:val="0000FF"/>
        </w:rPr>
        <w:t xml:space="preserve">Table </w:t>
      </w:r>
      <w:r>
        <w:rPr>
          <w:b/>
          <w:bCs/>
          <w:iCs/>
          <w:color w:val="0000FF"/>
        </w:rPr>
        <w:t>1</w:t>
      </w:r>
      <w:r w:rsidR="00360220">
        <w:rPr>
          <w:b/>
          <w:bCs/>
          <w:iCs/>
          <w:color w:val="0000FF"/>
        </w:rPr>
        <w:t>2</w:t>
      </w:r>
      <w:r w:rsidRPr="00BA188F">
        <w:rPr>
          <w:iCs/>
          <w:color w:val="0000FF"/>
        </w:rPr>
        <w:t>), indicating that the unadjusted scores deviate from a normal distribution to a larger extent than the risk adjusted scores</w:t>
      </w:r>
      <w:r w:rsidR="00A33932">
        <w:rPr>
          <w:iCs/>
          <w:color w:val="0000FF"/>
        </w:rPr>
        <w:t xml:space="preserve"> </w:t>
      </w:r>
      <w:bookmarkStart w:id="98" w:name="_Hlk534616904"/>
      <w:r w:rsidR="00A33932">
        <w:rPr>
          <w:iCs/>
          <w:color w:val="0000FF"/>
        </w:rPr>
        <w:t>(i.e., performance measure scores)</w:t>
      </w:r>
      <w:bookmarkEnd w:id="98"/>
      <w:r w:rsidRPr="00BA188F">
        <w:rPr>
          <w:iCs/>
          <w:color w:val="0000FF"/>
        </w:rPr>
        <w:t xml:space="preserve">. </w:t>
      </w:r>
      <w:r w:rsidRPr="00BA188F">
        <w:rPr>
          <w:b/>
          <w:iCs/>
          <w:color w:val="0000FF"/>
        </w:rPr>
        <w:t xml:space="preserve">Table </w:t>
      </w:r>
      <w:r w:rsidR="00360220">
        <w:rPr>
          <w:b/>
          <w:iCs/>
          <w:color w:val="0000FF"/>
        </w:rPr>
        <w:t>12</w:t>
      </w:r>
      <w:r w:rsidR="00360220" w:rsidRPr="00BA188F">
        <w:rPr>
          <w:bCs/>
          <w:iCs/>
          <w:color w:val="0000FF"/>
        </w:rPr>
        <w:t xml:space="preserve"> </w:t>
      </w:r>
      <w:r w:rsidRPr="00BA188F">
        <w:rPr>
          <w:bCs/>
          <w:iCs/>
          <w:color w:val="0000FF"/>
        </w:rPr>
        <w:t xml:space="preserve">shows that the standard deviation of the mean risk adjusted change scores </w:t>
      </w:r>
      <w:r>
        <w:rPr>
          <w:bCs/>
          <w:iCs/>
          <w:color w:val="0000FF"/>
        </w:rPr>
        <w:t>is</w:t>
      </w:r>
      <w:r w:rsidRPr="00BA188F">
        <w:rPr>
          <w:bCs/>
          <w:iCs/>
          <w:color w:val="0000FF"/>
        </w:rPr>
        <w:t xml:space="preserve"> slightly smaller than those of the unadjusted change scores. </w:t>
      </w:r>
      <w:r w:rsidRPr="00BA188F">
        <w:rPr>
          <w:iCs/>
          <w:color w:val="0000FF"/>
        </w:rPr>
        <w:t xml:space="preserve">The mean risk adjusted change scores have a range of </w:t>
      </w:r>
      <w:r w:rsidR="009E477D">
        <w:rPr>
          <w:iCs/>
          <w:color w:val="0000FF"/>
        </w:rPr>
        <w:t xml:space="preserve">13.3 </w:t>
      </w:r>
      <w:r w:rsidRPr="00BA188F">
        <w:rPr>
          <w:iCs/>
          <w:color w:val="0000FF"/>
        </w:rPr>
        <w:t xml:space="preserve">to </w:t>
      </w:r>
      <w:r w:rsidR="009E477D">
        <w:rPr>
          <w:iCs/>
          <w:color w:val="0000FF"/>
        </w:rPr>
        <w:t>46.7</w:t>
      </w:r>
      <w:r w:rsidRPr="00BA188F">
        <w:rPr>
          <w:iCs/>
          <w:color w:val="0000FF"/>
        </w:rPr>
        <w:t xml:space="preserve">, and an interquartile range of </w:t>
      </w:r>
      <w:r w:rsidR="008D1672" w:rsidRPr="00D77E49">
        <w:rPr>
          <w:iCs/>
          <w:color w:val="0000FF"/>
        </w:rPr>
        <w:t>6.3</w:t>
      </w:r>
      <w:r w:rsidRPr="00D77E49">
        <w:rPr>
          <w:iCs/>
          <w:color w:val="0000FF"/>
        </w:rPr>
        <w:t xml:space="preserve">. In contrast, the mean unadjusted change scores have a wider range of </w:t>
      </w:r>
      <w:r w:rsidR="009E477D" w:rsidRPr="00D77E49">
        <w:rPr>
          <w:iCs/>
          <w:color w:val="0000FF"/>
        </w:rPr>
        <w:t>13.8</w:t>
      </w:r>
      <w:r w:rsidRPr="00D77E49">
        <w:rPr>
          <w:iCs/>
          <w:color w:val="0000FF"/>
        </w:rPr>
        <w:t xml:space="preserve"> to </w:t>
      </w:r>
      <w:r w:rsidR="009E477D" w:rsidRPr="00D77E49">
        <w:rPr>
          <w:iCs/>
          <w:color w:val="0000FF"/>
        </w:rPr>
        <w:t>56.5</w:t>
      </w:r>
      <w:r w:rsidRPr="00D77E49">
        <w:rPr>
          <w:iCs/>
          <w:color w:val="0000FF"/>
        </w:rPr>
        <w:t>, and a</w:t>
      </w:r>
      <w:r w:rsidR="00D77E49" w:rsidRPr="00D77E49">
        <w:rPr>
          <w:iCs/>
          <w:color w:val="0000FF"/>
        </w:rPr>
        <w:t>n</w:t>
      </w:r>
      <w:r w:rsidRPr="00D77E49">
        <w:rPr>
          <w:iCs/>
          <w:color w:val="0000FF"/>
        </w:rPr>
        <w:t xml:space="preserve"> interquartile range of </w:t>
      </w:r>
      <w:r w:rsidR="008D1672" w:rsidRPr="00D77E49">
        <w:rPr>
          <w:iCs/>
          <w:color w:val="0000FF"/>
        </w:rPr>
        <w:t>6.6</w:t>
      </w:r>
      <w:r w:rsidRPr="00D77E49">
        <w:rPr>
          <w:iCs/>
          <w:color w:val="0000FF"/>
        </w:rPr>
        <w:t>.</w:t>
      </w:r>
      <w:r w:rsidRPr="00BA188F">
        <w:rPr>
          <w:iCs/>
          <w:color w:val="0000FF"/>
        </w:rPr>
        <w:t xml:space="preserve"> </w:t>
      </w:r>
    </w:p>
    <w:p w14:paraId="130BA236" w14:textId="77777777" w:rsidR="00D77E49" w:rsidRPr="00BA188F" w:rsidRDefault="00D77E49" w:rsidP="00577CD8">
      <w:pPr>
        <w:spacing w:after="0"/>
        <w:rPr>
          <w:iCs/>
          <w:color w:val="0000FF"/>
        </w:rPr>
      </w:pPr>
    </w:p>
    <w:bookmarkEnd w:id="95"/>
    <w:p w14:paraId="52470B15" w14:textId="29396498" w:rsidR="006F0D25" w:rsidRDefault="006F0D25" w:rsidP="006F0D25">
      <w:pPr>
        <w:spacing w:after="0"/>
        <w:rPr>
          <w:b/>
          <w:iCs/>
          <w:color w:val="0000FF"/>
        </w:rPr>
      </w:pPr>
      <w:r w:rsidRPr="00BA188F">
        <w:rPr>
          <w:b/>
          <w:iCs/>
          <w:color w:val="0000FF"/>
        </w:rPr>
        <w:t xml:space="preserve">Table </w:t>
      </w:r>
      <w:r w:rsidR="00360220" w:rsidRPr="00BA188F">
        <w:rPr>
          <w:b/>
          <w:iCs/>
          <w:color w:val="0000FF"/>
        </w:rPr>
        <w:t>1</w:t>
      </w:r>
      <w:r w:rsidR="00360220">
        <w:rPr>
          <w:b/>
          <w:iCs/>
          <w:color w:val="0000FF"/>
        </w:rPr>
        <w:t>2</w:t>
      </w:r>
      <w:r w:rsidRPr="00BA188F">
        <w:rPr>
          <w:b/>
          <w:iCs/>
          <w:color w:val="0000FF"/>
        </w:rPr>
        <w:t xml:space="preserve">. Distribution of Facility-Level Mean Unadjusted and Risk Adjusted Change in </w:t>
      </w:r>
      <w:r w:rsidR="0061689B">
        <w:rPr>
          <w:b/>
          <w:iCs/>
          <w:color w:val="0000FF"/>
        </w:rPr>
        <w:t>Mobility</w:t>
      </w:r>
      <w:r w:rsidRPr="00BA188F">
        <w:rPr>
          <w:b/>
          <w:iCs/>
          <w:color w:val="0000FF"/>
        </w:rPr>
        <w:t xml:space="preserve"> Scores</w:t>
      </w:r>
      <w:r>
        <w:rPr>
          <w:b/>
          <w:iCs/>
          <w:color w:val="0000FF"/>
        </w:rPr>
        <w:t xml:space="preserve"> (</w:t>
      </w:r>
      <w:r w:rsidR="004F1EF3" w:rsidRPr="00D77E49">
        <w:rPr>
          <w:b/>
          <w:iCs/>
          <w:color w:val="0000FF"/>
        </w:rPr>
        <w:t>n=</w:t>
      </w:r>
      <w:r w:rsidR="004F1EF3">
        <w:rPr>
          <w:b/>
          <w:iCs/>
          <w:color w:val="0000FF"/>
        </w:rPr>
        <w:t>1,117</w:t>
      </w:r>
      <w:r>
        <w:rPr>
          <w:b/>
          <w:iCs/>
          <w:color w:val="0000FF"/>
        </w:rPr>
        <w:t>)</w:t>
      </w:r>
    </w:p>
    <w:tbl>
      <w:tblPr>
        <w:tblW w:w="11005" w:type="dxa"/>
        <w:jc w:val="center"/>
        <w:tblLayout w:type="fixed"/>
        <w:tblLook w:val="04A0" w:firstRow="1" w:lastRow="0" w:firstColumn="1" w:lastColumn="0" w:noHBand="0" w:noVBand="1"/>
      </w:tblPr>
      <w:tblGrid>
        <w:gridCol w:w="1890"/>
        <w:gridCol w:w="630"/>
        <w:gridCol w:w="1080"/>
        <w:gridCol w:w="450"/>
        <w:gridCol w:w="540"/>
        <w:gridCol w:w="720"/>
        <w:gridCol w:w="810"/>
        <w:gridCol w:w="810"/>
        <w:gridCol w:w="810"/>
        <w:gridCol w:w="810"/>
        <w:gridCol w:w="630"/>
        <w:gridCol w:w="990"/>
        <w:gridCol w:w="835"/>
      </w:tblGrid>
      <w:tr w:rsidR="0061689B" w:rsidRPr="00631788" w14:paraId="277B33D4" w14:textId="77777777" w:rsidTr="001D06C6">
        <w:trPr>
          <w:jc w:val="center"/>
        </w:trPr>
        <w:tc>
          <w:tcPr>
            <w:tcW w:w="1890" w:type="dxa"/>
            <w:tcBorders>
              <w:top w:val="single" w:sz="4" w:space="0" w:color="auto"/>
              <w:bottom w:val="single" w:sz="4" w:space="0" w:color="auto"/>
            </w:tcBorders>
          </w:tcPr>
          <w:p w14:paraId="301F42B2" w14:textId="10B9F053" w:rsidR="0061689B" w:rsidRPr="00631788" w:rsidRDefault="0061689B" w:rsidP="002F5B93">
            <w:pPr>
              <w:rPr>
                <w:b/>
                <w:iCs/>
                <w:color w:val="0000FF"/>
                <w:sz w:val="18"/>
              </w:rPr>
            </w:pPr>
            <w:r w:rsidRPr="00631788">
              <w:rPr>
                <w:b/>
                <w:iCs/>
                <w:color w:val="0000FF"/>
                <w:sz w:val="18"/>
              </w:rPr>
              <w:t xml:space="preserve">Change in </w:t>
            </w:r>
            <w:r>
              <w:rPr>
                <w:b/>
                <w:iCs/>
                <w:color w:val="0000FF"/>
                <w:sz w:val="18"/>
              </w:rPr>
              <w:t>Mobility</w:t>
            </w:r>
            <w:r w:rsidRPr="00631788">
              <w:rPr>
                <w:b/>
                <w:iCs/>
                <w:color w:val="0000FF"/>
                <w:sz w:val="18"/>
              </w:rPr>
              <w:t xml:space="preserve"> Score</w:t>
            </w:r>
          </w:p>
        </w:tc>
        <w:tc>
          <w:tcPr>
            <w:tcW w:w="630" w:type="dxa"/>
            <w:tcBorders>
              <w:top w:val="single" w:sz="4" w:space="0" w:color="auto"/>
              <w:bottom w:val="single" w:sz="4" w:space="0" w:color="auto"/>
            </w:tcBorders>
          </w:tcPr>
          <w:p w14:paraId="3A4E7843" w14:textId="77777777" w:rsidR="0061689B" w:rsidRPr="00631788" w:rsidRDefault="0061689B" w:rsidP="002F5B93">
            <w:pPr>
              <w:jc w:val="center"/>
              <w:rPr>
                <w:b/>
                <w:iCs/>
                <w:color w:val="0000FF"/>
                <w:sz w:val="18"/>
              </w:rPr>
            </w:pPr>
            <w:r w:rsidRPr="00631788">
              <w:rPr>
                <w:b/>
                <w:iCs/>
                <w:color w:val="0000FF"/>
                <w:sz w:val="18"/>
              </w:rPr>
              <w:t>N</w:t>
            </w:r>
          </w:p>
        </w:tc>
        <w:tc>
          <w:tcPr>
            <w:tcW w:w="1080" w:type="dxa"/>
            <w:tcBorders>
              <w:top w:val="single" w:sz="4" w:space="0" w:color="auto"/>
              <w:bottom w:val="single" w:sz="4" w:space="0" w:color="auto"/>
            </w:tcBorders>
          </w:tcPr>
          <w:p w14:paraId="6F6874C2" w14:textId="77777777" w:rsidR="0061689B" w:rsidRPr="00631788" w:rsidRDefault="0061689B" w:rsidP="002F5B93">
            <w:pPr>
              <w:jc w:val="center"/>
              <w:rPr>
                <w:b/>
                <w:iCs/>
                <w:color w:val="0000FF"/>
                <w:sz w:val="18"/>
              </w:rPr>
            </w:pPr>
            <w:r w:rsidRPr="00631788">
              <w:rPr>
                <w:b/>
                <w:iCs/>
                <w:color w:val="0000FF"/>
                <w:sz w:val="18"/>
              </w:rPr>
              <w:t>Mean (SD)</w:t>
            </w:r>
          </w:p>
        </w:tc>
        <w:tc>
          <w:tcPr>
            <w:tcW w:w="450" w:type="dxa"/>
            <w:tcBorders>
              <w:top w:val="single" w:sz="4" w:space="0" w:color="auto"/>
              <w:bottom w:val="single" w:sz="4" w:space="0" w:color="auto"/>
            </w:tcBorders>
          </w:tcPr>
          <w:p w14:paraId="15542F30" w14:textId="77777777" w:rsidR="0061689B" w:rsidRPr="00631788" w:rsidRDefault="0061689B" w:rsidP="002F5B93">
            <w:pPr>
              <w:jc w:val="center"/>
              <w:rPr>
                <w:b/>
                <w:iCs/>
                <w:color w:val="0000FF"/>
                <w:sz w:val="18"/>
              </w:rPr>
            </w:pPr>
            <w:r w:rsidRPr="00631788">
              <w:rPr>
                <w:b/>
                <w:iCs/>
                <w:color w:val="0000FF"/>
                <w:sz w:val="18"/>
              </w:rPr>
              <w:t>SE</w:t>
            </w:r>
          </w:p>
        </w:tc>
        <w:tc>
          <w:tcPr>
            <w:tcW w:w="540" w:type="dxa"/>
            <w:tcBorders>
              <w:top w:val="single" w:sz="4" w:space="0" w:color="auto"/>
              <w:bottom w:val="single" w:sz="4" w:space="0" w:color="auto"/>
            </w:tcBorders>
          </w:tcPr>
          <w:p w14:paraId="59A30FE4" w14:textId="77777777" w:rsidR="0061689B" w:rsidRPr="00631788" w:rsidRDefault="0061689B" w:rsidP="002F5B93">
            <w:pPr>
              <w:jc w:val="center"/>
              <w:rPr>
                <w:b/>
                <w:iCs/>
                <w:color w:val="0000FF"/>
                <w:sz w:val="18"/>
              </w:rPr>
            </w:pPr>
            <w:r w:rsidRPr="00631788">
              <w:rPr>
                <w:b/>
                <w:iCs/>
                <w:color w:val="0000FF"/>
                <w:sz w:val="18"/>
              </w:rPr>
              <w:t>Min</w:t>
            </w:r>
          </w:p>
        </w:tc>
        <w:tc>
          <w:tcPr>
            <w:tcW w:w="720" w:type="dxa"/>
            <w:tcBorders>
              <w:top w:val="single" w:sz="4" w:space="0" w:color="auto"/>
              <w:bottom w:val="single" w:sz="4" w:space="0" w:color="auto"/>
            </w:tcBorders>
          </w:tcPr>
          <w:p w14:paraId="5FA5744B" w14:textId="77777777" w:rsidR="0061689B" w:rsidRPr="00631788" w:rsidRDefault="0061689B" w:rsidP="002F5B93">
            <w:pPr>
              <w:jc w:val="center"/>
              <w:rPr>
                <w:b/>
                <w:iCs/>
                <w:color w:val="0000FF"/>
                <w:sz w:val="18"/>
              </w:rPr>
            </w:pPr>
            <w:r w:rsidRPr="00631788">
              <w:rPr>
                <w:b/>
                <w:iCs/>
                <w:color w:val="0000FF"/>
                <w:sz w:val="18"/>
              </w:rPr>
              <w:t>10</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tcPr>
          <w:p w14:paraId="696B529C" w14:textId="77777777" w:rsidR="0061689B" w:rsidRPr="00631788" w:rsidRDefault="0061689B" w:rsidP="002F5B93">
            <w:pPr>
              <w:jc w:val="center"/>
              <w:rPr>
                <w:b/>
                <w:iCs/>
                <w:color w:val="0000FF"/>
                <w:sz w:val="18"/>
              </w:rPr>
            </w:pPr>
            <w:r w:rsidRPr="00631788">
              <w:rPr>
                <w:b/>
                <w:iCs/>
                <w:color w:val="0000FF"/>
                <w:sz w:val="18"/>
              </w:rPr>
              <w:t>25</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tcPr>
          <w:p w14:paraId="554D240E" w14:textId="77777777" w:rsidR="0061689B" w:rsidRPr="00631788" w:rsidRDefault="0061689B" w:rsidP="002F5B93">
            <w:pPr>
              <w:jc w:val="center"/>
              <w:rPr>
                <w:b/>
                <w:iCs/>
                <w:color w:val="0000FF"/>
                <w:sz w:val="18"/>
              </w:rPr>
            </w:pPr>
            <w:r w:rsidRPr="00631788">
              <w:rPr>
                <w:b/>
                <w:iCs/>
                <w:color w:val="0000FF"/>
                <w:sz w:val="18"/>
              </w:rPr>
              <w:t>Median</w:t>
            </w:r>
          </w:p>
        </w:tc>
        <w:tc>
          <w:tcPr>
            <w:tcW w:w="810" w:type="dxa"/>
            <w:tcBorders>
              <w:top w:val="single" w:sz="4" w:space="0" w:color="auto"/>
              <w:bottom w:val="single" w:sz="4" w:space="0" w:color="auto"/>
            </w:tcBorders>
          </w:tcPr>
          <w:p w14:paraId="0B6D10D2" w14:textId="77777777" w:rsidR="0061689B" w:rsidRPr="00631788" w:rsidRDefault="0061689B" w:rsidP="002F5B93">
            <w:pPr>
              <w:jc w:val="center"/>
              <w:rPr>
                <w:b/>
                <w:iCs/>
                <w:color w:val="0000FF"/>
                <w:sz w:val="18"/>
              </w:rPr>
            </w:pPr>
            <w:r w:rsidRPr="00631788">
              <w:rPr>
                <w:b/>
                <w:iCs/>
                <w:color w:val="0000FF"/>
                <w:sz w:val="18"/>
              </w:rPr>
              <w:t>75</w:t>
            </w:r>
            <w:r w:rsidRPr="00631788">
              <w:rPr>
                <w:b/>
                <w:iCs/>
                <w:color w:val="0000FF"/>
                <w:sz w:val="18"/>
                <w:vertAlign w:val="superscript"/>
              </w:rPr>
              <w:t>th</w:t>
            </w:r>
            <w:r w:rsidRPr="00631788">
              <w:rPr>
                <w:b/>
                <w:iCs/>
                <w:color w:val="0000FF"/>
                <w:sz w:val="18"/>
              </w:rPr>
              <w:t xml:space="preserve"> Pctl</w:t>
            </w:r>
          </w:p>
        </w:tc>
        <w:tc>
          <w:tcPr>
            <w:tcW w:w="810" w:type="dxa"/>
            <w:tcBorders>
              <w:top w:val="single" w:sz="4" w:space="0" w:color="auto"/>
              <w:bottom w:val="single" w:sz="4" w:space="0" w:color="auto"/>
            </w:tcBorders>
          </w:tcPr>
          <w:p w14:paraId="722AF2B2" w14:textId="77777777" w:rsidR="0061689B" w:rsidRPr="00631788" w:rsidRDefault="0061689B" w:rsidP="002F5B93">
            <w:pPr>
              <w:jc w:val="center"/>
              <w:rPr>
                <w:b/>
                <w:iCs/>
                <w:color w:val="0000FF"/>
                <w:sz w:val="18"/>
              </w:rPr>
            </w:pPr>
            <w:r w:rsidRPr="00631788">
              <w:rPr>
                <w:b/>
                <w:iCs/>
                <w:color w:val="0000FF"/>
                <w:sz w:val="18"/>
              </w:rPr>
              <w:t>90</w:t>
            </w:r>
            <w:r w:rsidRPr="00631788">
              <w:rPr>
                <w:b/>
                <w:iCs/>
                <w:color w:val="0000FF"/>
                <w:sz w:val="18"/>
                <w:vertAlign w:val="superscript"/>
              </w:rPr>
              <w:t>th</w:t>
            </w:r>
            <w:r w:rsidRPr="00631788">
              <w:rPr>
                <w:b/>
                <w:iCs/>
                <w:color w:val="0000FF"/>
                <w:sz w:val="18"/>
              </w:rPr>
              <w:t xml:space="preserve"> Pctl</w:t>
            </w:r>
          </w:p>
        </w:tc>
        <w:tc>
          <w:tcPr>
            <w:tcW w:w="630" w:type="dxa"/>
            <w:tcBorders>
              <w:top w:val="single" w:sz="4" w:space="0" w:color="auto"/>
              <w:bottom w:val="single" w:sz="4" w:space="0" w:color="auto"/>
            </w:tcBorders>
          </w:tcPr>
          <w:p w14:paraId="74AD8F85" w14:textId="77777777" w:rsidR="0061689B" w:rsidRPr="00631788" w:rsidRDefault="0061689B" w:rsidP="002F5B93">
            <w:pPr>
              <w:jc w:val="center"/>
              <w:rPr>
                <w:b/>
                <w:iCs/>
                <w:color w:val="0000FF"/>
                <w:sz w:val="18"/>
              </w:rPr>
            </w:pPr>
            <w:r w:rsidRPr="00631788">
              <w:rPr>
                <w:b/>
                <w:iCs/>
                <w:color w:val="0000FF"/>
                <w:sz w:val="18"/>
              </w:rPr>
              <w:t>Max</w:t>
            </w:r>
          </w:p>
        </w:tc>
        <w:tc>
          <w:tcPr>
            <w:tcW w:w="990" w:type="dxa"/>
            <w:tcBorders>
              <w:top w:val="single" w:sz="4" w:space="0" w:color="auto"/>
              <w:bottom w:val="single" w:sz="4" w:space="0" w:color="auto"/>
            </w:tcBorders>
          </w:tcPr>
          <w:p w14:paraId="4167E112" w14:textId="77777777" w:rsidR="0061689B" w:rsidRPr="00631788" w:rsidRDefault="0061689B" w:rsidP="002F5B93">
            <w:pPr>
              <w:jc w:val="center"/>
              <w:rPr>
                <w:b/>
                <w:iCs/>
                <w:color w:val="0000FF"/>
                <w:sz w:val="18"/>
              </w:rPr>
            </w:pPr>
            <w:r w:rsidRPr="00631788">
              <w:rPr>
                <w:b/>
                <w:iCs/>
                <w:color w:val="0000FF"/>
                <w:sz w:val="18"/>
              </w:rPr>
              <w:t>Skewness</w:t>
            </w:r>
          </w:p>
        </w:tc>
        <w:tc>
          <w:tcPr>
            <w:tcW w:w="835" w:type="dxa"/>
            <w:tcBorders>
              <w:top w:val="single" w:sz="4" w:space="0" w:color="auto"/>
              <w:bottom w:val="single" w:sz="4" w:space="0" w:color="auto"/>
            </w:tcBorders>
          </w:tcPr>
          <w:p w14:paraId="49323DD7" w14:textId="77777777" w:rsidR="0061689B" w:rsidRPr="00631788" w:rsidRDefault="0061689B" w:rsidP="002F5B93">
            <w:pPr>
              <w:jc w:val="center"/>
              <w:rPr>
                <w:b/>
                <w:iCs/>
                <w:color w:val="0000FF"/>
                <w:sz w:val="18"/>
              </w:rPr>
            </w:pPr>
            <w:r w:rsidRPr="00631788">
              <w:rPr>
                <w:b/>
                <w:iCs/>
                <w:color w:val="0000FF"/>
                <w:sz w:val="18"/>
              </w:rPr>
              <w:t>Kurtosis</w:t>
            </w:r>
          </w:p>
        </w:tc>
      </w:tr>
      <w:tr w:rsidR="005D5A1B" w:rsidRPr="00631788" w14:paraId="266B5C94" w14:textId="77777777" w:rsidTr="001D06C6">
        <w:trPr>
          <w:jc w:val="center"/>
        </w:trPr>
        <w:tc>
          <w:tcPr>
            <w:tcW w:w="1890" w:type="dxa"/>
            <w:tcBorders>
              <w:top w:val="single" w:sz="4" w:space="0" w:color="auto"/>
            </w:tcBorders>
            <w:vAlign w:val="center"/>
          </w:tcPr>
          <w:p w14:paraId="3C8013DF" w14:textId="77777777" w:rsidR="005D5A1B" w:rsidRPr="00631788" w:rsidRDefault="005D5A1B" w:rsidP="005D5A1B">
            <w:pPr>
              <w:rPr>
                <w:iCs/>
                <w:color w:val="0000FF"/>
                <w:sz w:val="18"/>
              </w:rPr>
            </w:pPr>
            <w:r w:rsidRPr="00631788">
              <w:rPr>
                <w:iCs/>
                <w:color w:val="0000FF"/>
                <w:sz w:val="18"/>
              </w:rPr>
              <w:t>Unadjusted (Observed)</w:t>
            </w:r>
          </w:p>
        </w:tc>
        <w:tc>
          <w:tcPr>
            <w:tcW w:w="630" w:type="dxa"/>
            <w:tcBorders>
              <w:top w:val="single" w:sz="4" w:space="0" w:color="auto"/>
            </w:tcBorders>
            <w:vAlign w:val="center"/>
          </w:tcPr>
          <w:p w14:paraId="18873345" w14:textId="77777777" w:rsidR="005D5A1B" w:rsidRPr="00631788" w:rsidRDefault="005D5A1B">
            <w:pPr>
              <w:jc w:val="center"/>
              <w:rPr>
                <w:iCs/>
                <w:color w:val="0000FF"/>
                <w:sz w:val="18"/>
              </w:rPr>
            </w:pPr>
            <w:r w:rsidRPr="00631788">
              <w:rPr>
                <w:iCs/>
                <w:color w:val="0000FF"/>
                <w:sz w:val="18"/>
              </w:rPr>
              <w:t>1,117</w:t>
            </w:r>
          </w:p>
        </w:tc>
        <w:tc>
          <w:tcPr>
            <w:tcW w:w="1080" w:type="dxa"/>
            <w:tcBorders>
              <w:top w:val="single" w:sz="4" w:space="0" w:color="auto"/>
            </w:tcBorders>
            <w:vAlign w:val="center"/>
          </w:tcPr>
          <w:p w14:paraId="15C6AF11" w14:textId="2C47D7BB" w:rsidR="005D5A1B" w:rsidRPr="005D5A1B" w:rsidRDefault="005D5A1B">
            <w:pPr>
              <w:jc w:val="center"/>
              <w:rPr>
                <w:iCs/>
                <w:color w:val="0000FF"/>
                <w:sz w:val="18"/>
              </w:rPr>
            </w:pPr>
            <w:r w:rsidRPr="001D06C6">
              <w:rPr>
                <w:iCs/>
                <w:color w:val="0000FF"/>
                <w:sz w:val="18"/>
              </w:rPr>
              <w:t>28.4 (4.9)</w:t>
            </w:r>
          </w:p>
        </w:tc>
        <w:tc>
          <w:tcPr>
            <w:tcW w:w="450" w:type="dxa"/>
            <w:tcBorders>
              <w:top w:val="single" w:sz="4" w:space="0" w:color="auto"/>
            </w:tcBorders>
            <w:vAlign w:val="center"/>
          </w:tcPr>
          <w:p w14:paraId="0236E038" w14:textId="35850234" w:rsidR="005D5A1B" w:rsidRPr="005D5A1B" w:rsidRDefault="005D5A1B">
            <w:pPr>
              <w:jc w:val="center"/>
              <w:rPr>
                <w:iCs/>
                <w:color w:val="0000FF"/>
                <w:sz w:val="18"/>
              </w:rPr>
            </w:pPr>
            <w:r w:rsidRPr="001D06C6">
              <w:rPr>
                <w:iCs/>
                <w:color w:val="0000FF"/>
                <w:sz w:val="18"/>
              </w:rPr>
              <w:t>0.1</w:t>
            </w:r>
          </w:p>
        </w:tc>
        <w:tc>
          <w:tcPr>
            <w:tcW w:w="540" w:type="dxa"/>
            <w:tcBorders>
              <w:top w:val="single" w:sz="4" w:space="0" w:color="auto"/>
            </w:tcBorders>
            <w:vAlign w:val="center"/>
          </w:tcPr>
          <w:p w14:paraId="0E446AEF" w14:textId="35D53588" w:rsidR="005D5A1B" w:rsidRPr="005D5A1B" w:rsidRDefault="005D5A1B">
            <w:pPr>
              <w:jc w:val="center"/>
              <w:rPr>
                <w:iCs/>
                <w:color w:val="0000FF"/>
                <w:sz w:val="18"/>
              </w:rPr>
            </w:pPr>
            <w:r w:rsidRPr="001D06C6">
              <w:rPr>
                <w:iCs/>
                <w:color w:val="0000FF"/>
                <w:sz w:val="18"/>
              </w:rPr>
              <w:t>13.8</w:t>
            </w:r>
          </w:p>
        </w:tc>
        <w:tc>
          <w:tcPr>
            <w:tcW w:w="720" w:type="dxa"/>
            <w:tcBorders>
              <w:top w:val="single" w:sz="4" w:space="0" w:color="auto"/>
            </w:tcBorders>
            <w:vAlign w:val="center"/>
          </w:tcPr>
          <w:p w14:paraId="71C71B34" w14:textId="1BA637BE" w:rsidR="005D5A1B" w:rsidRPr="005D5A1B" w:rsidRDefault="005D5A1B">
            <w:pPr>
              <w:jc w:val="center"/>
              <w:rPr>
                <w:iCs/>
                <w:color w:val="0000FF"/>
                <w:sz w:val="18"/>
              </w:rPr>
            </w:pPr>
            <w:r w:rsidRPr="001D06C6">
              <w:rPr>
                <w:iCs/>
                <w:color w:val="0000FF"/>
                <w:sz w:val="18"/>
              </w:rPr>
              <w:t>22.4</w:t>
            </w:r>
          </w:p>
        </w:tc>
        <w:tc>
          <w:tcPr>
            <w:tcW w:w="810" w:type="dxa"/>
            <w:tcBorders>
              <w:top w:val="single" w:sz="4" w:space="0" w:color="auto"/>
            </w:tcBorders>
            <w:vAlign w:val="center"/>
          </w:tcPr>
          <w:p w14:paraId="7E6B9C90" w14:textId="0E42A270" w:rsidR="005D5A1B" w:rsidRPr="005D5A1B" w:rsidRDefault="005D5A1B">
            <w:pPr>
              <w:jc w:val="center"/>
              <w:rPr>
                <w:iCs/>
                <w:color w:val="0000FF"/>
                <w:sz w:val="18"/>
              </w:rPr>
            </w:pPr>
            <w:r w:rsidRPr="001D06C6">
              <w:rPr>
                <w:iCs/>
                <w:color w:val="0000FF"/>
                <w:sz w:val="18"/>
              </w:rPr>
              <w:t>25.0</w:t>
            </w:r>
          </w:p>
        </w:tc>
        <w:tc>
          <w:tcPr>
            <w:tcW w:w="810" w:type="dxa"/>
            <w:tcBorders>
              <w:top w:val="single" w:sz="4" w:space="0" w:color="auto"/>
            </w:tcBorders>
            <w:vAlign w:val="center"/>
          </w:tcPr>
          <w:p w14:paraId="01623821" w14:textId="17F9B0F9" w:rsidR="005D5A1B" w:rsidRPr="005D5A1B" w:rsidRDefault="005D5A1B">
            <w:pPr>
              <w:jc w:val="center"/>
              <w:rPr>
                <w:iCs/>
                <w:color w:val="0000FF"/>
                <w:sz w:val="18"/>
              </w:rPr>
            </w:pPr>
            <w:r w:rsidRPr="001D06C6">
              <w:rPr>
                <w:iCs/>
                <w:color w:val="0000FF"/>
                <w:sz w:val="18"/>
              </w:rPr>
              <w:t>28.2</w:t>
            </w:r>
          </w:p>
        </w:tc>
        <w:tc>
          <w:tcPr>
            <w:tcW w:w="810" w:type="dxa"/>
            <w:tcBorders>
              <w:top w:val="single" w:sz="4" w:space="0" w:color="auto"/>
            </w:tcBorders>
            <w:vAlign w:val="center"/>
          </w:tcPr>
          <w:p w14:paraId="300FE830" w14:textId="66E7DA08" w:rsidR="005D5A1B" w:rsidRPr="005D5A1B" w:rsidRDefault="005D5A1B">
            <w:pPr>
              <w:jc w:val="center"/>
              <w:rPr>
                <w:iCs/>
                <w:color w:val="0000FF"/>
                <w:sz w:val="18"/>
              </w:rPr>
            </w:pPr>
            <w:r w:rsidRPr="001D06C6">
              <w:rPr>
                <w:iCs/>
                <w:color w:val="0000FF"/>
                <w:sz w:val="18"/>
              </w:rPr>
              <w:t>31.6</w:t>
            </w:r>
          </w:p>
        </w:tc>
        <w:tc>
          <w:tcPr>
            <w:tcW w:w="810" w:type="dxa"/>
            <w:tcBorders>
              <w:top w:val="single" w:sz="4" w:space="0" w:color="auto"/>
            </w:tcBorders>
            <w:vAlign w:val="center"/>
          </w:tcPr>
          <w:p w14:paraId="6D4B34A1" w14:textId="2646B1AF" w:rsidR="005D5A1B" w:rsidRPr="005D5A1B" w:rsidRDefault="005D5A1B">
            <w:pPr>
              <w:jc w:val="center"/>
              <w:rPr>
                <w:iCs/>
                <w:color w:val="0000FF"/>
                <w:sz w:val="18"/>
              </w:rPr>
            </w:pPr>
            <w:r w:rsidRPr="001D06C6">
              <w:rPr>
                <w:iCs/>
                <w:color w:val="0000FF"/>
                <w:sz w:val="18"/>
              </w:rPr>
              <w:t>34.8</w:t>
            </w:r>
          </w:p>
        </w:tc>
        <w:tc>
          <w:tcPr>
            <w:tcW w:w="630" w:type="dxa"/>
            <w:tcBorders>
              <w:top w:val="single" w:sz="4" w:space="0" w:color="auto"/>
            </w:tcBorders>
            <w:vAlign w:val="center"/>
          </w:tcPr>
          <w:p w14:paraId="792EFCDC" w14:textId="11FB37EF" w:rsidR="005D5A1B" w:rsidRPr="005D5A1B" w:rsidRDefault="005D5A1B">
            <w:pPr>
              <w:jc w:val="center"/>
              <w:rPr>
                <w:iCs/>
                <w:color w:val="0000FF"/>
                <w:sz w:val="18"/>
              </w:rPr>
            </w:pPr>
            <w:r w:rsidRPr="001D06C6">
              <w:rPr>
                <w:iCs/>
                <w:color w:val="0000FF"/>
                <w:sz w:val="18"/>
              </w:rPr>
              <w:t>56.5</w:t>
            </w:r>
          </w:p>
        </w:tc>
        <w:tc>
          <w:tcPr>
            <w:tcW w:w="990" w:type="dxa"/>
            <w:tcBorders>
              <w:top w:val="single" w:sz="4" w:space="0" w:color="auto"/>
            </w:tcBorders>
            <w:vAlign w:val="center"/>
          </w:tcPr>
          <w:p w14:paraId="1AA7699A" w14:textId="4EC1E34B" w:rsidR="005D5A1B" w:rsidRPr="005D5A1B" w:rsidRDefault="005D5A1B">
            <w:pPr>
              <w:jc w:val="center"/>
              <w:rPr>
                <w:iCs/>
                <w:color w:val="0000FF"/>
                <w:sz w:val="18"/>
              </w:rPr>
            </w:pPr>
            <w:r w:rsidRPr="001D06C6">
              <w:rPr>
                <w:iCs/>
                <w:color w:val="0000FF"/>
                <w:sz w:val="18"/>
              </w:rPr>
              <w:t>0.3</w:t>
            </w:r>
          </w:p>
        </w:tc>
        <w:tc>
          <w:tcPr>
            <w:tcW w:w="835" w:type="dxa"/>
            <w:tcBorders>
              <w:top w:val="single" w:sz="4" w:space="0" w:color="auto"/>
            </w:tcBorders>
            <w:vAlign w:val="center"/>
          </w:tcPr>
          <w:p w14:paraId="238AFF28" w14:textId="5C3548DF" w:rsidR="005D5A1B" w:rsidRPr="005D5A1B" w:rsidRDefault="005D5A1B">
            <w:pPr>
              <w:jc w:val="center"/>
              <w:rPr>
                <w:iCs/>
                <w:color w:val="0000FF"/>
                <w:sz w:val="18"/>
              </w:rPr>
            </w:pPr>
            <w:r w:rsidRPr="001D06C6">
              <w:rPr>
                <w:iCs/>
                <w:color w:val="0000FF"/>
                <w:sz w:val="18"/>
              </w:rPr>
              <w:t>0.9</w:t>
            </w:r>
          </w:p>
        </w:tc>
      </w:tr>
      <w:tr w:rsidR="005D5A1B" w:rsidRPr="00631788" w14:paraId="45C2E948" w14:textId="77777777" w:rsidTr="001D06C6">
        <w:trPr>
          <w:jc w:val="center"/>
        </w:trPr>
        <w:tc>
          <w:tcPr>
            <w:tcW w:w="1890" w:type="dxa"/>
            <w:tcBorders>
              <w:bottom w:val="single" w:sz="4" w:space="0" w:color="auto"/>
            </w:tcBorders>
            <w:vAlign w:val="center"/>
          </w:tcPr>
          <w:p w14:paraId="7FCB5255" w14:textId="77777777" w:rsidR="005D5A1B" w:rsidRPr="00631788" w:rsidRDefault="005D5A1B" w:rsidP="005D5A1B">
            <w:pPr>
              <w:rPr>
                <w:iCs/>
                <w:color w:val="0000FF"/>
                <w:sz w:val="18"/>
              </w:rPr>
            </w:pPr>
            <w:r w:rsidRPr="00631788">
              <w:rPr>
                <w:iCs/>
                <w:color w:val="0000FF"/>
                <w:sz w:val="18"/>
              </w:rPr>
              <w:t>Risk Adjusted Performance Measure</w:t>
            </w:r>
          </w:p>
        </w:tc>
        <w:tc>
          <w:tcPr>
            <w:tcW w:w="630" w:type="dxa"/>
            <w:tcBorders>
              <w:bottom w:val="single" w:sz="4" w:space="0" w:color="auto"/>
            </w:tcBorders>
            <w:vAlign w:val="center"/>
          </w:tcPr>
          <w:p w14:paraId="36228C67" w14:textId="77777777" w:rsidR="005D5A1B" w:rsidRPr="00631788" w:rsidRDefault="005D5A1B">
            <w:pPr>
              <w:jc w:val="center"/>
              <w:rPr>
                <w:iCs/>
                <w:color w:val="0000FF"/>
                <w:sz w:val="18"/>
              </w:rPr>
            </w:pPr>
            <w:r w:rsidRPr="00631788">
              <w:rPr>
                <w:iCs/>
                <w:color w:val="0000FF"/>
                <w:sz w:val="18"/>
              </w:rPr>
              <w:t>1,117</w:t>
            </w:r>
          </w:p>
        </w:tc>
        <w:tc>
          <w:tcPr>
            <w:tcW w:w="1080" w:type="dxa"/>
            <w:tcBorders>
              <w:bottom w:val="single" w:sz="4" w:space="0" w:color="auto"/>
            </w:tcBorders>
            <w:vAlign w:val="center"/>
          </w:tcPr>
          <w:p w14:paraId="66711944" w14:textId="5B2BFA06" w:rsidR="005D5A1B" w:rsidRPr="005D5A1B" w:rsidRDefault="005D5A1B">
            <w:pPr>
              <w:jc w:val="center"/>
              <w:rPr>
                <w:iCs/>
                <w:color w:val="0000FF"/>
                <w:sz w:val="18"/>
              </w:rPr>
            </w:pPr>
            <w:r w:rsidRPr="001D06C6">
              <w:rPr>
                <w:iCs/>
                <w:color w:val="0000FF"/>
                <w:sz w:val="18"/>
              </w:rPr>
              <w:t>28.3 (4.6)</w:t>
            </w:r>
          </w:p>
        </w:tc>
        <w:tc>
          <w:tcPr>
            <w:tcW w:w="450" w:type="dxa"/>
            <w:tcBorders>
              <w:bottom w:val="single" w:sz="4" w:space="0" w:color="auto"/>
            </w:tcBorders>
            <w:vAlign w:val="center"/>
          </w:tcPr>
          <w:p w14:paraId="1BE33B58" w14:textId="38068220" w:rsidR="005D5A1B" w:rsidRPr="005D5A1B" w:rsidRDefault="005D5A1B">
            <w:pPr>
              <w:jc w:val="center"/>
              <w:rPr>
                <w:iCs/>
                <w:color w:val="0000FF"/>
                <w:sz w:val="18"/>
              </w:rPr>
            </w:pPr>
            <w:r w:rsidRPr="001D06C6">
              <w:rPr>
                <w:iCs/>
                <w:color w:val="0000FF"/>
                <w:sz w:val="18"/>
              </w:rPr>
              <w:t>0.1</w:t>
            </w:r>
          </w:p>
        </w:tc>
        <w:tc>
          <w:tcPr>
            <w:tcW w:w="540" w:type="dxa"/>
            <w:tcBorders>
              <w:bottom w:val="single" w:sz="4" w:space="0" w:color="auto"/>
            </w:tcBorders>
            <w:vAlign w:val="center"/>
          </w:tcPr>
          <w:p w14:paraId="7768592F" w14:textId="56B45A11" w:rsidR="005D5A1B" w:rsidRPr="005D5A1B" w:rsidRDefault="005D5A1B">
            <w:pPr>
              <w:jc w:val="center"/>
              <w:rPr>
                <w:iCs/>
                <w:color w:val="0000FF"/>
                <w:sz w:val="18"/>
              </w:rPr>
            </w:pPr>
            <w:r w:rsidRPr="001D06C6">
              <w:rPr>
                <w:iCs/>
                <w:color w:val="0000FF"/>
                <w:sz w:val="18"/>
              </w:rPr>
              <w:t>13.3</w:t>
            </w:r>
          </w:p>
        </w:tc>
        <w:tc>
          <w:tcPr>
            <w:tcW w:w="720" w:type="dxa"/>
            <w:tcBorders>
              <w:bottom w:val="single" w:sz="4" w:space="0" w:color="auto"/>
            </w:tcBorders>
            <w:vAlign w:val="center"/>
          </w:tcPr>
          <w:p w14:paraId="79326572" w14:textId="1B3D4774" w:rsidR="005D5A1B" w:rsidRPr="005D5A1B" w:rsidRDefault="005D5A1B">
            <w:pPr>
              <w:jc w:val="center"/>
              <w:rPr>
                <w:iCs/>
                <w:color w:val="0000FF"/>
                <w:sz w:val="18"/>
              </w:rPr>
            </w:pPr>
            <w:r w:rsidRPr="001D06C6">
              <w:rPr>
                <w:iCs/>
                <w:color w:val="0000FF"/>
                <w:sz w:val="18"/>
              </w:rPr>
              <w:t>22.6</w:t>
            </w:r>
          </w:p>
        </w:tc>
        <w:tc>
          <w:tcPr>
            <w:tcW w:w="810" w:type="dxa"/>
            <w:tcBorders>
              <w:bottom w:val="single" w:sz="4" w:space="0" w:color="auto"/>
            </w:tcBorders>
            <w:vAlign w:val="center"/>
          </w:tcPr>
          <w:p w14:paraId="1D6AAC8B" w14:textId="05B7DF13" w:rsidR="005D5A1B" w:rsidRPr="005D5A1B" w:rsidRDefault="005D5A1B">
            <w:pPr>
              <w:jc w:val="center"/>
              <w:rPr>
                <w:iCs/>
                <w:color w:val="0000FF"/>
                <w:sz w:val="18"/>
              </w:rPr>
            </w:pPr>
            <w:r w:rsidRPr="001D06C6">
              <w:rPr>
                <w:iCs/>
                <w:color w:val="0000FF"/>
                <w:sz w:val="18"/>
              </w:rPr>
              <w:t>25.1</w:t>
            </w:r>
          </w:p>
        </w:tc>
        <w:tc>
          <w:tcPr>
            <w:tcW w:w="810" w:type="dxa"/>
            <w:tcBorders>
              <w:bottom w:val="single" w:sz="4" w:space="0" w:color="auto"/>
            </w:tcBorders>
            <w:vAlign w:val="center"/>
          </w:tcPr>
          <w:p w14:paraId="206A1A27" w14:textId="5C790EAF" w:rsidR="005D5A1B" w:rsidRPr="005D5A1B" w:rsidRDefault="005D5A1B">
            <w:pPr>
              <w:jc w:val="center"/>
              <w:rPr>
                <w:iCs/>
                <w:color w:val="0000FF"/>
                <w:sz w:val="18"/>
              </w:rPr>
            </w:pPr>
            <w:r w:rsidRPr="001D06C6">
              <w:rPr>
                <w:iCs/>
                <w:color w:val="0000FF"/>
                <w:sz w:val="18"/>
              </w:rPr>
              <w:t>28.1</w:t>
            </w:r>
          </w:p>
        </w:tc>
        <w:tc>
          <w:tcPr>
            <w:tcW w:w="810" w:type="dxa"/>
            <w:tcBorders>
              <w:bottom w:val="single" w:sz="4" w:space="0" w:color="auto"/>
            </w:tcBorders>
            <w:vAlign w:val="center"/>
          </w:tcPr>
          <w:p w14:paraId="217A12DA" w14:textId="3525EF47" w:rsidR="005D5A1B" w:rsidRPr="005D5A1B" w:rsidRDefault="005D5A1B">
            <w:pPr>
              <w:jc w:val="center"/>
              <w:rPr>
                <w:iCs/>
                <w:color w:val="0000FF"/>
                <w:sz w:val="18"/>
              </w:rPr>
            </w:pPr>
            <w:r w:rsidRPr="001D06C6">
              <w:rPr>
                <w:iCs/>
                <w:color w:val="0000FF"/>
                <w:sz w:val="18"/>
              </w:rPr>
              <w:t>31.4</w:t>
            </w:r>
          </w:p>
        </w:tc>
        <w:tc>
          <w:tcPr>
            <w:tcW w:w="810" w:type="dxa"/>
            <w:tcBorders>
              <w:bottom w:val="single" w:sz="4" w:space="0" w:color="auto"/>
            </w:tcBorders>
            <w:vAlign w:val="center"/>
          </w:tcPr>
          <w:p w14:paraId="6331F003" w14:textId="7D855C5D" w:rsidR="005D5A1B" w:rsidRPr="005D5A1B" w:rsidRDefault="005D5A1B">
            <w:pPr>
              <w:jc w:val="center"/>
              <w:rPr>
                <w:iCs/>
                <w:color w:val="0000FF"/>
                <w:sz w:val="18"/>
              </w:rPr>
            </w:pPr>
            <w:r w:rsidRPr="001D06C6">
              <w:rPr>
                <w:iCs/>
                <w:color w:val="0000FF"/>
                <w:sz w:val="18"/>
              </w:rPr>
              <w:t>34.4</w:t>
            </w:r>
          </w:p>
        </w:tc>
        <w:tc>
          <w:tcPr>
            <w:tcW w:w="630" w:type="dxa"/>
            <w:tcBorders>
              <w:bottom w:val="single" w:sz="4" w:space="0" w:color="auto"/>
            </w:tcBorders>
            <w:vAlign w:val="center"/>
          </w:tcPr>
          <w:p w14:paraId="0DD1937C" w14:textId="1975D1E7" w:rsidR="005D5A1B" w:rsidRPr="005D5A1B" w:rsidRDefault="005D5A1B">
            <w:pPr>
              <w:jc w:val="center"/>
              <w:rPr>
                <w:iCs/>
                <w:color w:val="0000FF"/>
                <w:sz w:val="18"/>
              </w:rPr>
            </w:pPr>
            <w:r w:rsidRPr="001D06C6">
              <w:rPr>
                <w:iCs/>
                <w:color w:val="0000FF"/>
                <w:sz w:val="18"/>
              </w:rPr>
              <w:t>46.7</w:t>
            </w:r>
          </w:p>
        </w:tc>
        <w:tc>
          <w:tcPr>
            <w:tcW w:w="990" w:type="dxa"/>
            <w:tcBorders>
              <w:bottom w:val="single" w:sz="4" w:space="0" w:color="auto"/>
            </w:tcBorders>
            <w:vAlign w:val="center"/>
          </w:tcPr>
          <w:p w14:paraId="3C13C135" w14:textId="6A319C71" w:rsidR="005D5A1B" w:rsidRPr="005D5A1B" w:rsidRDefault="005D5A1B">
            <w:pPr>
              <w:jc w:val="center"/>
              <w:rPr>
                <w:iCs/>
                <w:color w:val="0000FF"/>
                <w:sz w:val="18"/>
              </w:rPr>
            </w:pPr>
            <w:r w:rsidRPr="001D06C6">
              <w:rPr>
                <w:iCs/>
                <w:color w:val="0000FF"/>
                <w:sz w:val="18"/>
              </w:rPr>
              <w:t>0.2</w:t>
            </w:r>
          </w:p>
        </w:tc>
        <w:tc>
          <w:tcPr>
            <w:tcW w:w="835" w:type="dxa"/>
            <w:tcBorders>
              <w:bottom w:val="single" w:sz="4" w:space="0" w:color="auto"/>
            </w:tcBorders>
            <w:vAlign w:val="center"/>
          </w:tcPr>
          <w:p w14:paraId="5CE7DAD4" w14:textId="4AC6A756" w:rsidR="005D5A1B" w:rsidRPr="005D5A1B" w:rsidRDefault="005D5A1B">
            <w:pPr>
              <w:jc w:val="center"/>
              <w:rPr>
                <w:iCs/>
                <w:color w:val="0000FF"/>
                <w:sz w:val="18"/>
              </w:rPr>
            </w:pPr>
            <w:r w:rsidRPr="001D06C6">
              <w:rPr>
                <w:iCs/>
                <w:color w:val="0000FF"/>
                <w:sz w:val="18"/>
              </w:rPr>
              <w:t>0.2</w:t>
            </w:r>
          </w:p>
        </w:tc>
      </w:tr>
    </w:tbl>
    <w:p w14:paraId="617C4912" w14:textId="77777777" w:rsidR="0061689B" w:rsidRPr="00531564" w:rsidRDefault="0061689B" w:rsidP="0061689B">
      <w:pPr>
        <w:pStyle w:val="NoSpacing"/>
        <w:contextualSpacing/>
        <w:jc w:val="both"/>
        <w:rPr>
          <w:rFonts w:asciiTheme="minorHAnsi" w:hAnsiTheme="minorHAnsi" w:cstheme="minorHAnsi"/>
          <w:color w:val="0000FF"/>
          <w:sz w:val="20"/>
          <w:szCs w:val="20"/>
        </w:rPr>
      </w:pPr>
      <w:r w:rsidRPr="00531564">
        <w:rPr>
          <w:rFonts w:asciiTheme="minorHAnsi" w:hAnsiTheme="minorHAnsi" w:cstheme="minorHAnsi"/>
          <w:color w:val="0000FF"/>
          <w:sz w:val="20"/>
          <w:szCs w:val="20"/>
        </w:rPr>
        <w:t>N = Number; SD = Standard deviation; SE = standard error; Min = Minimum; Pctl = Percentile; Max = Maximum</w:t>
      </w:r>
    </w:p>
    <w:p w14:paraId="780C102D" w14:textId="77777777" w:rsidR="0061689B" w:rsidRPr="00531564" w:rsidRDefault="0061689B" w:rsidP="0061689B">
      <w:pPr>
        <w:pStyle w:val="NoSpacing"/>
        <w:contextualSpacing/>
        <w:jc w:val="both"/>
        <w:rPr>
          <w:rFonts w:asciiTheme="minorHAnsi" w:hAnsiTheme="minorHAnsi" w:cstheme="minorHAnsi"/>
          <w:color w:val="0000FF"/>
          <w:sz w:val="20"/>
          <w:szCs w:val="20"/>
        </w:rPr>
      </w:pPr>
      <w:r w:rsidRPr="00531564">
        <w:rPr>
          <w:rFonts w:asciiTheme="minorHAnsi" w:hAnsiTheme="minorHAnsi" w:cstheme="minorHAnsi"/>
          <w:color w:val="0000FF"/>
          <w:sz w:val="20"/>
          <w:szCs w:val="20"/>
        </w:rPr>
        <w:t>Note: Providers with &lt;20 stays during the 12-month testing period are excluded from facility-level analyses.</w:t>
      </w:r>
    </w:p>
    <w:p w14:paraId="157477A9" w14:textId="5725A669" w:rsidR="0061689B" w:rsidRPr="00BA188F" w:rsidRDefault="0061689B" w:rsidP="0061689B">
      <w:pPr>
        <w:spacing w:after="0"/>
        <w:rPr>
          <w:b/>
          <w:iCs/>
          <w:color w:val="0000FF"/>
        </w:rPr>
      </w:pPr>
      <w:r w:rsidRPr="00B915C7">
        <w:rPr>
          <w:rFonts w:cstheme="minorHAnsi"/>
          <w:color w:val="0000FF"/>
          <w:sz w:val="20"/>
          <w:szCs w:val="20"/>
        </w:rPr>
        <w:t>Source: RTI analysis of IRF-PAI, January – December 2017. (Program reference: MV</w:t>
      </w:r>
      <w:r>
        <w:rPr>
          <w:rFonts w:cstheme="minorHAnsi"/>
          <w:color w:val="0000FF"/>
          <w:sz w:val="20"/>
          <w:szCs w:val="20"/>
        </w:rPr>
        <w:t>50)</w:t>
      </w:r>
    </w:p>
    <w:p w14:paraId="40A6EAFC" w14:textId="77777777" w:rsidR="00914CCC" w:rsidRDefault="00914CCC" w:rsidP="00001D73">
      <w:pPr>
        <w:autoSpaceDE w:val="0"/>
        <w:autoSpaceDN w:val="0"/>
        <w:adjustRightInd w:val="0"/>
        <w:spacing w:after="0" w:line="240" w:lineRule="auto"/>
        <w:rPr>
          <w:rFonts w:cstheme="minorHAnsi"/>
          <w:b/>
          <w:bCs/>
        </w:rPr>
      </w:pPr>
    </w:p>
    <w:bookmarkEnd w:id="93"/>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7560FA91" w14:textId="77777777" w:rsidR="00893704" w:rsidRDefault="00893704" w:rsidP="00C63FB5">
      <w:pPr>
        <w:autoSpaceDE w:val="0"/>
        <w:autoSpaceDN w:val="0"/>
        <w:adjustRightInd w:val="0"/>
        <w:spacing w:after="0" w:line="240" w:lineRule="auto"/>
        <w:rPr>
          <w:rFonts w:cstheme="minorHAnsi"/>
          <w:bCs/>
          <w:color w:val="0000FF"/>
        </w:rPr>
      </w:pPr>
    </w:p>
    <w:p w14:paraId="28D954FD" w14:textId="4C0A81A8" w:rsidR="00C63FB5" w:rsidRDefault="00C63FB5" w:rsidP="00C63FB5">
      <w:pPr>
        <w:autoSpaceDE w:val="0"/>
        <w:autoSpaceDN w:val="0"/>
        <w:adjustRightInd w:val="0"/>
        <w:spacing w:after="0" w:line="240" w:lineRule="auto"/>
        <w:rPr>
          <w:rFonts w:cstheme="minorHAnsi"/>
          <w:bCs/>
          <w:color w:val="0000FF"/>
        </w:rPr>
      </w:pPr>
      <w:r>
        <w:rPr>
          <w:rFonts w:cstheme="minorHAnsi"/>
          <w:bCs/>
          <w:color w:val="0000FF"/>
        </w:rPr>
        <w:t xml:space="preserve">We examined whether 5 social risk factors affected </w:t>
      </w:r>
      <w:r w:rsidR="00893704">
        <w:rPr>
          <w:rFonts w:cstheme="minorHAnsi"/>
          <w:bCs/>
          <w:color w:val="0000FF"/>
        </w:rPr>
        <w:t>computed performance</w:t>
      </w:r>
      <w:r>
        <w:rPr>
          <w:rFonts w:cstheme="minorHAnsi"/>
          <w:bCs/>
          <w:color w:val="0000FF"/>
        </w:rPr>
        <w:t xml:space="preserve"> measure scores: </w:t>
      </w:r>
      <w:r w:rsidR="00893704">
        <w:rPr>
          <w:rFonts w:cstheme="minorHAnsi"/>
          <w:bCs/>
          <w:color w:val="0000FF"/>
        </w:rPr>
        <w:t xml:space="preserve">1) </w:t>
      </w:r>
      <w:r>
        <w:rPr>
          <w:rFonts w:eastAsia="Calibri" w:cstheme="minorHAnsi"/>
          <w:bCs/>
          <w:color w:val="0000FF"/>
        </w:rPr>
        <w:t>dual eligibility (patient-level</w:t>
      </w:r>
      <w:r w:rsidR="00893704">
        <w:rPr>
          <w:rFonts w:eastAsia="Calibri" w:cstheme="minorHAnsi"/>
          <w:bCs/>
          <w:color w:val="0000FF"/>
        </w:rPr>
        <w:t xml:space="preserve"> variable</w:t>
      </w:r>
      <w:r>
        <w:rPr>
          <w:rFonts w:eastAsia="Calibri" w:cstheme="minorHAnsi"/>
          <w:bCs/>
          <w:color w:val="0000FF"/>
        </w:rPr>
        <w:t>)</w:t>
      </w:r>
      <w:r w:rsidR="00893704">
        <w:rPr>
          <w:rFonts w:eastAsia="Calibri" w:cstheme="minorHAnsi"/>
          <w:bCs/>
          <w:color w:val="0000FF"/>
        </w:rPr>
        <w:t>;</w:t>
      </w:r>
      <w:r>
        <w:rPr>
          <w:rFonts w:eastAsia="Calibri" w:cstheme="minorHAnsi"/>
          <w:bCs/>
          <w:color w:val="0000FF"/>
        </w:rPr>
        <w:t xml:space="preserve"> </w:t>
      </w:r>
      <w:r w:rsidR="00893704">
        <w:rPr>
          <w:rFonts w:eastAsia="Calibri" w:cstheme="minorHAnsi"/>
          <w:bCs/>
          <w:color w:val="0000FF"/>
        </w:rPr>
        <w:t xml:space="preserve">2) </w:t>
      </w:r>
      <w:r>
        <w:rPr>
          <w:rFonts w:eastAsia="Calibri" w:cstheme="minorHAnsi"/>
          <w:color w:val="0000FF"/>
        </w:rPr>
        <w:t>race/ethnicity (patient-level</w:t>
      </w:r>
      <w:r w:rsidR="00893704">
        <w:rPr>
          <w:rFonts w:eastAsia="Calibri" w:cstheme="minorHAnsi"/>
          <w:color w:val="0000FF"/>
        </w:rPr>
        <w:t xml:space="preserve"> variable</w:t>
      </w:r>
      <w:r>
        <w:rPr>
          <w:rFonts w:eastAsia="Calibri" w:cstheme="minorHAnsi"/>
          <w:color w:val="0000FF"/>
        </w:rPr>
        <w:t>)</w:t>
      </w:r>
      <w:r w:rsidR="00893704">
        <w:rPr>
          <w:rFonts w:eastAsia="Calibri" w:cstheme="minorHAnsi"/>
          <w:color w:val="0000FF"/>
        </w:rPr>
        <w:t>;</w:t>
      </w:r>
      <w:r>
        <w:rPr>
          <w:rFonts w:eastAsia="Calibri" w:cstheme="minorHAnsi"/>
          <w:color w:val="0000FF"/>
        </w:rPr>
        <w:t xml:space="preserve"> </w:t>
      </w:r>
      <w:r w:rsidR="00893704">
        <w:rPr>
          <w:rFonts w:eastAsia="Calibri" w:cstheme="minorHAnsi"/>
          <w:color w:val="0000FF"/>
        </w:rPr>
        <w:t xml:space="preserve">3) </w:t>
      </w:r>
      <w:r>
        <w:rPr>
          <w:rFonts w:eastAsia="Calibri" w:cstheme="minorHAnsi"/>
          <w:color w:val="0000FF"/>
        </w:rPr>
        <w:t>living alone (patient-level</w:t>
      </w:r>
      <w:r w:rsidR="00893704">
        <w:rPr>
          <w:rFonts w:eastAsia="Calibri" w:cstheme="minorHAnsi"/>
          <w:color w:val="0000FF"/>
        </w:rPr>
        <w:t xml:space="preserve"> variable</w:t>
      </w:r>
      <w:r>
        <w:rPr>
          <w:rFonts w:eastAsia="Calibri" w:cstheme="minorHAnsi"/>
          <w:color w:val="0000FF"/>
        </w:rPr>
        <w:t>)</w:t>
      </w:r>
      <w:r w:rsidR="00893704">
        <w:rPr>
          <w:rFonts w:eastAsia="Calibri" w:cstheme="minorHAnsi"/>
          <w:color w:val="0000FF"/>
        </w:rPr>
        <w:t>; 4)</w:t>
      </w:r>
      <w:r>
        <w:rPr>
          <w:rFonts w:eastAsia="Calibri" w:cstheme="minorHAnsi"/>
          <w:color w:val="0000FF"/>
        </w:rPr>
        <w:t xml:space="preserve"> urbanicity based on the patient’s residence (community-level</w:t>
      </w:r>
      <w:r w:rsidR="00893704">
        <w:rPr>
          <w:rFonts w:eastAsia="Calibri" w:cstheme="minorHAnsi"/>
          <w:color w:val="0000FF"/>
        </w:rPr>
        <w:t xml:space="preserve"> variable</w:t>
      </w:r>
      <w:r>
        <w:rPr>
          <w:rFonts w:eastAsia="Calibri" w:cstheme="minorHAnsi"/>
          <w:color w:val="0000FF"/>
        </w:rPr>
        <w:t>)</w:t>
      </w:r>
      <w:r w:rsidR="00893704">
        <w:rPr>
          <w:rFonts w:eastAsia="Calibri" w:cstheme="minorHAnsi"/>
          <w:color w:val="0000FF"/>
        </w:rPr>
        <w:t>;</w:t>
      </w:r>
      <w:r>
        <w:rPr>
          <w:rFonts w:eastAsia="Calibri" w:cstheme="minorHAnsi"/>
          <w:color w:val="0000FF"/>
        </w:rPr>
        <w:t xml:space="preserve"> and </w:t>
      </w:r>
      <w:r w:rsidR="00893704">
        <w:rPr>
          <w:rFonts w:eastAsia="Calibri" w:cstheme="minorHAnsi"/>
          <w:color w:val="0000FF"/>
        </w:rPr>
        <w:t xml:space="preserve">5) </w:t>
      </w:r>
      <w:r>
        <w:rPr>
          <w:rFonts w:eastAsia="Calibri" w:cstheme="minorHAnsi"/>
          <w:color w:val="0000FF"/>
        </w:rPr>
        <w:t>socioeconomic status (SES) (community-level</w:t>
      </w:r>
      <w:r w:rsidR="00893704">
        <w:rPr>
          <w:rFonts w:eastAsia="Calibri" w:cstheme="minorHAnsi"/>
          <w:color w:val="0000FF"/>
        </w:rPr>
        <w:t xml:space="preserve"> variable</w:t>
      </w:r>
      <w:r>
        <w:rPr>
          <w:rFonts w:eastAsia="Calibri" w:cstheme="minorHAnsi"/>
          <w:color w:val="0000FF"/>
        </w:rPr>
        <w:t>)</w:t>
      </w:r>
      <w:r>
        <w:rPr>
          <w:rFonts w:cstheme="minorHAnsi"/>
          <w:bCs/>
          <w:color w:val="0000FF"/>
        </w:rPr>
        <w:t xml:space="preserve">. </w:t>
      </w:r>
    </w:p>
    <w:p w14:paraId="349E25BC" w14:textId="77777777" w:rsidR="00C63FB5" w:rsidRDefault="00C63FB5" w:rsidP="00C63FB5">
      <w:pPr>
        <w:spacing w:after="0" w:line="240" w:lineRule="auto"/>
        <w:rPr>
          <w:rFonts w:cstheme="minorHAnsi"/>
          <w:bCs/>
          <w:color w:val="0000FF"/>
        </w:rPr>
      </w:pPr>
    </w:p>
    <w:p w14:paraId="321A5D23" w14:textId="4ED8EF50" w:rsidR="00C63FB5" w:rsidRDefault="00893704" w:rsidP="00C63FB5">
      <w:pPr>
        <w:spacing w:after="0" w:line="240" w:lineRule="auto"/>
        <w:rPr>
          <w:rFonts w:eastAsia="Calibri" w:cstheme="minorHAnsi"/>
          <w:color w:val="0000FF"/>
        </w:rPr>
      </w:pPr>
      <w:r>
        <w:rPr>
          <w:rFonts w:eastAsia="Calibri" w:cstheme="minorHAnsi"/>
          <w:color w:val="0000FF"/>
        </w:rPr>
        <w:t>We obtained patients’ d</w:t>
      </w:r>
      <w:r w:rsidR="00C63FB5">
        <w:rPr>
          <w:rFonts w:eastAsia="Calibri" w:cstheme="minorHAnsi"/>
          <w:color w:val="0000FF"/>
        </w:rPr>
        <w:t>ual</w:t>
      </w:r>
      <w:r>
        <w:rPr>
          <w:rFonts w:eastAsia="Calibri" w:cstheme="minorHAnsi"/>
          <w:color w:val="0000FF"/>
        </w:rPr>
        <w:t>-</w:t>
      </w:r>
      <w:r w:rsidR="00C63FB5">
        <w:rPr>
          <w:rFonts w:eastAsia="Calibri" w:cstheme="minorHAnsi"/>
          <w:color w:val="0000FF"/>
        </w:rPr>
        <w:t xml:space="preserve">eligibility </w:t>
      </w:r>
      <w:r>
        <w:rPr>
          <w:rFonts w:eastAsia="Calibri" w:cstheme="minorHAnsi"/>
          <w:color w:val="0000FF"/>
        </w:rPr>
        <w:t xml:space="preserve">status </w:t>
      </w:r>
      <w:r w:rsidR="00C63FB5">
        <w:rPr>
          <w:rFonts w:eastAsia="Calibri" w:cstheme="minorHAnsi"/>
          <w:color w:val="0000FF"/>
        </w:rPr>
        <w:t>from the Integrated Data Repository (IDR)</w:t>
      </w:r>
      <w:r>
        <w:rPr>
          <w:rFonts w:eastAsia="Calibri" w:cstheme="minorHAnsi"/>
          <w:color w:val="0000FF"/>
        </w:rPr>
        <w:t>, and</w:t>
      </w:r>
      <w:r w:rsidR="00C63FB5">
        <w:rPr>
          <w:rFonts w:eastAsia="Calibri" w:cstheme="minorHAnsi"/>
          <w:color w:val="0000FF"/>
        </w:rPr>
        <w:t xml:space="preserve"> race/ethnicity and living alone status from the IRF-PAI. Urbanicity was de</w:t>
      </w:r>
      <w:r>
        <w:rPr>
          <w:rFonts w:eastAsia="Calibri" w:cstheme="minorHAnsi"/>
          <w:color w:val="0000FF"/>
        </w:rPr>
        <w:t>termined</w:t>
      </w:r>
      <w:r w:rsidR="00C63FB5">
        <w:rPr>
          <w:rFonts w:eastAsia="Calibri" w:cstheme="minorHAnsi"/>
          <w:color w:val="0000FF"/>
        </w:rPr>
        <w:t xml:space="preserve"> by cross-walking beneficiary residence ZIP codes (from the IRF-PAI) to </w:t>
      </w:r>
      <w:r w:rsidR="00C63FB5">
        <w:rPr>
          <w:rStyle w:val="st1"/>
          <w:rFonts w:cstheme="minorHAnsi"/>
          <w:color w:val="0000FF"/>
          <w:lang w:val="en"/>
        </w:rPr>
        <w:t>Federal Information Processing Standard Publication</w:t>
      </w:r>
      <w:r w:rsidR="00C63FB5">
        <w:rPr>
          <w:rFonts w:eastAsia="Calibri" w:cstheme="minorHAnsi"/>
          <w:color w:val="0000FF"/>
        </w:rPr>
        <w:t xml:space="preserve"> (FIPS) codes,</w:t>
      </w:r>
      <w:r w:rsidR="00C63FB5">
        <w:rPr>
          <w:rStyle w:val="FootnoteReference"/>
          <w:rFonts w:eastAsia="Calibri"/>
          <w:color w:val="0000FF"/>
        </w:rPr>
        <w:footnoteReference w:id="4"/>
      </w:r>
      <w:r w:rsidR="00C63FB5">
        <w:rPr>
          <w:rFonts w:eastAsia="Calibri" w:cstheme="minorHAnsi"/>
          <w:color w:val="0000FF"/>
        </w:rPr>
        <w:t xml:space="preserve"> then cross-walking FIPS codes to Rural-Urban Commuting Area Codes (RUCA_2013).</w:t>
      </w:r>
      <w:r w:rsidR="00C63FB5">
        <w:rPr>
          <w:rStyle w:val="FootnoteReference"/>
          <w:rFonts w:eastAsia="Calibri"/>
          <w:color w:val="0000FF"/>
        </w:rPr>
        <w:footnoteReference w:id="5"/>
      </w:r>
      <w:r w:rsidR="00C63FB5">
        <w:rPr>
          <w:rFonts w:eastAsia="Calibri" w:cstheme="minorHAnsi"/>
          <w:color w:val="0000FF"/>
        </w:rPr>
        <w:t xml:space="preserve"> Socioeconomic status was determined using the Agency of Healthcare Research and Quality’s SES Index</w:t>
      </w:r>
      <w:r w:rsidR="00C63FB5">
        <w:rPr>
          <w:rStyle w:val="FootnoteReference"/>
          <w:rFonts w:eastAsia="Calibri"/>
          <w:color w:val="0000FF"/>
        </w:rPr>
        <w:footnoteReference w:id="6"/>
      </w:r>
      <w:r w:rsidR="00C63FB5">
        <w:rPr>
          <w:rFonts w:eastAsia="Calibri" w:cstheme="minorHAnsi"/>
          <w:color w:val="0000FF"/>
        </w:rPr>
        <w:t xml:space="preserve"> </w:t>
      </w:r>
      <w:r w:rsidR="00C63FB5">
        <w:rPr>
          <w:color w:val="0000FF"/>
        </w:rPr>
        <w:t>calculated based on beneficiary residence ZIP Code Tabulation Area (ZCTA).</w:t>
      </w:r>
      <w:r w:rsidR="00C63FB5">
        <w:rPr>
          <w:rFonts w:ascii="Arial" w:hAnsi="Arial" w:cs="Arial"/>
          <w:color w:val="0000FF"/>
          <w:sz w:val="24"/>
          <w:szCs w:val="24"/>
          <w:shd w:val="clear" w:color="auto" w:fill="FFFFFF"/>
        </w:rPr>
        <w:t xml:space="preserve"> </w:t>
      </w:r>
      <w:r w:rsidR="00C63FB5">
        <w:rPr>
          <w:color w:val="0000FF"/>
        </w:rPr>
        <w:t>ZCTA was found by cross-walking the beneficiary residence ZIP code with ZCTA.</w:t>
      </w:r>
      <w:r w:rsidR="00C63FB5">
        <w:rPr>
          <w:rFonts w:eastAsia="Calibri" w:cstheme="minorHAnsi"/>
          <w:color w:val="0000FF"/>
        </w:rPr>
        <w:t xml:space="preserve"> We used data from the 2016 </w:t>
      </w:r>
      <w:r w:rsidR="00C63FB5">
        <w:rPr>
          <w:rFonts w:eastAsia="Calibri" w:cstheme="minorHAnsi"/>
          <w:color w:val="0000FF"/>
        </w:rPr>
        <w:lastRenderedPageBreak/>
        <w:t xml:space="preserve">American Community Survey (5-year file) to calculate AHRQ SES Index, with higher values indicating higher SES. </w:t>
      </w:r>
    </w:p>
    <w:p w14:paraId="3873D843" w14:textId="77777777" w:rsidR="00C63FB5" w:rsidRDefault="00C63FB5" w:rsidP="00C63FB5">
      <w:pPr>
        <w:spacing w:after="0" w:line="240" w:lineRule="auto"/>
        <w:rPr>
          <w:rFonts w:eastAsia="Calibri" w:cstheme="minorHAnsi"/>
          <w:bCs/>
          <w:color w:val="0000FF"/>
        </w:rPr>
      </w:pPr>
    </w:p>
    <w:p w14:paraId="4F3C664B" w14:textId="77777777" w:rsidR="00C63FB5" w:rsidRDefault="00C63FB5" w:rsidP="00C63FB5">
      <w:pPr>
        <w:pStyle w:val="paragraph"/>
        <w:spacing w:before="0" w:beforeAutospacing="0" w:after="0" w:afterAutospacing="0"/>
        <w:textAlignment w:val="baseline"/>
        <w:rPr>
          <w:rStyle w:val="normaltextrun"/>
          <w:rFonts w:asciiTheme="minorHAnsi" w:hAnsiTheme="minorHAnsi"/>
        </w:rPr>
      </w:pPr>
      <w:r>
        <w:rPr>
          <w:rStyle w:val="normaltextrun"/>
          <w:rFonts w:asciiTheme="minorHAnsi" w:hAnsiTheme="minorHAnsi" w:cstheme="minorHAnsi"/>
          <w:color w:val="0000FF"/>
        </w:rPr>
        <w:t>We conducted the following analyses to examine the effect of the 5 social risk factors:</w:t>
      </w:r>
    </w:p>
    <w:p w14:paraId="5B2D30EC" w14:textId="77777777" w:rsidR="00C63FB5" w:rsidRPr="00F40534" w:rsidRDefault="00C63FB5" w:rsidP="00C63FB5">
      <w:pPr>
        <w:pStyle w:val="paragraph"/>
        <w:numPr>
          <w:ilvl w:val="0"/>
          <w:numId w:val="33"/>
        </w:numPr>
        <w:spacing w:before="0" w:beforeAutospacing="0" w:after="0" w:afterAutospacing="0"/>
        <w:ind w:left="360" w:firstLine="0"/>
        <w:textAlignment w:val="baseline"/>
        <w:rPr>
          <w:color w:val="0000FF"/>
        </w:rPr>
      </w:pPr>
      <w:r w:rsidRPr="00F40534">
        <w:rPr>
          <w:rStyle w:val="normaltextrun"/>
          <w:rFonts w:asciiTheme="minorHAnsi" w:hAnsiTheme="minorHAnsi" w:cstheme="minorHAnsi"/>
          <w:color w:val="0000FF"/>
        </w:rPr>
        <w:t>We calculated the percentage of stays for each social risk factor subgroup;</w:t>
      </w:r>
      <w:r w:rsidRPr="00F40534">
        <w:rPr>
          <w:rStyle w:val="eop"/>
          <w:rFonts w:asciiTheme="minorHAnsi" w:hAnsiTheme="minorHAnsi" w:cstheme="minorHAnsi"/>
          <w:color w:val="0000FF"/>
        </w:rPr>
        <w:t> </w:t>
      </w:r>
    </w:p>
    <w:p w14:paraId="6FBABA3A" w14:textId="6018E7D5" w:rsidR="00C63FB5" w:rsidRPr="00F40534" w:rsidRDefault="00C63FB5" w:rsidP="00C63FB5">
      <w:pPr>
        <w:pStyle w:val="paragraph"/>
        <w:numPr>
          <w:ilvl w:val="0"/>
          <w:numId w:val="33"/>
        </w:numPr>
        <w:spacing w:before="0" w:beforeAutospacing="0" w:after="0" w:afterAutospacing="0"/>
        <w:ind w:left="360" w:firstLine="0"/>
        <w:textAlignment w:val="baseline"/>
        <w:rPr>
          <w:rFonts w:asciiTheme="minorHAnsi" w:hAnsiTheme="minorHAnsi" w:cstheme="minorHAnsi"/>
          <w:color w:val="0000FF"/>
        </w:rPr>
      </w:pPr>
      <w:r w:rsidRPr="00F40534">
        <w:rPr>
          <w:rStyle w:val="normaltextrun"/>
          <w:rFonts w:asciiTheme="minorHAnsi" w:hAnsiTheme="minorHAnsi" w:cstheme="minorHAnsi"/>
          <w:color w:val="0000FF"/>
        </w:rPr>
        <w:t>We calculated the change in mobility score for each social risk factor subgroup;</w:t>
      </w:r>
      <w:r w:rsidRPr="00F40534">
        <w:rPr>
          <w:rStyle w:val="eop"/>
          <w:rFonts w:asciiTheme="minorHAnsi" w:hAnsiTheme="minorHAnsi" w:cstheme="minorHAnsi"/>
          <w:color w:val="0000FF"/>
        </w:rPr>
        <w:t> </w:t>
      </w:r>
    </w:p>
    <w:p w14:paraId="44984212" w14:textId="77777777" w:rsidR="00F40534" w:rsidRDefault="00C63FB5" w:rsidP="00C63FB5">
      <w:pPr>
        <w:pStyle w:val="paragraph"/>
        <w:numPr>
          <w:ilvl w:val="0"/>
          <w:numId w:val="33"/>
        </w:numPr>
        <w:spacing w:before="0" w:beforeAutospacing="0" w:after="0" w:afterAutospacing="0"/>
        <w:ind w:left="360" w:firstLine="0"/>
        <w:textAlignment w:val="baseline"/>
        <w:rPr>
          <w:rStyle w:val="normaltextrun"/>
          <w:rFonts w:asciiTheme="minorHAnsi" w:hAnsiTheme="minorHAnsi" w:cstheme="minorHAnsi"/>
          <w:color w:val="0000FF"/>
        </w:rPr>
      </w:pPr>
      <w:r w:rsidRPr="00F40534">
        <w:rPr>
          <w:rStyle w:val="normaltextrun"/>
          <w:rFonts w:asciiTheme="minorHAnsi" w:hAnsiTheme="minorHAnsi" w:cstheme="minorHAnsi"/>
          <w:color w:val="0000FF"/>
        </w:rPr>
        <w:t xml:space="preserve">We added indicators for each social risk factor to our risk adjustment model and estimated the </w:t>
      </w:r>
    </w:p>
    <w:p w14:paraId="698743DF" w14:textId="0F5AC886" w:rsidR="00C63FB5" w:rsidRPr="00F40534" w:rsidRDefault="00F40534" w:rsidP="00F40534">
      <w:pPr>
        <w:pStyle w:val="paragraph"/>
        <w:spacing w:before="0" w:beforeAutospacing="0" w:after="0" w:afterAutospacing="0"/>
        <w:ind w:left="360"/>
        <w:textAlignment w:val="baseline"/>
        <w:rPr>
          <w:rStyle w:val="normaltextrun"/>
          <w:rFonts w:asciiTheme="minorHAnsi" w:hAnsiTheme="minorHAnsi" w:cstheme="minorHAnsi"/>
          <w:color w:val="0000FF"/>
        </w:rPr>
      </w:pPr>
      <w:r>
        <w:rPr>
          <w:rStyle w:val="normaltextrun"/>
          <w:rFonts w:asciiTheme="minorHAnsi" w:hAnsiTheme="minorHAnsi" w:cstheme="minorHAnsi"/>
          <w:color w:val="0000FF"/>
        </w:rPr>
        <w:t xml:space="preserve">       </w:t>
      </w:r>
      <w:r w:rsidR="00C63FB5" w:rsidRPr="00F40534">
        <w:rPr>
          <w:rStyle w:val="normaltextrun"/>
          <w:rFonts w:asciiTheme="minorHAnsi" w:hAnsiTheme="minorHAnsi" w:cstheme="minorHAnsi"/>
          <w:color w:val="0000FF"/>
        </w:rPr>
        <w:t>coefficients of these risk adjusters in the model; and</w:t>
      </w:r>
    </w:p>
    <w:p w14:paraId="0543A525" w14:textId="77777777" w:rsidR="00C63FB5" w:rsidRDefault="00C63FB5" w:rsidP="00C63FB5">
      <w:pPr>
        <w:pStyle w:val="paragraph"/>
        <w:numPr>
          <w:ilvl w:val="0"/>
          <w:numId w:val="33"/>
        </w:numPr>
        <w:spacing w:before="0" w:beforeAutospacing="0" w:after="0" w:afterAutospacing="0"/>
        <w:ind w:left="360" w:firstLine="0"/>
        <w:textAlignment w:val="baseline"/>
        <w:rPr>
          <w:rStyle w:val="normaltextrun"/>
          <w:rFonts w:asciiTheme="minorHAnsi" w:hAnsiTheme="minorHAnsi" w:cstheme="minorHAnsi"/>
          <w:color w:val="0000FF"/>
        </w:rPr>
      </w:pPr>
      <w:r w:rsidRPr="00F40534">
        <w:rPr>
          <w:rStyle w:val="normaltextrun"/>
          <w:rFonts w:asciiTheme="minorHAnsi" w:hAnsiTheme="minorHAnsi" w:cstheme="minorHAnsi"/>
          <w:color w:val="0000FF"/>
        </w:rPr>
        <w:t xml:space="preserve">We calculated the difference in provider scores with and without </w:t>
      </w:r>
      <w:r>
        <w:rPr>
          <w:rStyle w:val="normaltextrun"/>
          <w:rFonts w:asciiTheme="minorHAnsi" w:hAnsiTheme="minorHAnsi" w:cstheme="minorHAnsi"/>
          <w:color w:val="0000FF"/>
        </w:rPr>
        <w:t>social risk factor adjustment.</w:t>
      </w:r>
    </w:p>
    <w:p w14:paraId="0F233BD6" w14:textId="77777777" w:rsidR="00C63FB5" w:rsidRDefault="00C63FB5" w:rsidP="00C63FB5">
      <w:pPr>
        <w:spacing w:after="0" w:line="240" w:lineRule="auto"/>
        <w:rPr>
          <w:rFonts w:eastAsia="Calibri"/>
          <w:b/>
          <w:bCs/>
        </w:rPr>
      </w:pPr>
    </w:p>
    <w:p w14:paraId="00A3E24A" w14:textId="415E8ECC" w:rsidR="00967CDB" w:rsidRDefault="00967CDB" w:rsidP="00967CDB">
      <w:pPr>
        <w:spacing w:after="0" w:line="240" w:lineRule="auto"/>
        <w:rPr>
          <w:rFonts w:eastAsia="Calibri" w:cstheme="minorHAnsi"/>
          <w:color w:val="0000FF"/>
        </w:rPr>
      </w:pPr>
      <w:r w:rsidRPr="0083031E">
        <w:rPr>
          <w:rFonts w:eastAsia="Calibri" w:cstheme="minorHAnsi"/>
          <w:b/>
          <w:bCs/>
          <w:color w:val="0000FF"/>
        </w:rPr>
        <w:t>Table 1</w:t>
      </w:r>
      <w:r w:rsidR="00360220">
        <w:rPr>
          <w:rFonts w:eastAsia="Calibri" w:cstheme="minorHAnsi"/>
          <w:b/>
          <w:bCs/>
          <w:color w:val="0000FF"/>
        </w:rPr>
        <w:t>3</w:t>
      </w:r>
      <w:r w:rsidRPr="0083031E">
        <w:rPr>
          <w:rFonts w:eastAsia="Calibri" w:cstheme="minorHAnsi"/>
          <w:color w:val="0000FF"/>
        </w:rPr>
        <w:t xml:space="preserve"> shows the distribution of the social risk factors in the calendar 2017 IRF data and the mean change in </w:t>
      </w:r>
      <w:r>
        <w:rPr>
          <w:rFonts w:eastAsia="Calibri" w:cstheme="minorHAnsi"/>
          <w:color w:val="0000FF"/>
        </w:rPr>
        <w:t>mobility</w:t>
      </w:r>
      <w:r w:rsidRPr="0083031E">
        <w:rPr>
          <w:rFonts w:eastAsia="Calibri" w:cstheme="minorHAnsi"/>
          <w:color w:val="0000FF"/>
        </w:rPr>
        <w:t xml:space="preserve"> score by social risk factor subgroup. We found that </w:t>
      </w:r>
      <w:r w:rsidRPr="006F110A">
        <w:rPr>
          <w:rFonts w:eastAsia="Calibri" w:cstheme="minorHAnsi"/>
          <w:color w:val="0000FF"/>
        </w:rPr>
        <w:t>12.2%</w:t>
      </w:r>
      <w:r w:rsidRPr="0083031E">
        <w:rPr>
          <w:rFonts w:eastAsia="Calibri" w:cstheme="minorHAnsi"/>
          <w:color w:val="0000FF"/>
        </w:rPr>
        <w:t xml:space="preserve"> of patients were dual eligible with full Medicaid benefits, </w:t>
      </w:r>
      <w:r w:rsidRPr="006F110A">
        <w:rPr>
          <w:rFonts w:eastAsia="Calibri" w:cstheme="minorHAnsi"/>
          <w:color w:val="0000FF"/>
        </w:rPr>
        <w:t>79.4%</w:t>
      </w:r>
      <w:r w:rsidRPr="0083031E">
        <w:rPr>
          <w:rFonts w:eastAsia="Calibri" w:cstheme="minorHAnsi"/>
          <w:color w:val="0000FF"/>
        </w:rPr>
        <w:t xml:space="preserve"> of patients were white, and </w:t>
      </w:r>
      <w:r w:rsidRPr="006F110A">
        <w:rPr>
          <w:rFonts w:eastAsia="Calibri" w:cstheme="minorHAnsi"/>
          <w:color w:val="0000FF"/>
        </w:rPr>
        <w:t>29.7%</w:t>
      </w:r>
      <w:r w:rsidRPr="0083031E">
        <w:rPr>
          <w:rFonts w:eastAsia="Calibri" w:cstheme="minorHAnsi"/>
          <w:color w:val="0000FF"/>
        </w:rPr>
        <w:t xml:space="preserve"> were living alone. We also found that </w:t>
      </w:r>
      <w:r w:rsidRPr="006F110A">
        <w:rPr>
          <w:rFonts w:eastAsia="Calibri" w:cstheme="minorHAnsi"/>
          <w:color w:val="0000FF"/>
        </w:rPr>
        <w:t>83.8%</w:t>
      </w:r>
      <w:r w:rsidRPr="0083031E">
        <w:rPr>
          <w:rFonts w:eastAsia="Calibri" w:cstheme="minorHAnsi"/>
          <w:color w:val="0000FF"/>
        </w:rPr>
        <w:t xml:space="preserve"> of IRF patients lived in urban areas. The lowest quartile of AHRQ SES index ranged from </w:t>
      </w:r>
      <w:r w:rsidRPr="0083031E">
        <w:rPr>
          <w:rFonts w:cstheme="minorHAnsi"/>
          <w:color w:val="0000FF"/>
        </w:rPr>
        <w:t>27.9 - 49.5</w:t>
      </w:r>
      <w:r w:rsidRPr="0083031E">
        <w:rPr>
          <w:rFonts w:eastAsia="Calibri" w:cstheme="minorHAnsi"/>
          <w:color w:val="0000FF"/>
        </w:rPr>
        <w:t xml:space="preserve">; the highest quartile ranged from </w:t>
      </w:r>
      <w:r w:rsidRPr="0083031E">
        <w:rPr>
          <w:rFonts w:cstheme="minorHAnsi"/>
          <w:color w:val="0000FF"/>
        </w:rPr>
        <w:t>55.3 – 75.7</w:t>
      </w:r>
      <w:r w:rsidRPr="0083031E">
        <w:rPr>
          <w:rFonts w:eastAsia="Calibri" w:cstheme="minorHAnsi"/>
          <w:color w:val="0000FF"/>
        </w:rPr>
        <w:t>.</w:t>
      </w:r>
    </w:p>
    <w:p w14:paraId="07E67001" w14:textId="77777777" w:rsidR="00C63FB5" w:rsidRDefault="00C63FB5" w:rsidP="00C63FB5">
      <w:pPr>
        <w:spacing w:after="0" w:line="240" w:lineRule="auto"/>
        <w:rPr>
          <w:rFonts w:eastAsia="Calibri" w:cstheme="minorHAnsi"/>
          <w:color w:val="0000FF"/>
        </w:rPr>
      </w:pPr>
    </w:p>
    <w:p w14:paraId="47B112C7" w14:textId="4F4A4D14" w:rsidR="00CA2184" w:rsidRPr="007C33B1" w:rsidRDefault="00CA2184" w:rsidP="00CA2184">
      <w:pPr>
        <w:spacing w:after="0" w:line="240" w:lineRule="auto"/>
        <w:rPr>
          <w:rFonts w:eastAsia="Calibri" w:cstheme="minorHAnsi"/>
          <w:color w:val="0000FF"/>
        </w:rPr>
      </w:pPr>
      <w:r w:rsidRPr="008B7480">
        <w:rPr>
          <w:rFonts w:eastAsia="Calibri" w:cstheme="minorHAnsi"/>
          <w:color w:val="0000FF"/>
        </w:rPr>
        <w:t xml:space="preserve">The mean unadjusted change in </w:t>
      </w:r>
      <w:r w:rsidR="000E5DCB" w:rsidRPr="008B7480">
        <w:rPr>
          <w:rFonts w:eastAsia="Calibri" w:cstheme="minorHAnsi"/>
          <w:color w:val="0000FF"/>
        </w:rPr>
        <w:t>mobility</w:t>
      </w:r>
      <w:r w:rsidRPr="008B7480">
        <w:rPr>
          <w:rFonts w:eastAsia="Calibri" w:cstheme="minorHAnsi"/>
          <w:color w:val="0000FF"/>
        </w:rPr>
        <w:t xml:space="preserve"> score varied by dual eligibility status, race,</w:t>
      </w:r>
      <w:r w:rsidR="000E5DCB" w:rsidRPr="008B7480">
        <w:rPr>
          <w:rFonts w:eastAsia="Calibri" w:cstheme="minorHAnsi"/>
          <w:color w:val="0000FF"/>
        </w:rPr>
        <w:t xml:space="preserve"> Hispanic ethnicity,</w:t>
      </w:r>
      <w:r w:rsidRPr="008B7480">
        <w:rPr>
          <w:rFonts w:eastAsia="Calibri" w:cstheme="minorHAnsi"/>
          <w:color w:val="0000FF"/>
        </w:rPr>
        <w:t xml:space="preserve"> and living alone status. Patients who were dual eligible with full Medicaid benefits had</w:t>
      </w:r>
      <w:r w:rsidR="000E5DCB" w:rsidRPr="008B7480">
        <w:rPr>
          <w:rFonts w:eastAsia="Calibri" w:cstheme="minorHAnsi"/>
          <w:color w:val="0000FF"/>
        </w:rPr>
        <w:t xml:space="preserve"> on average 26.2 units of</w:t>
      </w:r>
      <w:r w:rsidRPr="008B7480">
        <w:rPr>
          <w:rFonts w:eastAsia="Calibri" w:cstheme="minorHAnsi"/>
          <w:color w:val="0000FF"/>
        </w:rPr>
        <w:t xml:space="preserve"> change in </w:t>
      </w:r>
      <w:r w:rsidR="000E5DCB" w:rsidRPr="008B7480">
        <w:rPr>
          <w:rFonts w:eastAsia="Calibri" w:cstheme="minorHAnsi"/>
          <w:color w:val="0000FF"/>
        </w:rPr>
        <w:t>mobility</w:t>
      </w:r>
      <w:r w:rsidRPr="008B7480">
        <w:rPr>
          <w:rFonts w:eastAsia="Calibri" w:cstheme="minorHAnsi"/>
          <w:color w:val="0000FF"/>
        </w:rPr>
        <w:t xml:space="preserve"> while patients who were dual eligible without full Medicaid benefits or who were non-dual eligible had on average </w:t>
      </w:r>
      <w:r w:rsidR="000E5DCB" w:rsidRPr="008B7480">
        <w:rPr>
          <w:rFonts w:eastAsia="Calibri" w:cstheme="minorHAnsi"/>
          <w:color w:val="0000FF"/>
        </w:rPr>
        <w:t>29.3</w:t>
      </w:r>
      <w:r w:rsidRPr="008B7480">
        <w:rPr>
          <w:rFonts w:eastAsia="Calibri" w:cstheme="minorHAnsi"/>
          <w:color w:val="0000FF"/>
        </w:rPr>
        <w:t xml:space="preserve"> and </w:t>
      </w:r>
      <w:r w:rsidR="000E5DCB" w:rsidRPr="008B7480">
        <w:rPr>
          <w:rFonts w:eastAsia="Calibri" w:cstheme="minorHAnsi"/>
          <w:color w:val="0000FF"/>
        </w:rPr>
        <w:t>28.8 units of</w:t>
      </w:r>
      <w:r w:rsidRPr="008B7480">
        <w:rPr>
          <w:rFonts w:eastAsia="Calibri" w:cstheme="minorHAnsi"/>
          <w:color w:val="0000FF"/>
        </w:rPr>
        <w:t xml:space="preserve"> change in </w:t>
      </w:r>
      <w:r w:rsidR="000E5DCB" w:rsidRPr="008B7480">
        <w:rPr>
          <w:rFonts w:eastAsia="Calibri" w:cstheme="minorHAnsi"/>
          <w:color w:val="0000FF"/>
        </w:rPr>
        <w:t>mobility</w:t>
      </w:r>
      <w:r w:rsidRPr="008B7480">
        <w:rPr>
          <w:rFonts w:eastAsia="Calibri" w:cstheme="minorHAnsi"/>
          <w:color w:val="0000FF"/>
        </w:rPr>
        <w:t xml:space="preserve">, respectively. </w:t>
      </w:r>
      <w:r w:rsidR="000E5DCB" w:rsidRPr="008B7480">
        <w:rPr>
          <w:rFonts w:eastAsia="Calibri" w:cstheme="minorHAnsi"/>
          <w:color w:val="0000FF"/>
        </w:rPr>
        <w:t>For race, t</w:t>
      </w:r>
      <w:r w:rsidRPr="008B7480">
        <w:rPr>
          <w:rFonts w:eastAsia="Calibri" w:cstheme="minorHAnsi"/>
          <w:color w:val="0000FF"/>
        </w:rPr>
        <w:t xml:space="preserve">he highest mean change in </w:t>
      </w:r>
      <w:r w:rsidR="001058CA">
        <w:rPr>
          <w:rFonts w:eastAsia="Calibri" w:cstheme="minorHAnsi"/>
          <w:color w:val="0000FF"/>
        </w:rPr>
        <w:t>mobility</w:t>
      </w:r>
      <w:r w:rsidRPr="008B7480">
        <w:rPr>
          <w:rFonts w:eastAsia="Calibri" w:cstheme="minorHAnsi"/>
          <w:color w:val="0000FF"/>
        </w:rPr>
        <w:t xml:space="preserve"> during 2017 was found among patients who were white (</w:t>
      </w:r>
      <w:r w:rsidR="008B7480" w:rsidRPr="008B7480">
        <w:rPr>
          <w:rFonts w:eastAsia="Calibri" w:cstheme="minorHAnsi"/>
          <w:color w:val="0000FF"/>
        </w:rPr>
        <w:t>28.9 units of change</w:t>
      </w:r>
      <w:r w:rsidRPr="008B7480">
        <w:rPr>
          <w:rFonts w:eastAsia="Calibri" w:cstheme="minorHAnsi"/>
          <w:color w:val="0000FF"/>
        </w:rPr>
        <w:t xml:space="preserve">) or </w:t>
      </w:r>
      <w:r w:rsidR="008B7480" w:rsidRPr="008B7480">
        <w:rPr>
          <w:rFonts w:eastAsia="Calibri" w:cstheme="minorHAnsi"/>
          <w:color w:val="0000FF"/>
        </w:rPr>
        <w:t xml:space="preserve">multiracial </w:t>
      </w:r>
      <w:r w:rsidRPr="008B7480">
        <w:rPr>
          <w:rFonts w:eastAsia="Calibri" w:cstheme="minorHAnsi"/>
          <w:color w:val="0000FF"/>
        </w:rPr>
        <w:t>(</w:t>
      </w:r>
      <w:r w:rsidR="008B7480" w:rsidRPr="008B7480">
        <w:rPr>
          <w:rFonts w:eastAsia="Calibri" w:cstheme="minorHAnsi"/>
          <w:color w:val="0000FF"/>
        </w:rPr>
        <w:t>28.2 units of change</w:t>
      </w:r>
      <w:r w:rsidRPr="008B7480">
        <w:rPr>
          <w:rFonts w:eastAsia="Calibri" w:cstheme="minorHAnsi"/>
          <w:color w:val="0000FF"/>
        </w:rPr>
        <w:t>) whereas the lowest was among patients who were Asian (</w:t>
      </w:r>
      <w:r w:rsidR="008B7480" w:rsidRPr="008B7480">
        <w:rPr>
          <w:rFonts w:eastAsia="Calibri" w:cstheme="minorHAnsi"/>
          <w:color w:val="0000FF"/>
        </w:rPr>
        <w:t>26.5 units of change</w:t>
      </w:r>
      <w:r w:rsidRPr="008B7480">
        <w:rPr>
          <w:rFonts w:eastAsia="Calibri" w:cstheme="minorHAnsi"/>
          <w:color w:val="0000FF"/>
        </w:rPr>
        <w:t xml:space="preserve">). </w:t>
      </w:r>
      <w:r w:rsidR="008B7480" w:rsidRPr="00360220">
        <w:rPr>
          <w:rFonts w:eastAsia="Calibri" w:cstheme="minorHAnsi"/>
          <w:color w:val="0000FF"/>
        </w:rPr>
        <w:t xml:space="preserve">Patients who were of non-Hispanic ethnicity had a higher mean change in mobility score (28.6 units </w:t>
      </w:r>
      <w:r w:rsidR="008B7480">
        <w:rPr>
          <w:rFonts w:eastAsia="Calibri" w:cstheme="minorHAnsi"/>
          <w:color w:val="0000FF"/>
        </w:rPr>
        <w:t>of change</w:t>
      </w:r>
      <w:r w:rsidR="008B7480" w:rsidRPr="00360220">
        <w:rPr>
          <w:rFonts w:eastAsia="Calibri" w:cstheme="minorHAnsi"/>
          <w:color w:val="0000FF"/>
        </w:rPr>
        <w:t xml:space="preserve">) than patients who were Hispanic (27.1 units of change). </w:t>
      </w:r>
      <w:r w:rsidRPr="008B7480">
        <w:rPr>
          <w:rFonts w:eastAsia="Calibri" w:cstheme="minorHAnsi"/>
          <w:color w:val="0000FF"/>
        </w:rPr>
        <w:t xml:space="preserve">Patients who were living alone prior to </w:t>
      </w:r>
      <w:r w:rsidR="00173820">
        <w:rPr>
          <w:rFonts w:eastAsia="Calibri" w:cstheme="minorHAnsi"/>
          <w:color w:val="0000FF"/>
        </w:rPr>
        <w:t>being hospitalized</w:t>
      </w:r>
      <w:r w:rsidRPr="008B7480">
        <w:rPr>
          <w:rFonts w:eastAsia="Calibri" w:cstheme="minorHAnsi"/>
          <w:color w:val="0000FF"/>
        </w:rPr>
        <w:t xml:space="preserve"> had </w:t>
      </w:r>
      <w:r w:rsidR="008B7480">
        <w:rPr>
          <w:rFonts w:eastAsia="Calibri" w:cstheme="minorHAnsi"/>
          <w:color w:val="0000FF"/>
        </w:rPr>
        <w:t>29.8 units of</w:t>
      </w:r>
      <w:r w:rsidRPr="008B7480">
        <w:rPr>
          <w:rFonts w:eastAsia="Calibri" w:cstheme="minorHAnsi"/>
          <w:color w:val="0000FF"/>
        </w:rPr>
        <w:t xml:space="preserve"> change in </w:t>
      </w:r>
      <w:r w:rsidR="008B7480">
        <w:rPr>
          <w:rFonts w:eastAsia="Calibri" w:cstheme="minorHAnsi"/>
          <w:color w:val="0000FF"/>
        </w:rPr>
        <w:t>mobility</w:t>
      </w:r>
      <w:r w:rsidRPr="008B7480">
        <w:rPr>
          <w:rFonts w:eastAsia="Calibri" w:cstheme="minorHAnsi"/>
          <w:color w:val="0000FF"/>
        </w:rPr>
        <w:t xml:space="preserve"> whereas those not living alone had </w:t>
      </w:r>
      <w:r w:rsidR="008B7480">
        <w:rPr>
          <w:rFonts w:eastAsia="Calibri" w:cstheme="minorHAnsi"/>
          <w:color w:val="0000FF"/>
        </w:rPr>
        <w:t>28.0 units of</w:t>
      </w:r>
      <w:r w:rsidRPr="008B7480">
        <w:rPr>
          <w:rFonts w:eastAsia="Calibri" w:cstheme="minorHAnsi"/>
          <w:color w:val="0000FF"/>
        </w:rPr>
        <w:t xml:space="preserve"> change in </w:t>
      </w:r>
      <w:r w:rsidR="008B7480">
        <w:rPr>
          <w:rFonts w:eastAsia="Calibri" w:cstheme="minorHAnsi"/>
          <w:color w:val="0000FF"/>
        </w:rPr>
        <w:t>mobility</w:t>
      </w:r>
      <w:r w:rsidRPr="008B7480">
        <w:rPr>
          <w:rFonts w:eastAsia="Calibri" w:cstheme="minorHAnsi"/>
          <w:color w:val="0000FF"/>
        </w:rPr>
        <w:t xml:space="preserve">.  The mean unadjusted change in </w:t>
      </w:r>
      <w:r w:rsidR="00D929D9">
        <w:rPr>
          <w:rFonts w:eastAsia="Calibri" w:cstheme="minorHAnsi"/>
          <w:color w:val="0000FF"/>
        </w:rPr>
        <w:t xml:space="preserve">mobility </w:t>
      </w:r>
      <w:r w:rsidRPr="008B7480">
        <w:rPr>
          <w:rFonts w:eastAsia="Calibri" w:cstheme="minorHAnsi"/>
          <w:color w:val="0000FF"/>
        </w:rPr>
        <w:t xml:space="preserve">scores were similar across patients who are living in rural and urban locations, ranging from </w:t>
      </w:r>
      <w:r w:rsidR="00D929D9">
        <w:rPr>
          <w:rFonts w:eastAsia="Calibri" w:cstheme="minorHAnsi"/>
          <w:color w:val="0000FF"/>
        </w:rPr>
        <w:t>28.4</w:t>
      </w:r>
      <w:r w:rsidRPr="008B7480">
        <w:rPr>
          <w:rFonts w:eastAsia="Calibri" w:cstheme="minorHAnsi"/>
          <w:color w:val="0000FF"/>
        </w:rPr>
        <w:t xml:space="preserve"> to </w:t>
      </w:r>
      <w:r w:rsidR="00D929D9">
        <w:rPr>
          <w:rFonts w:eastAsia="Calibri" w:cstheme="minorHAnsi"/>
          <w:color w:val="0000FF"/>
        </w:rPr>
        <w:t>29.2 units of</w:t>
      </w:r>
      <w:r w:rsidRPr="008B7480">
        <w:rPr>
          <w:rFonts w:eastAsia="Calibri" w:cstheme="minorHAnsi"/>
          <w:color w:val="0000FF"/>
        </w:rPr>
        <w:t xml:space="preserve"> change in </w:t>
      </w:r>
      <w:r w:rsidR="00D929D9">
        <w:rPr>
          <w:rFonts w:eastAsia="Calibri" w:cstheme="minorHAnsi"/>
          <w:color w:val="0000FF"/>
        </w:rPr>
        <w:t>mobility</w:t>
      </w:r>
      <w:r w:rsidRPr="008B7480">
        <w:rPr>
          <w:rFonts w:eastAsia="Calibri" w:cstheme="minorHAnsi"/>
          <w:color w:val="0000FF"/>
        </w:rPr>
        <w:t xml:space="preserve">, and by AHRQ SES Index, ranging from </w:t>
      </w:r>
      <w:r w:rsidR="00D929D9">
        <w:rPr>
          <w:rFonts w:eastAsia="Calibri" w:cstheme="minorHAnsi"/>
          <w:color w:val="0000FF"/>
        </w:rPr>
        <w:t>28.2 units of</w:t>
      </w:r>
      <w:r w:rsidRPr="008B7480">
        <w:rPr>
          <w:rFonts w:eastAsia="Calibri" w:cstheme="minorHAnsi"/>
          <w:color w:val="0000FF"/>
        </w:rPr>
        <w:t xml:space="preserve"> change in </w:t>
      </w:r>
      <w:r w:rsidR="00D929D9">
        <w:rPr>
          <w:rFonts w:eastAsia="Calibri" w:cstheme="minorHAnsi"/>
          <w:color w:val="0000FF"/>
        </w:rPr>
        <w:t>mobility</w:t>
      </w:r>
      <w:r w:rsidRPr="008B7480">
        <w:rPr>
          <w:rFonts w:eastAsia="Calibri" w:cstheme="minorHAnsi"/>
          <w:color w:val="0000FF"/>
        </w:rPr>
        <w:t xml:space="preserve"> for quartile </w:t>
      </w:r>
      <w:r w:rsidR="00D929D9">
        <w:rPr>
          <w:rFonts w:eastAsia="Calibri" w:cstheme="minorHAnsi"/>
          <w:color w:val="0000FF"/>
        </w:rPr>
        <w:t>4</w:t>
      </w:r>
      <w:r w:rsidRPr="008B7480">
        <w:rPr>
          <w:rFonts w:eastAsia="Calibri" w:cstheme="minorHAnsi"/>
          <w:color w:val="0000FF"/>
        </w:rPr>
        <w:t xml:space="preserve"> to </w:t>
      </w:r>
      <w:r w:rsidR="00D929D9">
        <w:rPr>
          <w:rFonts w:eastAsia="Calibri" w:cstheme="minorHAnsi"/>
          <w:color w:val="0000FF"/>
        </w:rPr>
        <w:t>29.0 units of</w:t>
      </w:r>
      <w:r w:rsidRPr="008B7480">
        <w:rPr>
          <w:rFonts w:eastAsia="Calibri" w:cstheme="minorHAnsi"/>
          <w:color w:val="0000FF"/>
        </w:rPr>
        <w:t xml:space="preserve"> change in </w:t>
      </w:r>
      <w:r w:rsidR="00D929D9">
        <w:rPr>
          <w:rFonts w:eastAsia="Calibri" w:cstheme="minorHAnsi"/>
          <w:color w:val="0000FF"/>
        </w:rPr>
        <w:t>mobility</w:t>
      </w:r>
      <w:r w:rsidRPr="008B7480">
        <w:rPr>
          <w:rFonts w:eastAsia="Calibri" w:cstheme="minorHAnsi"/>
          <w:color w:val="0000FF"/>
        </w:rPr>
        <w:t xml:space="preserve"> for quartile </w:t>
      </w:r>
      <w:r w:rsidR="00D929D9">
        <w:rPr>
          <w:rFonts w:eastAsia="Calibri" w:cstheme="minorHAnsi"/>
          <w:color w:val="0000FF"/>
        </w:rPr>
        <w:t>2</w:t>
      </w:r>
      <w:r w:rsidRPr="008B7480">
        <w:rPr>
          <w:rFonts w:eastAsia="Calibri" w:cstheme="minorHAnsi"/>
          <w:color w:val="0000FF"/>
        </w:rPr>
        <w:t>.</w:t>
      </w:r>
    </w:p>
    <w:p w14:paraId="127B96D6" w14:textId="77777777" w:rsidR="00EE3DF5" w:rsidRDefault="00EE3DF5" w:rsidP="00C63FB5">
      <w:pPr>
        <w:spacing w:after="0" w:line="240" w:lineRule="auto"/>
        <w:rPr>
          <w:rFonts w:eastAsia="Calibri" w:cstheme="minorHAnsi"/>
          <w:color w:val="0000FF"/>
        </w:rPr>
      </w:pPr>
    </w:p>
    <w:p w14:paraId="582BFEC1" w14:textId="373BDB46" w:rsidR="00C63FB5" w:rsidRDefault="00C63FB5" w:rsidP="00C63FB5">
      <w:pPr>
        <w:spacing w:after="0" w:line="240" w:lineRule="auto"/>
        <w:rPr>
          <w:rFonts w:eastAsia="Calibri" w:cstheme="minorHAnsi"/>
          <w:b/>
          <w:color w:val="0000FF"/>
        </w:rPr>
      </w:pPr>
      <w:r>
        <w:rPr>
          <w:rFonts w:eastAsia="Calibri" w:cstheme="minorHAnsi"/>
          <w:b/>
          <w:bCs/>
          <w:color w:val="0000FF"/>
        </w:rPr>
        <w:t>Table 1</w:t>
      </w:r>
      <w:r w:rsidR="00360220">
        <w:rPr>
          <w:rFonts w:eastAsia="Calibri" w:cstheme="minorHAnsi"/>
          <w:b/>
          <w:bCs/>
          <w:color w:val="0000FF"/>
        </w:rPr>
        <w:t>3</w:t>
      </w:r>
      <w:r>
        <w:rPr>
          <w:rFonts w:eastAsia="Calibri" w:cstheme="minorHAnsi"/>
          <w:b/>
          <w:bCs/>
          <w:color w:val="0000FF"/>
        </w:rPr>
        <w:t xml:space="preserve">. </w:t>
      </w:r>
      <w:r>
        <w:rPr>
          <w:rFonts w:eastAsia="Calibri" w:cstheme="minorHAnsi"/>
          <w:b/>
          <w:color w:val="0000FF"/>
        </w:rPr>
        <w:t>Distribution of Social Risk Factors and Mean Change in Mobility Score for IRF Patients (N =</w:t>
      </w:r>
      <w:r w:rsidR="0082530A">
        <w:rPr>
          <w:rFonts w:eastAsia="Calibri" w:cstheme="minorHAnsi"/>
          <w:b/>
          <w:color w:val="0000FF"/>
        </w:rPr>
        <w:t xml:space="preserve"> 428,710)</w:t>
      </w:r>
      <w:r>
        <w:rPr>
          <w:rFonts w:eastAsia="Calibri" w:cstheme="minorHAnsi"/>
          <w:b/>
          <w:color w:val="0000FF"/>
        </w:rPr>
        <w:t xml:space="preserve"> </w:t>
      </w:r>
    </w:p>
    <w:p w14:paraId="0E57EB38" w14:textId="77777777" w:rsidR="00EE3DF5" w:rsidRDefault="00EE3DF5" w:rsidP="00C63FB5">
      <w:pPr>
        <w:spacing w:after="0" w:line="240" w:lineRule="auto"/>
        <w:rPr>
          <w:rFonts w:eastAsia="Calibri" w:cstheme="minorHAnsi"/>
          <w:b/>
          <w:color w:val="0000FF"/>
          <w:sz w:val="20"/>
          <w:szCs w:val="20"/>
        </w:rPr>
      </w:pPr>
    </w:p>
    <w:tbl>
      <w:tblPr>
        <w:tblW w:w="5000" w:type="pct"/>
        <w:tblLook w:val="06A0" w:firstRow="1" w:lastRow="0" w:firstColumn="1" w:lastColumn="0" w:noHBand="1" w:noVBand="1"/>
      </w:tblPr>
      <w:tblGrid>
        <w:gridCol w:w="5329"/>
        <w:gridCol w:w="1728"/>
        <w:gridCol w:w="2303"/>
      </w:tblGrid>
      <w:tr w:rsidR="0082530A" w14:paraId="3A23C2C3" w14:textId="77777777" w:rsidTr="0022066B">
        <w:trPr>
          <w:trHeight w:val="432"/>
          <w:tblHeader/>
        </w:trPr>
        <w:tc>
          <w:tcPr>
            <w:tcW w:w="2847" w:type="pct"/>
            <w:tcBorders>
              <w:top w:val="single" w:sz="4" w:space="0" w:color="auto"/>
              <w:left w:val="nil"/>
              <w:bottom w:val="single" w:sz="4" w:space="0" w:color="auto"/>
              <w:right w:val="nil"/>
            </w:tcBorders>
            <w:vAlign w:val="center"/>
            <w:hideMark/>
          </w:tcPr>
          <w:p w14:paraId="2AD90775" w14:textId="77777777" w:rsidR="0082530A" w:rsidRDefault="0082530A">
            <w:pPr>
              <w:spacing w:after="0" w:line="240" w:lineRule="auto"/>
              <w:rPr>
                <w:rFonts w:eastAsia="Calibri" w:cstheme="minorHAnsi"/>
                <w:b/>
                <w:color w:val="0000FF"/>
              </w:rPr>
            </w:pPr>
            <w:r>
              <w:rPr>
                <w:rFonts w:eastAsia="Calibri" w:cstheme="minorHAnsi"/>
                <w:b/>
                <w:color w:val="0000FF"/>
              </w:rPr>
              <w:t>Social Risk Factor</w:t>
            </w:r>
          </w:p>
        </w:tc>
        <w:tc>
          <w:tcPr>
            <w:tcW w:w="923" w:type="pct"/>
            <w:tcBorders>
              <w:top w:val="single" w:sz="4" w:space="0" w:color="auto"/>
              <w:left w:val="nil"/>
              <w:bottom w:val="single" w:sz="4" w:space="0" w:color="auto"/>
              <w:right w:val="nil"/>
            </w:tcBorders>
            <w:vAlign w:val="center"/>
            <w:hideMark/>
          </w:tcPr>
          <w:p w14:paraId="62FFE912" w14:textId="1086FCE2" w:rsidR="0082530A" w:rsidRDefault="0082530A">
            <w:pPr>
              <w:spacing w:after="0" w:line="240" w:lineRule="auto"/>
              <w:jc w:val="center"/>
              <w:rPr>
                <w:rFonts w:cstheme="minorHAnsi"/>
                <w:b/>
                <w:bCs/>
                <w:color w:val="0000FF"/>
              </w:rPr>
            </w:pPr>
            <w:r>
              <w:rPr>
                <w:rFonts w:cstheme="minorHAnsi"/>
                <w:b/>
                <w:bCs/>
                <w:color w:val="0000FF"/>
              </w:rPr>
              <w:t>n (%)</w:t>
            </w:r>
          </w:p>
        </w:tc>
        <w:tc>
          <w:tcPr>
            <w:tcW w:w="1230" w:type="pct"/>
            <w:tcBorders>
              <w:top w:val="single" w:sz="4" w:space="0" w:color="auto"/>
              <w:left w:val="nil"/>
              <w:bottom w:val="single" w:sz="4" w:space="0" w:color="auto"/>
              <w:right w:val="nil"/>
            </w:tcBorders>
            <w:hideMark/>
          </w:tcPr>
          <w:p w14:paraId="41FA4B33" w14:textId="71B19E5E" w:rsidR="0082530A" w:rsidRDefault="00A1783E">
            <w:pPr>
              <w:spacing w:after="0" w:line="240" w:lineRule="auto"/>
              <w:jc w:val="center"/>
              <w:rPr>
                <w:rFonts w:cstheme="minorHAnsi"/>
                <w:b/>
                <w:bCs/>
                <w:color w:val="0000FF"/>
              </w:rPr>
            </w:pPr>
            <w:r>
              <w:rPr>
                <w:rFonts w:cstheme="minorHAnsi"/>
                <w:b/>
                <w:bCs/>
                <w:color w:val="0000FF"/>
              </w:rPr>
              <w:t xml:space="preserve">Observed </w:t>
            </w:r>
            <w:r w:rsidR="0082530A">
              <w:rPr>
                <w:rFonts w:cstheme="minorHAnsi"/>
                <w:b/>
                <w:bCs/>
                <w:color w:val="0000FF"/>
              </w:rPr>
              <w:t>Change in Mobility (unadjusted)</w:t>
            </w:r>
          </w:p>
        </w:tc>
      </w:tr>
      <w:tr w:rsidR="0082530A" w14:paraId="602A29C1" w14:textId="77777777" w:rsidTr="0022066B">
        <w:trPr>
          <w:trHeight w:val="315"/>
        </w:trPr>
        <w:tc>
          <w:tcPr>
            <w:tcW w:w="2847" w:type="pct"/>
            <w:vAlign w:val="bottom"/>
            <w:hideMark/>
          </w:tcPr>
          <w:p w14:paraId="08F38783" w14:textId="0D2AEAF4" w:rsidR="0082530A" w:rsidRDefault="0082530A" w:rsidP="0082530A">
            <w:pPr>
              <w:spacing w:after="0" w:line="240" w:lineRule="auto"/>
              <w:rPr>
                <w:rFonts w:cstheme="minorHAnsi"/>
                <w:b/>
                <w:i/>
                <w:color w:val="0000FF"/>
              </w:rPr>
            </w:pPr>
            <w:r w:rsidRPr="00673F1F">
              <w:rPr>
                <w:rFonts w:cstheme="minorHAnsi"/>
                <w:b/>
                <w:i/>
                <w:color w:val="0000FF"/>
              </w:rPr>
              <w:t>Dual Eligibility</w:t>
            </w:r>
          </w:p>
        </w:tc>
        <w:tc>
          <w:tcPr>
            <w:tcW w:w="923" w:type="pct"/>
            <w:vAlign w:val="center"/>
          </w:tcPr>
          <w:p w14:paraId="01A269CF" w14:textId="77777777" w:rsidR="0082530A" w:rsidRDefault="0082530A" w:rsidP="0022066B">
            <w:pPr>
              <w:spacing w:after="0" w:line="240" w:lineRule="auto"/>
              <w:jc w:val="center"/>
              <w:rPr>
                <w:rFonts w:cstheme="minorHAnsi"/>
                <w:color w:val="0000FF"/>
              </w:rPr>
            </w:pPr>
          </w:p>
        </w:tc>
        <w:tc>
          <w:tcPr>
            <w:tcW w:w="1230" w:type="pct"/>
            <w:vAlign w:val="center"/>
          </w:tcPr>
          <w:p w14:paraId="00AF4D03" w14:textId="77777777" w:rsidR="0082530A" w:rsidRDefault="0082530A" w:rsidP="0022066B">
            <w:pPr>
              <w:spacing w:after="0" w:line="240" w:lineRule="auto"/>
              <w:jc w:val="center"/>
              <w:rPr>
                <w:rFonts w:eastAsia="Albany AMT" w:cstheme="minorHAnsi"/>
                <w:color w:val="0000FF"/>
              </w:rPr>
            </w:pPr>
          </w:p>
        </w:tc>
      </w:tr>
      <w:tr w:rsidR="000F3F84" w14:paraId="0807248C" w14:textId="77777777" w:rsidTr="0022066B">
        <w:trPr>
          <w:trHeight w:val="315"/>
        </w:trPr>
        <w:tc>
          <w:tcPr>
            <w:tcW w:w="2847" w:type="pct"/>
            <w:vAlign w:val="center"/>
            <w:hideMark/>
          </w:tcPr>
          <w:p w14:paraId="4C90BDC3" w14:textId="42845926" w:rsidR="000F3F84" w:rsidRDefault="000F3F84" w:rsidP="000F3F84">
            <w:pPr>
              <w:spacing w:after="0" w:line="240" w:lineRule="auto"/>
              <w:ind w:left="306"/>
              <w:rPr>
                <w:rFonts w:eastAsia="Times New Roman" w:cstheme="minorHAnsi"/>
                <w:color w:val="0000FF"/>
              </w:rPr>
            </w:pPr>
            <w:r w:rsidRPr="00673F1F">
              <w:rPr>
                <w:rFonts w:ascii="Calibri" w:hAnsi="Calibri" w:cstheme="minorHAnsi"/>
                <w:color w:val="0000FF"/>
              </w:rPr>
              <w:t>Dual with full Medicaid</w:t>
            </w:r>
          </w:p>
        </w:tc>
        <w:tc>
          <w:tcPr>
            <w:tcW w:w="923" w:type="pct"/>
            <w:vAlign w:val="center"/>
          </w:tcPr>
          <w:p w14:paraId="67CCAF50" w14:textId="2A5D9FF9" w:rsidR="000F3F84" w:rsidRDefault="000F3F84">
            <w:pPr>
              <w:spacing w:after="0" w:line="240" w:lineRule="auto"/>
              <w:jc w:val="center"/>
              <w:rPr>
                <w:rFonts w:cstheme="minorHAnsi"/>
                <w:color w:val="0000FF"/>
              </w:rPr>
            </w:pPr>
            <w:r w:rsidRPr="006F110A">
              <w:rPr>
                <w:rFonts w:cstheme="minorHAnsi"/>
                <w:color w:val="0000FF"/>
              </w:rPr>
              <w:t>52</w:t>
            </w:r>
            <w:r>
              <w:rPr>
                <w:rFonts w:cstheme="minorHAnsi"/>
                <w:color w:val="0000FF"/>
              </w:rPr>
              <w:t>,</w:t>
            </w:r>
            <w:r w:rsidRPr="006F110A">
              <w:rPr>
                <w:rFonts w:cstheme="minorHAnsi"/>
                <w:color w:val="0000FF"/>
              </w:rPr>
              <w:t>450 (12.2)</w:t>
            </w:r>
          </w:p>
        </w:tc>
        <w:tc>
          <w:tcPr>
            <w:tcW w:w="1230" w:type="pct"/>
            <w:vAlign w:val="center"/>
          </w:tcPr>
          <w:p w14:paraId="55931E88" w14:textId="4ABD87D2" w:rsidR="000F3F84" w:rsidRDefault="0022066B">
            <w:pPr>
              <w:spacing w:after="0" w:line="240" w:lineRule="auto"/>
              <w:jc w:val="center"/>
              <w:rPr>
                <w:rFonts w:eastAsia="Albany AMT" w:cstheme="minorHAnsi"/>
                <w:color w:val="0000FF"/>
              </w:rPr>
            </w:pPr>
            <w:r>
              <w:rPr>
                <w:rFonts w:eastAsia="Albany AMT" w:cstheme="minorHAnsi"/>
                <w:color w:val="0000FF"/>
              </w:rPr>
              <w:t>26.2</w:t>
            </w:r>
          </w:p>
        </w:tc>
      </w:tr>
      <w:tr w:rsidR="000F3F84" w14:paraId="11C5804A" w14:textId="77777777" w:rsidTr="0022066B">
        <w:trPr>
          <w:trHeight w:val="315"/>
        </w:trPr>
        <w:tc>
          <w:tcPr>
            <w:tcW w:w="2847" w:type="pct"/>
            <w:vAlign w:val="bottom"/>
            <w:hideMark/>
          </w:tcPr>
          <w:p w14:paraId="1511B9DF" w14:textId="6A5CDDB8" w:rsidR="000F3F84" w:rsidRDefault="000F3F84" w:rsidP="000F3F84">
            <w:pPr>
              <w:spacing w:after="0" w:line="240" w:lineRule="auto"/>
              <w:ind w:left="306"/>
              <w:rPr>
                <w:rFonts w:cstheme="minorHAnsi"/>
                <w:color w:val="0000FF"/>
              </w:rPr>
            </w:pPr>
            <w:r w:rsidRPr="00673F1F">
              <w:rPr>
                <w:rFonts w:cstheme="minorHAnsi"/>
                <w:color w:val="0000FF"/>
              </w:rPr>
              <w:t>Dual without full Medicaid</w:t>
            </w:r>
          </w:p>
        </w:tc>
        <w:tc>
          <w:tcPr>
            <w:tcW w:w="923" w:type="pct"/>
            <w:vAlign w:val="center"/>
          </w:tcPr>
          <w:p w14:paraId="64145D87" w14:textId="6CDD830B" w:rsidR="000F3F84" w:rsidRDefault="000F3F84">
            <w:pPr>
              <w:spacing w:after="0" w:line="240" w:lineRule="auto"/>
              <w:jc w:val="center"/>
              <w:rPr>
                <w:rFonts w:cstheme="minorHAnsi"/>
                <w:color w:val="0000FF"/>
              </w:rPr>
            </w:pPr>
            <w:r w:rsidRPr="006F110A">
              <w:rPr>
                <w:rFonts w:cstheme="minorHAnsi"/>
                <w:color w:val="0000FF"/>
              </w:rPr>
              <w:t>25</w:t>
            </w:r>
            <w:r>
              <w:rPr>
                <w:rFonts w:cstheme="minorHAnsi"/>
                <w:color w:val="0000FF"/>
              </w:rPr>
              <w:t>,</w:t>
            </w:r>
            <w:r w:rsidRPr="006F110A">
              <w:rPr>
                <w:rFonts w:cstheme="minorHAnsi"/>
                <w:color w:val="0000FF"/>
              </w:rPr>
              <w:t>113 (5.9)</w:t>
            </w:r>
          </w:p>
        </w:tc>
        <w:tc>
          <w:tcPr>
            <w:tcW w:w="1230" w:type="pct"/>
            <w:vAlign w:val="center"/>
          </w:tcPr>
          <w:p w14:paraId="5F8BD05E" w14:textId="39E012D0" w:rsidR="000F3F84" w:rsidRDefault="0022066B">
            <w:pPr>
              <w:spacing w:after="0" w:line="240" w:lineRule="auto"/>
              <w:jc w:val="center"/>
              <w:rPr>
                <w:rFonts w:eastAsia="Albany AMT" w:cstheme="minorHAnsi"/>
                <w:color w:val="0000FF"/>
              </w:rPr>
            </w:pPr>
            <w:r>
              <w:rPr>
                <w:rFonts w:eastAsia="Albany AMT" w:cstheme="minorHAnsi"/>
                <w:color w:val="0000FF"/>
              </w:rPr>
              <w:t>29.3</w:t>
            </w:r>
          </w:p>
        </w:tc>
      </w:tr>
      <w:tr w:rsidR="000F3F84" w14:paraId="37C049DB" w14:textId="77777777" w:rsidTr="0022066B">
        <w:trPr>
          <w:trHeight w:val="315"/>
        </w:trPr>
        <w:tc>
          <w:tcPr>
            <w:tcW w:w="2847" w:type="pct"/>
            <w:vAlign w:val="bottom"/>
            <w:hideMark/>
          </w:tcPr>
          <w:p w14:paraId="60D75E10" w14:textId="07B2D0A9" w:rsidR="000F3F84" w:rsidRDefault="000F3F84" w:rsidP="000F3F84">
            <w:pPr>
              <w:spacing w:after="0" w:line="240" w:lineRule="auto"/>
              <w:ind w:left="306"/>
              <w:rPr>
                <w:rFonts w:cstheme="minorHAnsi"/>
                <w:color w:val="0000FF"/>
              </w:rPr>
            </w:pPr>
            <w:r w:rsidRPr="00673F1F">
              <w:rPr>
                <w:rFonts w:cstheme="minorHAnsi"/>
                <w:color w:val="0000FF"/>
              </w:rPr>
              <w:t>Non-dual</w:t>
            </w:r>
          </w:p>
        </w:tc>
        <w:tc>
          <w:tcPr>
            <w:tcW w:w="923" w:type="pct"/>
            <w:vAlign w:val="center"/>
          </w:tcPr>
          <w:p w14:paraId="41407B15" w14:textId="5B9F6B6E" w:rsidR="000F3F84" w:rsidRDefault="000F3F84">
            <w:pPr>
              <w:spacing w:after="0" w:line="240" w:lineRule="auto"/>
              <w:jc w:val="center"/>
              <w:rPr>
                <w:rFonts w:cstheme="minorHAnsi"/>
                <w:color w:val="0000FF"/>
              </w:rPr>
            </w:pPr>
            <w:r w:rsidRPr="006F110A">
              <w:rPr>
                <w:rFonts w:cstheme="minorHAnsi"/>
                <w:color w:val="0000FF"/>
              </w:rPr>
              <w:t>351</w:t>
            </w:r>
            <w:r>
              <w:rPr>
                <w:rFonts w:cstheme="minorHAnsi"/>
                <w:color w:val="0000FF"/>
              </w:rPr>
              <w:t>,</w:t>
            </w:r>
            <w:r w:rsidRPr="006F110A">
              <w:rPr>
                <w:rFonts w:cstheme="minorHAnsi"/>
                <w:color w:val="0000FF"/>
              </w:rPr>
              <w:t>147 (81.9)</w:t>
            </w:r>
          </w:p>
        </w:tc>
        <w:tc>
          <w:tcPr>
            <w:tcW w:w="1230" w:type="pct"/>
            <w:vAlign w:val="center"/>
          </w:tcPr>
          <w:p w14:paraId="69B3F4B9" w14:textId="70C8E508" w:rsidR="000F3F84" w:rsidRDefault="0022066B">
            <w:pPr>
              <w:spacing w:after="0" w:line="240" w:lineRule="auto"/>
              <w:jc w:val="center"/>
              <w:rPr>
                <w:rFonts w:eastAsia="Albany AMT" w:cstheme="minorHAnsi"/>
                <w:color w:val="0000FF"/>
              </w:rPr>
            </w:pPr>
            <w:r>
              <w:rPr>
                <w:rFonts w:eastAsia="Albany AMT" w:cstheme="minorHAnsi"/>
                <w:color w:val="0000FF"/>
              </w:rPr>
              <w:t>28.8</w:t>
            </w:r>
          </w:p>
        </w:tc>
      </w:tr>
      <w:tr w:rsidR="0082530A" w14:paraId="152A3481" w14:textId="77777777" w:rsidTr="0022066B">
        <w:trPr>
          <w:trHeight w:val="315"/>
        </w:trPr>
        <w:tc>
          <w:tcPr>
            <w:tcW w:w="2847" w:type="pct"/>
            <w:vAlign w:val="bottom"/>
            <w:hideMark/>
          </w:tcPr>
          <w:p w14:paraId="66DE1892" w14:textId="71FB9DB0" w:rsidR="0082530A" w:rsidRDefault="0082530A" w:rsidP="0082530A">
            <w:pPr>
              <w:spacing w:after="0" w:line="240" w:lineRule="auto"/>
              <w:rPr>
                <w:rFonts w:cstheme="minorHAnsi"/>
                <w:b/>
                <w:i/>
                <w:color w:val="0000FF"/>
              </w:rPr>
            </w:pPr>
            <w:r w:rsidRPr="00673F1F">
              <w:rPr>
                <w:rFonts w:cstheme="minorHAnsi"/>
                <w:b/>
                <w:i/>
                <w:color w:val="0000FF"/>
              </w:rPr>
              <w:t>Race</w:t>
            </w:r>
          </w:p>
        </w:tc>
        <w:tc>
          <w:tcPr>
            <w:tcW w:w="923" w:type="pct"/>
            <w:vAlign w:val="center"/>
          </w:tcPr>
          <w:p w14:paraId="716173D9" w14:textId="77777777" w:rsidR="0082530A" w:rsidRDefault="0082530A">
            <w:pPr>
              <w:spacing w:after="0" w:line="240" w:lineRule="auto"/>
              <w:jc w:val="center"/>
              <w:rPr>
                <w:rFonts w:cstheme="minorHAnsi"/>
                <w:b/>
                <w:i/>
                <w:color w:val="0000FF"/>
              </w:rPr>
            </w:pPr>
          </w:p>
        </w:tc>
        <w:tc>
          <w:tcPr>
            <w:tcW w:w="1230" w:type="pct"/>
            <w:vAlign w:val="center"/>
          </w:tcPr>
          <w:p w14:paraId="019A3D31" w14:textId="77777777" w:rsidR="0082530A" w:rsidRDefault="0082530A">
            <w:pPr>
              <w:spacing w:after="0" w:line="240" w:lineRule="auto"/>
              <w:jc w:val="center"/>
              <w:rPr>
                <w:rFonts w:cstheme="minorHAnsi"/>
                <w:b/>
                <w:i/>
                <w:color w:val="0000FF"/>
              </w:rPr>
            </w:pPr>
          </w:p>
        </w:tc>
      </w:tr>
      <w:tr w:rsidR="000F3F84" w14:paraId="168ACE84" w14:textId="77777777" w:rsidTr="0022066B">
        <w:trPr>
          <w:trHeight w:val="315"/>
        </w:trPr>
        <w:tc>
          <w:tcPr>
            <w:tcW w:w="2847" w:type="pct"/>
            <w:vAlign w:val="bottom"/>
            <w:hideMark/>
          </w:tcPr>
          <w:p w14:paraId="0F2CF915" w14:textId="5CDD4EEA" w:rsidR="000F3F84" w:rsidRDefault="000F3F84" w:rsidP="000F3F84">
            <w:pPr>
              <w:spacing w:after="0" w:line="240" w:lineRule="auto"/>
              <w:ind w:left="306"/>
              <w:rPr>
                <w:rFonts w:cstheme="minorHAnsi"/>
                <w:color w:val="0000FF"/>
              </w:rPr>
            </w:pPr>
            <w:r w:rsidRPr="00673F1F">
              <w:rPr>
                <w:rFonts w:cstheme="minorHAnsi"/>
                <w:color w:val="0000FF"/>
              </w:rPr>
              <w:t>White</w:t>
            </w:r>
          </w:p>
        </w:tc>
        <w:tc>
          <w:tcPr>
            <w:tcW w:w="923" w:type="pct"/>
            <w:vAlign w:val="center"/>
          </w:tcPr>
          <w:p w14:paraId="4B5C4CCB" w14:textId="2CAE8552" w:rsidR="000F3F84" w:rsidRDefault="000F3F84">
            <w:pPr>
              <w:spacing w:after="0" w:line="240" w:lineRule="auto"/>
              <w:jc w:val="center"/>
              <w:rPr>
                <w:rFonts w:cstheme="minorHAnsi"/>
                <w:color w:val="0000FF"/>
              </w:rPr>
            </w:pPr>
            <w:r w:rsidRPr="006F110A">
              <w:rPr>
                <w:rFonts w:cstheme="minorHAnsi"/>
                <w:color w:val="0000FF"/>
              </w:rPr>
              <w:t>340</w:t>
            </w:r>
            <w:r>
              <w:rPr>
                <w:rFonts w:cstheme="minorHAnsi"/>
                <w:color w:val="0000FF"/>
              </w:rPr>
              <w:t>,</w:t>
            </w:r>
            <w:r w:rsidRPr="006F110A">
              <w:rPr>
                <w:rFonts w:cstheme="minorHAnsi"/>
                <w:color w:val="0000FF"/>
              </w:rPr>
              <w:t>398 (79.4)</w:t>
            </w:r>
          </w:p>
        </w:tc>
        <w:tc>
          <w:tcPr>
            <w:tcW w:w="1230" w:type="pct"/>
            <w:vAlign w:val="center"/>
          </w:tcPr>
          <w:p w14:paraId="6A4C9206" w14:textId="21C54635" w:rsidR="000F3F84" w:rsidRDefault="0022066B">
            <w:pPr>
              <w:spacing w:after="0" w:line="240" w:lineRule="auto"/>
              <w:jc w:val="center"/>
              <w:rPr>
                <w:rFonts w:eastAsia="Albany AMT" w:cstheme="minorHAnsi"/>
                <w:color w:val="0000FF"/>
              </w:rPr>
            </w:pPr>
            <w:r>
              <w:rPr>
                <w:rFonts w:eastAsia="Albany AMT" w:cstheme="minorHAnsi"/>
                <w:color w:val="0000FF"/>
              </w:rPr>
              <w:t>28.9</w:t>
            </w:r>
          </w:p>
        </w:tc>
      </w:tr>
      <w:tr w:rsidR="000F3F84" w14:paraId="34925605" w14:textId="77777777" w:rsidTr="0022066B">
        <w:trPr>
          <w:trHeight w:val="315"/>
        </w:trPr>
        <w:tc>
          <w:tcPr>
            <w:tcW w:w="2847" w:type="pct"/>
            <w:vAlign w:val="bottom"/>
            <w:hideMark/>
          </w:tcPr>
          <w:p w14:paraId="66216BBA" w14:textId="31294917" w:rsidR="000F3F84" w:rsidRDefault="000F3F84" w:rsidP="000F3F84">
            <w:pPr>
              <w:spacing w:after="0" w:line="240" w:lineRule="auto"/>
              <w:ind w:left="306"/>
              <w:rPr>
                <w:rFonts w:cstheme="minorHAnsi"/>
                <w:color w:val="0000FF"/>
              </w:rPr>
            </w:pPr>
            <w:r w:rsidRPr="00673F1F">
              <w:rPr>
                <w:rFonts w:cstheme="minorHAnsi"/>
                <w:color w:val="0000FF"/>
              </w:rPr>
              <w:t>Black</w:t>
            </w:r>
          </w:p>
        </w:tc>
        <w:tc>
          <w:tcPr>
            <w:tcW w:w="923" w:type="pct"/>
            <w:vAlign w:val="center"/>
          </w:tcPr>
          <w:p w14:paraId="2B2EAD3E" w14:textId="07F74842" w:rsidR="000F3F84" w:rsidRDefault="000F3F84">
            <w:pPr>
              <w:spacing w:after="0" w:line="240" w:lineRule="auto"/>
              <w:jc w:val="center"/>
              <w:rPr>
                <w:rFonts w:cstheme="minorHAnsi"/>
                <w:color w:val="0000FF"/>
              </w:rPr>
            </w:pPr>
            <w:r w:rsidRPr="006F110A">
              <w:rPr>
                <w:rFonts w:cstheme="minorHAnsi"/>
                <w:color w:val="0000FF"/>
              </w:rPr>
              <w:t>46</w:t>
            </w:r>
            <w:r>
              <w:rPr>
                <w:rFonts w:cstheme="minorHAnsi"/>
                <w:color w:val="0000FF"/>
              </w:rPr>
              <w:t>,</w:t>
            </w:r>
            <w:r w:rsidRPr="006F110A">
              <w:rPr>
                <w:rFonts w:cstheme="minorHAnsi"/>
                <w:color w:val="0000FF"/>
              </w:rPr>
              <w:t>949 (11.0)</w:t>
            </w:r>
          </w:p>
        </w:tc>
        <w:tc>
          <w:tcPr>
            <w:tcW w:w="1230" w:type="pct"/>
            <w:vAlign w:val="center"/>
          </w:tcPr>
          <w:p w14:paraId="27BDB9EC" w14:textId="207D9F73" w:rsidR="000F3F84" w:rsidRDefault="0022066B">
            <w:pPr>
              <w:spacing w:after="0" w:line="240" w:lineRule="auto"/>
              <w:jc w:val="center"/>
              <w:rPr>
                <w:rFonts w:eastAsia="Albany AMT" w:cstheme="minorHAnsi"/>
                <w:color w:val="0000FF"/>
              </w:rPr>
            </w:pPr>
            <w:r>
              <w:rPr>
                <w:rFonts w:eastAsia="Albany AMT" w:cstheme="minorHAnsi"/>
                <w:color w:val="0000FF"/>
              </w:rPr>
              <w:t>26.8</w:t>
            </w:r>
          </w:p>
        </w:tc>
      </w:tr>
      <w:tr w:rsidR="000F3F84" w14:paraId="0F56A221" w14:textId="77777777" w:rsidTr="0022066B">
        <w:trPr>
          <w:trHeight w:val="315"/>
        </w:trPr>
        <w:tc>
          <w:tcPr>
            <w:tcW w:w="2847" w:type="pct"/>
            <w:vAlign w:val="bottom"/>
            <w:hideMark/>
          </w:tcPr>
          <w:p w14:paraId="6CFADC00" w14:textId="17E5C848" w:rsidR="000F3F84" w:rsidRDefault="000F3F84" w:rsidP="000F3F84">
            <w:pPr>
              <w:spacing w:after="0" w:line="240" w:lineRule="auto"/>
              <w:ind w:left="306"/>
              <w:rPr>
                <w:rFonts w:eastAsia="Times New Roman" w:cstheme="minorHAnsi"/>
                <w:color w:val="0000FF"/>
              </w:rPr>
            </w:pPr>
            <w:r w:rsidRPr="00673F1F">
              <w:rPr>
                <w:rFonts w:cstheme="minorHAnsi"/>
                <w:color w:val="0000FF"/>
              </w:rPr>
              <w:t>Asian</w:t>
            </w:r>
          </w:p>
        </w:tc>
        <w:tc>
          <w:tcPr>
            <w:tcW w:w="923" w:type="pct"/>
            <w:vAlign w:val="center"/>
          </w:tcPr>
          <w:p w14:paraId="6ED6D233" w14:textId="58E0F639" w:rsidR="000F3F84" w:rsidRDefault="000F3F84">
            <w:pPr>
              <w:spacing w:after="0" w:line="240" w:lineRule="auto"/>
              <w:jc w:val="center"/>
              <w:rPr>
                <w:rFonts w:cstheme="minorHAnsi"/>
                <w:color w:val="0000FF"/>
              </w:rPr>
            </w:pPr>
            <w:r w:rsidRPr="006F110A">
              <w:rPr>
                <w:rFonts w:cstheme="minorHAnsi"/>
                <w:color w:val="0000FF"/>
              </w:rPr>
              <w:t>6</w:t>
            </w:r>
            <w:r>
              <w:rPr>
                <w:rFonts w:cstheme="minorHAnsi"/>
                <w:color w:val="0000FF"/>
              </w:rPr>
              <w:t>,</w:t>
            </w:r>
            <w:r w:rsidRPr="006F110A">
              <w:rPr>
                <w:rFonts w:cstheme="minorHAnsi"/>
                <w:color w:val="0000FF"/>
              </w:rPr>
              <w:t>689 (1.6)</w:t>
            </w:r>
          </w:p>
        </w:tc>
        <w:tc>
          <w:tcPr>
            <w:tcW w:w="1230" w:type="pct"/>
            <w:vAlign w:val="center"/>
          </w:tcPr>
          <w:p w14:paraId="4E50DDB7" w14:textId="4E61B45D" w:rsidR="000F3F84" w:rsidRDefault="0022066B">
            <w:pPr>
              <w:spacing w:after="0" w:line="240" w:lineRule="auto"/>
              <w:jc w:val="center"/>
              <w:rPr>
                <w:rFonts w:eastAsia="Albany AMT" w:cstheme="minorHAnsi"/>
                <w:color w:val="0000FF"/>
              </w:rPr>
            </w:pPr>
            <w:r>
              <w:rPr>
                <w:rFonts w:eastAsia="Albany AMT" w:cstheme="minorHAnsi"/>
                <w:color w:val="0000FF"/>
              </w:rPr>
              <w:t>26.5</w:t>
            </w:r>
          </w:p>
        </w:tc>
      </w:tr>
      <w:tr w:rsidR="008F15F7" w14:paraId="3AB23113" w14:textId="77777777" w:rsidTr="0022066B">
        <w:trPr>
          <w:trHeight w:val="315"/>
        </w:trPr>
        <w:tc>
          <w:tcPr>
            <w:tcW w:w="2847" w:type="pct"/>
            <w:vAlign w:val="bottom"/>
            <w:hideMark/>
          </w:tcPr>
          <w:p w14:paraId="68F557C8" w14:textId="65412C39" w:rsidR="008F15F7" w:rsidRDefault="008F15F7" w:rsidP="008F15F7">
            <w:pPr>
              <w:spacing w:after="0" w:line="240" w:lineRule="auto"/>
              <w:ind w:left="306"/>
              <w:rPr>
                <w:rFonts w:cstheme="minorHAnsi"/>
                <w:color w:val="0000FF"/>
              </w:rPr>
            </w:pPr>
            <w:r w:rsidRPr="00673F1F">
              <w:rPr>
                <w:rFonts w:cstheme="minorHAnsi"/>
                <w:color w:val="0000FF"/>
              </w:rPr>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923" w:type="pct"/>
            <w:vAlign w:val="center"/>
          </w:tcPr>
          <w:p w14:paraId="273582ED" w14:textId="30C390BC" w:rsidR="008F15F7" w:rsidRDefault="008F15F7" w:rsidP="008F15F7">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339 (0.3)</w:t>
            </w:r>
          </w:p>
        </w:tc>
        <w:tc>
          <w:tcPr>
            <w:tcW w:w="1230" w:type="pct"/>
            <w:vAlign w:val="center"/>
          </w:tcPr>
          <w:p w14:paraId="70099551" w14:textId="0A65E2E5" w:rsidR="008F15F7" w:rsidRDefault="008F15F7" w:rsidP="008F15F7">
            <w:pPr>
              <w:spacing w:after="0" w:line="240" w:lineRule="auto"/>
              <w:jc w:val="center"/>
              <w:rPr>
                <w:rFonts w:eastAsia="Albany AMT" w:cstheme="minorHAnsi"/>
                <w:color w:val="0000FF"/>
              </w:rPr>
            </w:pPr>
            <w:r>
              <w:rPr>
                <w:rFonts w:eastAsia="Albany AMT" w:cstheme="minorHAnsi"/>
                <w:color w:val="0000FF"/>
              </w:rPr>
              <w:t>27.3</w:t>
            </w:r>
          </w:p>
        </w:tc>
      </w:tr>
      <w:tr w:rsidR="008F15F7" w14:paraId="623C1215" w14:textId="77777777" w:rsidTr="0022066B">
        <w:trPr>
          <w:trHeight w:val="315"/>
        </w:trPr>
        <w:tc>
          <w:tcPr>
            <w:tcW w:w="2847" w:type="pct"/>
            <w:vAlign w:val="bottom"/>
            <w:hideMark/>
          </w:tcPr>
          <w:p w14:paraId="61116810" w14:textId="104A7E25" w:rsidR="008F15F7" w:rsidRDefault="008F15F7" w:rsidP="008F15F7">
            <w:pPr>
              <w:spacing w:after="0" w:line="240" w:lineRule="auto"/>
              <w:ind w:left="306"/>
              <w:rPr>
                <w:rFonts w:cstheme="minorHAnsi"/>
                <w:color w:val="0000FF"/>
              </w:rPr>
            </w:pPr>
            <w:r>
              <w:rPr>
                <w:rFonts w:cstheme="minorHAnsi"/>
                <w:color w:val="0000FF"/>
              </w:rPr>
              <w:t>Native Hawaiian or Pacific Islander</w:t>
            </w:r>
            <w:r w:rsidRPr="00673F1F">
              <w:rPr>
                <w:rFonts w:cstheme="minorHAnsi"/>
                <w:color w:val="0000FF"/>
              </w:rPr>
              <w:t xml:space="preserve"> </w:t>
            </w:r>
          </w:p>
        </w:tc>
        <w:tc>
          <w:tcPr>
            <w:tcW w:w="923" w:type="pct"/>
            <w:vAlign w:val="center"/>
          </w:tcPr>
          <w:p w14:paraId="73D2168F" w14:textId="599454A3" w:rsidR="008F15F7" w:rsidRDefault="008F15F7" w:rsidP="008F15F7">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546 (0.4)</w:t>
            </w:r>
          </w:p>
        </w:tc>
        <w:tc>
          <w:tcPr>
            <w:tcW w:w="1230" w:type="pct"/>
            <w:vAlign w:val="center"/>
          </w:tcPr>
          <w:p w14:paraId="06B82A51" w14:textId="34EB9B8F" w:rsidR="008F15F7" w:rsidRDefault="008F15F7" w:rsidP="008F15F7">
            <w:pPr>
              <w:spacing w:after="0" w:line="240" w:lineRule="auto"/>
              <w:jc w:val="center"/>
              <w:rPr>
                <w:rFonts w:eastAsia="Albany AMT" w:cstheme="minorHAnsi"/>
                <w:color w:val="0000FF"/>
              </w:rPr>
            </w:pPr>
            <w:r>
              <w:rPr>
                <w:rFonts w:eastAsia="Albany AMT" w:cstheme="minorHAnsi"/>
                <w:color w:val="0000FF"/>
              </w:rPr>
              <w:t>27.4</w:t>
            </w:r>
          </w:p>
        </w:tc>
      </w:tr>
      <w:tr w:rsidR="0022066B" w14:paraId="48F0DE60" w14:textId="77777777" w:rsidTr="0022066B">
        <w:trPr>
          <w:trHeight w:val="315"/>
        </w:trPr>
        <w:tc>
          <w:tcPr>
            <w:tcW w:w="2847" w:type="pct"/>
            <w:vAlign w:val="bottom"/>
            <w:hideMark/>
          </w:tcPr>
          <w:p w14:paraId="358E935C" w14:textId="14D61973" w:rsidR="0022066B" w:rsidRDefault="0022066B" w:rsidP="0022066B">
            <w:pPr>
              <w:spacing w:after="0" w:line="240" w:lineRule="auto"/>
              <w:ind w:left="306"/>
              <w:rPr>
                <w:rFonts w:cstheme="minorHAnsi"/>
                <w:color w:val="0000FF"/>
              </w:rPr>
            </w:pPr>
            <w:r>
              <w:rPr>
                <w:rFonts w:cstheme="minorHAnsi"/>
                <w:color w:val="0000FF"/>
              </w:rPr>
              <w:t>Multi-race</w:t>
            </w:r>
          </w:p>
        </w:tc>
        <w:tc>
          <w:tcPr>
            <w:tcW w:w="923" w:type="pct"/>
            <w:vAlign w:val="center"/>
          </w:tcPr>
          <w:p w14:paraId="39B80132" w14:textId="7F3E6113" w:rsidR="0022066B" w:rsidRDefault="0022066B" w:rsidP="0022066B">
            <w:pPr>
              <w:spacing w:after="0" w:line="240" w:lineRule="auto"/>
              <w:jc w:val="center"/>
              <w:rPr>
                <w:rFonts w:cstheme="minorHAnsi"/>
                <w:color w:val="0000FF"/>
              </w:rPr>
            </w:pPr>
            <w:r w:rsidRPr="006F110A">
              <w:rPr>
                <w:rFonts w:cstheme="minorHAnsi"/>
                <w:color w:val="0000FF"/>
              </w:rPr>
              <w:t>246 (0.1)</w:t>
            </w:r>
          </w:p>
        </w:tc>
        <w:tc>
          <w:tcPr>
            <w:tcW w:w="1230" w:type="pct"/>
            <w:vAlign w:val="center"/>
          </w:tcPr>
          <w:p w14:paraId="5E9D05B5" w14:textId="08F34C18" w:rsidR="0022066B" w:rsidRDefault="0022066B" w:rsidP="0022066B">
            <w:pPr>
              <w:spacing w:after="0" w:line="240" w:lineRule="auto"/>
              <w:jc w:val="center"/>
              <w:rPr>
                <w:rFonts w:cstheme="minorHAnsi"/>
                <w:color w:val="0000FF"/>
              </w:rPr>
            </w:pPr>
            <w:r>
              <w:rPr>
                <w:rFonts w:cstheme="minorHAnsi"/>
                <w:color w:val="0000FF"/>
              </w:rPr>
              <w:t>28.2</w:t>
            </w:r>
          </w:p>
        </w:tc>
      </w:tr>
      <w:tr w:rsidR="0022066B" w14:paraId="2DD42306" w14:textId="77777777" w:rsidTr="0022066B">
        <w:trPr>
          <w:trHeight w:val="315"/>
        </w:trPr>
        <w:tc>
          <w:tcPr>
            <w:tcW w:w="2847" w:type="pct"/>
            <w:vAlign w:val="bottom"/>
            <w:hideMark/>
          </w:tcPr>
          <w:p w14:paraId="5B8FD8BF" w14:textId="749B199B" w:rsidR="0022066B" w:rsidRDefault="0022066B" w:rsidP="0022066B">
            <w:pPr>
              <w:spacing w:after="0" w:line="240" w:lineRule="auto"/>
              <w:ind w:left="306"/>
              <w:rPr>
                <w:rFonts w:cstheme="minorHAnsi"/>
                <w:color w:val="0000FF"/>
              </w:rPr>
            </w:pPr>
            <w:r w:rsidRPr="00673F1F">
              <w:rPr>
                <w:rFonts w:cstheme="minorHAnsi"/>
                <w:color w:val="0000FF"/>
              </w:rPr>
              <w:lastRenderedPageBreak/>
              <w:t>Missing</w:t>
            </w:r>
          </w:p>
        </w:tc>
        <w:tc>
          <w:tcPr>
            <w:tcW w:w="923" w:type="pct"/>
            <w:vAlign w:val="center"/>
          </w:tcPr>
          <w:p w14:paraId="387B095A" w14:textId="171F0E64" w:rsidR="0022066B" w:rsidRDefault="0022066B" w:rsidP="0022066B">
            <w:pPr>
              <w:spacing w:after="0" w:line="240" w:lineRule="auto"/>
              <w:jc w:val="center"/>
              <w:rPr>
                <w:rFonts w:cstheme="minorHAnsi"/>
                <w:color w:val="0000FF"/>
              </w:rPr>
            </w:pPr>
            <w:r w:rsidRPr="006F110A">
              <w:rPr>
                <w:rFonts w:cstheme="minorHAnsi"/>
                <w:color w:val="0000FF"/>
              </w:rPr>
              <w:t>31</w:t>
            </w:r>
            <w:r>
              <w:rPr>
                <w:rFonts w:cstheme="minorHAnsi"/>
                <w:color w:val="0000FF"/>
              </w:rPr>
              <w:t>,</w:t>
            </w:r>
            <w:r w:rsidRPr="006F110A">
              <w:rPr>
                <w:rFonts w:cstheme="minorHAnsi"/>
                <w:color w:val="0000FF"/>
              </w:rPr>
              <w:t>543 (7.4)</w:t>
            </w:r>
          </w:p>
        </w:tc>
        <w:tc>
          <w:tcPr>
            <w:tcW w:w="1230" w:type="pct"/>
            <w:vAlign w:val="center"/>
          </w:tcPr>
          <w:p w14:paraId="434AF635" w14:textId="7BC44D88" w:rsidR="0022066B" w:rsidRDefault="0022066B" w:rsidP="0022066B">
            <w:pPr>
              <w:spacing w:after="0" w:line="240" w:lineRule="auto"/>
              <w:jc w:val="center"/>
              <w:rPr>
                <w:rFonts w:cstheme="minorHAnsi"/>
                <w:color w:val="0000FF"/>
              </w:rPr>
            </w:pPr>
            <w:r>
              <w:rPr>
                <w:rFonts w:cstheme="minorHAnsi"/>
                <w:color w:val="0000FF"/>
              </w:rPr>
              <w:t>27.4</w:t>
            </w:r>
          </w:p>
        </w:tc>
      </w:tr>
      <w:tr w:rsidR="0022066B" w14:paraId="77E6E926" w14:textId="77777777" w:rsidTr="00D961C0">
        <w:trPr>
          <w:trHeight w:val="315"/>
        </w:trPr>
        <w:tc>
          <w:tcPr>
            <w:tcW w:w="2847" w:type="pct"/>
            <w:vAlign w:val="bottom"/>
          </w:tcPr>
          <w:p w14:paraId="737A5D11" w14:textId="77777777" w:rsidR="00302EF1" w:rsidRDefault="00302EF1" w:rsidP="0022066B">
            <w:pPr>
              <w:spacing w:after="0" w:line="240" w:lineRule="auto"/>
              <w:rPr>
                <w:rFonts w:cstheme="minorHAnsi"/>
                <w:b/>
                <w:i/>
                <w:color w:val="0000FF"/>
              </w:rPr>
            </w:pPr>
          </w:p>
          <w:p w14:paraId="211A7506" w14:textId="77777777" w:rsidR="00302EF1" w:rsidRDefault="00302EF1" w:rsidP="0022066B">
            <w:pPr>
              <w:spacing w:after="0" w:line="240" w:lineRule="auto"/>
              <w:rPr>
                <w:rFonts w:cstheme="minorHAnsi"/>
                <w:b/>
                <w:i/>
                <w:color w:val="0000FF"/>
              </w:rPr>
            </w:pPr>
          </w:p>
          <w:p w14:paraId="6CF058F3" w14:textId="385146EB" w:rsidR="0022066B" w:rsidRPr="0022066B" w:rsidRDefault="0022066B" w:rsidP="0022066B">
            <w:pPr>
              <w:spacing w:after="0" w:line="240" w:lineRule="auto"/>
              <w:rPr>
                <w:rFonts w:cstheme="minorHAnsi"/>
                <w:b/>
                <w:i/>
                <w:color w:val="0000FF"/>
              </w:rPr>
            </w:pPr>
            <w:r>
              <w:rPr>
                <w:rFonts w:cstheme="minorHAnsi"/>
                <w:b/>
                <w:i/>
                <w:color w:val="0000FF"/>
              </w:rPr>
              <w:t>Hispanic Ethnicity</w:t>
            </w:r>
          </w:p>
        </w:tc>
        <w:tc>
          <w:tcPr>
            <w:tcW w:w="923" w:type="pct"/>
            <w:vAlign w:val="center"/>
          </w:tcPr>
          <w:p w14:paraId="5B914D59" w14:textId="77777777" w:rsidR="0022066B" w:rsidRDefault="0022066B" w:rsidP="0022066B">
            <w:pPr>
              <w:spacing w:after="0" w:line="240" w:lineRule="auto"/>
              <w:jc w:val="center"/>
              <w:rPr>
                <w:rFonts w:cstheme="minorHAnsi"/>
                <w:color w:val="0000FF"/>
              </w:rPr>
            </w:pPr>
          </w:p>
        </w:tc>
        <w:tc>
          <w:tcPr>
            <w:tcW w:w="1230" w:type="pct"/>
            <w:vAlign w:val="center"/>
          </w:tcPr>
          <w:p w14:paraId="70513EE6" w14:textId="77777777" w:rsidR="0022066B" w:rsidRDefault="0022066B" w:rsidP="0022066B">
            <w:pPr>
              <w:spacing w:after="0" w:line="240" w:lineRule="auto"/>
              <w:jc w:val="center"/>
              <w:rPr>
                <w:rFonts w:cstheme="minorHAnsi"/>
                <w:color w:val="0000FF"/>
              </w:rPr>
            </w:pPr>
          </w:p>
        </w:tc>
      </w:tr>
      <w:tr w:rsidR="0022066B" w14:paraId="186234BF" w14:textId="77777777" w:rsidTr="0022066B">
        <w:trPr>
          <w:trHeight w:val="315"/>
        </w:trPr>
        <w:tc>
          <w:tcPr>
            <w:tcW w:w="2847" w:type="pct"/>
            <w:vAlign w:val="bottom"/>
          </w:tcPr>
          <w:p w14:paraId="0CC4775F" w14:textId="7444FC45" w:rsidR="0022066B" w:rsidRPr="00673F1F" w:rsidRDefault="0022066B" w:rsidP="0022066B">
            <w:pPr>
              <w:spacing w:after="0" w:line="240" w:lineRule="auto"/>
              <w:ind w:left="306"/>
              <w:rPr>
                <w:rFonts w:cstheme="minorHAnsi"/>
                <w:color w:val="0000FF"/>
              </w:rPr>
            </w:pPr>
            <w:r>
              <w:rPr>
                <w:rFonts w:cstheme="minorHAnsi"/>
                <w:color w:val="0000FF"/>
              </w:rPr>
              <w:t>Yes</w:t>
            </w:r>
          </w:p>
        </w:tc>
        <w:tc>
          <w:tcPr>
            <w:tcW w:w="923" w:type="pct"/>
            <w:vAlign w:val="center"/>
          </w:tcPr>
          <w:p w14:paraId="6824346D" w14:textId="102FA384" w:rsidR="0022066B" w:rsidRDefault="0022066B" w:rsidP="0022066B">
            <w:pPr>
              <w:spacing w:after="0" w:line="240" w:lineRule="auto"/>
              <w:jc w:val="center"/>
              <w:rPr>
                <w:rFonts w:cstheme="minorHAnsi"/>
                <w:color w:val="0000FF"/>
              </w:rPr>
            </w:pPr>
            <w:r>
              <w:rPr>
                <w:rFonts w:cstheme="minorHAnsi"/>
                <w:color w:val="0000FF"/>
              </w:rPr>
              <w:t>20,147 (4.7)</w:t>
            </w:r>
          </w:p>
        </w:tc>
        <w:tc>
          <w:tcPr>
            <w:tcW w:w="1230" w:type="pct"/>
            <w:vAlign w:val="bottom"/>
          </w:tcPr>
          <w:p w14:paraId="4FFC2D49" w14:textId="1EAE0025" w:rsidR="0022066B" w:rsidRDefault="0022066B" w:rsidP="0022066B">
            <w:pPr>
              <w:spacing w:after="0" w:line="240" w:lineRule="auto"/>
              <w:jc w:val="center"/>
              <w:rPr>
                <w:rFonts w:cstheme="minorHAnsi"/>
                <w:color w:val="0000FF"/>
              </w:rPr>
            </w:pPr>
            <w:r>
              <w:rPr>
                <w:rFonts w:cstheme="minorHAnsi"/>
                <w:color w:val="0000FF"/>
              </w:rPr>
              <w:t>27.1</w:t>
            </w:r>
          </w:p>
        </w:tc>
      </w:tr>
      <w:tr w:rsidR="0022066B" w14:paraId="01619802" w14:textId="77777777" w:rsidTr="0022066B">
        <w:trPr>
          <w:trHeight w:val="315"/>
        </w:trPr>
        <w:tc>
          <w:tcPr>
            <w:tcW w:w="2847" w:type="pct"/>
            <w:vAlign w:val="bottom"/>
          </w:tcPr>
          <w:p w14:paraId="3FF05E6A" w14:textId="23BA965F" w:rsidR="0022066B" w:rsidRPr="00673F1F" w:rsidRDefault="0022066B" w:rsidP="0022066B">
            <w:pPr>
              <w:spacing w:after="0" w:line="240" w:lineRule="auto"/>
              <w:ind w:left="306"/>
              <w:rPr>
                <w:rFonts w:cstheme="minorHAnsi"/>
                <w:color w:val="0000FF"/>
              </w:rPr>
            </w:pPr>
            <w:r>
              <w:rPr>
                <w:rFonts w:cstheme="minorHAnsi"/>
                <w:color w:val="0000FF"/>
              </w:rPr>
              <w:t>No</w:t>
            </w:r>
          </w:p>
        </w:tc>
        <w:tc>
          <w:tcPr>
            <w:tcW w:w="923" w:type="pct"/>
            <w:vAlign w:val="center"/>
          </w:tcPr>
          <w:p w14:paraId="0362E38D" w14:textId="4A2F1C07" w:rsidR="0022066B" w:rsidRDefault="0022066B" w:rsidP="0022066B">
            <w:pPr>
              <w:spacing w:after="0" w:line="240" w:lineRule="auto"/>
              <w:jc w:val="center"/>
              <w:rPr>
                <w:rFonts w:cstheme="minorHAnsi"/>
                <w:color w:val="0000FF"/>
              </w:rPr>
            </w:pPr>
            <w:r w:rsidRPr="00D57F8B">
              <w:rPr>
                <w:rFonts w:cstheme="minorHAnsi"/>
                <w:color w:val="0000FF"/>
              </w:rPr>
              <w:t>408</w:t>
            </w:r>
            <w:r>
              <w:rPr>
                <w:rFonts w:cstheme="minorHAnsi"/>
                <w:color w:val="0000FF"/>
              </w:rPr>
              <w:t>,</w:t>
            </w:r>
            <w:r w:rsidRPr="00D57F8B">
              <w:rPr>
                <w:rFonts w:cstheme="minorHAnsi"/>
                <w:color w:val="0000FF"/>
              </w:rPr>
              <w:t>563 (95.3)</w:t>
            </w:r>
          </w:p>
        </w:tc>
        <w:tc>
          <w:tcPr>
            <w:tcW w:w="1230" w:type="pct"/>
            <w:vAlign w:val="bottom"/>
          </w:tcPr>
          <w:p w14:paraId="03C03FF0" w14:textId="33AC5F4C" w:rsidR="0022066B" w:rsidRDefault="0022066B" w:rsidP="0022066B">
            <w:pPr>
              <w:spacing w:after="0" w:line="240" w:lineRule="auto"/>
              <w:jc w:val="center"/>
              <w:rPr>
                <w:rFonts w:cstheme="minorHAnsi"/>
                <w:color w:val="0000FF"/>
              </w:rPr>
            </w:pPr>
            <w:r>
              <w:rPr>
                <w:rFonts w:cstheme="minorHAnsi"/>
                <w:color w:val="0000FF"/>
              </w:rPr>
              <w:t>28.6</w:t>
            </w:r>
          </w:p>
        </w:tc>
      </w:tr>
      <w:tr w:rsidR="0022066B" w14:paraId="36E874F4" w14:textId="77777777" w:rsidTr="0022066B">
        <w:trPr>
          <w:trHeight w:val="315"/>
        </w:trPr>
        <w:tc>
          <w:tcPr>
            <w:tcW w:w="2847" w:type="pct"/>
            <w:vAlign w:val="bottom"/>
            <w:hideMark/>
          </w:tcPr>
          <w:p w14:paraId="3E5079DE" w14:textId="7D323E6D" w:rsidR="0022066B" w:rsidRDefault="0022066B" w:rsidP="0022066B">
            <w:pPr>
              <w:spacing w:after="0" w:line="240" w:lineRule="auto"/>
              <w:rPr>
                <w:rFonts w:cstheme="minorHAnsi"/>
                <w:color w:val="0000FF"/>
              </w:rPr>
            </w:pPr>
            <w:r w:rsidRPr="00193995">
              <w:rPr>
                <w:rFonts w:cstheme="minorHAnsi"/>
                <w:b/>
                <w:i/>
                <w:color w:val="0000FF"/>
              </w:rPr>
              <w:t>Living Alone</w:t>
            </w:r>
          </w:p>
        </w:tc>
        <w:tc>
          <w:tcPr>
            <w:tcW w:w="923" w:type="pct"/>
            <w:vAlign w:val="center"/>
          </w:tcPr>
          <w:p w14:paraId="30600793" w14:textId="77777777" w:rsidR="0022066B" w:rsidRDefault="0022066B" w:rsidP="0022066B">
            <w:pPr>
              <w:spacing w:after="0" w:line="240" w:lineRule="auto"/>
              <w:jc w:val="center"/>
              <w:rPr>
                <w:rFonts w:cstheme="minorHAnsi"/>
                <w:color w:val="0000FF"/>
              </w:rPr>
            </w:pPr>
          </w:p>
        </w:tc>
        <w:tc>
          <w:tcPr>
            <w:tcW w:w="1230" w:type="pct"/>
            <w:vAlign w:val="center"/>
          </w:tcPr>
          <w:p w14:paraId="3D2E5E67" w14:textId="77777777" w:rsidR="0022066B" w:rsidRDefault="0022066B" w:rsidP="0022066B">
            <w:pPr>
              <w:spacing w:after="0" w:line="240" w:lineRule="auto"/>
              <w:jc w:val="center"/>
              <w:rPr>
                <w:rFonts w:cstheme="minorHAnsi"/>
                <w:color w:val="0000FF"/>
              </w:rPr>
            </w:pPr>
          </w:p>
        </w:tc>
      </w:tr>
      <w:tr w:rsidR="0022066B" w14:paraId="437749FF" w14:textId="77777777" w:rsidTr="0022066B">
        <w:trPr>
          <w:trHeight w:val="315"/>
        </w:trPr>
        <w:tc>
          <w:tcPr>
            <w:tcW w:w="2847" w:type="pct"/>
            <w:vAlign w:val="bottom"/>
            <w:hideMark/>
          </w:tcPr>
          <w:p w14:paraId="0EDB7ED3" w14:textId="0B91C3D4" w:rsidR="0022066B" w:rsidRDefault="0022066B" w:rsidP="0022066B">
            <w:pPr>
              <w:spacing w:after="0" w:line="240" w:lineRule="auto"/>
              <w:ind w:left="306"/>
              <w:rPr>
                <w:rFonts w:cstheme="minorHAnsi"/>
                <w:color w:val="0000FF"/>
              </w:rPr>
            </w:pPr>
            <w:r w:rsidRPr="006F110A">
              <w:rPr>
                <w:rFonts w:cstheme="minorHAnsi"/>
                <w:color w:val="0000FF"/>
              </w:rPr>
              <w:t>Yes</w:t>
            </w:r>
          </w:p>
        </w:tc>
        <w:tc>
          <w:tcPr>
            <w:tcW w:w="923" w:type="pct"/>
            <w:vAlign w:val="bottom"/>
          </w:tcPr>
          <w:p w14:paraId="159D1163" w14:textId="43DD9907" w:rsidR="0022066B" w:rsidRDefault="0022066B" w:rsidP="0022066B">
            <w:pPr>
              <w:spacing w:after="0" w:line="240" w:lineRule="auto"/>
              <w:jc w:val="center"/>
              <w:rPr>
                <w:rFonts w:cstheme="minorHAnsi"/>
                <w:color w:val="0000FF"/>
              </w:rPr>
            </w:pPr>
            <w:r w:rsidRPr="006F110A">
              <w:rPr>
                <w:rFonts w:cstheme="minorHAnsi"/>
                <w:color w:val="0000FF"/>
              </w:rPr>
              <w:t>127</w:t>
            </w:r>
            <w:r>
              <w:rPr>
                <w:rFonts w:cstheme="minorHAnsi"/>
                <w:color w:val="0000FF"/>
              </w:rPr>
              <w:t>,</w:t>
            </w:r>
            <w:r w:rsidRPr="006F110A">
              <w:rPr>
                <w:rFonts w:cstheme="minorHAnsi"/>
                <w:color w:val="0000FF"/>
              </w:rPr>
              <w:t>218 (29.7)</w:t>
            </w:r>
          </w:p>
        </w:tc>
        <w:tc>
          <w:tcPr>
            <w:tcW w:w="1230" w:type="pct"/>
            <w:vAlign w:val="center"/>
          </w:tcPr>
          <w:p w14:paraId="29DAA1A0" w14:textId="304BCCAB" w:rsidR="0022066B" w:rsidRDefault="0022066B" w:rsidP="0022066B">
            <w:pPr>
              <w:spacing w:after="0" w:line="240" w:lineRule="auto"/>
              <w:jc w:val="center"/>
              <w:rPr>
                <w:rFonts w:cstheme="minorHAnsi"/>
                <w:color w:val="0000FF"/>
              </w:rPr>
            </w:pPr>
            <w:r>
              <w:rPr>
                <w:rFonts w:cstheme="minorHAnsi"/>
                <w:color w:val="0000FF"/>
              </w:rPr>
              <w:t>29.8</w:t>
            </w:r>
          </w:p>
        </w:tc>
      </w:tr>
      <w:tr w:rsidR="0022066B" w14:paraId="6402FF86" w14:textId="77777777" w:rsidTr="0022066B">
        <w:trPr>
          <w:trHeight w:val="315"/>
        </w:trPr>
        <w:tc>
          <w:tcPr>
            <w:tcW w:w="2847" w:type="pct"/>
            <w:vAlign w:val="bottom"/>
            <w:hideMark/>
          </w:tcPr>
          <w:p w14:paraId="525E916E" w14:textId="7212429A" w:rsidR="0022066B" w:rsidRDefault="0022066B" w:rsidP="0022066B">
            <w:pPr>
              <w:spacing w:after="0" w:line="240" w:lineRule="auto"/>
              <w:ind w:left="306"/>
              <w:rPr>
                <w:rFonts w:cstheme="minorHAnsi"/>
                <w:color w:val="0000FF"/>
              </w:rPr>
            </w:pPr>
            <w:r w:rsidRPr="006F110A">
              <w:rPr>
                <w:rFonts w:cstheme="minorHAnsi"/>
                <w:color w:val="0000FF"/>
              </w:rPr>
              <w:t>No</w:t>
            </w:r>
          </w:p>
        </w:tc>
        <w:tc>
          <w:tcPr>
            <w:tcW w:w="923" w:type="pct"/>
            <w:vAlign w:val="bottom"/>
          </w:tcPr>
          <w:p w14:paraId="10FE01FB" w14:textId="0A3E04C4" w:rsidR="0022066B" w:rsidRDefault="0022066B" w:rsidP="0022066B">
            <w:pPr>
              <w:spacing w:after="0" w:line="240" w:lineRule="auto"/>
              <w:jc w:val="center"/>
              <w:rPr>
                <w:rFonts w:cstheme="minorHAnsi"/>
                <w:color w:val="0000FF"/>
              </w:rPr>
            </w:pPr>
            <w:r w:rsidRPr="006F110A">
              <w:rPr>
                <w:rFonts w:cstheme="minorHAnsi"/>
                <w:color w:val="0000FF"/>
              </w:rPr>
              <w:t>301</w:t>
            </w:r>
            <w:r>
              <w:rPr>
                <w:rFonts w:cstheme="minorHAnsi"/>
                <w:color w:val="0000FF"/>
              </w:rPr>
              <w:t>,</w:t>
            </w:r>
            <w:r w:rsidRPr="006F110A">
              <w:rPr>
                <w:rFonts w:cstheme="minorHAnsi"/>
                <w:color w:val="0000FF"/>
              </w:rPr>
              <w:t>492 (70.3)</w:t>
            </w:r>
          </w:p>
        </w:tc>
        <w:tc>
          <w:tcPr>
            <w:tcW w:w="1230" w:type="pct"/>
            <w:vAlign w:val="center"/>
          </w:tcPr>
          <w:p w14:paraId="10428C09" w14:textId="530E4109" w:rsidR="0022066B" w:rsidRDefault="0022066B" w:rsidP="0022066B">
            <w:pPr>
              <w:spacing w:after="0" w:line="240" w:lineRule="auto"/>
              <w:jc w:val="center"/>
              <w:rPr>
                <w:rFonts w:cstheme="minorHAnsi"/>
                <w:color w:val="0000FF"/>
              </w:rPr>
            </w:pPr>
            <w:r>
              <w:rPr>
                <w:rFonts w:cstheme="minorHAnsi"/>
                <w:color w:val="0000FF"/>
              </w:rPr>
              <w:t>28.0</w:t>
            </w:r>
          </w:p>
        </w:tc>
      </w:tr>
      <w:tr w:rsidR="0022066B" w14:paraId="413B2563" w14:textId="77777777" w:rsidTr="0022066B">
        <w:trPr>
          <w:trHeight w:val="315"/>
        </w:trPr>
        <w:tc>
          <w:tcPr>
            <w:tcW w:w="2847" w:type="pct"/>
            <w:vAlign w:val="bottom"/>
            <w:hideMark/>
          </w:tcPr>
          <w:p w14:paraId="621191BE" w14:textId="4191FCB1" w:rsidR="0022066B" w:rsidRDefault="0022066B" w:rsidP="0022066B">
            <w:pPr>
              <w:spacing w:after="0" w:line="240" w:lineRule="auto"/>
              <w:rPr>
                <w:rFonts w:cstheme="minorHAnsi"/>
                <w:color w:val="0000FF"/>
              </w:rPr>
            </w:pPr>
            <w:r w:rsidRPr="007C33B1">
              <w:rPr>
                <w:rFonts w:cstheme="minorHAnsi"/>
                <w:b/>
                <w:i/>
                <w:color w:val="0000FF"/>
              </w:rPr>
              <w:t>Urbanicity</w:t>
            </w:r>
          </w:p>
        </w:tc>
        <w:tc>
          <w:tcPr>
            <w:tcW w:w="923" w:type="pct"/>
            <w:vAlign w:val="center"/>
          </w:tcPr>
          <w:p w14:paraId="57110C99" w14:textId="77777777" w:rsidR="0022066B" w:rsidRDefault="0022066B" w:rsidP="0022066B">
            <w:pPr>
              <w:spacing w:after="0" w:line="240" w:lineRule="auto"/>
              <w:jc w:val="center"/>
              <w:rPr>
                <w:rFonts w:cstheme="minorHAnsi"/>
                <w:color w:val="0000FF"/>
              </w:rPr>
            </w:pPr>
          </w:p>
        </w:tc>
        <w:tc>
          <w:tcPr>
            <w:tcW w:w="1230" w:type="pct"/>
            <w:vAlign w:val="center"/>
          </w:tcPr>
          <w:p w14:paraId="30B8EBCF" w14:textId="77777777" w:rsidR="0022066B" w:rsidRDefault="0022066B" w:rsidP="0022066B">
            <w:pPr>
              <w:spacing w:after="0" w:line="240" w:lineRule="auto"/>
              <w:jc w:val="center"/>
              <w:rPr>
                <w:rFonts w:cstheme="minorHAnsi"/>
                <w:color w:val="0000FF"/>
              </w:rPr>
            </w:pPr>
          </w:p>
        </w:tc>
      </w:tr>
      <w:tr w:rsidR="0022066B" w14:paraId="6C23C00B" w14:textId="77777777" w:rsidTr="0022066B">
        <w:trPr>
          <w:trHeight w:val="315"/>
        </w:trPr>
        <w:tc>
          <w:tcPr>
            <w:tcW w:w="2847" w:type="pct"/>
            <w:vAlign w:val="bottom"/>
            <w:hideMark/>
          </w:tcPr>
          <w:p w14:paraId="151621DB" w14:textId="1897D7C3" w:rsidR="0022066B" w:rsidRDefault="0022066B" w:rsidP="0022066B">
            <w:pPr>
              <w:spacing w:after="0" w:line="240" w:lineRule="auto"/>
              <w:ind w:left="306"/>
              <w:rPr>
                <w:rFonts w:cstheme="minorHAnsi"/>
                <w:color w:val="0000FF"/>
              </w:rPr>
            </w:pPr>
            <w:r w:rsidRPr="007C33B1">
              <w:rPr>
                <w:rFonts w:cstheme="minorHAnsi"/>
                <w:color w:val="0000FF"/>
              </w:rPr>
              <w:t>Urban</w:t>
            </w:r>
          </w:p>
        </w:tc>
        <w:tc>
          <w:tcPr>
            <w:tcW w:w="923" w:type="pct"/>
            <w:vAlign w:val="bottom"/>
          </w:tcPr>
          <w:p w14:paraId="0D1D8EB3" w14:textId="3A1EBC7A" w:rsidR="0022066B" w:rsidRDefault="0022066B" w:rsidP="0022066B">
            <w:pPr>
              <w:spacing w:after="0" w:line="240" w:lineRule="auto"/>
              <w:jc w:val="center"/>
              <w:rPr>
                <w:rFonts w:cstheme="minorHAnsi"/>
                <w:color w:val="0000FF"/>
              </w:rPr>
            </w:pPr>
            <w:r w:rsidRPr="006F110A">
              <w:rPr>
                <w:rFonts w:cstheme="minorHAnsi"/>
                <w:color w:val="0000FF"/>
              </w:rPr>
              <w:t>359</w:t>
            </w:r>
            <w:r>
              <w:rPr>
                <w:rFonts w:cstheme="minorHAnsi"/>
                <w:color w:val="0000FF"/>
              </w:rPr>
              <w:t>,</w:t>
            </w:r>
            <w:r w:rsidRPr="006F110A">
              <w:rPr>
                <w:rFonts w:cstheme="minorHAnsi"/>
                <w:color w:val="0000FF"/>
              </w:rPr>
              <w:t>388 (83.8)</w:t>
            </w:r>
          </w:p>
        </w:tc>
        <w:tc>
          <w:tcPr>
            <w:tcW w:w="1230" w:type="pct"/>
            <w:vAlign w:val="center"/>
          </w:tcPr>
          <w:p w14:paraId="69333276" w14:textId="11809BF7" w:rsidR="0022066B" w:rsidRDefault="0022066B" w:rsidP="0022066B">
            <w:pPr>
              <w:spacing w:after="0" w:line="240" w:lineRule="auto"/>
              <w:jc w:val="center"/>
              <w:rPr>
                <w:rFonts w:cstheme="minorHAnsi"/>
                <w:color w:val="0000FF"/>
              </w:rPr>
            </w:pPr>
            <w:r>
              <w:rPr>
                <w:rFonts w:cstheme="minorHAnsi"/>
                <w:color w:val="0000FF"/>
              </w:rPr>
              <w:t>28.4</w:t>
            </w:r>
          </w:p>
        </w:tc>
      </w:tr>
      <w:tr w:rsidR="0022066B" w14:paraId="74C5D7EA" w14:textId="77777777" w:rsidTr="0022066B">
        <w:trPr>
          <w:trHeight w:val="315"/>
        </w:trPr>
        <w:tc>
          <w:tcPr>
            <w:tcW w:w="2847" w:type="pct"/>
            <w:vAlign w:val="bottom"/>
            <w:hideMark/>
          </w:tcPr>
          <w:p w14:paraId="328B4468" w14:textId="143D15EE" w:rsidR="0022066B" w:rsidRDefault="0022066B" w:rsidP="0022066B">
            <w:pPr>
              <w:spacing w:after="0" w:line="240" w:lineRule="auto"/>
              <w:ind w:left="306"/>
              <w:rPr>
                <w:rFonts w:cstheme="minorHAnsi"/>
                <w:color w:val="0000FF"/>
              </w:rPr>
            </w:pPr>
            <w:r w:rsidRPr="007C33B1">
              <w:rPr>
                <w:rFonts w:cstheme="minorHAnsi"/>
                <w:color w:val="0000FF"/>
              </w:rPr>
              <w:t>Suburban</w:t>
            </w:r>
          </w:p>
        </w:tc>
        <w:tc>
          <w:tcPr>
            <w:tcW w:w="923" w:type="pct"/>
            <w:vAlign w:val="bottom"/>
          </w:tcPr>
          <w:p w14:paraId="23CC1E87" w14:textId="27F4F3C1" w:rsidR="0022066B" w:rsidRDefault="0022066B" w:rsidP="0022066B">
            <w:pPr>
              <w:spacing w:after="0" w:line="240" w:lineRule="auto"/>
              <w:jc w:val="center"/>
              <w:rPr>
                <w:rFonts w:cstheme="minorHAnsi"/>
                <w:color w:val="0000FF"/>
              </w:rPr>
            </w:pPr>
            <w:r w:rsidRPr="006F110A">
              <w:rPr>
                <w:rFonts w:cstheme="minorHAnsi"/>
                <w:color w:val="0000FF"/>
              </w:rPr>
              <w:t>48</w:t>
            </w:r>
            <w:r>
              <w:rPr>
                <w:rFonts w:cstheme="minorHAnsi"/>
                <w:color w:val="0000FF"/>
              </w:rPr>
              <w:t>,</w:t>
            </w:r>
            <w:r w:rsidRPr="006F110A">
              <w:rPr>
                <w:rFonts w:cstheme="minorHAnsi"/>
                <w:color w:val="0000FF"/>
              </w:rPr>
              <w:t>965 (11.4)</w:t>
            </w:r>
          </w:p>
        </w:tc>
        <w:tc>
          <w:tcPr>
            <w:tcW w:w="1230" w:type="pct"/>
            <w:vAlign w:val="center"/>
          </w:tcPr>
          <w:p w14:paraId="0B55C727" w14:textId="387593B5" w:rsidR="0022066B" w:rsidRDefault="0022066B" w:rsidP="0022066B">
            <w:pPr>
              <w:spacing w:after="0" w:line="240" w:lineRule="auto"/>
              <w:jc w:val="center"/>
              <w:rPr>
                <w:rFonts w:cstheme="minorHAnsi"/>
                <w:color w:val="0000FF"/>
              </w:rPr>
            </w:pPr>
            <w:r>
              <w:rPr>
                <w:rFonts w:cstheme="minorHAnsi"/>
                <w:color w:val="0000FF"/>
              </w:rPr>
              <w:t>28.9</w:t>
            </w:r>
          </w:p>
        </w:tc>
      </w:tr>
      <w:tr w:rsidR="0022066B" w14:paraId="5D61995F" w14:textId="77777777" w:rsidTr="0022066B">
        <w:trPr>
          <w:trHeight w:val="315"/>
        </w:trPr>
        <w:tc>
          <w:tcPr>
            <w:tcW w:w="2847" w:type="pct"/>
            <w:vAlign w:val="bottom"/>
            <w:hideMark/>
          </w:tcPr>
          <w:p w14:paraId="64F9276A" w14:textId="067F06E2" w:rsidR="0022066B" w:rsidRDefault="0022066B" w:rsidP="0022066B">
            <w:pPr>
              <w:spacing w:after="0" w:line="240" w:lineRule="auto"/>
              <w:ind w:left="306"/>
              <w:rPr>
                <w:rFonts w:cstheme="minorHAnsi"/>
                <w:color w:val="0000FF"/>
              </w:rPr>
            </w:pPr>
            <w:r w:rsidRPr="007C33B1">
              <w:rPr>
                <w:rFonts w:cstheme="minorHAnsi"/>
                <w:color w:val="0000FF"/>
              </w:rPr>
              <w:t>Rural</w:t>
            </w:r>
          </w:p>
        </w:tc>
        <w:tc>
          <w:tcPr>
            <w:tcW w:w="923" w:type="pct"/>
            <w:vAlign w:val="bottom"/>
          </w:tcPr>
          <w:p w14:paraId="4569EDA4" w14:textId="2DAC7CF7" w:rsidR="0022066B" w:rsidRDefault="0022066B" w:rsidP="0022066B">
            <w:pPr>
              <w:spacing w:after="0" w:line="240" w:lineRule="auto"/>
              <w:jc w:val="center"/>
              <w:rPr>
                <w:rFonts w:cstheme="minorHAnsi"/>
                <w:color w:val="0000FF"/>
              </w:rPr>
            </w:pPr>
            <w:r w:rsidRPr="006F110A">
              <w:rPr>
                <w:rFonts w:cstheme="minorHAnsi"/>
                <w:color w:val="0000FF"/>
              </w:rPr>
              <w:t>18</w:t>
            </w:r>
            <w:r>
              <w:rPr>
                <w:rFonts w:cstheme="minorHAnsi"/>
                <w:color w:val="0000FF"/>
              </w:rPr>
              <w:t>,</w:t>
            </w:r>
            <w:r w:rsidRPr="006F110A">
              <w:rPr>
                <w:rFonts w:cstheme="minorHAnsi"/>
                <w:color w:val="0000FF"/>
              </w:rPr>
              <w:t>000 (4.2)</w:t>
            </w:r>
          </w:p>
        </w:tc>
        <w:tc>
          <w:tcPr>
            <w:tcW w:w="1230" w:type="pct"/>
            <w:vAlign w:val="center"/>
          </w:tcPr>
          <w:p w14:paraId="0D49A592" w14:textId="6721228C" w:rsidR="0022066B" w:rsidRDefault="0022066B" w:rsidP="0022066B">
            <w:pPr>
              <w:spacing w:after="0" w:line="240" w:lineRule="auto"/>
              <w:jc w:val="center"/>
              <w:rPr>
                <w:rFonts w:cstheme="minorHAnsi"/>
                <w:color w:val="0000FF"/>
              </w:rPr>
            </w:pPr>
            <w:r>
              <w:rPr>
                <w:rFonts w:cstheme="minorHAnsi"/>
                <w:color w:val="0000FF"/>
              </w:rPr>
              <w:t>29.2</w:t>
            </w:r>
          </w:p>
        </w:tc>
      </w:tr>
      <w:tr w:rsidR="0022066B" w14:paraId="2447A25D" w14:textId="77777777" w:rsidTr="0022066B">
        <w:trPr>
          <w:trHeight w:val="315"/>
        </w:trPr>
        <w:tc>
          <w:tcPr>
            <w:tcW w:w="2847" w:type="pct"/>
            <w:vAlign w:val="bottom"/>
            <w:hideMark/>
          </w:tcPr>
          <w:p w14:paraId="0445A85C" w14:textId="5237C126" w:rsidR="0022066B" w:rsidRDefault="0022066B" w:rsidP="0022066B">
            <w:pPr>
              <w:spacing w:after="0" w:line="240" w:lineRule="auto"/>
              <w:ind w:left="306"/>
              <w:rPr>
                <w:rFonts w:cstheme="minorHAnsi"/>
                <w:color w:val="0000FF"/>
              </w:rPr>
            </w:pPr>
            <w:r w:rsidRPr="007C33B1">
              <w:rPr>
                <w:rFonts w:cstheme="minorHAnsi"/>
                <w:color w:val="0000FF"/>
              </w:rPr>
              <w:t>Missing</w:t>
            </w:r>
          </w:p>
        </w:tc>
        <w:tc>
          <w:tcPr>
            <w:tcW w:w="923" w:type="pct"/>
            <w:vAlign w:val="bottom"/>
          </w:tcPr>
          <w:p w14:paraId="7F587289" w14:textId="17DCBC2F" w:rsidR="0022066B" w:rsidRDefault="0022066B" w:rsidP="0022066B">
            <w:pPr>
              <w:spacing w:after="0" w:line="240" w:lineRule="auto"/>
              <w:jc w:val="center"/>
              <w:rPr>
                <w:rFonts w:cstheme="minorHAnsi"/>
                <w:color w:val="0000FF"/>
              </w:rPr>
            </w:pPr>
            <w:r w:rsidRPr="006F110A">
              <w:rPr>
                <w:rFonts w:cstheme="minorHAnsi"/>
                <w:color w:val="0000FF"/>
              </w:rPr>
              <w:t>2</w:t>
            </w:r>
            <w:r>
              <w:rPr>
                <w:rFonts w:cstheme="minorHAnsi"/>
                <w:color w:val="0000FF"/>
              </w:rPr>
              <w:t>,</w:t>
            </w:r>
            <w:r w:rsidRPr="006F110A">
              <w:rPr>
                <w:rFonts w:cstheme="minorHAnsi"/>
                <w:color w:val="0000FF"/>
              </w:rPr>
              <w:t>357 (0.5)</w:t>
            </w:r>
          </w:p>
        </w:tc>
        <w:tc>
          <w:tcPr>
            <w:tcW w:w="1230" w:type="pct"/>
            <w:vAlign w:val="center"/>
          </w:tcPr>
          <w:p w14:paraId="48A95C52" w14:textId="151CD061" w:rsidR="0022066B" w:rsidRDefault="0022066B" w:rsidP="0022066B">
            <w:pPr>
              <w:spacing w:after="0" w:line="240" w:lineRule="auto"/>
              <w:jc w:val="center"/>
              <w:rPr>
                <w:rFonts w:cstheme="minorHAnsi"/>
                <w:color w:val="0000FF"/>
              </w:rPr>
            </w:pPr>
            <w:r>
              <w:rPr>
                <w:rFonts w:cstheme="minorHAnsi"/>
                <w:color w:val="0000FF"/>
              </w:rPr>
              <w:t>26.8</w:t>
            </w:r>
          </w:p>
        </w:tc>
      </w:tr>
      <w:tr w:rsidR="0022066B" w14:paraId="23A7E98F" w14:textId="77777777" w:rsidTr="0022066B">
        <w:trPr>
          <w:trHeight w:val="315"/>
        </w:trPr>
        <w:tc>
          <w:tcPr>
            <w:tcW w:w="2847" w:type="pct"/>
            <w:vAlign w:val="bottom"/>
            <w:hideMark/>
          </w:tcPr>
          <w:p w14:paraId="6B2C84D4" w14:textId="3FF9BFB9" w:rsidR="0022066B" w:rsidRDefault="0022066B" w:rsidP="0022066B">
            <w:pPr>
              <w:spacing w:after="0" w:line="240" w:lineRule="auto"/>
              <w:rPr>
                <w:rFonts w:cstheme="minorHAnsi"/>
                <w:color w:val="0000FF"/>
              </w:rPr>
            </w:pPr>
            <w:r w:rsidRPr="007C33B1">
              <w:rPr>
                <w:rFonts w:cstheme="minorHAnsi"/>
                <w:b/>
                <w:i/>
                <w:color w:val="0000FF"/>
              </w:rPr>
              <w:t>AHRQ SES Index</w:t>
            </w:r>
            <w:r>
              <w:rPr>
                <w:rFonts w:cstheme="minorHAnsi"/>
                <w:b/>
                <w:i/>
                <w:color w:val="0000FF"/>
              </w:rPr>
              <w:t>*</w:t>
            </w:r>
          </w:p>
        </w:tc>
        <w:tc>
          <w:tcPr>
            <w:tcW w:w="923" w:type="pct"/>
            <w:vAlign w:val="center"/>
          </w:tcPr>
          <w:p w14:paraId="25F097F4" w14:textId="77777777" w:rsidR="0022066B" w:rsidRDefault="0022066B" w:rsidP="0022066B">
            <w:pPr>
              <w:spacing w:after="0" w:line="240" w:lineRule="auto"/>
              <w:jc w:val="center"/>
              <w:rPr>
                <w:rFonts w:cstheme="minorHAnsi"/>
                <w:color w:val="0000FF"/>
              </w:rPr>
            </w:pPr>
          </w:p>
        </w:tc>
        <w:tc>
          <w:tcPr>
            <w:tcW w:w="1230" w:type="pct"/>
            <w:vAlign w:val="center"/>
          </w:tcPr>
          <w:p w14:paraId="5F3F8A42" w14:textId="77777777" w:rsidR="0022066B" w:rsidRDefault="0022066B" w:rsidP="0022066B">
            <w:pPr>
              <w:spacing w:after="0" w:line="240" w:lineRule="auto"/>
              <w:jc w:val="center"/>
              <w:rPr>
                <w:rFonts w:cstheme="minorHAnsi"/>
                <w:color w:val="0000FF"/>
              </w:rPr>
            </w:pPr>
          </w:p>
        </w:tc>
      </w:tr>
      <w:tr w:rsidR="0022066B" w14:paraId="0B660939" w14:textId="77777777" w:rsidTr="0022066B">
        <w:trPr>
          <w:trHeight w:val="315"/>
        </w:trPr>
        <w:tc>
          <w:tcPr>
            <w:tcW w:w="2847" w:type="pct"/>
            <w:vAlign w:val="bottom"/>
            <w:hideMark/>
          </w:tcPr>
          <w:p w14:paraId="7BB7D5C8" w14:textId="6B3CEBC7" w:rsidR="0022066B" w:rsidRDefault="0022066B" w:rsidP="0022066B">
            <w:pPr>
              <w:spacing w:after="0" w:line="240" w:lineRule="auto"/>
              <w:ind w:left="306"/>
              <w:rPr>
                <w:rFonts w:cstheme="minorHAnsi"/>
                <w:color w:val="0000FF"/>
              </w:rPr>
            </w:pPr>
            <w:r w:rsidRPr="007C33B1">
              <w:rPr>
                <w:rFonts w:cstheme="minorHAnsi"/>
                <w:color w:val="0000FF"/>
              </w:rPr>
              <w:t>Quartile 1 (</w:t>
            </w:r>
            <w:r>
              <w:rPr>
                <w:rFonts w:cstheme="minorHAnsi"/>
                <w:color w:val="0000FF"/>
              </w:rPr>
              <w:t>27.9 - 49.5</w:t>
            </w:r>
            <w:r w:rsidRPr="007C33B1">
              <w:rPr>
                <w:rFonts w:cstheme="minorHAnsi"/>
                <w:color w:val="0000FF"/>
              </w:rPr>
              <w:t>)</w:t>
            </w:r>
          </w:p>
        </w:tc>
        <w:tc>
          <w:tcPr>
            <w:tcW w:w="923" w:type="pct"/>
            <w:vAlign w:val="bottom"/>
          </w:tcPr>
          <w:p w14:paraId="56915AC2" w14:textId="00EC8298" w:rsidR="0022066B" w:rsidRDefault="0022066B" w:rsidP="0022066B">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256 (24.8)</w:t>
            </w:r>
          </w:p>
        </w:tc>
        <w:tc>
          <w:tcPr>
            <w:tcW w:w="1230" w:type="pct"/>
            <w:vAlign w:val="center"/>
          </w:tcPr>
          <w:p w14:paraId="1FBF5D2B" w14:textId="09671139" w:rsidR="0022066B" w:rsidRDefault="0022066B" w:rsidP="0022066B">
            <w:pPr>
              <w:spacing w:after="0" w:line="240" w:lineRule="auto"/>
              <w:jc w:val="center"/>
              <w:rPr>
                <w:rFonts w:cstheme="minorHAnsi"/>
                <w:color w:val="0000FF"/>
              </w:rPr>
            </w:pPr>
            <w:r>
              <w:rPr>
                <w:rFonts w:cstheme="minorHAnsi"/>
                <w:color w:val="0000FF"/>
              </w:rPr>
              <w:t>28.3</w:t>
            </w:r>
          </w:p>
        </w:tc>
      </w:tr>
      <w:tr w:rsidR="0022066B" w14:paraId="542C5A48" w14:textId="77777777" w:rsidTr="0022066B">
        <w:trPr>
          <w:trHeight w:val="315"/>
        </w:trPr>
        <w:tc>
          <w:tcPr>
            <w:tcW w:w="2847" w:type="pct"/>
            <w:tcBorders>
              <w:top w:val="nil"/>
              <w:left w:val="nil"/>
              <w:bottom w:val="nil"/>
              <w:right w:val="nil"/>
            </w:tcBorders>
            <w:vAlign w:val="bottom"/>
            <w:hideMark/>
          </w:tcPr>
          <w:p w14:paraId="647C97F0" w14:textId="1B2E2DC0" w:rsidR="0022066B" w:rsidRDefault="0022066B" w:rsidP="0022066B">
            <w:pPr>
              <w:spacing w:after="0" w:line="240" w:lineRule="auto"/>
              <w:ind w:left="306"/>
              <w:rPr>
                <w:rFonts w:cstheme="minorHAnsi"/>
                <w:color w:val="0000FF"/>
              </w:rPr>
            </w:pPr>
            <w:r w:rsidRPr="007C33B1">
              <w:rPr>
                <w:rFonts w:cstheme="minorHAnsi"/>
                <w:color w:val="0000FF"/>
              </w:rPr>
              <w:t>Quartile 2 (</w:t>
            </w:r>
            <w:r>
              <w:rPr>
                <w:rFonts w:cstheme="minorHAnsi"/>
                <w:color w:val="0000FF"/>
              </w:rPr>
              <w:t>49.5 – 52.1</w:t>
            </w:r>
            <w:r w:rsidRPr="007C33B1">
              <w:rPr>
                <w:rFonts w:cstheme="minorHAnsi"/>
                <w:color w:val="0000FF"/>
              </w:rPr>
              <w:t>)</w:t>
            </w:r>
          </w:p>
        </w:tc>
        <w:tc>
          <w:tcPr>
            <w:tcW w:w="923" w:type="pct"/>
            <w:tcBorders>
              <w:top w:val="nil"/>
              <w:left w:val="nil"/>
              <w:bottom w:val="nil"/>
              <w:right w:val="nil"/>
            </w:tcBorders>
            <w:vAlign w:val="bottom"/>
          </w:tcPr>
          <w:p w14:paraId="1ADDAFED" w14:textId="0C6E9DE3" w:rsidR="0022066B" w:rsidRDefault="0022066B" w:rsidP="0022066B">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438 (24.8)</w:t>
            </w:r>
          </w:p>
        </w:tc>
        <w:tc>
          <w:tcPr>
            <w:tcW w:w="1230" w:type="pct"/>
            <w:tcBorders>
              <w:top w:val="nil"/>
              <w:left w:val="nil"/>
              <w:bottom w:val="nil"/>
              <w:right w:val="nil"/>
            </w:tcBorders>
            <w:vAlign w:val="center"/>
          </w:tcPr>
          <w:p w14:paraId="78684BAE" w14:textId="44C423E3" w:rsidR="0022066B" w:rsidRDefault="0022066B" w:rsidP="0022066B">
            <w:pPr>
              <w:spacing w:after="0" w:line="240" w:lineRule="auto"/>
              <w:jc w:val="center"/>
              <w:rPr>
                <w:rFonts w:cstheme="minorHAnsi"/>
                <w:color w:val="0000FF"/>
              </w:rPr>
            </w:pPr>
            <w:r>
              <w:rPr>
                <w:rFonts w:cstheme="minorHAnsi"/>
                <w:color w:val="0000FF"/>
              </w:rPr>
              <w:t>29.0</w:t>
            </w:r>
          </w:p>
        </w:tc>
      </w:tr>
      <w:tr w:rsidR="0022066B" w14:paraId="167D4FE2" w14:textId="77777777" w:rsidTr="0022066B">
        <w:trPr>
          <w:trHeight w:val="315"/>
        </w:trPr>
        <w:tc>
          <w:tcPr>
            <w:tcW w:w="2847" w:type="pct"/>
            <w:tcBorders>
              <w:top w:val="nil"/>
              <w:left w:val="nil"/>
              <w:bottom w:val="nil"/>
              <w:right w:val="nil"/>
            </w:tcBorders>
            <w:vAlign w:val="bottom"/>
          </w:tcPr>
          <w:p w14:paraId="788C5BEA" w14:textId="15B877D1" w:rsidR="0022066B" w:rsidRDefault="0022066B" w:rsidP="0022066B">
            <w:pPr>
              <w:spacing w:after="0" w:line="240" w:lineRule="auto"/>
              <w:ind w:left="306"/>
              <w:rPr>
                <w:rFonts w:cstheme="minorHAnsi"/>
                <w:color w:val="0000FF"/>
              </w:rPr>
            </w:pPr>
            <w:r w:rsidRPr="007C33B1">
              <w:rPr>
                <w:rFonts w:cstheme="minorHAnsi"/>
                <w:color w:val="0000FF"/>
              </w:rPr>
              <w:t>Quartile 3 (</w:t>
            </w:r>
            <w:r>
              <w:rPr>
                <w:rFonts w:cstheme="minorHAnsi"/>
                <w:color w:val="0000FF"/>
              </w:rPr>
              <w:t>52.1 – 55.3</w:t>
            </w:r>
            <w:r w:rsidRPr="007C33B1">
              <w:rPr>
                <w:rFonts w:cstheme="minorHAnsi"/>
                <w:color w:val="0000FF"/>
              </w:rPr>
              <w:t>)</w:t>
            </w:r>
          </w:p>
        </w:tc>
        <w:tc>
          <w:tcPr>
            <w:tcW w:w="923" w:type="pct"/>
            <w:tcBorders>
              <w:top w:val="nil"/>
              <w:left w:val="nil"/>
              <w:bottom w:val="nil"/>
              <w:right w:val="nil"/>
            </w:tcBorders>
            <w:vAlign w:val="bottom"/>
          </w:tcPr>
          <w:p w14:paraId="3BAF1B7D" w14:textId="7B0E5408" w:rsidR="0022066B" w:rsidRDefault="0022066B" w:rsidP="0022066B">
            <w:pPr>
              <w:spacing w:after="0" w:line="240" w:lineRule="auto"/>
              <w:jc w:val="center"/>
              <w:rPr>
                <w:rFonts w:cstheme="minorHAnsi"/>
                <w:color w:val="0000FF"/>
              </w:rPr>
            </w:pPr>
            <w:r w:rsidRPr="006F110A">
              <w:rPr>
                <w:rFonts w:cstheme="minorHAnsi"/>
                <w:color w:val="0000FF"/>
              </w:rPr>
              <w:t>106</w:t>
            </w:r>
            <w:r>
              <w:rPr>
                <w:rFonts w:cstheme="minorHAnsi"/>
                <w:color w:val="0000FF"/>
              </w:rPr>
              <w:t>,</w:t>
            </w:r>
            <w:r w:rsidRPr="006F110A">
              <w:rPr>
                <w:rFonts w:cstheme="minorHAnsi"/>
                <w:color w:val="0000FF"/>
              </w:rPr>
              <w:t>876 (24.9)</w:t>
            </w:r>
          </w:p>
        </w:tc>
        <w:tc>
          <w:tcPr>
            <w:tcW w:w="1230" w:type="pct"/>
            <w:tcBorders>
              <w:top w:val="nil"/>
              <w:left w:val="nil"/>
              <w:bottom w:val="nil"/>
              <w:right w:val="nil"/>
            </w:tcBorders>
            <w:vAlign w:val="center"/>
          </w:tcPr>
          <w:p w14:paraId="7012A628" w14:textId="0B8E41E3" w:rsidR="0022066B" w:rsidRDefault="0022066B" w:rsidP="0022066B">
            <w:pPr>
              <w:spacing w:after="0" w:line="240" w:lineRule="auto"/>
              <w:jc w:val="center"/>
              <w:rPr>
                <w:rFonts w:cstheme="minorHAnsi"/>
                <w:color w:val="0000FF"/>
              </w:rPr>
            </w:pPr>
            <w:r>
              <w:rPr>
                <w:rFonts w:cstheme="minorHAnsi"/>
                <w:color w:val="0000FF"/>
              </w:rPr>
              <w:t>28.7</w:t>
            </w:r>
          </w:p>
        </w:tc>
      </w:tr>
      <w:tr w:rsidR="0022066B" w14:paraId="3E5CDE3D" w14:textId="77777777" w:rsidTr="0022066B">
        <w:trPr>
          <w:trHeight w:val="315"/>
        </w:trPr>
        <w:tc>
          <w:tcPr>
            <w:tcW w:w="2847" w:type="pct"/>
            <w:tcBorders>
              <w:top w:val="nil"/>
              <w:left w:val="nil"/>
              <w:right w:val="nil"/>
            </w:tcBorders>
            <w:vAlign w:val="bottom"/>
          </w:tcPr>
          <w:p w14:paraId="7EE5E07D" w14:textId="2A5DAA04" w:rsidR="0022066B" w:rsidRDefault="0022066B" w:rsidP="0022066B">
            <w:pPr>
              <w:spacing w:after="0" w:line="240" w:lineRule="auto"/>
              <w:ind w:left="306"/>
              <w:rPr>
                <w:rFonts w:cstheme="minorHAnsi"/>
                <w:color w:val="0000FF"/>
              </w:rPr>
            </w:pPr>
            <w:r w:rsidRPr="007C33B1">
              <w:rPr>
                <w:rFonts w:cstheme="minorHAnsi"/>
                <w:color w:val="0000FF"/>
              </w:rPr>
              <w:t>Quartile 4 (</w:t>
            </w:r>
            <w:r>
              <w:rPr>
                <w:rFonts w:cstheme="minorHAnsi"/>
                <w:color w:val="0000FF"/>
              </w:rPr>
              <w:t>55.3 – 75.7)</w:t>
            </w:r>
          </w:p>
        </w:tc>
        <w:tc>
          <w:tcPr>
            <w:tcW w:w="923" w:type="pct"/>
            <w:tcBorders>
              <w:top w:val="nil"/>
              <w:left w:val="nil"/>
              <w:right w:val="nil"/>
            </w:tcBorders>
            <w:vAlign w:val="bottom"/>
          </w:tcPr>
          <w:p w14:paraId="53E20FFF" w14:textId="6A3061E2" w:rsidR="0022066B" w:rsidRDefault="0022066B" w:rsidP="0022066B">
            <w:pPr>
              <w:spacing w:after="0" w:line="240" w:lineRule="auto"/>
              <w:jc w:val="center"/>
              <w:rPr>
                <w:rFonts w:cstheme="minorHAnsi"/>
                <w:color w:val="0000FF"/>
              </w:rPr>
            </w:pPr>
            <w:r w:rsidRPr="006F110A">
              <w:rPr>
                <w:rFonts w:cstheme="minorHAnsi"/>
                <w:color w:val="0000FF"/>
              </w:rPr>
              <w:t>107</w:t>
            </w:r>
            <w:r>
              <w:rPr>
                <w:rFonts w:cstheme="minorHAnsi"/>
                <w:color w:val="0000FF"/>
              </w:rPr>
              <w:t>,</w:t>
            </w:r>
            <w:r w:rsidRPr="006F110A">
              <w:rPr>
                <w:rFonts w:cstheme="minorHAnsi"/>
                <w:color w:val="0000FF"/>
              </w:rPr>
              <w:t>203 (25.0)</w:t>
            </w:r>
          </w:p>
        </w:tc>
        <w:tc>
          <w:tcPr>
            <w:tcW w:w="1230" w:type="pct"/>
            <w:tcBorders>
              <w:top w:val="nil"/>
              <w:left w:val="nil"/>
              <w:right w:val="nil"/>
            </w:tcBorders>
            <w:vAlign w:val="center"/>
          </w:tcPr>
          <w:p w14:paraId="07400718" w14:textId="19D1AC59" w:rsidR="0022066B" w:rsidRDefault="0022066B" w:rsidP="0022066B">
            <w:pPr>
              <w:spacing w:after="0" w:line="240" w:lineRule="auto"/>
              <w:jc w:val="center"/>
              <w:rPr>
                <w:rFonts w:cstheme="minorHAnsi"/>
                <w:color w:val="0000FF"/>
              </w:rPr>
            </w:pPr>
            <w:r>
              <w:rPr>
                <w:rFonts w:cstheme="minorHAnsi"/>
                <w:color w:val="0000FF"/>
              </w:rPr>
              <w:t>28.2</w:t>
            </w:r>
          </w:p>
        </w:tc>
      </w:tr>
      <w:tr w:rsidR="0022066B" w14:paraId="2A36622A" w14:textId="77777777" w:rsidTr="0022066B">
        <w:trPr>
          <w:trHeight w:val="315"/>
        </w:trPr>
        <w:tc>
          <w:tcPr>
            <w:tcW w:w="2847" w:type="pct"/>
            <w:tcBorders>
              <w:top w:val="nil"/>
              <w:left w:val="nil"/>
              <w:bottom w:val="single" w:sz="4" w:space="0" w:color="auto"/>
              <w:right w:val="nil"/>
            </w:tcBorders>
            <w:vAlign w:val="bottom"/>
          </w:tcPr>
          <w:p w14:paraId="52E07780" w14:textId="66502149" w:rsidR="0022066B" w:rsidRDefault="0022066B" w:rsidP="0022066B">
            <w:pPr>
              <w:spacing w:after="0" w:line="240" w:lineRule="auto"/>
              <w:ind w:left="306"/>
              <w:rPr>
                <w:rFonts w:cstheme="minorHAnsi"/>
                <w:color w:val="0000FF"/>
              </w:rPr>
            </w:pPr>
            <w:r w:rsidRPr="007C33B1">
              <w:rPr>
                <w:rFonts w:cstheme="minorHAnsi"/>
                <w:color w:val="0000FF"/>
              </w:rPr>
              <w:t>Missing</w:t>
            </w:r>
          </w:p>
        </w:tc>
        <w:tc>
          <w:tcPr>
            <w:tcW w:w="923" w:type="pct"/>
            <w:tcBorders>
              <w:top w:val="nil"/>
              <w:left w:val="nil"/>
              <w:bottom w:val="single" w:sz="4" w:space="0" w:color="auto"/>
              <w:right w:val="nil"/>
            </w:tcBorders>
            <w:vAlign w:val="bottom"/>
          </w:tcPr>
          <w:p w14:paraId="085551A6" w14:textId="62904057" w:rsidR="0022066B" w:rsidRDefault="0022066B" w:rsidP="0022066B">
            <w:pPr>
              <w:spacing w:after="0" w:line="240" w:lineRule="auto"/>
              <w:jc w:val="center"/>
              <w:rPr>
                <w:rFonts w:cstheme="minorHAnsi"/>
                <w:color w:val="0000FF"/>
              </w:rPr>
            </w:pPr>
            <w:r w:rsidRPr="006F110A">
              <w:rPr>
                <w:rFonts w:cstheme="minorHAnsi"/>
                <w:color w:val="0000FF"/>
              </w:rPr>
              <w:t>1</w:t>
            </w:r>
            <w:r>
              <w:rPr>
                <w:rFonts w:cstheme="minorHAnsi"/>
                <w:color w:val="0000FF"/>
              </w:rPr>
              <w:t>,</w:t>
            </w:r>
            <w:r w:rsidRPr="006F110A">
              <w:rPr>
                <w:rFonts w:cstheme="minorHAnsi"/>
                <w:color w:val="0000FF"/>
              </w:rPr>
              <w:t>937 (0.5)</w:t>
            </w:r>
          </w:p>
        </w:tc>
        <w:tc>
          <w:tcPr>
            <w:tcW w:w="1230" w:type="pct"/>
            <w:tcBorders>
              <w:top w:val="nil"/>
              <w:left w:val="nil"/>
              <w:bottom w:val="single" w:sz="4" w:space="0" w:color="auto"/>
              <w:right w:val="nil"/>
            </w:tcBorders>
            <w:vAlign w:val="center"/>
          </w:tcPr>
          <w:p w14:paraId="040AB7B6" w14:textId="49043E07" w:rsidR="0022066B" w:rsidRDefault="0022066B" w:rsidP="0022066B">
            <w:pPr>
              <w:spacing w:after="0" w:line="240" w:lineRule="auto"/>
              <w:jc w:val="center"/>
              <w:rPr>
                <w:rFonts w:cstheme="minorHAnsi"/>
                <w:color w:val="0000FF"/>
              </w:rPr>
            </w:pPr>
            <w:r>
              <w:rPr>
                <w:rFonts w:cstheme="minorHAnsi"/>
                <w:color w:val="0000FF"/>
              </w:rPr>
              <w:t>26.5</w:t>
            </w:r>
          </w:p>
        </w:tc>
      </w:tr>
    </w:tbl>
    <w:p w14:paraId="42B5801F" w14:textId="77777777" w:rsidR="00D961C0" w:rsidRPr="00673F1F" w:rsidRDefault="00D961C0" w:rsidP="00D961C0">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 based on beneficiary residence. AHRQ = Agency for Healthcare Research. </w:t>
      </w:r>
    </w:p>
    <w:p w14:paraId="2D3712FA" w14:textId="693563D6" w:rsidR="00D015A4" w:rsidRDefault="00372D22" w:rsidP="00D015A4">
      <w:pPr>
        <w:pStyle w:val="NoSpacing"/>
        <w:contextualSpacing/>
        <w:rPr>
          <w:rFonts w:asciiTheme="minorHAnsi" w:hAnsiTheme="minorHAnsi" w:cstheme="minorHAnsi"/>
          <w:color w:val="0000FF"/>
          <w:sz w:val="20"/>
          <w:szCs w:val="20"/>
        </w:rPr>
      </w:pPr>
      <w:r>
        <w:rPr>
          <w:rFonts w:cstheme="minorHAnsi"/>
          <w:color w:val="0000FF"/>
          <w:sz w:val="18"/>
          <w:szCs w:val="18"/>
        </w:rPr>
        <w:t xml:space="preserve">Note: </w:t>
      </w:r>
      <w:r w:rsidR="00D015A4" w:rsidRPr="00B915C7">
        <w:rPr>
          <w:rFonts w:asciiTheme="minorHAnsi" w:hAnsiTheme="minorHAnsi" w:cstheme="minorHAnsi"/>
          <w:color w:val="0000FF"/>
          <w:sz w:val="20"/>
          <w:szCs w:val="20"/>
        </w:rPr>
        <w:t xml:space="preserve">N = number of patient stays; </w:t>
      </w:r>
      <w:r>
        <w:rPr>
          <w:rFonts w:cstheme="minorHAnsi"/>
          <w:color w:val="0000FF"/>
          <w:sz w:val="18"/>
          <w:szCs w:val="18"/>
        </w:rPr>
        <w:t>Patient-level exclusion criteria applied</w:t>
      </w:r>
      <w:r w:rsidR="00D015A4">
        <w:rPr>
          <w:rFonts w:cstheme="minorHAnsi"/>
          <w:color w:val="0000FF"/>
          <w:sz w:val="18"/>
          <w:szCs w:val="18"/>
        </w:rPr>
        <w:t>;</w:t>
      </w:r>
      <w:r w:rsidR="00D015A4" w:rsidRPr="00B915C7">
        <w:rPr>
          <w:rFonts w:asciiTheme="minorHAnsi" w:hAnsiTheme="minorHAnsi" w:cstheme="minorHAnsi"/>
          <w:color w:val="0000FF"/>
          <w:sz w:val="20"/>
          <w:szCs w:val="20"/>
        </w:rPr>
        <w:t xml:space="preserve"> Observed Change in </w:t>
      </w:r>
      <w:r w:rsidR="00D015A4">
        <w:rPr>
          <w:rFonts w:asciiTheme="minorHAnsi" w:hAnsiTheme="minorHAnsi" w:cstheme="minorHAnsi"/>
          <w:color w:val="0000FF"/>
          <w:sz w:val="20"/>
          <w:szCs w:val="20"/>
        </w:rPr>
        <w:t>Mobility</w:t>
      </w:r>
      <w:r w:rsidR="00D015A4" w:rsidRPr="00B915C7">
        <w:rPr>
          <w:rFonts w:asciiTheme="minorHAnsi" w:hAnsiTheme="minorHAnsi" w:cstheme="minorHAnsi"/>
          <w:color w:val="0000FF"/>
          <w:sz w:val="20"/>
          <w:szCs w:val="20"/>
        </w:rPr>
        <w:t xml:space="preserve"> values are reported as units of change in </w:t>
      </w:r>
      <w:r w:rsidR="00D015A4">
        <w:rPr>
          <w:rFonts w:asciiTheme="minorHAnsi" w:hAnsiTheme="minorHAnsi" w:cstheme="minorHAnsi"/>
          <w:color w:val="0000FF"/>
          <w:sz w:val="20"/>
          <w:szCs w:val="20"/>
        </w:rPr>
        <w:t>mobility</w:t>
      </w:r>
      <w:r w:rsidR="00D015A4" w:rsidRPr="00B915C7">
        <w:rPr>
          <w:rFonts w:asciiTheme="minorHAnsi" w:hAnsiTheme="minorHAnsi" w:cstheme="minorHAnsi"/>
          <w:color w:val="0000FF"/>
          <w:sz w:val="20"/>
          <w:szCs w:val="20"/>
        </w:rPr>
        <w:t xml:space="preserve"> (possible range: </w:t>
      </w:r>
      <w:r w:rsidR="00D015A4">
        <w:rPr>
          <w:rFonts w:asciiTheme="minorHAnsi" w:hAnsiTheme="minorHAnsi" w:cstheme="minorHAnsi"/>
          <w:color w:val="0000FF"/>
          <w:sz w:val="20"/>
          <w:szCs w:val="20"/>
        </w:rPr>
        <w:t>-75</w:t>
      </w:r>
      <w:r w:rsidR="00D015A4" w:rsidRPr="00B915C7">
        <w:rPr>
          <w:rFonts w:asciiTheme="minorHAnsi" w:hAnsiTheme="minorHAnsi" w:cstheme="minorHAnsi"/>
          <w:color w:val="0000FF"/>
          <w:sz w:val="20"/>
          <w:szCs w:val="20"/>
        </w:rPr>
        <w:t xml:space="preserve"> to </w:t>
      </w:r>
      <w:r w:rsidR="00D015A4">
        <w:rPr>
          <w:rFonts w:asciiTheme="minorHAnsi" w:hAnsiTheme="minorHAnsi" w:cstheme="minorHAnsi"/>
          <w:color w:val="0000FF"/>
          <w:sz w:val="20"/>
          <w:szCs w:val="20"/>
        </w:rPr>
        <w:t>7</w:t>
      </w:r>
      <w:r w:rsidR="00D015A4" w:rsidRPr="00B915C7">
        <w:rPr>
          <w:rFonts w:asciiTheme="minorHAnsi" w:hAnsiTheme="minorHAnsi" w:cstheme="minorHAnsi"/>
          <w:color w:val="0000FF"/>
          <w:sz w:val="20"/>
          <w:szCs w:val="20"/>
        </w:rPr>
        <w:t>5)</w:t>
      </w:r>
    </w:p>
    <w:p w14:paraId="6A0AD152" w14:textId="26357CBA" w:rsidR="00D961C0" w:rsidRPr="00531564" w:rsidRDefault="00D961C0" w:rsidP="00D961C0">
      <w:pPr>
        <w:pStyle w:val="NoSpacing"/>
        <w:contextualSpacing/>
        <w:jc w:val="both"/>
        <w:rPr>
          <w:rFonts w:asciiTheme="minorHAnsi" w:hAnsiTheme="minorHAnsi" w:cstheme="minorHAnsi"/>
          <w:color w:val="0000FF"/>
          <w:sz w:val="20"/>
          <w:szCs w:val="20"/>
        </w:rPr>
      </w:pPr>
      <w:r w:rsidRPr="00B915C7">
        <w:rPr>
          <w:rFonts w:asciiTheme="minorHAnsi" w:hAnsiTheme="minorHAnsi" w:cstheme="minorHAnsi"/>
          <w:color w:val="0000FF"/>
          <w:sz w:val="20"/>
          <w:szCs w:val="20"/>
        </w:rPr>
        <w:t xml:space="preserve">Source: RTI analysis of IRF-PAI, January – December 2017. (Program reference: </w:t>
      </w:r>
      <w:r>
        <w:rPr>
          <w:rFonts w:asciiTheme="minorHAnsi" w:hAnsiTheme="minorHAnsi" w:cstheme="minorHAnsi"/>
          <w:color w:val="0000FF"/>
          <w:sz w:val="20"/>
          <w:szCs w:val="20"/>
        </w:rPr>
        <w:t>LP65</w:t>
      </w:r>
      <w:r w:rsidRPr="00B915C7">
        <w:rPr>
          <w:rFonts w:asciiTheme="minorHAnsi" w:hAnsiTheme="minorHAnsi" w:cstheme="minorHAnsi"/>
          <w:color w:val="0000FF"/>
          <w:sz w:val="20"/>
          <w:szCs w:val="20"/>
        </w:rPr>
        <w:t>)</w:t>
      </w:r>
    </w:p>
    <w:p w14:paraId="5B188CF6" w14:textId="77777777" w:rsidR="00C63FB5" w:rsidRDefault="00C63FB5" w:rsidP="00C63FB5">
      <w:pPr>
        <w:spacing w:after="0" w:line="240" w:lineRule="auto"/>
        <w:rPr>
          <w:rFonts w:cstheme="minorHAnsi"/>
          <w:color w:val="0000FF"/>
        </w:rPr>
      </w:pPr>
    </w:p>
    <w:p w14:paraId="57E4930E" w14:textId="6BA3A01C" w:rsidR="00C63FB5" w:rsidRDefault="00C63FB5" w:rsidP="00C63FB5">
      <w:pPr>
        <w:spacing w:after="0" w:line="240" w:lineRule="auto"/>
        <w:rPr>
          <w:rFonts w:eastAsia="Calibri" w:cstheme="minorHAnsi"/>
          <w:color w:val="0000FF"/>
        </w:rPr>
      </w:pPr>
      <w:r>
        <w:rPr>
          <w:rFonts w:eastAsia="Calibri" w:cstheme="minorHAnsi"/>
          <w:b/>
          <w:bCs/>
          <w:color w:val="0000FF"/>
        </w:rPr>
        <w:t>Table 1</w:t>
      </w:r>
      <w:r w:rsidR="00360220">
        <w:rPr>
          <w:rFonts w:eastAsia="Calibri" w:cstheme="minorHAnsi"/>
          <w:b/>
          <w:bCs/>
          <w:color w:val="0000FF"/>
        </w:rPr>
        <w:t>4</w:t>
      </w:r>
      <w:r>
        <w:rPr>
          <w:rFonts w:eastAsia="Calibri" w:cstheme="minorHAnsi"/>
          <w:color w:val="0000FF"/>
        </w:rPr>
        <w:t xml:space="preserve"> shows the social risk factor estimates in our Generalized Linear regression model. Dual eligibility </w:t>
      </w:r>
      <w:r w:rsidR="00D623BB">
        <w:rPr>
          <w:rFonts w:eastAsia="Calibri" w:cstheme="minorHAnsi"/>
          <w:color w:val="0000FF"/>
        </w:rPr>
        <w:t xml:space="preserve">patients with full Medicaid benefits had lower mobility changes scores </w:t>
      </w:r>
      <w:r w:rsidR="00267243">
        <w:rPr>
          <w:iCs/>
          <w:color w:val="0000FF"/>
        </w:rPr>
        <w:t xml:space="preserve">(coefficient = -1.2666, </w:t>
      </w:r>
      <w:r w:rsidR="00267243">
        <w:rPr>
          <w:i/>
          <w:iCs/>
          <w:color w:val="0000FF"/>
        </w:rPr>
        <w:t>p</w:t>
      </w:r>
      <w:r w:rsidR="00267243">
        <w:rPr>
          <w:iCs/>
          <w:color w:val="0000FF"/>
        </w:rPr>
        <w:t xml:space="preserve"> &lt; 0.001) </w:t>
      </w:r>
      <w:r w:rsidR="00D623BB">
        <w:rPr>
          <w:rFonts w:eastAsia="Calibri" w:cstheme="minorHAnsi"/>
          <w:color w:val="0000FF"/>
        </w:rPr>
        <w:t>while patients with partial Medicaid benefits had higher mobility change scores</w:t>
      </w:r>
      <w:r w:rsidR="00267243">
        <w:rPr>
          <w:rFonts w:eastAsia="Calibri" w:cstheme="minorHAnsi"/>
          <w:color w:val="0000FF"/>
        </w:rPr>
        <w:t xml:space="preserve"> </w:t>
      </w:r>
      <w:r w:rsidR="00267243">
        <w:rPr>
          <w:iCs/>
          <w:color w:val="0000FF"/>
        </w:rPr>
        <w:t xml:space="preserve">(coefficient = 0.3266, </w:t>
      </w:r>
      <w:r w:rsidR="00267243">
        <w:rPr>
          <w:i/>
          <w:iCs/>
          <w:color w:val="0000FF"/>
        </w:rPr>
        <w:t>p</w:t>
      </w:r>
      <w:r w:rsidR="00267243">
        <w:rPr>
          <w:iCs/>
          <w:color w:val="0000FF"/>
        </w:rPr>
        <w:t xml:space="preserve"> = 0.001)</w:t>
      </w:r>
      <w:r w:rsidR="00D623BB">
        <w:rPr>
          <w:rFonts w:eastAsia="Calibri" w:cstheme="minorHAnsi"/>
          <w:color w:val="0000FF"/>
        </w:rPr>
        <w:t xml:space="preserve">, on average, than patients who were non-dual eligible.  </w:t>
      </w:r>
      <w:r>
        <w:rPr>
          <w:rFonts w:eastAsia="Calibri" w:cstheme="minorHAnsi"/>
          <w:color w:val="0000FF"/>
        </w:rPr>
        <w:t>Compared to patients who were White, Black patients</w:t>
      </w:r>
      <w:r w:rsidR="00267243">
        <w:rPr>
          <w:rFonts w:eastAsia="Calibri" w:cstheme="minorHAnsi"/>
          <w:color w:val="0000FF"/>
        </w:rPr>
        <w:t xml:space="preserve"> </w:t>
      </w:r>
      <w:r w:rsidR="00267243">
        <w:rPr>
          <w:iCs/>
          <w:color w:val="0000FF"/>
        </w:rPr>
        <w:t xml:space="preserve">(coefficient = -0.9811, </w:t>
      </w:r>
      <w:r w:rsidR="00267243">
        <w:rPr>
          <w:i/>
          <w:iCs/>
          <w:color w:val="0000FF"/>
        </w:rPr>
        <w:t>p</w:t>
      </w:r>
      <w:r w:rsidR="00267243">
        <w:rPr>
          <w:iCs/>
          <w:color w:val="0000FF"/>
        </w:rPr>
        <w:t xml:space="preserve"> &lt; 0.001)</w:t>
      </w:r>
      <w:r w:rsidR="00D623BB">
        <w:rPr>
          <w:rFonts w:eastAsia="Calibri" w:cstheme="minorHAnsi"/>
          <w:color w:val="0000FF"/>
        </w:rPr>
        <w:t>, Asian patients</w:t>
      </w:r>
      <w:r w:rsidR="00267243">
        <w:rPr>
          <w:rFonts w:eastAsia="Calibri" w:cstheme="minorHAnsi"/>
          <w:color w:val="0000FF"/>
        </w:rPr>
        <w:t xml:space="preserve"> </w:t>
      </w:r>
      <w:r w:rsidR="00267243">
        <w:rPr>
          <w:iCs/>
          <w:color w:val="0000FF"/>
        </w:rPr>
        <w:t xml:space="preserve">(coefficient = -0.7709, </w:t>
      </w:r>
      <w:r w:rsidR="00267243">
        <w:rPr>
          <w:i/>
          <w:iCs/>
          <w:color w:val="0000FF"/>
        </w:rPr>
        <w:t>p</w:t>
      </w:r>
      <w:r w:rsidR="00267243">
        <w:rPr>
          <w:iCs/>
          <w:color w:val="0000FF"/>
        </w:rPr>
        <w:t xml:space="preserve"> &lt; 0.001)</w:t>
      </w:r>
      <w:r w:rsidR="00D623BB">
        <w:rPr>
          <w:rFonts w:eastAsia="Calibri" w:cstheme="minorHAnsi"/>
          <w:color w:val="0000FF"/>
        </w:rPr>
        <w:t>, and patients of American Indian or Alaska Native descent</w:t>
      </w:r>
      <w:r w:rsidR="00267243">
        <w:rPr>
          <w:rFonts w:eastAsia="Calibri" w:cstheme="minorHAnsi"/>
          <w:color w:val="0000FF"/>
        </w:rPr>
        <w:t xml:space="preserve"> </w:t>
      </w:r>
      <w:r w:rsidR="00267243">
        <w:rPr>
          <w:iCs/>
          <w:color w:val="0000FF"/>
        </w:rPr>
        <w:t xml:space="preserve">(coefficient = -0.7530, </w:t>
      </w:r>
      <w:r w:rsidR="00267243">
        <w:rPr>
          <w:i/>
          <w:iCs/>
          <w:color w:val="0000FF"/>
        </w:rPr>
        <w:t>p</w:t>
      </w:r>
      <w:r w:rsidR="00267243">
        <w:rPr>
          <w:iCs/>
          <w:color w:val="0000FF"/>
        </w:rPr>
        <w:t xml:space="preserve"> = 0.049)</w:t>
      </w:r>
      <w:r>
        <w:rPr>
          <w:rFonts w:eastAsia="Calibri" w:cstheme="minorHAnsi"/>
          <w:color w:val="0000FF"/>
        </w:rPr>
        <w:t xml:space="preserve"> had lower mobility changes, on average. Patients who lived alone </w:t>
      </w:r>
      <w:r w:rsidR="00267243">
        <w:rPr>
          <w:iCs/>
          <w:color w:val="0000FF"/>
        </w:rPr>
        <w:t xml:space="preserve">(coefficient = </w:t>
      </w:r>
      <w:r w:rsidR="00266A2D">
        <w:rPr>
          <w:iCs/>
          <w:color w:val="0000FF"/>
        </w:rPr>
        <w:t>0.8362</w:t>
      </w:r>
      <w:r w:rsidR="00267243">
        <w:rPr>
          <w:iCs/>
          <w:color w:val="0000FF"/>
        </w:rPr>
        <w:t xml:space="preserve">, </w:t>
      </w:r>
      <w:r w:rsidR="00267243">
        <w:rPr>
          <w:i/>
          <w:iCs/>
          <w:color w:val="0000FF"/>
        </w:rPr>
        <w:t>p</w:t>
      </w:r>
      <w:r w:rsidR="00267243">
        <w:rPr>
          <w:iCs/>
          <w:color w:val="0000FF"/>
        </w:rPr>
        <w:t xml:space="preserve"> &lt; 0.001) </w:t>
      </w:r>
      <w:r w:rsidR="00D623BB">
        <w:rPr>
          <w:rFonts w:eastAsia="Calibri" w:cstheme="minorHAnsi"/>
          <w:color w:val="0000FF"/>
        </w:rPr>
        <w:t xml:space="preserve">had higher mobility change scores than patients who did not live alone prior to their hospitalization. </w:t>
      </w:r>
      <w:r>
        <w:rPr>
          <w:rFonts w:eastAsia="Calibri" w:cstheme="minorHAnsi"/>
          <w:color w:val="0000FF"/>
        </w:rPr>
        <w:t xml:space="preserve"> Patients living in rural areas had similar change in mobility scores</w:t>
      </w:r>
      <w:r w:rsidR="00D623BB">
        <w:rPr>
          <w:rFonts w:eastAsia="Calibri" w:cstheme="minorHAnsi"/>
          <w:color w:val="0000FF"/>
        </w:rPr>
        <w:t xml:space="preserve"> while patients living in suburban areas </w:t>
      </w:r>
      <w:r w:rsidR="00892DE7">
        <w:rPr>
          <w:iCs/>
          <w:color w:val="0000FF"/>
        </w:rPr>
        <w:t xml:space="preserve">(coefficient = 0.1451, </w:t>
      </w:r>
      <w:r w:rsidR="00892DE7">
        <w:rPr>
          <w:i/>
          <w:iCs/>
          <w:color w:val="0000FF"/>
        </w:rPr>
        <w:t>p</w:t>
      </w:r>
      <w:r w:rsidR="00892DE7">
        <w:rPr>
          <w:iCs/>
          <w:color w:val="0000FF"/>
        </w:rPr>
        <w:t xml:space="preserve"> = 0.038) </w:t>
      </w:r>
      <w:r w:rsidR="00D623BB">
        <w:rPr>
          <w:rFonts w:eastAsia="Calibri" w:cstheme="minorHAnsi"/>
          <w:color w:val="0000FF"/>
        </w:rPr>
        <w:t>had higher mobility change scores</w:t>
      </w:r>
      <w:r>
        <w:rPr>
          <w:rFonts w:eastAsia="Calibri" w:cstheme="minorHAnsi"/>
          <w:color w:val="0000FF"/>
        </w:rPr>
        <w:t xml:space="preserve"> compared with patients living in urban areas. </w:t>
      </w:r>
      <w:r w:rsidR="00D623BB">
        <w:rPr>
          <w:rFonts w:eastAsia="Calibri" w:cstheme="minorHAnsi"/>
          <w:color w:val="0000FF"/>
        </w:rPr>
        <w:t xml:space="preserve">Patients residing in </w:t>
      </w:r>
      <w:r>
        <w:rPr>
          <w:rFonts w:eastAsia="Calibri" w:cstheme="minorHAnsi"/>
          <w:color w:val="0000FF"/>
        </w:rPr>
        <w:t xml:space="preserve">AHRQ SES Index quartiles 1-3 </w:t>
      </w:r>
      <w:r w:rsidR="00D623BB">
        <w:rPr>
          <w:rFonts w:eastAsia="Calibri" w:cstheme="minorHAnsi"/>
          <w:color w:val="0000FF"/>
        </w:rPr>
        <w:t>had higher mobility change scores, on average, than patients residing in AHRQ SES Index quartile 4.</w:t>
      </w:r>
      <w:r w:rsidR="00D623BB" w:rsidRPr="00673F1F">
        <w:rPr>
          <w:rFonts w:eastAsia="Calibri" w:cstheme="minorHAnsi"/>
          <w:color w:val="0000FF"/>
        </w:rPr>
        <w:t xml:space="preserve"> </w:t>
      </w:r>
    </w:p>
    <w:p w14:paraId="76EA6A2E" w14:textId="77777777" w:rsidR="00C63FB5" w:rsidRDefault="00C63FB5" w:rsidP="00C63FB5">
      <w:pPr>
        <w:spacing w:after="0" w:line="240" w:lineRule="auto"/>
        <w:rPr>
          <w:rFonts w:eastAsia="Calibri" w:cstheme="minorHAnsi"/>
          <w:color w:val="0000FF"/>
        </w:rPr>
      </w:pPr>
    </w:p>
    <w:p w14:paraId="456F0B24" w14:textId="77777777" w:rsidR="00302EF1" w:rsidRDefault="00302EF1">
      <w:pPr>
        <w:rPr>
          <w:rFonts w:eastAsia="Calibri" w:cstheme="minorHAnsi"/>
          <w:b/>
          <w:bCs/>
          <w:color w:val="0000FF"/>
          <w:szCs w:val="20"/>
        </w:rPr>
      </w:pPr>
      <w:r>
        <w:rPr>
          <w:rFonts w:eastAsia="Calibri" w:cstheme="minorHAnsi"/>
          <w:b/>
          <w:bCs/>
          <w:color w:val="0000FF"/>
          <w:szCs w:val="20"/>
        </w:rPr>
        <w:br w:type="page"/>
      </w:r>
    </w:p>
    <w:p w14:paraId="19F86EB5" w14:textId="0F081DE1" w:rsidR="00C63FB5" w:rsidRDefault="00C63FB5" w:rsidP="00C63FB5">
      <w:pPr>
        <w:spacing w:after="0" w:line="240" w:lineRule="auto"/>
        <w:rPr>
          <w:rFonts w:eastAsia="Calibri" w:cstheme="minorHAnsi"/>
          <w:b/>
          <w:bCs/>
          <w:color w:val="0000FF"/>
          <w:szCs w:val="20"/>
        </w:rPr>
      </w:pPr>
      <w:r>
        <w:rPr>
          <w:rFonts w:eastAsia="Calibri" w:cstheme="minorHAnsi"/>
          <w:b/>
          <w:bCs/>
          <w:color w:val="0000FF"/>
          <w:szCs w:val="20"/>
        </w:rPr>
        <w:lastRenderedPageBreak/>
        <w:t>Table 1</w:t>
      </w:r>
      <w:r w:rsidR="00360220">
        <w:rPr>
          <w:rFonts w:eastAsia="Calibri" w:cstheme="minorHAnsi"/>
          <w:b/>
          <w:bCs/>
          <w:color w:val="0000FF"/>
          <w:szCs w:val="20"/>
        </w:rPr>
        <w:t>4</w:t>
      </w:r>
      <w:r>
        <w:rPr>
          <w:rFonts w:eastAsia="Calibri" w:cstheme="minorHAnsi"/>
          <w:b/>
          <w:bCs/>
          <w:color w:val="0000FF"/>
          <w:szCs w:val="20"/>
        </w:rPr>
        <w:t xml:space="preserve">. </w:t>
      </w:r>
      <w:r>
        <w:rPr>
          <w:rFonts w:eastAsia="Calibri" w:cstheme="minorHAnsi"/>
          <w:b/>
          <w:color w:val="0000FF"/>
          <w:szCs w:val="20"/>
        </w:rPr>
        <w:t>Effect of Social Risk Factors</w:t>
      </w:r>
      <w:r>
        <w:rPr>
          <w:rFonts w:eastAsia="Calibri" w:cstheme="minorHAnsi"/>
          <w:b/>
          <w:bCs/>
          <w:color w:val="0000FF"/>
          <w:szCs w:val="20"/>
        </w:rPr>
        <w:t xml:space="preserve"> in the IRF Change in Mobility Regression Model</w:t>
      </w:r>
      <w:r>
        <w:rPr>
          <w:rFonts w:eastAsia="Calibri" w:cstheme="minorHAnsi"/>
          <w:b/>
          <w:color w:val="0000FF"/>
        </w:rPr>
        <w:t xml:space="preserve"> (N = </w:t>
      </w:r>
      <w:r w:rsidR="00131AC4">
        <w:rPr>
          <w:rFonts w:eastAsia="Calibri" w:cstheme="minorHAnsi"/>
          <w:b/>
          <w:color w:val="0000FF"/>
        </w:rPr>
        <w:t>428,631</w:t>
      </w:r>
      <w:r>
        <w:rPr>
          <w:rFonts w:eastAsia="Calibri" w:cstheme="minorHAnsi"/>
          <w:b/>
          <w:color w:val="0000FF"/>
        </w:rPr>
        <w:t>)</w:t>
      </w:r>
      <w:r>
        <w:rPr>
          <w:rFonts w:eastAsia="Calibri" w:cstheme="minorHAnsi"/>
          <w:b/>
          <w:bCs/>
          <w:color w:val="0000FF"/>
          <w:szCs w:val="20"/>
        </w:rPr>
        <w:t xml:space="preserve"> </w:t>
      </w:r>
    </w:p>
    <w:tbl>
      <w:tblPr>
        <w:tblW w:w="5000" w:type="pct"/>
        <w:jc w:val="center"/>
        <w:tblLook w:val="06A0" w:firstRow="1" w:lastRow="0" w:firstColumn="1" w:lastColumn="0" w:noHBand="1" w:noVBand="1"/>
      </w:tblPr>
      <w:tblGrid>
        <w:gridCol w:w="4373"/>
        <w:gridCol w:w="2059"/>
        <w:gridCol w:w="1674"/>
        <w:gridCol w:w="1254"/>
      </w:tblGrid>
      <w:tr w:rsidR="00131AC4" w:rsidRPr="001B21D9" w14:paraId="5B5B3DDB" w14:textId="77777777" w:rsidTr="00EE3DF5">
        <w:trPr>
          <w:trHeight w:val="483"/>
          <w:tblHeader/>
          <w:jc w:val="center"/>
        </w:trPr>
        <w:tc>
          <w:tcPr>
            <w:tcW w:w="2336" w:type="pct"/>
            <w:tcBorders>
              <w:top w:val="single" w:sz="4" w:space="0" w:color="auto"/>
              <w:bottom w:val="single" w:sz="4" w:space="0" w:color="auto"/>
            </w:tcBorders>
            <w:shd w:val="clear" w:color="auto" w:fill="auto"/>
            <w:vAlign w:val="center"/>
          </w:tcPr>
          <w:p w14:paraId="5A5EB30B" w14:textId="77777777" w:rsidR="00131AC4" w:rsidRPr="00673F1F" w:rsidRDefault="00131AC4" w:rsidP="00131AC4">
            <w:pPr>
              <w:spacing w:after="0" w:line="240" w:lineRule="auto"/>
              <w:rPr>
                <w:rFonts w:cstheme="minorHAnsi"/>
                <w:b/>
                <w:bCs/>
                <w:color w:val="0000FF"/>
              </w:rPr>
            </w:pPr>
            <w:r w:rsidRPr="00673F1F">
              <w:rPr>
                <w:rFonts w:cstheme="minorHAnsi"/>
                <w:b/>
                <w:bCs/>
                <w:color w:val="0000FF"/>
              </w:rPr>
              <w:t>Social Risk Factor</w:t>
            </w:r>
          </w:p>
        </w:tc>
        <w:tc>
          <w:tcPr>
            <w:tcW w:w="1100" w:type="pct"/>
            <w:tcBorders>
              <w:top w:val="single" w:sz="4" w:space="0" w:color="auto"/>
              <w:bottom w:val="single" w:sz="4" w:space="0" w:color="auto"/>
            </w:tcBorders>
            <w:shd w:val="clear" w:color="auto" w:fill="auto"/>
            <w:vAlign w:val="center"/>
          </w:tcPr>
          <w:p w14:paraId="7E0786E8" w14:textId="77777777" w:rsidR="00131AC4" w:rsidRPr="00673F1F" w:rsidRDefault="00131AC4" w:rsidP="00131AC4">
            <w:pPr>
              <w:spacing w:after="0" w:line="240" w:lineRule="auto"/>
              <w:jc w:val="center"/>
              <w:rPr>
                <w:rFonts w:cstheme="minorHAnsi"/>
                <w:b/>
                <w:bCs/>
                <w:color w:val="0000FF"/>
              </w:rPr>
            </w:pPr>
            <w:r w:rsidRPr="00673F1F">
              <w:rPr>
                <w:rFonts w:cstheme="minorHAnsi"/>
                <w:b/>
                <w:bCs/>
                <w:color w:val="0000FF"/>
              </w:rPr>
              <w:t>Estimate</w:t>
            </w:r>
          </w:p>
        </w:tc>
        <w:tc>
          <w:tcPr>
            <w:tcW w:w="894" w:type="pct"/>
            <w:tcBorders>
              <w:top w:val="single" w:sz="4" w:space="0" w:color="auto"/>
              <w:bottom w:val="single" w:sz="4" w:space="0" w:color="auto"/>
            </w:tcBorders>
            <w:shd w:val="clear" w:color="auto" w:fill="auto"/>
            <w:vAlign w:val="center"/>
          </w:tcPr>
          <w:p w14:paraId="01CF714A" w14:textId="77777777" w:rsidR="00131AC4" w:rsidRPr="00673F1F" w:rsidRDefault="00131AC4" w:rsidP="00131AC4">
            <w:pPr>
              <w:spacing w:after="0" w:line="240" w:lineRule="auto"/>
              <w:jc w:val="center"/>
              <w:rPr>
                <w:rFonts w:cstheme="minorHAnsi"/>
                <w:b/>
                <w:bCs/>
                <w:color w:val="0000FF"/>
              </w:rPr>
            </w:pPr>
            <w:r w:rsidRPr="00673F1F">
              <w:rPr>
                <w:rFonts w:cstheme="minorHAnsi"/>
                <w:b/>
                <w:bCs/>
                <w:color w:val="0000FF"/>
              </w:rPr>
              <w:t>SE</w:t>
            </w:r>
          </w:p>
        </w:tc>
        <w:tc>
          <w:tcPr>
            <w:tcW w:w="670" w:type="pct"/>
            <w:tcBorders>
              <w:top w:val="single" w:sz="4" w:space="0" w:color="auto"/>
              <w:bottom w:val="single" w:sz="4" w:space="0" w:color="auto"/>
            </w:tcBorders>
            <w:shd w:val="clear" w:color="auto" w:fill="auto"/>
            <w:vAlign w:val="center"/>
          </w:tcPr>
          <w:p w14:paraId="0E39D2DE" w14:textId="77777777" w:rsidR="00131AC4" w:rsidRPr="00673F1F" w:rsidRDefault="00131AC4" w:rsidP="00131AC4">
            <w:pPr>
              <w:spacing w:after="0" w:line="240" w:lineRule="auto"/>
              <w:jc w:val="center"/>
              <w:rPr>
                <w:rFonts w:cstheme="minorHAnsi"/>
                <w:b/>
                <w:bCs/>
                <w:i/>
                <w:color w:val="0000FF"/>
              </w:rPr>
            </w:pPr>
            <w:r w:rsidRPr="00673F1F">
              <w:rPr>
                <w:rFonts w:cstheme="minorHAnsi"/>
                <w:b/>
                <w:bCs/>
                <w:i/>
                <w:color w:val="0000FF"/>
              </w:rPr>
              <w:t>p</w:t>
            </w:r>
            <w:r w:rsidRPr="00673F1F">
              <w:rPr>
                <w:rFonts w:cstheme="minorHAnsi"/>
                <w:b/>
                <w:bCs/>
                <w:color w:val="0000FF"/>
              </w:rPr>
              <w:t>-value</w:t>
            </w:r>
          </w:p>
        </w:tc>
      </w:tr>
      <w:tr w:rsidR="00131AC4" w:rsidRPr="001B21D9" w14:paraId="5BF1FC87" w14:textId="77777777" w:rsidTr="00131AC4">
        <w:tblPrEx>
          <w:tblLook w:val="04A0" w:firstRow="1" w:lastRow="0" w:firstColumn="1" w:lastColumn="0" w:noHBand="0" w:noVBand="1"/>
        </w:tblPrEx>
        <w:trPr>
          <w:trHeight w:val="317"/>
          <w:jc w:val="center"/>
        </w:trPr>
        <w:tc>
          <w:tcPr>
            <w:tcW w:w="5000" w:type="pct"/>
            <w:gridSpan w:val="4"/>
            <w:tcBorders>
              <w:top w:val="single" w:sz="4" w:space="0" w:color="auto"/>
            </w:tcBorders>
            <w:vAlign w:val="center"/>
          </w:tcPr>
          <w:p w14:paraId="5660D5AC" w14:textId="77777777" w:rsidR="00131AC4" w:rsidRPr="00A6054A" w:rsidRDefault="00131AC4" w:rsidP="00131AC4">
            <w:pPr>
              <w:spacing w:after="0" w:line="240" w:lineRule="auto"/>
              <w:rPr>
                <w:rFonts w:cstheme="minorHAnsi"/>
                <w:color w:val="0000FF"/>
              </w:rPr>
            </w:pPr>
            <w:r w:rsidRPr="00A6054A">
              <w:rPr>
                <w:rFonts w:cstheme="minorHAnsi"/>
                <w:b/>
                <w:i/>
                <w:color w:val="0000FF"/>
              </w:rPr>
              <w:t>Dual Eligibility (reference =</w:t>
            </w:r>
            <w:r w:rsidRPr="00A6054A">
              <w:rPr>
                <w:rFonts w:cstheme="minorHAnsi"/>
                <w:color w:val="0000FF"/>
              </w:rPr>
              <w:t xml:space="preserve"> </w:t>
            </w:r>
            <w:r w:rsidRPr="00A6054A">
              <w:rPr>
                <w:rFonts w:cstheme="minorHAnsi"/>
                <w:b/>
                <w:i/>
                <w:color w:val="0000FF"/>
              </w:rPr>
              <w:t>Non-dual)</w:t>
            </w:r>
          </w:p>
        </w:tc>
      </w:tr>
      <w:tr w:rsidR="00131AC4" w:rsidRPr="001B21D9" w14:paraId="037FD2BA" w14:textId="77777777" w:rsidTr="00131AC4">
        <w:tblPrEx>
          <w:tblLook w:val="04A0" w:firstRow="1" w:lastRow="0" w:firstColumn="1" w:lastColumn="0" w:noHBand="0" w:noVBand="1"/>
        </w:tblPrEx>
        <w:trPr>
          <w:trHeight w:val="317"/>
          <w:jc w:val="center"/>
        </w:trPr>
        <w:tc>
          <w:tcPr>
            <w:tcW w:w="2336" w:type="pct"/>
            <w:vAlign w:val="bottom"/>
          </w:tcPr>
          <w:p w14:paraId="6D71A719" w14:textId="77777777" w:rsidR="00131AC4" w:rsidRPr="00673F1F" w:rsidRDefault="00131AC4" w:rsidP="00131AC4">
            <w:pPr>
              <w:spacing w:after="0" w:line="240" w:lineRule="auto"/>
              <w:rPr>
                <w:rFonts w:cstheme="minorHAnsi"/>
                <w:color w:val="0000FF"/>
              </w:rPr>
            </w:pPr>
            <w:r w:rsidRPr="00673F1F">
              <w:rPr>
                <w:rFonts w:cstheme="minorHAnsi"/>
                <w:color w:val="0000FF"/>
              </w:rPr>
              <w:t xml:space="preserve">      Dual with full Medicaid</w:t>
            </w:r>
          </w:p>
        </w:tc>
        <w:tc>
          <w:tcPr>
            <w:tcW w:w="1100" w:type="pct"/>
            <w:vAlign w:val="bottom"/>
          </w:tcPr>
          <w:p w14:paraId="3C24650A" w14:textId="3C5FAB31" w:rsidR="00131AC4" w:rsidRPr="00A6054A" w:rsidRDefault="00131AC4">
            <w:pPr>
              <w:spacing w:after="0" w:line="240" w:lineRule="auto"/>
              <w:jc w:val="center"/>
              <w:rPr>
                <w:rFonts w:cstheme="minorHAnsi"/>
                <w:color w:val="0000FF"/>
              </w:rPr>
            </w:pPr>
            <w:r w:rsidRPr="00360220">
              <w:rPr>
                <w:rFonts w:cstheme="minorHAnsi"/>
                <w:color w:val="0000FF"/>
              </w:rPr>
              <w:t>-1.2666</w:t>
            </w:r>
          </w:p>
        </w:tc>
        <w:tc>
          <w:tcPr>
            <w:tcW w:w="894" w:type="pct"/>
            <w:vAlign w:val="bottom"/>
          </w:tcPr>
          <w:p w14:paraId="5B450D51" w14:textId="3D373BCF" w:rsidR="00131AC4" w:rsidRPr="00673F1F" w:rsidRDefault="00131AC4">
            <w:pPr>
              <w:spacing w:after="0" w:line="240" w:lineRule="auto"/>
              <w:jc w:val="center"/>
              <w:rPr>
                <w:rFonts w:cstheme="minorHAnsi"/>
                <w:color w:val="0000FF"/>
              </w:rPr>
            </w:pPr>
            <w:r w:rsidRPr="00360220">
              <w:rPr>
                <w:rFonts w:cstheme="minorHAnsi"/>
                <w:color w:val="0000FF"/>
              </w:rPr>
              <w:t>0.07</w:t>
            </w:r>
          </w:p>
        </w:tc>
        <w:tc>
          <w:tcPr>
            <w:tcW w:w="670" w:type="pct"/>
            <w:vAlign w:val="bottom"/>
          </w:tcPr>
          <w:p w14:paraId="031CD0B8" w14:textId="7D3564D7" w:rsidR="00131AC4" w:rsidRPr="00673F1F" w:rsidRDefault="00131AC4">
            <w:pPr>
              <w:spacing w:after="0" w:line="240" w:lineRule="auto"/>
              <w:jc w:val="center"/>
              <w:rPr>
                <w:rFonts w:cstheme="minorHAnsi"/>
                <w:color w:val="0000FF"/>
              </w:rPr>
            </w:pPr>
            <w:r w:rsidRPr="00360220">
              <w:rPr>
                <w:rFonts w:cstheme="minorHAnsi"/>
                <w:color w:val="0000FF"/>
              </w:rPr>
              <w:t>&lt;.001</w:t>
            </w:r>
          </w:p>
        </w:tc>
      </w:tr>
      <w:tr w:rsidR="00131AC4" w:rsidRPr="001B21D9" w14:paraId="616947EC" w14:textId="77777777" w:rsidTr="00131AC4">
        <w:tblPrEx>
          <w:tblLook w:val="04A0" w:firstRow="1" w:lastRow="0" w:firstColumn="1" w:lastColumn="0" w:noHBand="0" w:noVBand="1"/>
        </w:tblPrEx>
        <w:trPr>
          <w:trHeight w:val="317"/>
          <w:jc w:val="center"/>
        </w:trPr>
        <w:tc>
          <w:tcPr>
            <w:tcW w:w="2336" w:type="pct"/>
            <w:vAlign w:val="bottom"/>
          </w:tcPr>
          <w:p w14:paraId="59C3DFAB" w14:textId="77777777" w:rsidR="00131AC4" w:rsidRPr="00673F1F" w:rsidRDefault="00131AC4" w:rsidP="00131AC4">
            <w:pPr>
              <w:spacing w:after="0" w:line="240" w:lineRule="auto"/>
              <w:rPr>
                <w:rFonts w:cstheme="minorHAnsi"/>
                <w:color w:val="0000FF"/>
              </w:rPr>
            </w:pPr>
            <w:r w:rsidRPr="00673F1F">
              <w:rPr>
                <w:rFonts w:cstheme="minorHAnsi"/>
                <w:color w:val="0000FF"/>
              </w:rPr>
              <w:t xml:space="preserve">      Dual without full Medicaid</w:t>
            </w:r>
          </w:p>
        </w:tc>
        <w:tc>
          <w:tcPr>
            <w:tcW w:w="1100" w:type="pct"/>
            <w:vAlign w:val="bottom"/>
          </w:tcPr>
          <w:p w14:paraId="4A689980" w14:textId="5AB0F409" w:rsidR="00131AC4" w:rsidRPr="00A6054A" w:rsidRDefault="00131AC4">
            <w:pPr>
              <w:spacing w:after="0" w:line="240" w:lineRule="auto"/>
              <w:jc w:val="center"/>
              <w:rPr>
                <w:rFonts w:cstheme="minorHAnsi"/>
                <w:color w:val="0000FF"/>
              </w:rPr>
            </w:pPr>
            <w:r w:rsidRPr="00360220">
              <w:rPr>
                <w:rFonts w:cstheme="minorHAnsi"/>
                <w:color w:val="0000FF"/>
              </w:rPr>
              <w:t>0.3266</w:t>
            </w:r>
          </w:p>
        </w:tc>
        <w:tc>
          <w:tcPr>
            <w:tcW w:w="894" w:type="pct"/>
            <w:vAlign w:val="bottom"/>
          </w:tcPr>
          <w:p w14:paraId="29D58DC1" w14:textId="518ED66F" w:rsidR="00131AC4" w:rsidRPr="00673F1F" w:rsidRDefault="00131AC4">
            <w:pPr>
              <w:spacing w:after="0" w:line="240" w:lineRule="auto"/>
              <w:jc w:val="center"/>
              <w:rPr>
                <w:rFonts w:cstheme="minorHAnsi"/>
                <w:color w:val="0000FF"/>
              </w:rPr>
            </w:pPr>
            <w:r w:rsidRPr="00360220">
              <w:rPr>
                <w:rFonts w:cstheme="minorHAnsi"/>
                <w:color w:val="0000FF"/>
              </w:rPr>
              <w:t>0.09</w:t>
            </w:r>
          </w:p>
        </w:tc>
        <w:tc>
          <w:tcPr>
            <w:tcW w:w="670" w:type="pct"/>
            <w:vAlign w:val="bottom"/>
          </w:tcPr>
          <w:p w14:paraId="00ABFF2E" w14:textId="0A042FA5" w:rsidR="00131AC4" w:rsidRPr="00673F1F" w:rsidRDefault="00131AC4">
            <w:pPr>
              <w:spacing w:after="0" w:line="240" w:lineRule="auto"/>
              <w:jc w:val="center"/>
              <w:rPr>
                <w:rFonts w:cstheme="minorHAnsi"/>
                <w:color w:val="0000FF"/>
              </w:rPr>
            </w:pPr>
            <w:r w:rsidRPr="00360220">
              <w:rPr>
                <w:rFonts w:cstheme="minorHAnsi"/>
                <w:color w:val="0000FF"/>
              </w:rPr>
              <w:t>0.001</w:t>
            </w:r>
          </w:p>
        </w:tc>
      </w:tr>
      <w:tr w:rsidR="00131AC4" w:rsidRPr="001B21D9" w14:paraId="55B8D270" w14:textId="77777777" w:rsidTr="00131AC4">
        <w:tblPrEx>
          <w:tblLook w:val="04A0" w:firstRow="1" w:lastRow="0" w:firstColumn="1" w:lastColumn="0" w:noHBand="0" w:noVBand="1"/>
        </w:tblPrEx>
        <w:trPr>
          <w:trHeight w:val="389"/>
          <w:jc w:val="center"/>
        </w:trPr>
        <w:tc>
          <w:tcPr>
            <w:tcW w:w="5000" w:type="pct"/>
            <w:gridSpan w:val="4"/>
            <w:vAlign w:val="center"/>
          </w:tcPr>
          <w:p w14:paraId="1EF91C21" w14:textId="77777777" w:rsidR="00131AC4" w:rsidRPr="00A6054A" w:rsidRDefault="00131AC4" w:rsidP="00131AC4">
            <w:pPr>
              <w:spacing w:after="0" w:line="240" w:lineRule="auto"/>
              <w:rPr>
                <w:rFonts w:cstheme="minorHAnsi"/>
                <w:b/>
                <w:bCs/>
                <w:color w:val="0000FF"/>
              </w:rPr>
            </w:pPr>
            <w:r w:rsidRPr="00A6054A">
              <w:rPr>
                <w:rFonts w:cstheme="minorHAnsi"/>
                <w:b/>
                <w:i/>
                <w:color w:val="0000FF"/>
              </w:rPr>
              <w:t>Race/Ethnicity (reference = White)</w:t>
            </w:r>
          </w:p>
        </w:tc>
      </w:tr>
      <w:tr w:rsidR="00131AC4" w:rsidRPr="001B21D9" w14:paraId="365CA9F5" w14:textId="77777777" w:rsidTr="00131AC4">
        <w:tblPrEx>
          <w:tblLook w:val="04A0" w:firstRow="1" w:lastRow="0" w:firstColumn="1" w:lastColumn="0" w:noHBand="0" w:noVBand="1"/>
        </w:tblPrEx>
        <w:trPr>
          <w:trHeight w:val="317"/>
          <w:jc w:val="center"/>
        </w:trPr>
        <w:tc>
          <w:tcPr>
            <w:tcW w:w="2336" w:type="pct"/>
            <w:vAlign w:val="bottom"/>
          </w:tcPr>
          <w:p w14:paraId="2E6DF239" w14:textId="77777777" w:rsidR="00131AC4" w:rsidRPr="006F110A" w:rsidRDefault="00131AC4" w:rsidP="00131AC4">
            <w:pPr>
              <w:spacing w:after="0" w:line="240" w:lineRule="auto"/>
              <w:ind w:firstLine="345"/>
              <w:rPr>
                <w:rFonts w:cstheme="minorHAnsi"/>
                <w:color w:val="0000FF"/>
              </w:rPr>
            </w:pPr>
            <w:r w:rsidRPr="00673F1F">
              <w:rPr>
                <w:rFonts w:cstheme="minorHAnsi"/>
                <w:color w:val="0000FF"/>
              </w:rPr>
              <w:t>Black</w:t>
            </w:r>
          </w:p>
        </w:tc>
        <w:tc>
          <w:tcPr>
            <w:tcW w:w="1100" w:type="pct"/>
            <w:vAlign w:val="bottom"/>
          </w:tcPr>
          <w:p w14:paraId="4AF23EE3" w14:textId="38CC1534" w:rsidR="00131AC4" w:rsidRPr="006F110A" w:rsidRDefault="00131AC4" w:rsidP="00131AC4">
            <w:pPr>
              <w:spacing w:after="0" w:line="240" w:lineRule="auto"/>
              <w:jc w:val="center"/>
              <w:rPr>
                <w:rFonts w:cstheme="minorHAnsi"/>
                <w:color w:val="0000FF"/>
              </w:rPr>
            </w:pPr>
            <w:r w:rsidRPr="00360220">
              <w:rPr>
                <w:rFonts w:cstheme="minorHAnsi"/>
                <w:color w:val="0000FF"/>
              </w:rPr>
              <w:t>-0.9811</w:t>
            </w:r>
          </w:p>
        </w:tc>
        <w:tc>
          <w:tcPr>
            <w:tcW w:w="894" w:type="pct"/>
            <w:vAlign w:val="bottom"/>
          </w:tcPr>
          <w:p w14:paraId="4A635D8F" w14:textId="0856473B" w:rsidR="00131AC4" w:rsidRPr="00673F1F" w:rsidRDefault="00131AC4" w:rsidP="00131AC4">
            <w:pPr>
              <w:spacing w:after="0" w:line="240" w:lineRule="auto"/>
              <w:jc w:val="center"/>
              <w:rPr>
                <w:rFonts w:cstheme="minorHAnsi"/>
                <w:color w:val="0000FF"/>
              </w:rPr>
            </w:pPr>
            <w:r w:rsidRPr="00360220">
              <w:rPr>
                <w:rFonts w:cstheme="minorHAnsi"/>
                <w:color w:val="0000FF"/>
              </w:rPr>
              <w:t>0.07</w:t>
            </w:r>
          </w:p>
        </w:tc>
        <w:tc>
          <w:tcPr>
            <w:tcW w:w="670" w:type="pct"/>
            <w:vAlign w:val="bottom"/>
          </w:tcPr>
          <w:p w14:paraId="610921A5" w14:textId="502B8473" w:rsidR="00131AC4" w:rsidRPr="00673F1F" w:rsidRDefault="00131AC4" w:rsidP="00131AC4">
            <w:pPr>
              <w:spacing w:after="0" w:line="240" w:lineRule="auto"/>
              <w:jc w:val="center"/>
              <w:rPr>
                <w:rFonts w:cstheme="minorHAnsi"/>
                <w:color w:val="0000FF"/>
              </w:rPr>
            </w:pPr>
            <w:r w:rsidRPr="00360220">
              <w:rPr>
                <w:rFonts w:cstheme="minorHAnsi"/>
                <w:color w:val="0000FF"/>
              </w:rPr>
              <w:t>&lt;.001</w:t>
            </w:r>
          </w:p>
        </w:tc>
      </w:tr>
      <w:tr w:rsidR="00131AC4" w:rsidRPr="001B21D9" w14:paraId="6188AEB9" w14:textId="77777777" w:rsidTr="00131AC4">
        <w:tblPrEx>
          <w:tblLook w:val="04A0" w:firstRow="1" w:lastRow="0" w:firstColumn="1" w:lastColumn="0" w:noHBand="0" w:noVBand="1"/>
        </w:tblPrEx>
        <w:trPr>
          <w:trHeight w:val="317"/>
          <w:jc w:val="center"/>
        </w:trPr>
        <w:tc>
          <w:tcPr>
            <w:tcW w:w="2336" w:type="pct"/>
            <w:vAlign w:val="bottom"/>
          </w:tcPr>
          <w:p w14:paraId="1BF0EEE1" w14:textId="77777777" w:rsidR="00131AC4" w:rsidRPr="00673F1F" w:rsidRDefault="00131AC4" w:rsidP="00131AC4">
            <w:pPr>
              <w:spacing w:after="0" w:line="240" w:lineRule="auto"/>
              <w:ind w:firstLine="345"/>
              <w:rPr>
                <w:rFonts w:cstheme="minorHAnsi"/>
                <w:color w:val="0000FF"/>
              </w:rPr>
            </w:pPr>
            <w:r w:rsidRPr="00673F1F">
              <w:rPr>
                <w:rFonts w:cstheme="minorHAnsi"/>
                <w:color w:val="0000FF"/>
              </w:rPr>
              <w:t>Asian</w:t>
            </w:r>
          </w:p>
        </w:tc>
        <w:tc>
          <w:tcPr>
            <w:tcW w:w="1100" w:type="pct"/>
            <w:vAlign w:val="bottom"/>
          </w:tcPr>
          <w:p w14:paraId="0508DD2C" w14:textId="631F261D" w:rsidR="00131AC4" w:rsidRPr="00A6054A" w:rsidRDefault="00131AC4" w:rsidP="00131AC4">
            <w:pPr>
              <w:spacing w:after="0" w:line="240" w:lineRule="auto"/>
              <w:jc w:val="center"/>
              <w:rPr>
                <w:rFonts w:cstheme="minorHAnsi"/>
                <w:color w:val="0000FF"/>
              </w:rPr>
            </w:pPr>
            <w:r w:rsidRPr="00360220">
              <w:rPr>
                <w:rFonts w:cstheme="minorHAnsi"/>
                <w:color w:val="0000FF"/>
              </w:rPr>
              <w:t>-0.7709</w:t>
            </w:r>
          </w:p>
        </w:tc>
        <w:tc>
          <w:tcPr>
            <w:tcW w:w="894" w:type="pct"/>
            <w:vAlign w:val="bottom"/>
          </w:tcPr>
          <w:p w14:paraId="401993A3" w14:textId="3D06252A" w:rsidR="00131AC4" w:rsidRPr="00673F1F" w:rsidRDefault="00131AC4" w:rsidP="00131AC4">
            <w:pPr>
              <w:spacing w:after="0" w:line="240" w:lineRule="auto"/>
              <w:jc w:val="center"/>
              <w:rPr>
                <w:rFonts w:cstheme="minorHAnsi"/>
                <w:color w:val="0000FF"/>
              </w:rPr>
            </w:pPr>
            <w:r w:rsidRPr="00360220">
              <w:rPr>
                <w:rFonts w:cstheme="minorHAnsi"/>
                <w:color w:val="0000FF"/>
              </w:rPr>
              <w:t>0.17</w:t>
            </w:r>
          </w:p>
        </w:tc>
        <w:tc>
          <w:tcPr>
            <w:tcW w:w="670" w:type="pct"/>
            <w:vAlign w:val="bottom"/>
          </w:tcPr>
          <w:p w14:paraId="3041A5F7" w14:textId="3084FD1B" w:rsidR="00131AC4" w:rsidRPr="00673F1F" w:rsidRDefault="00131AC4" w:rsidP="00131AC4">
            <w:pPr>
              <w:spacing w:after="0" w:line="240" w:lineRule="auto"/>
              <w:jc w:val="center"/>
              <w:rPr>
                <w:rFonts w:cstheme="minorHAnsi"/>
                <w:color w:val="0000FF"/>
              </w:rPr>
            </w:pPr>
            <w:r w:rsidRPr="00360220">
              <w:rPr>
                <w:rFonts w:cstheme="minorHAnsi"/>
                <w:color w:val="0000FF"/>
              </w:rPr>
              <w:t>&lt;.001</w:t>
            </w:r>
          </w:p>
        </w:tc>
      </w:tr>
      <w:tr w:rsidR="008F15F7" w:rsidRPr="001B21D9" w14:paraId="682D56EE" w14:textId="77777777" w:rsidTr="00131AC4">
        <w:tblPrEx>
          <w:tblLook w:val="04A0" w:firstRow="1" w:lastRow="0" w:firstColumn="1" w:lastColumn="0" w:noHBand="0" w:noVBand="1"/>
        </w:tblPrEx>
        <w:trPr>
          <w:trHeight w:val="317"/>
          <w:jc w:val="center"/>
        </w:trPr>
        <w:tc>
          <w:tcPr>
            <w:tcW w:w="2336" w:type="pct"/>
            <w:vAlign w:val="bottom"/>
          </w:tcPr>
          <w:p w14:paraId="53A3DFAC" w14:textId="2D4CCA3D" w:rsidR="008F15F7" w:rsidRPr="00673F1F" w:rsidRDefault="008F15F7" w:rsidP="008F15F7">
            <w:pPr>
              <w:spacing w:after="0" w:line="240" w:lineRule="auto"/>
              <w:ind w:firstLine="345"/>
              <w:rPr>
                <w:rFonts w:cstheme="minorHAnsi"/>
                <w:color w:val="0000FF"/>
              </w:rPr>
            </w:pPr>
            <w:r w:rsidRPr="00673F1F">
              <w:rPr>
                <w:rFonts w:cstheme="minorHAnsi"/>
                <w:color w:val="0000FF"/>
              </w:rPr>
              <w:t>American</w:t>
            </w:r>
            <w:r>
              <w:rPr>
                <w:rFonts w:cstheme="minorHAnsi"/>
                <w:color w:val="0000FF"/>
              </w:rPr>
              <w:t xml:space="preserve"> Indian</w:t>
            </w:r>
            <w:r w:rsidRPr="00673F1F">
              <w:rPr>
                <w:rFonts w:cstheme="minorHAnsi"/>
                <w:color w:val="0000FF"/>
              </w:rPr>
              <w:t xml:space="preserve"> </w:t>
            </w:r>
            <w:r>
              <w:rPr>
                <w:rFonts w:cstheme="minorHAnsi"/>
                <w:color w:val="0000FF"/>
              </w:rPr>
              <w:t xml:space="preserve">or Alaska </w:t>
            </w:r>
            <w:r w:rsidRPr="00673F1F">
              <w:rPr>
                <w:rFonts w:cstheme="minorHAnsi"/>
                <w:color w:val="0000FF"/>
              </w:rPr>
              <w:t>Native</w:t>
            </w:r>
          </w:p>
        </w:tc>
        <w:tc>
          <w:tcPr>
            <w:tcW w:w="1100" w:type="pct"/>
            <w:vAlign w:val="bottom"/>
          </w:tcPr>
          <w:p w14:paraId="50C8BBF9" w14:textId="60EC6F55" w:rsidR="008F15F7" w:rsidRPr="00A6054A" w:rsidRDefault="008F15F7" w:rsidP="008F15F7">
            <w:pPr>
              <w:spacing w:after="0" w:line="240" w:lineRule="auto"/>
              <w:jc w:val="center"/>
              <w:rPr>
                <w:rFonts w:cstheme="minorHAnsi"/>
                <w:color w:val="0000FF"/>
              </w:rPr>
            </w:pPr>
            <w:r w:rsidRPr="00360220">
              <w:rPr>
                <w:rFonts w:cstheme="minorHAnsi"/>
                <w:color w:val="0000FF"/>
              </w:rPr>
              <w:t>-0.7530</w:t>
            </w:r>
          </w:p>
        </w:tc>
        <w:tc>
          <w:tcPr>
            <w:tcW w:w="894" w:type="pct"/>
            <w:vAlign w:val="bottom"/>
          </w:tcPr>
          <w:p w14:paraId="3FE02E47" w14:textId="697803A4" w:rsidR="008F15F7" w:rsidRPr="00673F1F" w:rsidRDefault="008F15F7" w:rsidP="008F15F7">
            <w:pPr>
              <w:spacing w:after="0" w:line="240" w:lineRule="auto"/>
              <w:jc w:val="center"/>
              <w:rPr>
                <w:rFonts w:cstheme="minorHAnsi"/>
                <w:color w:val="0000FF"/>
              </w:rPr>
            </w:pPr>
            <w:r w:rsidRPr="00360220">
              <w:rPr>
                <w:rFonts w:cstheme="minorHAnsi"/>
                <w:color w:val="0000FF"/>
              </w:rPr>
              <w:t>0.38</w:t>
            </w:r>
          </w:p>
        </w:tc>
        <w:tc>
          <w:tcPr>
            <w:tcW w:w="670" w:type="pct"/>
            <w:vAlign w:val="bottom"/>
          </w:tcPr>
          <w:p w14:paraId="165C2613" w14:textId="78EEB9AA" w:rsidR="008F15F7" w:rsidRPr="00673F1F" w:rsidRDefault="008F15F7" w:rsidP="008F15F7">
            <w:pPr>
              <w:spacing w:after="0" w:line="240" w:lineRule="auto"/>
              <w:jc w:val="center"/>
              <w:rPr>
                <w:rFonts w:cstheme="minorHAnsi"/>
                <w:color w:val="0000FF"/>
              </w:rPr>
            </w:pPr>
            <w:r w:rsidRPr="00360220">
              <w:rPr>
                <w:rFonts w:cstheme="minorHAnsi"/>
                <w:color w:val="0000FF"/>
              </w:rPr>
              <w:t>0.049</w:t>
            </w:r>
          </w:p>
        </w:tc>
      </w:tr>
      <w:tr w:rsidR="008F15F7" w:rsidRPr="001B21D9" w14:paraId="2A45D71C" w14:textId="77777777" w:rsidTr="00131AC4">
        <w:tblPrEx>
          <w:tblLook w:val="04A0" w:firstRow="1" w:lastRow="0" w:firstColumn="1" w:lastColumn="0" w:noHBand="0" w:noVBand="1"/>
        </w:tblPrEx>
        <w:trPr>
          <w:trHeight w:val="317"/>
          <w:jc w:val="center"/>
        </w:trPr>
        <w:tc>
          <w:tcPr>
            <w:tcW w:w="2336" w:type="pct"/>
            <w:vAlign w:val="bottom"/>
          </w:tcPr>
          <w:p w14:paraId="2E6CD2DC" w14:textId="14366F73" w:rsidR="008F15F7" w:rsidRPr="00673F1F" w:rsidRDefault="008F15F7" w:rsidP="008F15F7">
            <w:pPr>
              <w:spacing w:after="0" w:line="240" w:lineRule="auto"/>
              <w:ind w:firstLine="345"/>
              <w:rPr>
                <w:rFonts w:cstheme="minorHAnsi"/>
                <w:color w:val="0000FF"/>
              </w:rPr>
            </w:pPr>
            <w:r>
              <w:rPr>
                <w:rFonts w:cstheme="minorHAnsi"/>
                <w:color w:val="0000FF"/>
              </w:rPr>
              <w:t>Native Hawaiian or Pacific Islander</w:t>
            </w:r>
            <w:r w:rsidRPr="00673F1F">
              <w:rPr>
                <w:rFonts w:cstheme="minorHAnsi"/>
                <w:color w:val="0000FF"/>
              </w:rPr>
              <w:t xml:space="preserve"> </w:t>
            </w:r>
          </w:p>
        </w:tc>
        <w:tc>
          <w:tcPr>
            <w:tcW w:w="1100" w:type="pct"/>
            <w:vAlign w:val="bottom"/>
          </w:tcPr>
          <w:p w14:paraId="1FE21911" w14:textId="327C6D1F" w:rsidR="008F15F7" w:rsidRPr="00A6054A" w:rsidRDefault="008F15F7" w:rsidP="008F15F7">
            <w:pPr>
              <w:spacing w:after="0" w:line="240" w:lineRule="auto"/>
              <w:jc w:val="center"/>
              <w:rPr>
                <w:rFonts w:cstheme="minorHAnsi"/>
                <w:color w:val="0000FF"/>
              </w:rPr>
            </w:pPr>
            <w:r w:rsidRPr="00360220">
              <w:rPr>
                <w:rFonts w:cstheme="minorHAnsi"/>
                <w:color w:val="0000FF"/>
              </w:rPr>
              <w:t>-0.3370</w:t>
            </w:r>
          </w:p>
        </w:tc>
        <w:tc>
          <w:tcPr>
            <w:tcW w:w="894" w:type="pct"/>
            <w:vAlign w:val="bottom"/>
          </w:tcPr>
          <w:p w14:paraId="3FE85E2B" w14:textId="6A73134E" w:rsidR="008F15F7" w:rsidRPr="00673F1F" w:rsidRDefault="008F15F7" w:rsidP="008F15F7">
            <w:pPr>
              <w:spacing w:after="0" w:line="240" w:lineRule="auto"/>
              <w:jc w:val="center"/>
              <w:rPr>
                <w:rFonts w:cstheme="minorHAnsi"/>
                <w:color w:val="0000FF"/>
              </w:rPr>
            </w:pPr>
            <w:r w:rsidRPr="00360220">
              <w:rPr>
                <w:rFonts w:cstheme="minorHAnsi"/>
                <w:color w:val="0000FF"/>
              </w:rPr>
              <w:t>0.36</w:t>
            </w:r>
          </w:p>
        </w:tc>
        <w:tc>
          <w:tcPr>
            <w:tcW w:w="670" w:type="pct"/>
            <w:vAlign w:val="bottom"/>
          </w:tcPr>
          <w:p w14:paraId="50716BEA" w14:textId="7955AC2F" w:rsidR="008F15F7" w:rsidRPr="00673F1F" w:rsidRDefault="008F15F7" w:rsidP="008F15F7">
            <w:pPr>
              <w:spacing w:after="0" w:line="240" w:lineRule="auto"/>
              <w:jc w:val="center"/>
              <w:rPr>
                <w:rFonts w:cstheme="minorHAnsi"/>
                <w:color w:val="0000FF"/>
              </w:rPr>
            </w:pPr>
            <w:r w:rsidRPr="00360220">
              <w:rPr>
                <w:rFonts w:cstheme="minorHAnsi"/>
                <w:color w:val="0000FF"/>
              </w:rPr>
              <w:t>0.343</w:t>
            </w:r>
          </w:p>
        </w:tc>
      </w:tr>
      <w:tr w:rsidR="00131AC4" w:rsidRPr="001B21D9" w14:paraId="19657158" w14:textId="77777777" w:rsidTr="00131AC4">
        <w:tblPrEx>
          <w:tblLook w:val="04A0" w:firstRow="1" w:lastRow="0" w:firstColumn="1" w:lastColumn="0" w:noHBand="0" w:noVBand="1"/>
        </w:tblPrEx>
        <w:trPr>
          <w:trHeight w:val="317"/>
          <w:jc w:val="center"/>
        </w:trPr>
        <w:tc>
          <w:tcPr>
            <w:tcW w:w="2336" w:type="pct"/>
            <w:vAlign w:val="bottom"/>
          </w:tcPr>
          <w:p w14:paraId="545A249D" w14:textId="77777777" w:rsidR="00131AC4" w:rsidRPr="00673F1F" w:rsidRDefault="00131AC4" w:rsidP="00131AC4">
            <w:pPr>
              <w:spacing w:after="0" w:line="240" w:lineRule="auto"/>
              <w:ind w:firstLine="345"/>
              <w:rPr>
                <w:rFonts w:cstheme="minorHAnsi"/>
                <w:color w:val="0000FF"/>
              </w:rPr>
            </w:pPr>
            <w:r>
              <w:rPr>
                <w:rFonts w:cstheme="minorHAnsi"/>
                <w:color w:val="0000FF"/>
              </w:rPr>
              <w:t>Multiracial</w:t>
            </w:r>
          </w:p>
        </w:tc>
        <w:tc>
          <w:tcPr>
            <w:tcW w:w="1100" w:type="pct"/>
            <w:vAlign w:val="bottom"/>
          </w:tcPr>
          <w:p w14:paraId="213B73E7" w14:textId="50A93847" w:rsidR="00131AC4" w:rsidRPr="00A6054A" w:rsidRDefault="00131AC4" w:rsidP="00131AC4">
            <w:pPr>
              <w:spacing w:after="0" w:line="240" w:lineRule="auto"/>
              <w:jc w:val="center"/>
              <w:rPr>
                <w:rFonts w:cstheme="minorHAnsi"/>
                <w:color w:val="0000FF"/>
              </w:rPr>
            </w:pPr>
            <w:r w:rsidRPr="00360220">
              <w:rPr>
                <w:rFonts w:cstheme="minorHAnsi"/>
                <w:color w:val="0000FF"/>
              </w:rPr>
              <w:t>0.5647</w:t>
            </w:r>
          </w:p>
        </w:tc>
        <w:tc>
          <w:tcPr>
            <w:tcW w:w="894" w:type="pct"/>
            <w:vAlign w:val="bottom"/>
          </w:tcPr>
          <w:p w14:paraId="00DA28BB" w14:textId="06E0E11A" w:rsidR="00131AC4" w:rsidRPr="00673F1F" w:rsidRDefault="00131AC4" w:rsidP="00131AC4">
            <w:pPr>
              <w:spacing w:after="0" w:line="240" w:lineRule="auto"/>
              <w:jc w:val="center"/>
              <w:rPr>
                <w:rFonts w:cstheme="minorHAnsi"/>
                <w:color w:val="0000FF"/>
              </w:rPr>
            </w:pPr>
            <w:r w:rsidRPr="00360220">
              <w:rPr>
                <w:rFonts w:cstheme="minorHAnsi"/>
                <w:color w:val="0000FF"/>
              </w:rPr>
              <w:t>0.89</w:t>
            </w:r>
          </w:p>
        </w:tc>
        <w:tc>
          <w:tcPr>
            <w:tcW w:w="670" w:type="pct"/>
            <w:vAlign w:val="bottom"/>
          </w:tcPr>
          <w:p w14:paraId="4C59502B" w14:textId="66BB89F9" w:rsidR="00131AC4" w:rsidRPr="00673F1F" w:rsidRDefault="00131AC4" w:rsidP="00131AC4">
            <w:pPr>
              <w:spacing w:after="0" w:line="240" w:lineRule="auto"/>
              <w:jc w:val="center"/>
              <w:rPr>
                <w:rFonts w:cstheme="minorHAnsi"/>
                <w:color w:val="0000FF"/>
              </w:rPr>
            </w:pPr>
            <w:r w:rsidRPr="00360220">
              <w:rPr>
                <w:rFonts w:cstheme="minorHAnsi"/>
                <w:color w:val="0000FF"/>
              </w:rPr>
              <w:t>0.526</w:t>
            </w:r>
          </w:p>
        </w:tc>
      </w:tr>
      <w:tr w:rsidR="00131AC4" w:rsidRPr="001B21D9" w14:paraId="7A583140" w14:textId="77777777" w:rsidTr="00131AC4">
        <w:tblPrEx>
          <w:tblLook w:val="04A0" w:firstRow="1" w:lastRow="0" w:firstColumn="1" w:lastColumn="0" w:noHBand="0" w:noVBand="1"/>
        </w:tblPrEx>
        <w:trPr>
          <w:trHeight w:val="317"/>
          <w:jc w:val="center"/>
        </w:trPr>
        <w:tc>
          <w:tcPr>
            <w:tcW w:w="2336" w:type="pct"/>
            <w:vAlign w:val="bottom"/>
          </w:tcPr>
          <w:p w14:paraId="63B9F53D" w14:textId="77777777" w:rsidR="00131AC4" w:rsidRPr="00673F1F" w:rsidRDefault="00131AC4" w:rsidP="00131AC4">
            <w:pPr>
              <w:spacing w:after="0" w:line="240" w:lineRule="auto"/>
              <w:ind w:firstLine="345"/>
              <w:rPr>
                <w:rFonts w:cstheme="minorHAnsi"/>
                <w:color w:val="0000FF"/>
              </w:rPr>
            </w:pPr>
            <w:r w:rsidRPr="00673F1F">
              <w:rPr>
                <w:rFonts w:cstheme="minorHAnsi"/>
                <w:color w:val="0000FF"/>
              </w:rPr>
              <w:t>Missing</w:t>
            </w:r>
          </w:p>
        </w:tc>
        <w:tc>
          <w:tcPr>
            <w:tcW w:w="1100" w:type="pct"/>
            <w:vAlign w:val="bottom"/>
          </w:tcPr>
          <w:p w14:paraId="70020ECE" w14:textId="30082C58" w:rsidR="00131AC4" w:rsidRPr="00A6054A" w:rsidRDefault="00131AC4" w:rsidP="00131AC4">
            <w:pPr>
              <w:spacing w:after="0" w:line="240" w:lineRule="auto"/>
              <w:jc w:val="center"/>
              <w:rPr>
                <w:rFonts w:cstheme="minorHAnsi"/>
                <w:color w:val="0000FF"/>
              </w:rPr>
            </w:pPr>
            <w:r w:rsidRPr="00360220">
              <w:rPr>
                <w:rFonts w:cstheme="minorHAnsi"/>
                <w:color w:val="0000FF"/>
              </w:rPr>
              <w:t>-0.7704</w:t>
            </w:r>
          </w:p>
        </w:tc>
        <w:tc>
          <w:tcPr>
            <w:tcW w:w="894" w:type="pct"/>
            <w:vAlign w:val="bottom"/>
          </w:tcPr>
          <w:p w14:paraId="19FEF963" w14:textId="4499E6F0" w:rsidR="00131AC4" w:rsidRPr="00673F1F" w:rsidRDefault="00131AC4" w:rsidP="00131AC4">
            <w:pPr>
              <w:spacing w:after="0" w:line="240" w:lineRule="auto"/>
              <w:jc w:val="center"/>
              <w:rPr>
                <w:rFonts w:cstheme="minorHAnsi"/>
                <w:color w:val="0000FF"/>
              </w:rPr>
            </w:pPr>
            <w:r w:rsidRPr="00360220">
              <w:rPr>
                <w:rFonts w:cstheme="minorHAnsi"/>
                <w:color w:val="0000FF"/>
              </w:rPr>
              <w:t>0.12</w:t>
            </w:r>
          </w:p>
        </w:tc>
        <w:tc>
          <w:tcPr>
            <w:tcW w:w="670" w:type="pct"/>
            <w:vAlign w:val="bottom"/>
          </w:tcPr>
          <w:p w14:paraId="65B20AE0" w14:textId="43A8FBE2" w:rsidR="00131AC4" w:rsidRPr="00673F1F" w:rsidRDefault="00131AC4" w:rsidP="00131AC4">
            <w:pPr>
              <w:spacing w:after="0" w:line="240" w:lineRule="auto"/>
              <w:jc w:val="center"/>
              <w:rPr>
                <w:rFonts w:cstheme="minorHAnsi"/>
                <w:color w:val="0000FF"/>
              </w:rPr>
            </w:pPr>
            <w:r w:rsidRPr="00360220">
              <w:rPr>
                <w:rFonts w:cstheme="minorHAnsi"/>
                <w:color w:val="0000FF"/>
              </w:rPr>
              <w:t>&lt;.001</w:t>
            </w:r>
          </w:p>
        </w:tc>
      </w:tr>
      <w:tr w:rsidR="00131AC4" w:rsidRPr="001B21D9" w14:paraId="48669B20" w14:textId="77777777" w:rsidTr="00131AC4">
        <w:tblPrEx>
          <w:tblLook w:val="04A0" w:firstRow="1" w:lastRow="0" w:firstColumn="1" w:lastColumn="0" w:noHBand="0" w:noVBand="1"/>
        </w:tblPrEx>
        <w:trPr>
          <w:trHeight w:val="317"/>
          <w:jc w:val="center"/>
        </w:trPr>
        <w:tc>
          <w:tcPr>
            <w:tcW w:w="2336" w:type="pct"/>
          </w:tcPr>
          <w:p w14:paraId="24666A73" w14:textId="77777777" w:rsidR="00131AC4" w:rsidRPr="006F110A" w:rsidRDefault="00131AC4" w:rsidP="00131AC4">
            <w:pPr>
              <w:spacing w:after="0" w:line="240" w:lineRule="auto"/>
              <w:rPr>
                <w:rFonts w:cstheme="minorHAnsi"/>
                <w:b/>
                <w:i/>
                <w:color w:val="0000FF"/>
              </w:rPr>
            </w:pPr>
            <w:r w:rsidRPr="006F110A">
              <w:rPr>
                <w:rFonts w:cstheme="minorHAnsi"/>
                <w:b/>
                <w:i/>
                <w:color w:val="0000FF"/>
              </w:rPr>
              <w:t>Hispanic Ethnicity</w:t>
            </w:r>
          </w:p>
        </w:tc>
        <w:tc>
          <w:tcPr>
            <w:tcW w:w="1100" w:type="pct"/>
            <w:vAlign w:val="bottom"/>
          </w:tcPr>
          <w:p w14:paraId="080E7D8C" w14:textId="40A68F2D" w:rsidR="00131AC4" w:rsidRPr="00A6054A" w:rsidRDefault="00131AC4" w:rsidP="00131AC4">
            <w:pPr>
              <w:spacing w:after="0" w:line="240" w:lineRule="auto"/>
              <w:jc w:val="center"/>
              <w:rPr>
                <w:rFonts w:cstheme="minorHAnsi"/>
                <w:color w:val="0000FF"/>
              </w:rPr>
            </w:pPr>
            <w:r w:rsidRPr="00360220">
              <w:rPr>
                <w:rFonts w:cstheme="minorHAnsi"/>
                <w:color w:val="0000FF"/>
              </w:rPr>
              <w:t>0.1275</w:t>
            </w:r>
          </w:p>
        </w:tc>
        <w:tc>
          <w:tcPr>
            <w:tcW w:w="894" w:type="pct"/>
            <w:vAlign w:val="bottom"/>
          </w:tcPr>
          <w:p w14:paraId="2EF30714" w14:textId="50CF8976" w:rsidR="00131AC4" w:rsidRPr="00673F1F" w:rsidRDefault="00131AC4" w:rsidP="00131AC4">
            <w:pPr>
              <w:spacing w:after="0" w:line="240" w:lineRule="auto"/>
              <w:jc w:val="center"/>
              <w:rPr>
                <w:rFonts w:cstheme="minorHAnsi"/>
                <w:color w:val="0000FF"/>
              </w:rPr>
            </w:pPr>
            <w:r w:rsidRPr="00360220">
              <w:rPr>
                <w:rFonts w:cstheme="minorHAnsi"/>
                <w:color w:val="0000FF"/>
              </w:rPr>
              <w:t>0.15</w:t>
            </w:r>
          </w:p>
        </w:tc>
        <w:tc>
          <w:tcPr>
            <w:tcW w:w="670" w:type="pct"/>
            <w:vAlign w:val="bottom"/>
          </w:tcPr>
          <w:p w14:paraId="3C634BFA" w14:textId="0051E767" w:rsidR="00131AC4" w:rsidRPr="00673F1F" w:rsidRDefault="00131AC4" w:rsidP="00131AC4">
            <w:pPr>
              <w:spacing w:after="0" w:line="240" w:lineRule="auto"/>
              <w:jc w:val="center"/>
              <w:rPr>
                <w:rFonts w:cstheme="minorHAnsi"/>
                <w:color w:val="0000FF"/>
              </w:rPr>
            </w:pPr>
            <w:r w:rsidRPr="00360220">
              <w:rPr>
                <w:rFonts w:cstheme="minorHAnsi"/>
                <w:color w:val="0000FF"/>
              </w:rPr>
              <w:t>0.399</w:t>
            </w:r>
          </w:p>
        </w:tc>
      </w:tr>
      <w:tr w:rsidR="00131AC4" w:rsidRPr="001B21D9" w14:paraId="08CB0D27" w14:textId="77777777" w:rsidTr="00131AC4">
        <w:tblPrEx>
          <w:tblLook w:val="04A0" w:firstRow="1" w:lastRow="0" w:firstColumn="1" w:lastColumn="0" w:noHBand="0" w:noVBand="1"/>
        </w:tblPrEx>
        <w:trPr>
          <w:trHeight w:val="317"/>
          <w:jc w:val="center"/>
        </w:trPr>
        <w:tc>
          <w:tcPr>
            <w:tcW w:w="2336" w:type="pct"/>
          </w:tcPr>
          <w:p w14:paraId="2359E448" w14:textId="77777777" w:rsidR="00131AC4" w:rsidRPr="00673F1F" w:rsidRDefault="00131AC4" w:rsidP="00131AC4">
            <w:pPr>
              <w:spacing w:after="0" w:line="240" w:lineRule="auto"/>
              <w:rPr>
                <w:rFonts w:cstheme="minorHAnsi"/>
                <w:color w:val="0000FF"/>
              </w:rPr>
            </w:pPr>
            <w:r w:rsidRPr="00193995">
              <w:rPr>
                <w:rFonts w:cstheme="minorHAnsi"/>
                <w:b/>
                <w:i/>
                <w:color w:val="0000FF"/>
              </w:rPr>
              <w:t>Living Alone</w:t>
            </w:r>
          </w:p>
        </w:tc>
        <w:tc>
          <w:tcPr>
            <w:tcW w:w="1100" w:type="pct"/>
            <w:vAlign w:val="bottom"/>
          </w:tcPr>
          <w:p w14:paraId="4A9766D6" w14:textId="0F9EEE4E" w:rsidR="00131AC4" w:rsidRPr="00A6054A" w:rsidRDefault="00131AC4" w:rsidP="00131AC4">
            <w:pPr>
              <w:spacing w:after="0" w:line="240" w:lineRule="auto"/>
              <w:jc w:val="center"/>
              <w:rPr>
                <w:rFonts w:cstheme="minorHAnsi"/>
                <w:color w:val="0000FF"/>
              </w:rPr>
            </w:pPr>
            <w:r w:rsidRPr="00360220">
              <w:rPr>
                <w:rFonts w:cstheme="minorHAnsi"/>
                <w:color w:val="0000FF"/>
              </w:rPr>
              <w:t>0.8362</w:t>
            </w:r>
          </w:p>
        </w:tc>
        <w:tc>
          <w:tcPr>
            <w:tcW w:w="894" w:type="pct"/>
            <w:vAlign w:val="bottom"/>
          </w:tcPr>
          <w:p w14:paraId="2D5100ED" w14:textId="5F28D3AA" w:rsidR="00131AC4" w:rsidRPr="00673F1F" w:rsidRDefault="00131AC4" w:rsidP="00131AC4">
            <w:pPr>
              <w:spacing w:after="0" w:line="240" w:lineRule="auto"/>
              <w:jc w:val="center"/>
              <w:rPr>
                <w:rFonts w:cstheme="minorHAnsi"/>
                <w:color w:val="0000FF"/>
              </w:rPr>
            </w:pPr>
            <w:r w:rsidRPr="00360220">
              <w:rPr>
                <w:rFonts w:cstheme="minorHAnsi"/>
                <w:color w:val="0000FF"/>
              </w:rPr>
              <w:t>0.05</w:t>
            </w:r>
          </w:p>
        </w:tc>
        <w:tc>
          <w:tcPr>
            <w:tcW w:w="670" w:type="pct"/>
            <w:vAlign w:val="bottom"/>
          </w:tcPr>
          <w:p w14:paraId="179D4E21" w14:textId="75583626" w:rsidR="00131AC4" w:rsidRPr="00673F1F" w:rsidRDefault="00131AC4" w:rsidP="00131AC4">
            <w:pPr>
              <w:spacing w:after="0" w:line="240" w:lineRule="auto"/>
              <w:jc w:val="center"/>
              <w:rPr>
                <w:rFonts w:cstheme="minorHAnsi"/>
                <w:color w:val="0000FF"/>
              </w:rPr>
            </w:pPr>
            <w:r w:rsidRPr="00360220">
              <w:rPr>
                <w:rFonts w:cstheme="minorHAnsi"/>
                <w:color w:val="0000FF"/>
              </w:rPr>
              <w:t>&lt;.001</w:t>
            </w:r>
          </w:p>
        </w:tc>
      </w:tr>
      <w:tr w:rsidR="00131AC4" w:rsidRPr="001B21D9" w14:paraId="328D7681" w14:textId="77777777" w:rsidTr="00131AC4">
        <w:tblPrEx>
          <w:tblLook w:val="04A0" w:firstRow="1" w:lastRow="0" w:firstColumn="1" w:lastColumn="0" w:noHBand="0" w:noVBand="1"/>
        </w:tblPrEx>
        <w:trPr>
          <w:trHeight w:val="317"/>
          <w:jc w:val="center"/>
        </w:trPr>
        <w:tc>
          <w:tcPr>
            <w:tcW w:w="5000" w:type="pct"/>
            <w:gridSpan w:val="4"/>
            <w:vAlign w:val="center"/>
          </w:tcPr>
          <w:p w14:paraId="70C43761" w14:textId="77777777" w:rsidR="00131AC4" w:rsidRPr="00673F1F" w:rsidRDefault="00131AC4" w:rsidP="00131AC4">
            <w:pPr>
              <w:spacing w:after="0" w:line="240" w:lineRule="auto"/>
              <w:rPr>
                <w:rFonts w:cstheme="minorHAnsi"/>
                <w:color w:val="0000FF"/>
              </w:rPr>
            </w:pPr>
            <w:r w:rsidRPr="006F110A">
              <w:rPr>
                <w:rFonts w:cstheme="minorHAnsi"/>
                <w:b/>
                <w:i/>
                <w:color w:val="0000FF"/>
              </w:rPr>
              <w:t>Urbanicity* (reference = Urban)</w:t>
            </w:r>
          </w:p>
        </w:tc>
      </w:tr>
      <w:tr w:rsidR="00131AC4" w:rsidRPr="001B21D9" w14:paraId="39C4C864" w14:textId="77777777" w:rsidTr="00131AC4">
        <w:tblPrEx>
          <w:tblLook w:val="04A0" w:firstRow="1" w:lastRow="0" w:firstColumn="1" w:lastColumn="0" w:noHBand="0" w:noVBand="1"/>
        </w:tblPrEx>
        <w:trPr>
          <w:trHeight w:val="317"/>
          <w:jc w:val="center"/>
        </w:trPr>
        <w:tc>
          <w:tcPr>
            <w:tcW w:w="2336" w:type="pct"/>
          </w:tcPr>
          <w:p w14:paraId="78080CD9" w14:textId="77777777" w:rsidR="00131AC4" w:rsidRPr="00673F1F" w:rsidRDefault="00131AC4" w:rsidP="00131AC4">
            <w:pPr>
              <w:spacing w:after="0" w:line="240" w:lineRule="auto"/>
              <w:rPr>
                <w:rFonts w:eastAsia="Times New Roman" w:cstheme="minorHAnsi"/>
                <w:color w:val="0000FF"/>
              </w:rPr>
            </w:pPr>
            <w:r w:rsidRPr="00673F1F">
              <w:rPr>
                <w:rFonts w:cstheme="minorHAnsi"/>
                <w:color w:val="0000FF"/>
              </w:rPr>
              <w:t xml:space="preserve">      Rural</w:t>
            </w:r>
          </w:p>
        </w:tc>
        <w:tc>
          <w:tcPr>
            <w:tcW w:w="1100" w:type="pct"/>
            <w:vAlign w:val="bottom"/>
          </w:tcPr>
          <w:p w14:paraId="67E1E6CD" w14:textId="263B2B3C" w:rsidR="00131AC4" w:rsidRPr="006F110A" w:rsidRDefault="00131AC4" w:rsidP="00131AC4">
            <w:pPr>
              <w:spacing w:after="0" w:line="240" w:lineRule="auto"/>
              <w:jc w:val="center"/>
              <w:rPr>
                <w:rFonts w:cstheme="minorHAnsi"/>
                <w:color w:val="0000FF"/>
              </w:rPr>
            </w:pPr>
            <w:r w:rsidRPr="00360220">
              <w:rPr>
                <w:rFonts w:cstheme="minorHAnsi"/>
                <w:color w:val="0000FF"/>
              </w:rPr>
              <w:t>0.1123</w:t>
            </w:r>
          </w:p>
        </w:tc>
        <w:tc>
          <w:tcPr>
            <w:tcW w:w="894" w:type="pct"/>
            <w:vAlign w:val="bottom"/>
          </w:tcPr>
          <w:p w14:paraId="60603DFB" w14:textId="46F65C09" w:rsidR="00131AC4" w:rsidRPr="00673F1F" w:rsidRDefault="00131AC4" w:rsidP="00131AC4">
            <w:pPr>
              <w:spacing w:after="0" w:line="240" w:lineRule="auto"/>
              <w:jc w:val="center"/>
              <w:rPr>
                <w:rFonts w:cstheme="minorHAnsi"/>
                <w:color w:val="0000FF"/>
              </w:rPr>
            </w:pPr>
            <w:r w:rsidRPr="00360220">
              <w:rPr>
                <w:rFonts w:cstheme="minorHAnsi"/>
                <w:color w:val="0000FF"/>
              </w:rPr>
              <w:t>0.11</w:t>
            </w:r>
          </w:p>
        </w:tc>
        <w:tc>
          <w:tcPr>
            <w:tcW w:w="670" w:type="pct"/>
            <w:vAlign w:val="bottom"/>
          </w:tcPr>
          <w:p w14:paraId="6736BB85" w14:textId="20AA70BB" w:rsidR="00131AC4" w:rsidRPr="00673F1F" w:rsidRDefault="00131AC4" w:rsidP="00131AC4">
            <w:pPr>
              <w:spacing w:after="0" w:line="240" w:lineRule="auto"/>
              <w:jc w:val="center"/>
              <w:rPr>
                <w:rFonts w:cstheme="minorHAnsi"/>
                <w:color w:val="0000FF"/>
              </w:rPr>
            </w:pPr>
            <w:r w:rsidRPr="00360220">
              <w:rPr>
                <w:rFonts w:cstheme="minorHAnsi"/>
                <w:color w:val="0000FF"/>
              </w:rPr>
              <w:t>0.303</w:t>
            </w:r>
          </w:p>
        </w:tc>
      </w:tr>
      <w:tr w:rsidR="00131AC4" w:rsidRPr="001B21D9" w14:paraId="0010C156" w14:textId="77777777" w:rsidTr="00131AC4">
        <w:tblPrEx>
          <w:tblLook w:val="04A0" w:firstRow="1" w:lastRow="0" w:firstColumn="1" w:lastColumn="0" w:noHBand="0" w:noVBand="1"/>
        </w:tblPrEx>
        <w:trPr>
          <w:trHeight w:val="317"/>
          <w:jc w:val="center"/>
        </w:trPr>
        <w:tc>
          <w:tcPr>
            <w:tcW w:w="2336" w:type="pct"/>
          </w:tcPr>
          <w:p w14:paraId="4D486D75" w14:textId="77777777" w:rsidR="00131AC4" w:rsidRPr="00673F1F" w:rsidRDefault="00131AC4" w:rsidP="00131AC4">
            <w:pPr>
              <w:spacing w:after="0" w:line="240" w:lineRule="auto"/>
              <w:rPr>
                <w:rFonts w:cstheme="minorHAnsi"/>
                <w:color w:val="0000FF"/>
              </w:rPr>
            </w:pPr>
            <w:r w:rsidRPr="00673F1F">
              <w:rPr>
                <w:rFonts w:cstheme="minorHAnsi"/>
                <w:color w:val="0000FF"/>
              </w:rPr>
              <w:t xml:space="preserve">      Suburban</w:t>
            </w:r>
          </w:p>
        </w:tc>
        <w:tc>
          <w:tcPr>
            <w:tcW w:w="1100" w:type="pct"/>
            <w:vAlign w:val="bottom"/>
          </w:tcPr>
          <w:p w14:paraId="6E9C0621" w14:textId="49E632AB" w:rsidR="00131AC4" w:rsidRPr="006F110A" w:rsidRDefault="00131AC4" w:rsidP="00131AC4">
            <w:pPr>
              <w:spacing w:after="0" w:line="240" w:lineRule="auto"/>
              <w:jc w:val="center"/>
              <w:rPr>
                <w:rFonts w:cstheme="minorHAnsi"/>
                <w:color w:val="0000FF"/>
              </w:rPr>
            </w:pPr>
            <w:r w:rsidRPr="00360220">
              <w:rPr>
                <w:rFonts w:cstheme="minorHAnsi"/>
                <w:color w:val="0000FF"/>
              </w:rPr>
              <w:t>0.1451</w:t>
            </w:r>
          </w:p>
        </w:tc>
        <w:tc>
          <w:tcPr>
            <w:tcW w:w="894" w:type="pct"/>
            <w:vAlign w:val="bottom"/>
          </w:tcPr>
          <w:p w14:paraId="72A41E04" w14:textId="1F32ACF4" w:rsidR="00131AC4" w:rsidRPr="00673F1F" w:rsidRDefault="00131AC4" w:rsidP="00131AC4">
            <w:pPr>
              <w:spacing w:after="0" w:line="240" w:lineRule="auto"/>
              <w:jc w:val="center"/>
              <w:rPr>
                <w:rFonts w:cstheme="minorHAnsi"/>
                <w:color w:val="0000FF"/>
              </w:rPr>
            </w:pPr>
            <w:r w:rsidRPr="00360220">
              <w:rPr>
                <w:rFonts w:cstheme="minorHAnsi"/>
                <w:color w:val="0000FF"/>
              </w:rPr>
              <w:t>0.07</w:t>
            </w:r>
          </w:p>
        </w:tc>
        <w:tc>
          <w:tcPr>
            <w:tcW w:w="670" w:type="pct"/>
            <w:vAlign w:val="bottom"/>
          </w:tcPr>
          <w:p w14:paraId="1D206D60" w14:textId="45B36CC8" w:rsidR="00131AC4" w:rsidRPr="00673F1F" w:rsidRDefault="00131AC4" w:rsidP="00131AC4">
            <w:pPr>
              <w:spacing w:after="0" w:line="240" w:lineRule="auto"/>
              <w:jc w:val="center"/>
              <w:rPr>
                <w:rFonts w:cstheme="minorHAnsi"/>
                <w:color w:val="0000FF"/>
              </w:rPr>
            </w:pPr>
            <w:r w:rsidRPr="00360220">
              <w:rPr>
                <w:rFonts w:cstheme="minorHAnsi"/>
                <w:color w:val="0000FF"/>
              </w:rPr>
              <w:t>0.038</w:t>
            </w:r>
          </w:p>
        </w:tc>
      </w:tr>
      <w:tr w:rsidR="00131AC4" w:rsidRPr="001B21D9" w14:paraId="7CAE64F8" w14:textId="77777777" w:rsidTr="00131AC4">
        <w:tblPrEx>
          <w:tblLook w:val="04A0" w:firstRow="1" w:lastRow="0" w:firstColumn="1" w:lastColumn="0" w:noHBand="0" w:noVBand="1"/>
        </w:tblPrEx>
        <w:trPr>
          <w:trHeight w:val="317"/>
          <w:jc w:val="center"/>
        </w:trPr>
        <w:tc>
          <w:tcPr>
            <w:tcW w:w="2336" w:type="pct"/>
          </w:tcPr>
          <w:p w14:paraId="1DD5C255" w14:textId="77777777" w:rsidR="00131AC4" w:rsidRPr="00673F1F" w:rsidRDefault="00131AC4" w:rsidP="00131AC4">
            <w:pPr>
              <w:spacing w:after="0" w:line="240" w:lineRule="auto"/>
              <w:rPr>
                <w:rFonts w:cstheme="minorHAnsi"/>
                <w:color w:val="0000FF"/>
              </w:rPr>
            </w:pPr>
            <w:r w:rsidRPr="00673F1F">
              <w:rPr>
                <w:rFonts w:cstheme="minorHAnsi"/>
                <w:color w:val="0000FF"/>
              </w:rPr>
              <w:t xml:space="preserve">      Missing</w:t>
            </w:r>
          </w:p>
        </w:tc>
        <w:tc>
          <w:tcPr>
            <w:tcW w:w="1100" w:type="pct"/>
            <w:vAlign w:val="bottom"/>
          </w:tcPr>
          <w:p w14:paraId="2C8CF24D" w14:textId="0B2F89E8" w:rsidR="00131AC4" w:rsidRPr="00673F1F" w:rsidRDefault="00131AC4" w:rsidP="00131AC4">
            <w:pPr>
              <w:spacing w:after="0" w:line="240" w:lineRule="auto"/>
              <w:jc w:val="center"/>
              <w:rPr>
                <w:rFonts w:cstheme="minorHAnsi"/>
                <w:color w:val="0000FF"/>
              </w:rPr>
            </w:pPr>
            <w:r w:rsidRPr="00360220">
              <w:rPr>
                <w:rFonts w:cstheme="minorHAnsi"/>
                <w:color w:val="0000FF"/>
              </w:rPr>
              <w:t>-0.4863</w:t>
            </w:r>
          </w:p>
        </w:tc>
        <w:tc>
          <w:tcPr>
            <w:tcW w:w="894" w:type="pct"/>
            <w:vAlign w:val="bottom"/>
          </w:tcPr>
          <w:p w14:paraId="363836A9" w14:textId="39CA37D0" w:rsidR="00131AC4" w:rsidRPr="00673F1F" w:rsidRDefault="00131AC4" w:rsidP="00131AC4">
            <w:pPr>
              <w:spacing w:after="0" w:line="240" w:lineRule="auto"/>
              <w:jc w:val="center"/>
              <w:rPr>
                <w:rFonts w:cstheme="minorHAnsi"/>
                <w:color w:val="0000FF"/>
              </w:rPr>
            </w:pPr>
            <w:r w:rsidRPr="00360220">
              <w:rPr>
                <w:rFonts w:cstheme="minorHAnsi"/>
                <w:color w:val="0000FF"/>
              </w:rPr>
              <w:t>0.68</w:t>
            </w:r>
          </w:p>
        </w:tc>
        <w:tc>
          <w:tcPr>
            <w:tcW w:w="670" w:type="pct"/>
            <w:vAlign w:val="bottom"/>
          </w:tcPr>
          <w:p w14:paraId="2595BE33" w14:textId="3EFD6BC7" w:rsidR="00131AC4" w:rsidRPr="00673F1F" w:rsidRDefault="00131AC4" w:rsidP="00131AC4">
            <w:pPr>
              <w:spacing w:after="0" w:line="240" w:lineRule="auto"/>
              <w:jc w:val="center"/>
              <w:rPr>
                <w:rFonts w:cstheme="minorHAnsi"/>
                <w:color w:val="0000FF"/>
              </w:rPr>
            </w:pPr>
            <w:r w:rsidRPr="00360220">
              <w:rPr>
                <w:rFonts w:cstheme="minorHAnsi"/>
                <w:color w:val="0000FF"/>
              </w:rPr>
              <w:t>0.473</w:t>
            </w:r>
          </w:p>
        </w:tc>
      </w:tr>
      <w:tr w:rsidR="00131AC4" w:rsidRPr="001B21D9" w14:paraId="2D769091" w14:textId="77777777" w:rsidTr="00131AC4">
        <w:trPr>
          <w:trHeight w:val="317"/>
          <w:jc w:val="center"/>
        </w:trPr>
        <w:tc>
          <w:tcPr>
            <w:tcW w:w="5000" w:type="pct"/>
            <w:gridSpan w:val="4"/>
            <w:vAlign w:val="center"/>
          </w:tcPr>
          <w:p w14:paraId="49647202" w14:textId="77777777" w:rsidR="00131AC4" w:rsidRPr="00673F1F" w:rsidRDefault="00131AC4" w:rsidP="00131AC4">
            <w:pPr>
              <w:spacing w:after="0" w:line="240" w:lineRule="auto"/>
              <w:rPr>
                <w:rFonts w:cstheme="minorHAnsi"/>
                <w:color w:val="0000FF"/>
              </w:rPr>
            </w:pPr>
            <w:r w:rsidRPr="006F110A">
              <w:rPr>
                <w:rFonts w:cstheme="minorHAnsi"/>
                <w:b/>
                <w:i/>
                <w:color w:val="0000FF"/>
              </w:rPr>
              <w:t>AHRQ SES Index* (reference = Quartile 4 (55.6 to 75.7))</w:t>
            </w:r>
          </w:p>
        </w:tc>
      </w:tr>
      <w:tr w:rsidR="00A62099" w:rsidRPr="001B21D9" w14:paraId="19D8473F" w14:textId="77777777" w:rsidTr="00131AC4">
        <w:trPr>
          <w:trHeight w:val="317"/>
          <w:jc w:val="center"/>
        </w:trPr>
        <w:tc>
          <w:tcPr>
            <w:tcW w:w="2336" w:type="pct"/>
            <w:vAlign w:val="bottom"/>
          </w:tcPr>
          <w:p w14:paraId="3894DC59" w14:textId="77777777" w:rsidR="00A62099" w:rsidRPr="00673F1F" w:rsidRDefault="00A62099" w:rsidP="00A62099">
            <w:pPr>
              <w:spacing w:after="0" w:line="240" w:lineRule="auto"/>
              <w:rPr>
                <w:rFonts w:eastAsia="Times New Roman" w:cstheme="minorHAnsi"/>
                <w:color w:val="0000FF"/>
              </w:rPr>
            </w:pPr>
            <w:r w:rsidRPr="00673F1F">
              <w:rPr>
                <w:rFonts w:cstheme="minorHAnsi"/>
                <w:color w:val="0000FF"/>
              </w:rPr>
              <w:t xml:space="preserve">      Quartile 1 (28.9 to 49.6)</w:t>
            </w:r>
          </w:p>
        </w:tc>
        <w:tc>
          <w:tcPr>
            <w:tcW w:w="1100" w:type="pct"/>
            <w:vAlign w:val="bottom"/>
          </w:tcPr>
          <w:p w14:paraId="41D61BB9" w14:textId="73C63DDE" w:rsidR="00A62099" w:rsidRPr="006F110A" w:rsidRDefault="00A62099" w:rsidP="00A62099">
            <w:pPr>
              <w:spacing w:after="0" w:line="240" w:lineRule="auto"/>
              <w:jc w:val="center"/>
              <w:rPr>
                <w:rFonts w:cstheme="minorHAnsi"/>
                <w:color w:val="0000FF"/>
              </w:rPr>
            </w:pPr>
            <w:r w:rsidRPr="00360220">
              <w:rPr>
                <w:rFonts w:cstheme="minorHAnsi"/>
                <w:color w:val="0000FF"/>
              </w:rPr>
              <w:t>0.7917</w:t>
            </w:r>
          </w:p>
        </w:tc>
        <w:tc>
          <w:tcPr>
            <w:tcW w:w="894" w:type="pct"/>
            <w:vAlign w:val="bottom"/>
          </w:tcPr>
          <w:p w14:paraId="4DF2566F" w14:textId="17406F34" w:rsidR="00A62099" w:rsidRPr="00673F1F" w:rsidRDefault="00A62099" w:rsidP="00A62099">
            <w:pPr>
              <w:spacing w:after="0" w:line="240" w:lineRule="auto"/>
              <w:jc w:val="center"/>
              <w:rPr>
                <w:rFonts w:cstheme="minorHAnsi"/>
                <w:color w:val="0000FF"/>
              </w:rPr>
            </w:pPr>
            <w:r w:rsidRPr="00360220">
              <w:rPr>
                <w:rFonts w:cstheme="minorHAnsi"/>
                <w:color w:val="0000FF"/>
              </w:rPr>
              <w:t>0.07</w:t>
            </w:r>
          </w:p>
        </w:tc>
        <w:tc>
          <w:tcPr>
            <w:tcW w:w="670" w:type="pct"/>
            <w:vAlign w:val="bottom"/>
          </w:tcPr>
          <w:p w14:paraId="64EAAC13" w14:textId="096FE995" w:rsidR="00A62099" w:rsidRPr="00673F1F" w:rsidRDefault="00A62099" w:rsidP="00A62099">
            <w:pPr>
              <w:spacing w:after="0" w:line="240" w:lineRule="auto"/>
              <w:jc w:val="center"/>
              <w:rPr>
                <w:rFonts w:cstheme="minorHAnsi"/>
                <w:color w:val="0000FF"/>
              </w:rPr>
            </w:pPr>
            <w:r w:rsidRPr="00360220">
              <w:rPr>
                <w:rFonts w:cstheme="minorHAnsi"/>
                <w:color w:val="0000FF"/>
              </w:rPr>
              <w:t>&lt;.001</w:t>
            </w:r>
          </w:p>
        </w:tc>
      </w:tr>
      <w:tr w:rsidR="00A62099" w:rsidRPr="001B21D9" w14:paraId="0A963950" w14:textId="77777777" w:rsidTr="00131AC4">
        <w:trPr>
          <w:trHeight w:val="317"/>
          <w:jc w:val="center"/>
        </w:trPr>
        <w:tc>
          <w:tcPr>
            <w:tcW w:w="2336" w:type="pct"/>
            <w:vAlign w:val="bottom"/>
          </w:tcPr>
          <w:p w14:paraId="1931F669" w14:textId="77777777" w:rsidR="00A62099" w:rsidRPr="00673F1F" w:rsidRDefault="00A62099" w:rsidP="00A62099">
            <w:pPr>
              <w:spacing w:after="0" w:line="240" w:lineRule="auto"/>
              <w:rPr>
                <w:rFonts w:cstheme="minorHAnsi"/>
                <w:color w:val="0000FF"/>
              </w:rPr>
            </w:pPr>
            <w:r w:rsidRPr="00673F1F">
              <w:rPr>
                <w:rFonts w:cstheme="minorHAnsi"/>
                <w:color w:val="0000FF"/>
              </w:rPr>
              <w:t xml:space="preserve">      Quartile 2 (49.7 to 52.2)</w:t>
            </w:r>
          </w:p>
        </w:tc>
        <w:tc>
          <w:tcPr>
            <w:tcW w:w="1100" w:type="pct"/>
            <w:vAlign w:val="bottom"/>
          </w:tcPr>
          <w:p w14:paraId="2CC6C84D" w14:textId="212110F1" w:rsidR="00A62099" w:rsidRPr="00673F1F" w:rsidRDefault="00A62099" w:rsidP="00A62099">
            <w:pPr>
              <w:spacing w:after="0" w:line="240" w:lineRule="auto"/>
              <w:jc w:val="center"/>
              <w:rPr>
                <w:rFonts w:cstheme="minorHAnsi"/>
                <w:color w:val="0000FF"/>
              </w:rPr>
            </w:pPr>
            <w:r w:rsidRPr="00360220">
              <w:rPr>
                <w:rFonts w:cstheme="minorHAnsi"/>
                <w:color w:val="0000FF"/>
              </w:rPr>
              <w:t>0.7872</w:t>
            </w:r>
          </w:p>
        </w:tc>
        <w:tc>
          <w:tcPr>
            <w:tcW w:w="894" w:type="pct"/>
            <w:vAlign w:val="bottom"/>
          </w:tcPr>
          <w:p w14:paraId="60FF079D" w14:textId="0C93BE67" w:rsidR="00A62099" w:rsidRPr="00673F1F" w:rsidRDefault="00A62099" w:rsidP="00A62099">
            <w:pPr>
              <w:spacing w:after="0" w:line="240" w:lineRule="auto"/>
              <w:jc w:val="center"/>
              <w:rPr>
                <w:rFonts w:cstheme="minorHAnsi"/>
                <w:color w:val="0000FF"/>
              </w:rPr>
            </w:pPr>
            <w:r w:rsidRPr="00360220">
              <w:rPr>
                <w:rFonts w:cstheme="minorHAnsi"/>
                <w:color w:val="0000FF"/>
              </w:rPr>
              <w:t>0.06</w:t>
            </w:r>
          </w:p>
        </w:tc>
        <w:tc>
          <w:tcPr>
            <w:tcW w:w="670" w:type="pct"/>
            <w:vAlign w:val="bottom"/>
          </w:tcPr>
          <w:p w14:paraId="32D4037A" w14:textId="2560AFC2" w:rsidR="00A62099" w:rsidRPr="00673F1F" w:rsidRDefault="00A62099" w:rsidP="00A62099">
            <w:pPr>
              <w:spacing w:after="0" w:line="240" w:lineRule="auto"/>
              <w:jc w:val="center"/>
              <w:rPr>
                <w:rFonts w:cstheme="minorHAnsi"/>
                <w:color w:val="0000FF"/>
              </w:rPr>
            </w:pPr>
            <w:r w:rsidRPr="00360220">
              <w:rPr>
                <w:rFonts w:cstheme="minorHAnsi"/>
                <w:color w:val="0000FF"/>
              </w:rPr>
              <w:t>&lt;.001</w:t>
            </w:r>
          </w:p>
        </w:tc>
      </w:tr>
      <w:tr w:rsidR="00A62099" w:rsidRPr="001B21D9" w14:paraId="501381D9" w14:textId="77777777" w:rsidTr="00131AC4">
        <w:trPr>
          <w:trHeight w:val="317"/>
          <w:jc w:val="center"/>
        </w:trPr>
        <w:tc>
          <w:tcPr>
            <w:tcW w:w="2336" w:type="pct"/>
            <w:vAlign w:val="bottom"/>
          </w:tcPr>
          <w:p w14:paraId="40216B4F" w14:textId="77777777" w:rsidR="00A62099" w:rsidRPr="00673F1F" w:rsidRDefault="00A62099" w:rsidP="00A62099">
            <w:pPr>
              <w:spacing w:after="0" w:line="240" w:lineRule="auto"/>
              <w:rPr>
                <w:rFonts w:eastAsia="Times New Roman" w:cstheme="minorHAnsi"/>
                <w:color w:val="0000FF"/>
              </w:rPr>
            </w:pPr>
            <w:r w:rsidRPr="00673F1F">
              <w:rPr>
                <w:rFonts w:cstheme="minorHAnsi"/>
                <w:color w:val="0000FF"/>
              </w:rPr>
              <w:t xml:space="preserve">      Quartile 3 (52.3 to 55.5)</w:t>
            </w:r>
          </w:p>
        </w:tc>
        <w:tc>
          <w:tcPr>
            <w:tcW w:w="1100" w:type="pct"/>
            <w:vAlign w:val="bottom"/>
          </w:tcPr>
          <w:p w14:paraId="5D1E86D8" w14:textId="56AB4B82" w:rsidR="00A62099" w:rsidRPr="006F110A" w:rsidRDefault="00A62099" w:rsidP="00A62099">
            <w:pPr>
              <w:spacing w:after="0" w:line="240" w:lineRule="auto"/>
              <w:jc w:val="center"/>
              <w:rPr>
                <w:rFonts w:cstheme="minorHAnsi"/>
                <w:color w:val="0000FF"/>
              </w:rPr>
            </w:pPr>
            <w:r w:rsidRPr="00360220">
              <w:rPr>
                <w:rFonts w:cstheme="minorHAnsi"/>
                <w:color w:val="0000FF"/>
              </w:rPr>
              <w:t>0.6194</w:t>
            </w:r>
          </w:p>
        </w:tc>
        <w:tc>
          <w:tcPr>
            <w:tcW w:w="894" w:type="pct"/>
            <w:vAlign w:val="bottom"/>
          </w:tcPr>
          <w:p w14:paraId="772801CE" w14:textId="047CA83A" w:rsidR="00A62099" w:rsidRPr="00673F1F" w:rsidRDefault="00A62099" w:rsidP="00A62099">
            <w:pPr>
              <w:spacing w:after="0" w:line="240" w:lineRule="auto"/>
              <w:jc w:val="center"/>
              <w:rPr>
                <w:rFonts w:cstheme="minorHAnsi"/>
                <w:color w:val="0000FF"/>
              </w:rPr>
            </w:pPr>
            <w:r w:rsidRPr="00360220">
              <w:rPr>
                <w:rFonts w:cstheme="minorHAnsi"/>
                <w:color w:val="0000FF"/>
              </w:rPr>
              <w:t>0.06</w:t>
            </w:r>
          </w:p>
        </w:tc>
        <w:tc>
          <w:tcPr>
            <w:tcW w:w="670" w:type="pct"/>
            <w:vAlign w:val="bottom"/>
          </w:tcPr>
          <w:p w14:paraId="54DA26E8" w14:textId="0943598C" w:rsidR="00A62099" w:rsidRPr="00673F1F" w:rsidRDefault="00A62099" w:rsidP="00A62099">
            <w:pPr>
              <w:spacing w:after="0" w:line="240" w:lineRule="auto"/>
              <w:jc w:val="center"/>
              <w:rPr>
                <w:rFonts w:cstheme="minorHAnsi"/>
                <w:color w:val="0000FF"/>
              </w:rPr>
            </w:pPr>
            <w:r w:rsidRPr="00360220">
              <w:rPr>
                <w:rFonts w:cstheme="minorHAnsi"/>
                <w:color w:val="0000FF"/>
              </w:rPr>
              <w:t>&lt;.001</w:t>
            </w:r>
          </w:p>
        </w:tc>
      </w:tr>
      <w:tr w:rsidR="00A62099" w:rsidRPr="001B21D9" w14:paraId="22A79C93" w14:textId="77777777" w:rsidTr="00131AC4">
        <w:trPr>
          <w:trHeight w:val="317"/>
          <w:jc w:val="center"/>
        </w:trPr>
        <w:tc>
          <w:tcPr>
            <w:tcW w:w="2336" w:type="pct"/>
            <w:tcBorders>
              <w:bottom w:val="single" w:sz="4" w:space="0" w:color="auto"/>
            </w:tcBorders>
            <w:vAlign w:val="bottom"/>
          </w:tcPr>
          <w:p w14:paraId="17694D6F" w14:textId="77777777" w:rsidR="00A62099" w:rsidRPr="00673F1F" w:rsidRDefault="00A62099" w:rsidP="00A62099">
            <w:pPr>
              <w:spacing w:after="0" w:line="240" w:lineRule="auto"/>
              <w:rPr>
                <w:rFonts w:cstheme="minorHAnsi"/>
                <w:color w:val="0000FF"/>
              </w:rPr>
            </w:pPr>
            <w:r w:rsidRPr="00673F1F">
              <w:rPr>
                <w:rFonts w:cstheme="minorHAnsi"/>
                <w:color w:val="0000FF"/>
              </w:rPr>
              <w:t xml:space="preserve">      Missing </w:t>
            </w:r>
          </w:p>
        </w:tc>
        <w:tc>
          <w:tcPr>
            <w:tcW w:w="1100" w:type="pct"/>
            <w:tcBorders>
              <w:bottom w:val="single" w:sz="4" w:space="0" w:color="auto"/>
            </w:tcBorders>
            <w:vAlign w:val="bottom"/>
          </w:tcPr>
          <w:p w14:paraId="3DCC4882" w14:textId="02A19FD0" w:rsidR="00A62099" w:rsidRPr="00673F1F" w:rsidRDefault="00A62099" w:rsidP="00A62099">
            <w:pPr>
              <w:spacing w:after="0" w:line="240" w:lineRule="auto"/>
              <w:jc w:val="center"/>
              <w:rPr>
                <w:rFonts w:cstheme="minorHAnsi"/>
                <w:color w:val="0000FF"/>
              </w:rPr>
            </w:pPr>
            <w:r w:rsidRPr="00360220">
              <w:rPr>
                <w:rFonts w:cstheme="minorHAnsi"/>
                <w:color w:val="0000FF"/>
              </w:rPr>
              <w:t>0.0140</w:t>
            </w:r>
          </w:p>
        </w:tc>
        <w:tc>
          <w:tcPr>
            <w:tcW w:w="894" w:type="pct"/>
            <w:tcBorders>
              <w:bottom w:val="single" w:sz="4" w:space="0" w:color="auto"/>
            </w:tcBorders>
            <w:vAlign w:val="bottom"/>
          </w:tcPr>
          <w:p w14:paraId="61066B02" w14:textId="0D7CAE7B" w:rsidR="00A62099" w:rsidRPr="00673F1F" w:rsidRDefault="00A62099" w:rsidP="00A62099">
            <w:pPr>
              <w:spacing w:after="0" w:line="240" w:lineRule="auto"/>
              <w:jc w:val="center"/>
              <w:rPr>
                <w:rFonts w:cstheme="minorHAnsi"/>
                <w:color w:val="0000FF"/>
              </w:rPr>
            </w:pPr>
            <w:r w:rsidRPr="00360220">
              <w:rPr>
                <w:rFonts w:cstheme="minorHAnsi"/>
                <w:color w:val="0000FF"/>
              </w:rPr>
              <w:t>0.75</w:t>
            </w:r>
          </w:p>
        </w:tc>
        <w:tc>
          <w:tcPr>
            <w:tcW w:w="670" w:type="pct"/>
            <w:tcBorders>
              <w:bottom w:val="single" w:sz="4" w:space="0" w:color="auto"/>
            </w:tcBorders>
            <w:vAlign w:val="bottom"/>
          </w:tcPr>
          <w:p w14:paraId="4E440604" w14:textId="77CEFD4D" w:rsidR="00A62099" w:rsidRPr="00673F1F" w:rsidRDefault="00A62099" w:rsidP="00A62099">
            <w:pPr>
              <w:spacing w:after="0" w:line="240" w:lineRule="auto"/>
              <w:jc w:val="center"/>
              <w:rPr>
                <w:rFonts w:cstheme="minorHAnsi"/>
                <w:color w:val="0000FF"/>
              </w:rPr>
            </w:pPr>
            <w:r w:rsidRPr="00360220">
              <w:rPr>
                <w:rFonts w:cstheme="minorHAnsi"/>
                <w:color w:val="0000FF"/>
              </w:rPr>
              <w:t>0.985</w:t>
            </w:r>
          </w:p>
        </w:tc>
      </w:tr>
    </w:tbl>
    <w:p w14:paraId="4F7DED3F" w14:textId="77777777" w:rsidR="00A8613A" w:rsidRDefault="00A8613A" w:rsidP="00A8613A">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 based on </w:t>
      </w:r>
      <w:r>
        <w:rPr>
          <w:rFonts w:eastAsia="Calibri" w:cstheme="minorHAnsi"/>
          <w:color w:val="0000FF"/>
          <w:sz w:val="18"/>
          <w:szCs w:val="18"/>
        </w:rPr>
        <w:t>patient</w:t>
      </w:r>
      <w:r w:rsidRPr="00673F1F">
        <w:rPr>
          <w:rFonts w:eastAsia="Calibri" w:cstheme="minorHAnsi"/>
          <w:color w:val="0000FF"/>
          <w:sz w:val="18"/>
          <w:szCs w:val="18"/>
        </w:rPr>
        <w:t xml:space="preserve"> residence. AHRQ = Agency for Healthcare Research. </w:t>
      </w:r>
    </w:p>
    <w:p w14:paraId="2D035FFB" w14:textId="77777777" w:rsidR="00A8613A" w:rsidRPr="004E3EF6" w:rsidRDefault="00A8613A" w:rsidP="00A8613A">
      <w:pPr>
        <w:spacing w:after="0" w:line="240" w:lineRule="auto"/>
        <w:rPr>
          <w:rFonts w:eastAsia="Calibri" w:cstheme="minorHAnsi"/>
          <w:color w:val="0000FF"/>
          <w:sz w:val="18"/>
          <w:szCs w:val="18"/>
        </w:rPr>
      </w:pPr>
      <w:r w:rsidRPr="00673F1F">
        <w:rPr>
          <w:rFonts w:eastAsia="Calibri" w:cstheme="minorHAnsi"/>
          <w:color w:val="0000FF"/>
          <w:sz w:val="18"/>
          <w:szCs w:val="18"/>
        </w:rPr>
        <w:t xml:space="preserve">Note: SE=Standard error; </w:t>
      </w:r>
      <w:r w:rsidRPr="006F110A">
        <w:rPr>
          <w:rFonts w:eastAsia="Calibri" w:cstheme="minorHAnsi"/>
          <w:color w:val="0000FF"/>
          <w:sz w:val="18"/>
          <w:szCs w:val="18"/>
        </w:rPr>
        <w:t>Patient-level exclusion criteria applied.</w:t>
      </w:r>
    </w:p>
    <w:p w14:paraId="7585EEB5" w14:textId="77777777" w:rsidR="00A8613A" w:rsidRPr="00673F1F" w:rsidRDefault="00A8613A" w:rsidP="00A8613A">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p w14:paraId="7FE6C479" w14:textId="77777777" w:rsidR="00C63FB5" w:rsidRDefault="00C63FB5" w:rsidP="00C63FB5">
      <w:pPr>
        <w:spacing w:after="0" w:line="240" w:lineRule="auto"/>
        <w:rPr>
          <w:rFonts w:eastAsia="Calibri" w:cstheme="minorHAnsi"/>
          <w:color w:val="0000FF"/>
        </w:rPr>
      </w:pPr>
    </w:p>
    <w:p w14:paraId="02AE99A2" w14:textId="3713E223" w:rsidR="00910350" w:rsidRDefault="00C63FB5" w:rsidP="00C63FB5">
      <w:pPr>
        <w:spacing w:after="0" w:line="240" w:lineRule="auto"/>
        <w:rPr>
          <w:rFonts w:eastAsia="Calibri" w:cstheme="minorHAnsi"/>
          <w:color w:val="0000FF"/>
        </w:rPr>
      </w:pPr>
      <w:r>
        <w:rPr>
          <w:rFonts w:eastAsia="Calibri" w:cstheme="minorHAnsi"/>
          <w:b/>
          <w:color w:val="0000FF"/>
        </w:rPr>
        <w:t>Table 1</w:t>
      </w:r>
      <w:r w:rsidR="00360220">
        <w:rPr>
          <w:rFonts w:eastAsia="Calibri" w:cstheme="minorHAnsi"/>
          <w:b/>
          <w:color w:val="0000FF"/>
        </w:rPr>
        <w:t>5</w:t>
      </w:r>
      <w:r>
        <w:rPr>
          <w:rFonts w:eastAsia="Calibri" w:cstheme="minorHAnsi"/>
          <w:color w:val="0000FF"/>
        </w:rPr>
        <w:t xml:space="preserve"> shows the distribution of the change in mobility </w:t>
      </w:r>
      <w:r w:rsidR="00745539">
        <w:rPr>
          <w:rFonts w:eastAsia="Calibri" w:cstheme="minorHAnsi"/>
          <w:color w:val="0000FF"/>
        </w:rPr>
        <w:t>performance measure</w:t>
      </w:r>
      <w:r>
        <w:rPr>
          <w:rFonts w:eastAsia="Calibri" w:cstheme="minorHAnsi"/>
          <w:color w:val="0000FF"/>
        </w:rPr>
        <w:t xml:space="preserve"> scores with and without social risk factor adjustment. Overall, social risk factor adjustment had minimal impact on providers’ </w:t>
      </w:r>
      <w:r w:rsidR="00893704">
        <w:rPr>
          <w:rFonts w:eastAsia="Calibri" w:cstheme="minorHAnsi"/>
          <w:color w:val="0000FF"/>
        </w:rPr>
        <w:t xml:space="preserve">calculated performance </w:t>
      </w:r>
      <w:r>
        <w:rPr>
          <w:rFonts w:eastAsia="Calibri" w:cstheme="minorHAnsi"/>
          <w:color w:val="0000FF"/>
        </w:rPr>
        <w:t xml:space="preserve">measure scores. </w:t>
      </w:r>
      <w:r w:rsidR="00910350">
        <w:rPr>
          <w:rFonts w:eastAsia="Calibri" w:cstheme="minorHAnsi"/>
          <w:color w:val="0000FF"/>
        </w:rPr>
        <w:t>Between</w:t>
      </w:r>
      <w:r w:rsidR="00910350" w:rsidRPr="00673F1F">
        <w:rPr>
          <w:rFonts w:eastAsia="Calibri" w:cstheme="minorHAnsi"/>
          <w:color w:val="0000FF"/>
        </w:rPr>
        <w:t xml:space="preserve"> the two sets of scores</w:t>
      </w:r>
      <w:r w:rsidR="00910350">
        <w:rPr>
          <w:rFonts w:eastAsia="Calibri" w:cstheme="minorHAnsi"/>
          <w:color w:val="0000FF"/>
        </w:rPr>
        <w:t>, the difference in mean scores</w:t>
      </w:r>
      <w:r w:rsidR="00910350" w:rsidRPr="00673F1F">
        <w:rPr>
          <w:rFonts w:eastAsia="Calibri" w:cstheme="minorHAnsi"/>
          <w:color w:val="0000FF"/>
        </w:rPr>
        <w:t xml:space="preserve"> was </w:t>
      </w:r>
      <w:r w:rsidR="00910350" w:rsidRPr="00AC7BA9">
        <w:rPr>
          <w:rFonts w:eastAsia="Calibri" w:cstheme="minorHAnsi"/>
          <w:color w:val="0000FF"/>
        </w:rPr>
        <w:t>0.0</w:t>
      </w:r>
      <w:r w:rsidR="00910350" w:rsidRPr="00673F1F">
        <w:rPr>
          <w:rFonts w:eastAsia="Calibri" w:cstheme="minorHAnsi"/>
          <w:color w:val="0000FF"/>
        </w:rPr>
        <w:t xml:space="preserve"> </w:t>
      </w:r>
      <w:r w:rsidR="00910350">
        <w:rPr>
          <w:rFonts w:eastAsia="Calibri" w:cstheme="minorHAnsi"/>
          <w:color w:val="0000FF"/>
        </w:rPr>
        <w:t>units of change in mobility</w:t>
      </w:r>
      <w:r w:rsidR="00910350" w:rsidRPr="00673F1F">
        <w:rPr>
          <w:rFonts w:eastAsia="Calibri" w:cstheme="minorHAnsi"/>
          <w:color w:val="0000FF"/>
        </w:rPr>
        <w:t xml:space="preserve">, with a standard </w:t>
      </w:r>
      <w:r w:rsidR="00910350" w:rsidRPr="00AC7BA9">
        <w:rPr>
          <w:rFonts w:eastAsia="Calibri" w:cstheme="minorHAnsi"/>
          <w:color w:val="0000FF"/>
        </w:rPr>
        <w:t>dev</w:t>
      </w:r>
      <w:r w:rsidR="00910350" w:rsidRPr="00597534">
        <w:rPr>
          <w:rFonts w:eastAsia="Calibri" w:cstheme="minorHAnsi"/>
          <w:color w:val="0000FF"/>
        </w:rPr>
        <w:t xml:space="preserve">iation of </w:t>
      </w:r>
      <w:r w:rsidR="00910350" w:rsidRPr="00AC7BA9">
        <w:rPr>
          <w:rFonts w:eastAsia="Calibri" w:cstheme="minorHAnsi"/>
          <w:color w:val="0000FF"/>
        </w:rPr>
        <w:t>0.</w:t>
      </w:r>
      <w:r w:rsidR="00910350">
        <w:rPr>
          <w:rFonts w:eastAsia="Calibri" w:cstheme="minorHAnsi"/>
          <w:color w:val="0000FF"/>
        </w:rPr>
        <w:t>3</w:t>
      </w:r>
      <w:r w:rsidR="00910350" w:rsidRPr="00AC7BA9">
        <w:rPr>
          <w:rFonts w:eastAsia="Calibri" w:cstheme="minorHAnsi"/>
          <w:color w:val="0000FF"/>
        </w:rPr>
        <w:t xml:space="preserve"> and interquartile range of 0.</w:t>
      </w:r>
      <w:r w:rsidR="00910350">
        <w:rPr>
          <w:rFonts w:eastAsia="Calibri" w:cstheme="minorHAnsi"/>
          <w:color w:val="0000FF"/>
        </w:rPr>
        <w:t>5</w:t>
      </w:r>
      <w:r w:rsidR="00910350" w:rsidRPr="00AC7BA9">
        <w:rPr>
          <w:rFonts w:eastAsia="Calibri" w:cstheme="minorHAnsi"/>
          <w:color w:val="0000FF"/>
        </w:rPr>
        <w:t>.</w:t>
      </w:r>
    </w:p>
    <w:p w14:paraId="17F3DB71" w14:textId="77777777" w:rsidR="00C63FB5" w:rsidRDefault="00C63FB5" w:rsidP="00C63FB5">
      <w:pPr>
        <w:spacing w:after="0" w:line="240" w:lineRule="auto"/>
        <w:rPr>
          <w:rFonts w:eastAsia="Calibri" w:cstheme="minorHAnsi"/>
          <w:color w:val="0000FF"/>
        </w:rPr>
      </w:pPr>
    </w:p>
    <w:p w14:paraId="746E19B4" w14:textId="00912BB7" w:rsidR="002E27C5" w:rsidRPr="00360220" w:rsidRDefault="002E27C5" w:rsidP="002E27C5">
      <w:pPr>
        <w:spacing w:after="0" w:line="240" w:lineRule="auto"/>
        <w:rPr>
          <w:rFonts w:eastAsia="Calibri" w:cstheme="minorHAnsi"/>
          <w:b/>
          <w:color w:val="0000FF"/>
          <w:szCs w:val="20"/>
        </w:rPr>
      </w:pPr>
      <w:r w:rsidRPr="00673F1F">
        <w:rPr>
          <w:rFonts w:eastAsia="Calibri" w:cstheme="minorHAnsi"/>
          <w:b/>
          <w:bCs/>
          <w:color w:val="0000FF"/>
          <w:szCs w:val="20"/>
        </w:rPr>
        <w:t xml:space="preserve">Table </w:t>
      </w:r>
      <w:r>
        <w:rPr>
          <w:rFonts w:eastAsia="Calibri" w:cstheme="minorHAnsi"/>
          <w:b/>
          <w:bCs/>
          <w:color w:val="0000FF"/>
          <w:szCs w:val="20"/>
        </w:rPr>
        <w:t>1</w:t>
      </w:r>
      <w:r w:rsidR="00360220">
        <w:rPr>
          <w:rFonts w:eastAsia="Calibri" w:cstheme="minorHAnsi"/>
          <w:b/>
          <w:bCs/>
          <w:color w:val="0000FF"/>
          <w:szCs w:val="20"/>
        </w:rPr>
        <w:t>5</w:t>
      </w:r>
      <w:r w:rsidRPr="00673F1F">
        <w:rPr>
          <w:rFonts w:eastAsia="Calibri" w:cstheme="minorHAnsi"/>
          <w:b/>
          <w:bCs/>
          <w:color w:val="0000FF"/>
          <w:szCs w:val="20"/>
        </w:rPr>
        <w:t xml:space="preserve">: </w:t>
      </w:r>
      <w:r w:rsidRPr="00673F1F">
        <w:rPr>
          <w:rFonts w:eastAsia="Calibri" w:cstheme="minorHAnsi"/>
          <w:b/>
          <w:color w:val="0000FF"/>
          <w:szCs w:val="20"/>
        </w:rPr>
        <w:t xml:space="preserve">Distribution of </w:t>
      </w:r>
      <w:r>
        <w:rPr>
          <w:rFonts w:eastAsia="Calibri" w:cstheme="minorHAnsi"/>
          <w:b/>
          <w:color w:val="0000FF"/>
          <w:szCs w:val="20"/>
        </w:rPr>
        <w:t>IRF Change in Mobility S</w:t>
      </w:r>
      <w:r w:rsidRPr="00673F1F">
        <w:rPr>
          <w:rFonts w:eastAsia="Calibri" w:cstheme="minorHAnsi"/>
          <w:b/>
          <w:color w:val="0000FF"/>
          <w:szCs w:val="20"/>
        </w:rPr>
        <w:t xml:space="preserve">cores </w:t>
      </w:r>
      <w:r>
        <w:rPr>
          <w:rFonts w:eastAsia="Calibri" w:cstheme="minorHAnsi"/>
          <w:b/>
          <w:color w:val="0000FF"/>
          <w:szCs w:val="20"/>
        </w:rPr>
        <w:t>W</w:t>
      </w:r>
      <w:r w:rsidRPr="00673F1F">
        <w:rPr>
          <w:rFonts w:eastAsia="Calibri" w:cstheme="minorHAnsi"/>
          <w:b/>
          <w:color w:val="0000FF"/>
          <w:szCs w:val="20"/>
        </w:rPr>
        <w:t xml:space="preserve">ith and </w:t>
      </w:r>
      <w:r>
        <w:rPr>
          <w:rFonts w:eastAsia="Calibri" w:cstheme="minorHAnsi"/>
          <w:b/>
          <w:color w:val="0000FF"/>
          <w:szCs w:val="20"/>
        </w:rPr>
        <w:t>W</w:t>
      </w:r>
      <w:r w:rsidRPr="00673F1F">
        <w:rPr>
          <w:rFonts w:eastAsia="Calibri" w:cstheme="minorHAnsi"/>
          <w:b/>
          <w:color w:val="0000FF"/>
          <w:szCs w:val="20"/>
        </w:rPr>
        <w:t xml:space="preserve">ithout </w:t>
      </w:r>
      <w:r>
        <w:rPr>
          <w:rFonts w:eastAsia="Calibri" w:cstheme="minorHAnsi"/>
          <w:b/>
          <w:color w:val="0000FF"/>
          <w:szCs w:val="20"/>
        </w:rPr>
        <w:t>A</w:t>
      </w:r>
      <w:r w:rsidRPr="00673F1F">
        <w:rPr>
          <w:rFonts w:eastAsia="Calibri" w:cstheme="minorHAnsi"/>
          <w:b/>
          <w:color w:val="0000FF"/>
          <w:szCs w:val="20"/>
        </w:rPr>
        <w:t xml:space="preserve">djustment for </w:t>
      </w:r>
      <w:r>
        <w:rPr>
          <w:rFonts w:eastAsia="Calibri" w:cstheme="minorHAnsi"/>
          <w:b/>
          <w:color w:val="0000FF"/>
          <w:szCs w:val="20"/>
        </w:rPr>
        <w:t>S</w:t>
      </w:r>
      <w:r w:rsidRPr="00673F1F">
        <w:rPr>
          <w:rFonts w:eastAsia="Calibri" w:cstheme="minorHAnsi"/>
          <w:b/>
          <w:color w:val="0000FF"/>
          <w:szCs w:val="20"/>
        </w:rPr>
        <w:t xml:space="preserve">ocial </w:t>
      </w:r>
      <w:r>
        <w:rPr>
          <w:rFonts w:eastAsia="Calibri" w:cstheme="minorHAnsi"/>
          <w:b/>
          <w:color w:val="0000FF"/>
          <w:szCs w:val="20"/>
        </w:rPr>
        <w:t>R</w:t>
      </w:r>
      <w:r w:rsidRPr="00673F1F">
        <w:rPr>
          <w:rFonts w:eastAsia="Calibri" w:cstheme="minorHAnsi"/>
          <w:b/>
          <w:color w:val="0000FF"/>
          <w:szCs w:val="20"/>
        </w:rPr>
        <w:t xml:space="preserve">isk </w:t>
      </w:r>
      <w:r w:rsidRPr="00135ACC">
        <w:rPr>
          <w:rFonts w:eastAsia="Calibri" w:cstheme="minorHAnsi"/>
          <w:b/>
          <w:color w:val="0000FF"/>
          <w:szCs w:val="20"/>
        </w:rPr>
        <w:t xml:space="preserve">Factors (n = </w:t>
      </w:r>
      <w:r w:rsidRPr="00360220">
        <w:rPr>
          <w:rFonts w:eastAsia="Calibri" w:cstheme="minorHAnsi"/>
          <w:b/>
          <w:color w:val="0000FF"/>
          <w:szCs w:val="20"/>
        </w:rPr>
        <w:t>1,1</w:t>
      </w:r>
      <w:r w:rsidR="00135ACC" w:rsidRPr="00360220">
        <w:rPr>
          <w:rFonts w:eastAsia="Calibri" w:cstheme="minorHAnsi"/>
          <w:b/>
          <w:color w:val="0000FF"/>
          <w:szCs w:val="20"/>
        </w:rPr>
        <w:t>17</w:t>
      </w:r>
      <w:r w:rsidRPr="00135ACC">
        <w:rPr>
          <w:rFonts w:eastAsia="Calibri" w:cstheme="minorHAnsi"/>
          <w:b/>
          <w:color w:val="0000FF"/>
          <w:szCs w:val="20"/>
        </w:rPr>
        <w:t>)</w:t>
      </w:r>
    </w:p>
    <w:tbl>
      <w:tblPr>
        <w:tblW w:w="5000" w:type="pct"/>
        <w:tblLook w:val="06A0" w:firstRow="1" w:lastRow="0" w:firstColumn="1" w:lastColumn="0" w:noHBand="1" w:noVBand="1"/>
      </w:tblPr>
      <w:tblGrid>
        <w:gridCol w:w="3224"/>
        <w:gridCol w:w="784"/>
        <w:gridCol w:w="880"/>
        <w:gridCol w:w="797"/>
        <w:gridCol w:w="1121"/>
        <w:gridCol w:w="891"/>
        <w:gridCol w:w="869"/>
        <w:gridCol w:w="794"/>
      </w:tblGrid>
      <w:tr w:rsidR="002E27C5" w:rsidRPr="001B21D9" w14:paraId="7B5AC8AB" w14:textId="77777777" w:rsidTr="00131AC4">
        <w:tc>
          <w:tcPr>
            <w:tcW w:w="1722" w:type="pct"/>
            <w:tcBorders>
              <w:top w:val="single" w:sz="4" w:space="0" w:color="auto"/>
              <w:bottom w:val="single" w:sz="4" w:space="0" w:color="auto"/>
            </w:tcBorders>
            <w:shd w:val="clear" w:color="auto" w:fill="D9D9D9" w:themeFill="background1" w:themeFillShade="D9"/>
            <w:vAlign w:val="center"/>
          </w:tcPr>
          <w:p w14:paraId="3EDD14F6" w14:textId="5E9959AC" w:rsidR="002E27C5" w:rsidRPr="00673F1F" w:rsidRDefault="002E27C5" w:rsidP="00131AC4">
            <w:pPr>
              <w:spacing w:after="0" w:line="240" w:lineRule="auto"/>
              <w:rPr>
                <w:rFonts w:cstheme="minorHAnsi"/>
                <w:b/>
                <w:bCs/>
                <w:color w:val="0000FF"/>
                <w:sz w:val="20"/>
              </w:rPr>
            </w:pPr>
            <w:r>
              <w:rPr>
                <w:rFonts w:eastAsia="Calibri" w:cstheme="minorHAnsi"/>
                <w:b/>
                <w:bCs/>
                <w:color w:val="0000FF"/>
                <w:sz w:val="20"/>
              </w:rPr>
              <w:t xml:space="preserve">Change in Mobility </w:t>
            </w:r>
            <w:r w:rsidRPr="00673F1F">
              <w:rPr>
                <w:rFonts w:eastAsia="Calibri" w:cstheme="minorHAnsi"/>
                <w:b/>
                <w:bCs/>
                <w:color w:val="0000FF"/>
                <w:sz w:val="20"/>
              </w:rPr>
              <w:t>Scores</w:t>
            </w:r>
          </w:p>
        </w:tc>
        <w:tc>
          <w:tcPr>
            <w:tcW w:w="419" w:type="pct"/>
            <w:tcBorders>
              <w:top w:val="single" w:sz="4" w:space="0" w:color="auto"/>
              <w:bottom w:val="single" w:sz="4" w:space="0" w:color="auto"/>
            </w:tcBorders>
            <w:shd w:val="clear" w:color="auto" w:fill="D9D9D9" w:themeFill="background1" w:themeFillShade="D9"/>
            <w:vAlign w:val="center"/>
          </w:tcPr>
          <w:p w14:paraId="427A03E6"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Mean</w:t>
            </w:r>
          </w:p>
        </w:tc>
        <w:tc>
          <w:tcPr>
            <w:tcW w:w="470" w:type="pct"/>
            <w:tcBorders>
              <w:top w:val="single" w:sz="4" w:space="0" w:color="auto"/>
              <w:bottom w:val="single" w:sz="4" w:space="0" w:color="auto"/>
            </w:tcBorders>
            <w:shd w:val="clear" w:color="auto" w:fill="D9D9D9" w:themeFill="background1" w:themeFillShade="D9"/>
            <w:vAlign w:val="center"/>
          </w:tcPr>
          <w:p w14:paraId="5DF462EC"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SD</w:t>
            </w:r>
          </w:p>
        </w:tc>
        <w:tc>
          <w:tcPr>
            <w:tcW w:w="426" w:type="pct"/>
            <w:tcBorders>
              <w:top w:val="single" w:sz="4" w:space="0" w:color="auto"/>
              <w:bottom w:val="single" w:sz="4" w:space="0" w:color="auto"/>
            </w:tcBorders>
            <w:shd w:val="clear" w:color="auto" w:fill="D9D9D9" w:themeFill="background1" w:themeFillShade="D9"/>
            <w:vAlign w:val="center"/>
          </w:tcPr>
          <w:p w14:paraId="0383E5CF"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Min</w:t>
            </w:r>
          </w:p>
        </w:tc>
        <w:tc>
          <w:tcPr>
            <w:tcW w:w="599" w:type="pct"/>
            <w:tcBorders>
              <w:top w:val="single" w:sz="4" w:space="0" w:color="auto"/>
              <w:bottom w:val="single" w:sz="4" w:space="0" w:color="auto"/>
            </w:tcBorders>
            <w:shd w:val="clear" w:color="auto" w:fill="D9D9D9" w:themeFill="background1" w:themeFillShade="D9"/>
            <w:vAlign w:val="center"/>
          </w:tcPr>
          <w:p w14:paraId="7613E327"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25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476" w:type="pct"/>
            <w:tcBorders>
              <w:top w:val="single" w:sz="4" w:space="0" w:color="auto"/>
              <w:bottom w:val="single" w:sz="4" w:space="0" w:color="auto"/>
            </w:tcBorders>
            <w:shd w:val="clear" w:color="auto" w:fill="D9D9D9" w:themeFill="background1" w:themeFillShade="D9"/>
            <w:vAlign w:val="center"/>
          </w:tcPr>
          <w:p w14:paraId="73FE4EC5"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Median</w:t>
            </w:r>
          </w:p>
        </w:tc>
        <w:tc>
          <w:tcPr>
            <w:tcW w:w="464" w:type="pct"/>
            <w:tcBorders>
              <w:top w:val="single" w:sz="4" w:space="0" w:color="auto"/>
              <w:bottom w:val="single" w:sz="4" w:space="0" w:color="auto"/>
            </w:tcBorders>
            <w:shd w:val="clear" w:color="auto" w:fill="D9D9D9" w:themeFill="background1" w:themeFillShade="D9"/>
            <w:vAlign w:val="center"/>
          </w:tcPr>
          <w:p w14:paraId="7E20C24A"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75</w:t>
            </w:r>
            <w:r w:rsidRPr="00673F1F">
              <w:rPr>
                <w:rFonts w:cstheme="minorHAnsi"/>
                <w:b/>
                <w:bCs/>
                <w:color w:val="0000FF"/>
                <w:sz w:val="20"/>
                <w:vertAlign w:val="superscript"/>
              </w:rPr>
              <w:t>th</w:t>
            </w:r>
            <w:r w:rsidRPr="00673F1F">
              <w:rPr>
                <w:rFonts w:cstheme="minorHAnsi"/>
                <w:b/>
                <w:bCs/>
                <w:color w:val="0000FF"/>
                <w:sz w:val="20"/>
              </w:rPr>
              <w:t xml:space="preserve"> Pct</w:t>
            </w:r>
          </w:p>
        </w:tc>
        <w:tc>
          <w:tcPr>
            <w:tcW w:w="424" w:type="pct"/>
            <w:tcBorders>
              <w:top w:val="single" w:sz="4" w:space="0" w:color="auto"/>
              <w:bottom w:val="single" w:sz="4" w:space="0" w:color="auto"/>
            </w:tcBorders>
            <w:shd w:val="clear" w:color="auto" w:fill="D9D9D9" w:themeFill="background1" w:themeFillShade="D9"/>
            <w:vAlign w:val="center"/>
          </w:tcPr>
          <w:p w14:paraId="49CA9249" w14:textId="77777777" w:rsidR="002E27C5" w:rsidRPr="00673F1F" w:rsidRDefault="002E27C5" w:rsidP="00360220">
            <w:pPr>
              <w:spacing w:after="0" w:line="240" w:lineRule="auto"/>
              <w:jc w:val="center"/>
              <w:rPr>
                <w:rFonts w:cstheme="minorHAnsi"/>
                <w:b/>
                <w:bCs/>
                <w:color w:val="0000FF"/>
                <w:sz w:val="20"/>
              </w:rPr>
            </w:pPr>
            <w:r w:rsidRPr="00673F1F">
              <w:rPr>
                <w:rFonts w:cstheme="minorHAnsi"/>
                <w:b/>
                <w:bCs/>
                <w:color w:val="0000FF"/>
                <w:sz w:val="20"/>
              </w:rPr>
              <w:t>Max</w:t>
            </w:r>
          </w:p>
        </w:tc>
      </w:tr>
      <w:tr w:rsidR="00910350" w:rsidRPr="001B21D9" w14:paraId="74B16547" w14:textId="77777777" w:rsidTr="00360220">
        <w:trPr>
          <w:trHeight w:val="297"/>
        </w:trPr>
        <w:tc>
          <w:tcPr>
            <w:tcW w:w="1722" w:type="pct"/>
            <w:tcBorders>
              <w:top w:val="single" w:sz="4" w:space="0" w:color="auto"/>
            </w:tcBorders>
            <w:vAlign w:val="center"/>
          </w:tcPr>
          <w:p w14:paraId="64D13344" w14:textId="77777777" w:rsidR="00910350" w:rsidRPr="00673F1F" w:rsidRDefault="00910350" w:rsidP="00910350">
            <w:pPr>
              <w:spacing w:after="0" w:line="240" w:lineRule="auto"/>
              <w:rPr>
                <w:rFonts w:cstheme="minorHAnsi"/>
                <w:color w:val="0000FF"/>
                <w:sz w:val="20"/>
              </w:rPr>
            </w:pPr>
            <w:r w:rsidRPr="00673F1F">
              <w:rPr>
                <w:rFonts w:eastAsia="Calibri" w:cstheme="minorHAnsi"/>
                <w:color w:val="0000FF"/>
                <w:sz w:val="20"/>
              </w:rPr>
              <w:t>Not adjusting for SRF</w:t>
            </w:r>
          </w:p>
        </w:tc>
        <w:tc>
          <w:tcPr>
            <w:tcW w:w="419" w:type="pct"/>
            <w:tcBorders>
              <w:top w:val="single" w:sz="4" w:space="0" w:color="auto"/>
            </w:tcBorders>
            <w:vAlign w:val="center"/>
          </w:tcPr>
          <w:p w14:paraId="48A8AE50" w14:textId="1B0C6531"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28.3</w:t>
            </w:r>
          </w:p>
        </w:tc>
        <w:tc>
          <w:tcPr>
            <w:tcW w:w="470" w:type="pct"/>
            <w:tcBorders>
              <w:top w:val="single" w:sz="4" w:space="0" w:color="auto"/>
            </w:tcBorders>
            <w:vAlign w:val="center"/>
          </w:tcPr>
          <w:p w14:paraId="0A342183" w14:textId="4592D8C0"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4.6</w:t>
            </w:r>
          </w:p>
        </w:tc>
        <w:tc>
          <w:tcPr>
            <w:tcW w:w="426" w:type="pct"/>
            <w:tcBorders>
              <w:top w:val="single" w:sz="4" w:space="0" w:color="auto"/>
            </w:tcBorders>
            <w:vAlign w:val="center"/>
          </w:tcPr>
          <w:p w14:paraId="0CF64807" w14:textId="2D921053"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13.3</w:t>
            </w:r>
          </w:p>
        </w:tc>
        <w:tc>
          <w:tcPr>
            <w:tcW w:w="599" w:type="pct"/>
            <w:tcBorders>
              <w:top w:val="single" w:sz="4" w:space="0" w:color="auto"/>
            </w:tcBorders>
            <w:vAlign w:val="center"/>
          </w:tcPr>
          <w:p w14:paraId="5F35F92D" w14:textId="5788FA12"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25.1</w:t>
            </w:r>
          </w:p>
        </w:tc>
        <w:tc>
          <w:tcPr>
            <w:tcW w:w="476" w:type="pct"/>
            <w:tcBorders>
              <w:top w:val="single" w:sz="4" w:space="0" w:color="auto"/>
            </w:tcBorders>
            <w:vAlign w:val="center"/>
          </w:tcPr>
          <w:p w14:paraId="34A51BE0" w14:textId="3CEE6E0A"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28.1</w:t>
            </w:r>
          </w:p>
        </w:tc>
        <w:tc>
          <w:tcPr>
            <w:tcW w:w="464" w:type="pct"/>
            <w:tcBorders>
              <w:top w:val="single" w:sz="4" w:space="0" w:color="auto"/>
            </w:tcBorders>
            <w:vAlign w:val="center"/>
          </w:tcPr>
          <w:p w14:paraId="3D2B22C3" w14:textId="220045E2"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31.4</w:t>
            </w:r>
          </w:p>
        </w:tc>
        <w:tc>
          <w:tcPr>
            <w:tcW w:w="424" w:type="pct"/>
            <w:tcBorders>
              <w:top w:val="single" w:sz="4" w:space="0" w:color="auto"/>
            </w:tcBorders>
            <w:vAlign w:val="center"/>
          </w:tcPr>
          <w:p w14:paraId="3AE16A22" w14:textId="7F85B72E"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46.7</w:t>
            </w:r>
          </w:p>
        </w:tc>
      </w:tr>
      <w:tr w:rsidR="00910350" w:rsidRPr="001B21D9" w14:paraId="7CCFF9EB" w14:textId="77777777" w:rsidTr="00360220">
        <w:trPr>
          <w:trHeight w:val="297"/>
        </w:trPr>
        <w:tc>
          <w:tcPr>
            <w:tcW w:w="1722" w:type="pct"/>
            <w:vAlign w:val="center"/>
          </w:tcPr>
          <w:p w14:paraId="54874735" w14:textId="77777777" w:rsidR="00910350" w:rsidRPr="00673F1F" w:rsidRDefault="00910350" w:rsidP="00910350">
            <w:pPr>
              <w:spacing w:after="0" w:line="240" w:lineRule="auto"/>
              <w:rPr>
                <w:rFonts w:eastAsiaTheme="minorBidi" w:cstheme="minorHAnsi"/>
                <w:color w:val="0000FF"/>
                <w:sz w:val="20"/>
              </w:rPr>
            </w:pPr>
            <w:r w:rsidRPr="00673F1F">
              <w:rPr>
                <w:rFonts w:eastAsia="Calibri" w:cstheme="minorHAnsi"/>
                <w:color w:val="0000FF"/>
                <w:sz w:val="20"/>
              </w:rPr>
              <w:t>Adjusting for SRF</w:t>
            </w:r>
          </w:p>
        </w:tc>
        <w:tc>
          <w:tcPr>
            <w:tcW w:w="419" w:type="pct"/>
            <w:vAlign w:val="center"/>
          </w:tcPr>
          <w:p w14:paraId="64C3A42D" w14:textId="47D155DF"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28.3</w:t>
            </w:r>
          </w:p>
        </w:tc>
        <w:tc>
          <w:tcPr>
            <w:tcW w:w="470" w:type="pct"/>
            <w:vAlign w:val="center"/>
          </w:tcPr>
          <w:p w14:paraId="407E5014" w14:textId="44D83716"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4.5</w:t>
            </w:r>
          </w:p>
        </w:tc>
        <w:tc>
          <w:tcPr>
            <w:tcW w:w="426" w:type="pct"/>
            <w:vAlign w:val="center"/>
          </w:tcPr>
          <w:p w14:paraId="48D2E129" w14:textId="35C61020"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13.0</w:t>
            </w:r>
          </w:p>
        </w:tc>
        <w:tc>
          <w:tcPr>
            <w:tcW w:w="599" w:type="pct"/>
            <w:vAlign w:val="center"/>
          </w:tcPr>
          <w:p w14:paraId="5D14D030" w14:textId="0A6559E5"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25.2</w:t>
            </w:r>
          </w:p>
        </w:tc>
        <w:tc>
          <w:tcPr>
            <w:tcW w:w="476" w:type="pct"/>
            <w:vAlign w:val="center"/>
          </w:tcPr>
          <w:p w14:paraId="0283A9AB" w14:textId="6D36577E"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28.0</w:t>
            </w:r>
          </w:p>
        </w:tc>
        <w:tc>
          <w:tcPr>
            <w:tcW w:w="464" w:type="pct"/>
            <w:vAlign w:val="center"/>
          </w:tcPr>
          <w:p w14:paraId="1010ABA3" w14:textId="58C76A8B"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31.3</w:t>
            </w:r>
          </w:p>
        </w:tc>
        <w:tc>
          <w:tcPr>
            <w:tcW w:w="424" w:type="pct"/>
            <w:vAlign w:val="center"/>
          </w:tcPr>
          <w:p w14:paraId="6A954DA1" w14:textId="754F3461"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47.2</w:t>
            </w:r>
          </w:p>
        </w:tc>
      </w:tr>
      <w:tr w:rsidR="00910350" w:rsidRPr="001B21D9" w14:paraId="3A382E30" w14:textId="77777777" w:rsidTr="00360220">
        <w:trPr>
          <w:trHeight w:val="297"/>
        </w:trPr>
        <w:tc>
          <w:tcPr>
            <w:tcW w:w="1722" w:type="pct"/>
            <w:tcBorders>
              <w:bottom w:val="single" w:sz="4" w:space="0" w:color="auto"/>
            </w:tcBorders>
            <w:vAlign w:val="center"/>
          </w:tcPr>
          <w:p w14:paraId="51B3A3CE" w14:textId="630E4FAF" w:rsidR="00910350" w:rsidRPr="00673F1F" w:rsidRDefault="00910350" w:rsidP="00910350">
            <w:pPr>
              <w:spacing w:after="0" w:line="240" w:lineRule="auto"/>
              <w:rPr>
                <w:rFonts w:eastAsia="Calibri" w:cstheme="minorHAnsi"/>
                <w:color w:val="0000FF"/>
                <w:sz w:val="20"/>
              </w:rPr>
            </w:pPr>
            <w:r>
              <w:rPr>
                <w:rFonts w:eastAsiaTheme="minorBidi" w:cstheme="minorHAnsi"/>
                <w:color w:val="0000FF"/>
                <w:sz w:val="20"/>
              </w:rPr>
              <w:t>Difference in Scores</w:t>
            </w:r>
            <w:r w:rsidRPr="00673F1F">
              <w:rPr>
                <w:rFonts w:eastAsiaTheme="minorBidi" w:cstheme="minorHAnsi"/>
                <w:color w:val="0000FF"/>
                <w:sz w:val="20"/>
              </w:rPr>
              <w:t xml:space="preserve"> </w:t>
            </w:r>
            <w:r>
              <w:rPr>
                <w:rFonts w:eastAsiaTheme="minorBidi" w:cstheme="minorHAnsi"/>
                <w:color w:val="0000FF"/>
                <w:sz w:val="20"/>
              </w:rPr>
              <w:t>(</w:t>
            </w:r>
            <w:r w:rsidRPr="00673F1F">
              <w:rPr>
                <w:rFonts w:eastAsiaTheme="minorBidi" w:cstheme="minorHAnsi"/>
                <w:color w:val="0000FF"/>
                <w:sz w:val="20"/>
              </w:rPr>
              <w:t xml:space="preserve">SRF-adjusted </w:t>
            </w:r>
            <w:r>
              <w:rPr>
                <w:rFonts w:eastAsiaTheme="minorBidi" w:cstheme="minorHAnsi"/>
                <w:color w:val="0000FF"/>
                <w:sz w:val="20"/>
              </w:rPr>
              <w:t>minus</w:t>
            </w:r>
            <w:r w:rsidRPr="00673F1F">
              <w:rPr>
                <w:rFonts w:eastAsiaTheme="minorBidi" w:cstheme="minorHAnsi"/>
                <w:color w:val="0000FF"/>
                <w:sz w:val="20"/>
              </w:rPr>
              <w:t xml:space="preserve"> non-SRF adjusted scores</w:t>
            </w:r>
            <w:r>
              <w:rPr>
                <w:rFonts w:eastAsiaTheme="minorBidi" w:cstheme="minorHAnsi"/>
                <w:color w:val="0000FF"/>
                <w:sz w:val="20"/>
              </w:rPr>
              <w:t>)</w:t>
            </w:r>
            <w:r w:rsidRPr="00673F1F">
              <w:rPr>
                <w:rFonts w:eastAsiaTheme="minorBidi" w:cstheme="minorHAnsi"/>
                <w:color w:val="0000FF"/>
                <w:sz w:val="20"/>
              </w:rPr>
              <w:t>*</w:t>
            </w:r>
          </w:p>
        </w:tc>
        <w:tc>
          <w:tcPr>
            <w:tcW w:w="419" w:type="pct"/>
            <w:tcBorders>
              <w:bottom w:val="single" w:sz="4" w:space="0" w:color="auto"/>
            </w:tcBorders>
            <w:vAlign w:val="center"/>
          </w:tcPr>
          <w:p w14:paraId="73A0045A" w14:textId="7A995DED"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0.0</w:t>
            </w:r>
          </w:p>
        </w:tc>
        <w:tc>
          <w:tcPr>
            <w:tcW w:w="470" w:type="pct"/>
            <w:tcBorders>
              <w:bottom w:val="single" w:sz="4" w:space="0" w:color="auto"/>
            </w:tcBorders>
            <w:vAlign w:val="center"/>
          </w:tcPr>
          <w:p w14:paraId="5CD3EDD3" w14:textId="68B5547E"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0.3</w:t>
            </w:r>
          </w:p>
        </w:tc>
        <w:tc>
          <w:tcPr>
            <w:tcW w:w="426" w:type="pct"/>
            <w:tcBorders>
              <w:bottom w:val="single" w:sz="4" w:space="0" w:color="auto"/>
            </w:tcBorders>
            <w:vAlign w:val="center"/>
          </w:tcPr>
          <w:p w14:paraId="49579EAE" w14:textId="0F77484F"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-0.7</w:t>
            </w:r>
          </w:p>
        </w:tc>
        <w:tc>
          <w:tcPr>
            <w:tcW w:w="599" w:type="pct"/>
            <w:tcBorders>
              <w:bottom w:val="single" w:sz="4" w:space="0" w:color="auto"/>
            </w:tcBorders>
            <w:vAlign w:val="center"/>
          </w:tcPr>
          <w:p w14:paraId="416F49AF" w14:textId="6E1DACB4"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-0.3</w:t>
            </w:r>
          </w:p>
        </w:tc>
        <w:tc>
          <w:tcPr>
            <w:tcW w:w="476" w:type="pct"/>
            <w:tcBorders>
              <w:bottom w:val="single" w:sz="4" w:space="0" w:color="auto"/>
            </w:tcBorders>
            <w:vAlign w:val="center"/>
          </w:tcPr>
          <w:p w14:paraId="656A9B8F" w14:textId="03776377"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-0.1</w:t>
            </w:r>
          </w:p>
        </w:tc>
        <w:tc>
          <w:tcPr>
            <w:tcW w:w="464" w:type="pct"/>
            <w:tcBorders>
              <w:bottom w:val="single" w:sz="4" w:space="0" w:color="auto"/>
            </w:tcBorders>
            <w:vAlign w:val="center"/>
          </w:tcPr>
          <w:p w14:paraId="45DEA6BF" w14:textId="162F7944"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0.2</w:t>
            </w:r>
          </w:p>
        </w:tc>
        <w:tc>
          <w:tcPr>
            <w:tcW w:w="424" w:type="pct"/>
            <w:tcBorders>
              <w:bottom w:val="single" w:sz="4" w:space="0" w:color="auto"/>
            </w:tcBorders>
            <w:vAlign w:val="center"/>
          </w:tcPr>
          <w:p w14:paraId="09AFD983" w14:textId="364BDF8C" w:rsidR="00910350" w:rsidRPr="00360220" w:rsidRDefault="00910350" w:rsidP="00360220">
            <w:pPr>
              <w:spacing w:after="0" w:line="240" w:lineRule="auto"/>
              <w:jc w:val="center"/>
              <w:rPr>
                <w:rFonts w:eastAsia="Calibri" w:cstheme="minorHAnsi"/>
                <w:color w:val="0000FF"/>
                <w:sz w:val="20"/>
              </w:rPr>
            </w:pPr>
            <w:r w:rsidRPr="00360220">
              <w:rPr>
                <w:rFonts w:eastAsia="Calibri" w:cstheme="minorHAnsi"/>
                <w:color w:val="0000FF"/>
                <w:sz w:val="20"/>
              </w:rPr>
              <w:t>1.6</w:t>
            </w:r>
          </w:p>
        </w:tc>
      </w:tr>
    </w:tbl>
    <w:p w14:paraId="6BCBE135" w14:textId="77777777" w:rsidR="002E27C5" w:rsidRDefault="002E27C5" w:rsidP="002E27C5">
      <w:pPr>
        <w:spacing w:after="0" w:line="240" w:lineRule="auto"/>
        <w:rPr>
          <w:rFonts w:eastAsiaTheme="minorBidi" w:cstheme="minorHAnsi"/>
          <w:color w:val="0000FF"/>
          <w:sz w:val="18"/>
          <w:szCs w:val="18"/>
        </w:rPr>
      </w:pPr>
      <w:r w:rsidRPr="00673F1F">
        <w:rPr>
          <w:rFonts w:eastAsiaTheme="minorBidi" w:cstheme="minorHAnsi"/>
          <w:color w:val="0000FF"/>
          <w:sz w:val="18"/>
          <w:szCs w:val="18"/>
        </w:rPr>
        <w:t>*Calculated as SRF-adjusted score minus non-SRF adjusted score for each facility.</w:t>
      </w:r>
    </w:p>
    <w:p w14:paraId="078B9117" w14:textId="77777777" w:rsidR="002E27C5" w:rsidRPr="004E3EF6" w:rsidRDefault="002E27C5" w:rsidP="002E27C5">
      <w:pPr>
        <w:spacing w:after="0" w:line="240" w:lineRule="auto"/>
        <w:rPr>
          <w:rFonts w:eastAsia="Calibri" w:cstheme="minorHAnsi"/>
          <w:color w:val="0000FF"/>
          <w:sz w:val="18"/>
          <w:szCs w:val="18"/>
        </w:rPr>
      </w:pPr>
      <w:r w:rsidRPr="00673F1F">
        <w:rPr>
          <w:rFonts w:eastAsia="Calibri" w:cstheme="minorHAnsi"/>
          <w:color w:val="0000FF"/>
          <w:sz w:val="18"/>
          <w:szCs w:val="18"/>
        </w:rPr>
        <w:t>Note: S</w:t>
      </w:r>
      <w:r>
        <w:rPr>
          <w:rFonts w:eastAsia="Calibri" w:cstheme="minorHAnsi"/>
          <w:color w:val="0000FF"/>
          <w:sz w:val="18"/>
          <w:szCs w:val="18"/>
        </w:rPr>
        <w:t>D</w:t>
      </w:r>
      <w:r w:rsidRPr="00673F1F">
        <w:rPr>
          <w:rFonts w:eastAsia="Calibri" w:cstheme="minorHAnsi"/>
          <w:color w:val="0000FF"/>
          <w:sz w:val="18"/>
          <w:szCs w:val="18"/>
        </w:rPr>
        <w:t xml:space="preserve">=Standard </w:t>
      </w:r>
      <w:r>
        <w:rPr>
          <w:rFonts w:eastAsia="Calibri" w:cstheme="minorHAnsi"/>
          <w:color w:val="0000FF"/>
          <w:sz w:val="18"/>
          <w:szCs w:val="18"/>
        </w:rPr>
        <w:t xml:space="preserve">deviation; Min=minimum score; Max=maximum score; </w:t>
      </w:r>
      <w:r w:rsidRPr="00673F1F">
        <w:rPr>
          <w:rFonts w:cstheme="minorHAnsi"/>
          <w:color w:val="0000FF"/>
          <w:sz w:val="18"/>
          <w:szCs w:val="18"/>
        </w:rPr>
        <w:t>Pct = percentile. SRF = social risk factors.</w:t>
      </w:r>
    </w:p>
    <w:p w14:paraId="1049C2F3" w14:textId="77777777" w:rsidR="002E27C5" w:rsidRPr="00673F1F" w:rsidRDefault="002E27C5" w:rsidP="002E27C5">
      <w:pPr>
        <w:spacing w:after="0" w:line="240" w:lineRule="auto"/>
        <w:rPr>
          <w:rFonts w:eastAsia="Calibri" w:cstheme="minorHAnsi"/>
          <w:color w:val="0000FF"/>
          <w:sz w:val="18"/>
          <w:szCs w:val="18"/>
        </w:rPr>
      </w:pPr>
      <w:r w:rsidRPr="004E3EF6">
        <w:rPr>
          <w:rFonts w:eastAsia="Calibri" w:cstheme="minorHAnsi"/>
          <w:color w:val="0000FF"/>
          <w:sz w:val="18"/>
          <w:szCs w:val="18"/>
        </w:rPr>
        <w:t>Source: RTI analysis of IRF-PAI, January – December 2017. (Program reference: LP65)</w:t>
      </w:r>
    </w:p>
    <w:p w14:paraId="5B8F8EA1" w14:textId="77777777" w:rsidR="00C63FB5" w:rsidRDefault="00C63FB5" w:rsidP="00C63FB5">
      <w:pPr>
        <w:spacing w:after="0" w:line="240" w:lineRule="auto"/>
        <w:rPr>
          <w:rFonts w:eastAsia="Calibri" w:cstheme="minorHAnsi"/>
          <w:color w:val="0000FF"/>
        </w:rPr>
      </w:pPr>
    </w:p>
    <w:p w14:paraId="0D25D04E" w14:textId="77777777" w:rsidR="00F40534" w:rsidRDefault="00324575" w:rsidP="00F40534">
      <w:pPr>
        <w:spacing w:after="0" w:line="240" w:lineRule="auto"/>
        <w:rPr>
          <w:rFonts w:cstheme="minorHAnsi"/>
          <w:color w:val="0000FF"/>
        </w:rPr>
      </w:pPr>
      <w:r>
        <w:rPr>
          <w:rFonts w:cstheme="minorHAnsi"/>
          <w:color w:val="0000FF"/>
        </w:rPr>
        <w:lastRenderedPageBreak/>
        <w:t>Our testing of social risk factors and their relationship to patients’ change in mobility scores indicate that some factors (full dual eligibility, Black, Asian or Native American/Alaskan race)</w:t>
      </w:r>
      <w:r w:rsidRPr="00695944">
        <w:rPr>
          <w:rFonts w:cstheme="minorHAnsi"/>
          <w:color w:val="0000FF"/>
        </w:rPr>
        <w:t xml:space="preserve"> </w:t>
      </w:r>
      <w:r>
        <w:rPr>
          <w:rFonts w:cstheme="minorHAnsi"/>
          <w:color w:val="0000FF"/>
        </w:rPr>
        <w:t xml:space="preserve">were tied to </w:t>
      </w:r>
      <w:r>
        <w:rPr>
          <w:rFonts w:eastAsia="Calibri" w:cstheme="minorHAnsi"/>
          <w:color w:val="0000FF"/>
        </w:rPr>
        <w:t>lower mobility change scores</w:t>
      </w:r>
      <w:r>
        <w:rPr>
          <w:rFonts w:cstheme="minorHAnsi"/>
          <w:color w:val="0000FF"/>
        </w:rPr>
        <w:t xml:space="preserve"> while others (lower SES, living alone) were tied to </w:t>
      </w:r>
      <w:r>
        <w:rPr>
          <w:rFonts w:eastAsia="Calibri" w:cstheme="minorHAnsi"/>
          <w:color w:val="0000FF"/>
        </w:rPr>
        <w:t>higher mobility change scores.</w:t>
      </w:r>
      <w:r>
        <w:rPr>
          <w:rFonts w:cstheme="minorHAnsi"/>
          <w:color w:val="0000FF"/>
        </w:rPr>
        <w:t xml:space="preserve">  </w:t>
      </w:r>
      <w:r w:rsidR="00C63FB5">
        <w:rPr>
          <w:rFonts w:cstheme="minorHAnsi"/>
          <w:color w:val="0000FF"/>
        </w:rPr>
        <w:t>Although race</w:t>
      </w:r>
      <w:r>
        <w:rPr>
          <w:rFonts w:cstheme="minorHAnsi"/>
          <w:color w:val="0000FF"/>
        </w:rPr>
        <w:t xml:space="preserve"> and dual eligibility were</w:t>
      </w:r>
      <w:r w:rsidR="00C63FB5">
        <w:rPr>
          <w:rFonts w:cstheme="minorHAnsi"/>
          <w:color w:val="0000FF"/>
        </w:rPr>
        <w:t xml:space="preserve"> associated with lower changes in mobility scores, we believe that </w:t>
      </w:r>
      <w:r>
        <w:rPr>
          <w:rFonts w:cstheme="minorHAnsi"/>
          <w:color w:val="0000FF"/>
        </w:rPr>
        <w:t>f</w:t>
      </w:r>
      <w:r w:rsidRPr="00762CEA">
        <w:rPr>
          <w:rFonts w:cstheme="minorHAnsi"/>
          <w:color w:val="0000FF"/>
        </w:rPr>
        <w:t>urther study is need</w:t>
      </w:r>
      <w:r w:rsidR="00BF162C">
        <w:rPr>
          <w:rFonts w:cstheme="minorHAnsi"/>
          <w:color w:val="0000FF"/>
        </w:rPr>
        <w:t>ed</w:t>
      </w:r>
      <w:r w:rsidRPr="00762CEA">
        <w:rPr>
          <w:rFonts w:cstheme="minorHAnsi"/>
          <w:color w:val="0000FF"/>
        </w:rPr>
        <w:t xml:space="preserve"> to better understand how social risk factors can influence health outcomes</w:t>
      </w:r>
      <w:r>
        <w:rPr>
          <w:rFonts w:cstheme="minorHAnsi"/>
          <w:color w:val="0000FF"/>
        </w:rPr>
        <w:t xml:space="preserve">. </w:t>
      </w:r>
      <w:r w:rsidR="008E1D3C" w:rsidRPr="00091270">
        <w:rPr>
          <w:rFonts w:cstheme="minorHAnsi"/>
          <w:color w:val="0000FF"/>
        </w:rPr>
        <w:t>Our risk adjustment model explained 20% of variance in change in mobility, and the inclusion of these five social risk factors did not explain any additional variance (r-squared = 0.204).</w:t>
      </w:r>
      <w:r w:rsidR="008E1D3C">
        <w:rPr>
          <w:rFonts w:cstheme="minorHAnsi"/>
          <w:color w:val="0000FF"/>
        </w:rPr>
        <w:t xml:space="preserve"> </w:t>
      </w:r>
      <w:bookmarkStart w:id="99" w:name="_Hlk536010924"/>
      <w:r w:rsidR="00A1783E">
        <w:rPr>
          <w:rFonts w:cstheme="minorHAnsi"/>
          <w:color w:val="0000FF"/>
        </w:rPr>
        <w:t>In addition, the mean Change in Mobility Score with and without adjusting for the social risk factors are the same, and the , the median Change in Mobility Score with and without adjusting for the social risk factors was different by .1</w:t>
      </w:r>
      <w:r w:rsidR="009F7AEF">
        <w:rPr>
          <w:rFonts w:cstheme="minorHAnsi"/>
          <w:color w:val="0000FF"/>
        </w:rPr>
        <w:t xml:space="preserve"> mobility unit.</w:t>
      </w:r>
      <w:bookmarkStart w:id="100" w:name="_Hlk534570251"/>
      <w:bookmarkStart w:id="101" w:name="_Hlk534632247"/>
      <w:bookmarkEnd w:id="99"/>
    </w:p>
    <w:p w14:paraId="0D83713F" w14:textId="77777777" w:rsidR="00F40534" w:rsidRDefault="00F40534" w:rsidP="00F40534">
      <w:pPr>
        <w:spacing w:after="0" w:line="240" w:lineRule="auto"/>
        <w:rPr>
          <w:color w:val="0000FF"/>
        </w:rPr>
      </w:pPr>
    </w:p>
    <w:p w14:paraId="7B00816B" w14:textId="7BABEBD6" w:rsidR="001679C6" w:rsidRPr="001679C6" w:rsidRDefault="001679C6" w:rsidP="00F40534">
      <w:pPr>
        <w:spacing w:after="0" w:line="240" w:lineRule="auto"/>
        <w:rPr>
          <w:color w:val="FF0000"/>
        </w:rPr>
      </w:pPr>
      <w:r w:rsidRPr="001679C6">
        <w:rPr>
          <w:color w:val="0000FF"/>
        </w:rPr>
        <w:t>As noted in the Assistant Secretary for Planning and Evaluation’s Report to Congress entitled “</w:t>
      </w:r>
      <w:r w:rsidRPr="001679C6">
        <w:rPr>
          <w:i/>
          <w:iCs/>
          <w:color w:val="0000FF"/>
        </w:rPr>
        <w:t>Social Risk Factors Performance under Value-Based Purchasing</w:t>
      </w:r>
      <w:r w:rsidRPr="001679C6">
        <w:rPr>
          <w:color w:val="0000FF"/>
        </w:rPr>
        <w:t>” (</w:t>
      </w:r>
      <w:hyperlink r:id="rId121" w:history="1">
        <w:r w:rsidRPr="001679C6">
          <w:rPr>
            <w:rStyle w:val="Hyperlink"/>
            <w:color w:val="0000FF"/>
          </w:rPr>
          <w:t>https://aspe.hhs.gov/pdf-report/report-congress-social-risk-factors-and-performance-under-medicares-value-based-purchasing-programs</w:t>
        </w:r>
      </w:hyperlink>
      <w:r w:rsidRPr="001679C6">
        <w:rPr>
          <w:color w:val="0000FF"/>
        </w:rPr>
        <w:t xml:space="preserve">), adjusting performance measures for social factors may mask disparities in the quality of care provided, which could reduce the ability to identify and reduce them. In addition, when differences in quality are related to poor performance, bias, or discrimination, adjusting performance measures could excuse the delivery of worse care to beneficiaries with social risk factors. </w:t>
      </w:r>
    </w:p>
    <w:p w14:paraId="0CABCFF9" w14:textId="74395319" w:rsidR="00C1695E" w:rsidRPr="00001D73" w:rsidRDefault="001679C6" w:rsidP="00EE3DF5">
      <w:pPr>
        <w:spacing w:line="240" w:lineRule="auto"/>
        <w:rPr>
          <w:rFonts w:cstheme="minorHAnsi"/>
          <w:b/>
          <w:bCs/>
        </w:rPr>
      </w:pPr>
      <w:r w:rsidRPr="001679C6">
        <w:rPr>
          <w:color w:val="0000FF"/>
        </w:rPr>
        <w:t xml:space="preserve">Therefore, we do not adjust for social risk factors in our risk adjustment model for the IRF Change in </w:t>
      </w:r>
      <w:r>
        <w:rPr>
          <w:color w:val="0000FF"/>
        </w:rPr>
        <w:t>Mobility</w:t>
      </w:r>
      <w:r w:rsidRPr="001679C6">
        <w:rPr>
          <w:color w:val="0000FF"/>
        </w:rPr>
        <w:t xml:space="preserve"> performance measure. We will continue to monitor the impact of social risk factors on providers’ performance measure scores.</w:t>
      </w:r>
      <w:bookmarkEnd w:id="100"/>
    </w:p>
    <w:bookmarkEnd w:id="101"/>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7EFED222" w14:textId="583BEED1" w:rsidR="00893704" w:rsidRDefault="00001D73" w:rsidP="00F9391C">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F9391C">
        <w:rPr>
          <w:rFonts w:cstheme="minorHAnsi"/>
          <w:b/>
          <w:bCs/>
          <w:i/>
        </w:rPr>
        <w:t>If</w:t>
      </w:r>
      <w:r w:rsidR="00743E46" w:rsidRPr="00F9391C">
        <w:rPr>
          <w:rFonts w:cstheme="minorHAnsi"/>
          <w:b/>
          <w:bCs/>
          <w:i/>
        </w:rPr>
        <w:t xml:space="preserve"> stratified, skip to </w:t>
      </w:r>
      <w:hyperlink w:anchor="question2b49" w:history="1">
        <w:r w:rsidR="009C7513" w:rsidRPr="00F9391C">
          <w:rPr>
            <w:rStyle w:val="Hyperlink"/>
            <w:rFonts w:cstheme="minorHAnsi"/>
            <w:b/>
            <w:bCs/>
            <w:i/>
          </w:rPr>
          <w:t>2b3.9</w:t>
        </w:r>
      </w:hyperlink>
    </w:p>
    <w:p w14:paraId="0E45BBFE" w14:textId="77777777" w:rsidR="00F9391C" w:rsidRPr="00F9391C" w:rsidRDefault="00F9391C" w:rsidP="00F9391C">
      <w:pPr>
        <w:autoSpaceDE w:val="0"/>
        <w:autoSpaceDN w:val="0"/>
        <w:adjustRightInd w:val="0"/>
        <w:spacing w:after="0" w:line="240" w:lineRule="auto"/>
        <w:rPr>
          <w:rFonts w:cstheme="minorHAnsi"/>
          <w:b/>
          <w:bCs/>
        </w:rPr>
      </w:pPr>
    </w:p>
    <w:p w14:paraId="77294EDD" w14:textId="121E18D7" w:rsidR="00C63FB5" w:rsidRDefault="00C63FB5" w:rsidP="00C63FB5">
      <w:pPr>
        <w:spacing w:after="240"/>
        <w:rPr>
          <w:iCs/>
          <w:color w:val="0000FF"/>
        </w:rPr>
      </w:pPr>
      <w:r>
        <w:rPr>
          <w:iCs/>
          <w:color w:val="0000FF"/>
        </w:rPr>
        <w:t>Our risk adjustment model demonstrates reasonable predictive validity for IRF change in mobility scores. Using multiple linear regression, we conducted regression diagnostics to assess model performance, examining predictive ability, and outlier influence.</w:t>
      </w:r>
      <w:r>
        <w:t xml:space="preserve"> </w:t>
      </w:r>
    </w:p>
    <w:p w14:paraId="4E8D0C7A" w14:textId="77777777" w:rsidR="00EE3DF5" w:rsidRDefault="00743E46" w:rsidP="00C63FB5">
      <w:pPr>
        <w:spacing w:after="240"/>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0CABCFFD" w14:textId="6CF44253" w:rsidR="00001D73" w:rsidRPr="00001D73" w:rsidRDefault="00C63FB5" w:rsidP="00C63FB5">
      <w:pPr>
        <w:spacing w:after="240"/>
        <w:rPr>
          <w:rFonts w:cstheme="minorHAnsi"/>
          <w:b/>
          <w:bCs/>
        </w:rPr>
      </w:pPr>
      <w:r>
        <w:rPr>
          <w:iCs/>
          <w:color w:val="0000FF"/>
        </w:rPr>
        <w:t xml:space="preserve">Overall, the model explained </w:t>
      </w:r>
      <w:r w:rsidRPr="00D77E49">
        <w:rPr>
          <w:iCs/>
          <w:color w:val="0000FF"/>
        </w:rPr>
        <w:t>2</w:t>
      </w:r>
      <w:r w:rsidR="004A6709">
        <w:rPr>
          <w:iCs/>
          <w:color w:val="0000FF"/>
        </w:rPr>
        <w:t>0</w:t>
      </w:r>
      <w:r w:rsidRPr="00D77E49">
        <w:rPr>
          <w:iCs/>
          <w:color w:val="0000FF"/>
        </w:rPr>
        <w:t>%</w:t>
      </w:r>
      <w:r>
        <w:rPr>
          <w:iCs/>
          <w:color w:val="0000FF"/>
        </w:rPr>
        <w:t xml:space="preserve"> of variance in change in mobility. </w:t>
      </w:r>
    </w:p>
    <w:p w14:paraId="08631001" w14:textId="77777777" w:rsidR="00360220" w:rsidRDefault="009C7513" w:rsidP="00C63FB5">
      <w:pPr>
        <w:autoSpaceDE w:val="0"/>
        <w:autoSpaceDN w:val="0"/>
        <w:adjustRightInd w:val="0"/>
        <w:spacing w:after="0" w:line="240" w:lineRule="auto"/>
        <w:rPr>
          <w:iCs/>
          <w:color w:val="0000FF"/>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2431CF23" w14:textId="40DD6471" w:rsidR="00C63FB5" w:rsidRDefault="00C63FB5" w:rsidP="00C63FB5">
      <w:pPr>
        <w:autoSpaceDE w:val="0"/>
        <w:autoSpaceDN w:val="0"/>
        <w:adjustRightInd w:val="0"/>
        <w:spacing w:after="0" w:line="240" w:lineRule="auto"/>
        <w:rPr>
          <w:rFonts w:cstheme="minorHAnsi"/>
          <w:b/>
          <w:bCs/>
        </w:rPr>
      </w:pPr>
      <w:r>
        <w:rPr>
          <w:iCs/>
          <w:color w:val="0000FF"/>
        </w:rPr>
        <w:t xml:space="preserve">We conducted outlier influence analysis to assess for any outlying observations that may have large or extreme effects on the change in </w:t>
      </w:r>
      <w:r w:rsidR="006F43A1">
        <w:rPr>
          <w:iCs/>
          <w:color w:val="0000FF"/>
        </w:rPr>
        <w:t>mobility</w:t>
      </w:r>
      <w:r>
        <w:rPr>
          <w:iCs/>
          <w:color w:val="0000FF"/>
        </w:rPr>
        <w:t xml:space="preserve"> outcome, with a Cook’s D score of 1.0 or higher suggesting a potentially influential observation. All Cook’s D scores were less than 1.0, with the maximum score </w:t>
      </w:r>
      <w:r w:rsidRPr="00D77E49">
        <w:rPr>
          <w:iCs/>
          <w:color w:val="0000FF"/>
        </w:rPr>
        <w:t xml:space="preserve">being </w:t>
      </w:r>
      <w:r w:rsidR="00E41813">
        <w:rPr>
          <w:iCs/>
          <w:color w:val="0000FF"/>
        </w:rPr>
        <w:t>0.001</w:t>
      </w:r>
      <w:r w:rsidR="00A913E7">
        <w:rPr>
          <w:iCs/>
          <w:color w:val="0000FF"/>
        </w:rPr>
        <w:t>5</w:t>
      </w:r>
      <w:r w:rsidRPr="00D77E49">
        <w:rPr>
          <w:iCs/>
          <w:color w:val="0000FF"/>
        </w:rPr>
        <w:t>.</w:t>
      </w:r>
    </w:p>
    <w:p w14:paraId="0CABCFFE" w14:textId="57E7DDD4" w:rsidR="00001D73" w:rsidRDefault="00001D73" w:rsidP="00092566">
      <w:pPr>
        <w:autoSpaceDE w:val="0"/>
        <w:autoSpaceDN w:val="0"/>
        <w:adjustRightInd w:val="0"/>
        <w:spacing w:after="0" w:line="240" w:lineRule="auto"/>
        <w:rPr>
          <w:rFonts w:cstheme="minorHAnsi"/>
          <w:b/>
          <w:bCs/>
        </w:rPr>
      </w:pPr>
    </w:p>
    <w:p w14:paraId="68A786FC" w14:textId="77777777" w:rsidR="00C63FB5" w:rsidRDefault="009C7513" w:rsidP="00C63FB5">
      <w:pPr>
        <w:autoSpaceDE w:val="0"/>
        <w:autoSpaceDN w:val="0"/>
        <w:adjustRightInd w:val="0"/>
        <w:spacing w:after="0" w:line="240" w:lineRule="auto"/>
        <w:rPr>
          <w:iCs/>
          <w:color w:val="0000FF"/>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4D8C0A16" w14:textId="2298CD4E" w:rsidR="005326A1" w:rsidRDefault="00C63FB5" w:rsidP="00C63FB5">
      <w:pPr>
        <w:spacing w:line="240" w:lineRule="auto"/>
        <w:rPr>
          <w:color w:val="0000FF"/>
        </w:rPr>
      </w:pPr>
      <w:r>
        <w:rPr>
          <w:color w:val="0000FF"/>
        </w:rPr>
        <w:lastRenderedPageBreak/>
        <w:t xml:space="preserve">To assess model performance and stability across the sample, we divided our dataset into deciles of </w:t>
      </w:r>
      <w:r w:rsidR="00BF23FC">
        <w:rPr>
          <w:color w:val="0000FF"/>
        </w:rPr>
        <w:t xml:space="preserve">expected </w:t>
      </w:r>
      <w:r>
        <w:rPr>
          <w:color w:val="0000FF"/>
        </w:rPr>
        <w:t xml:space="preserve">values and calculated the ratio of average </w:t>
      </w:r>
      <w:r w:rsidR="00BF23FC">
        <w:rPr>
          <w:color w:val="0000FF"/>
        </w:rPr>
        <w:t xml:space="preserve">expected </w:t>
      </w:r>
      <w:r>
        <w:rPr>
          <w:color w:val="0000FF"/>
        </w:rPr>
        <w:t xml:space="preserve">change score to average observed change score within each decile. A ratio of 1 would indicate perfect agreement between average </w:t>
      </w:r>
      <w:r w:rsidR="00BF23FC">
        <w:rPr>
          <w:color w:val="0000FF"/>
        </w:rPr>
        <w:t xml:space="preserve">expected </w:t>
      </w:r>
      <w:r>
        <w:rPr>
          <w:color w:val="0000FF"/>
        </w:rPr>
        <w:t xml:space="preserve">and observed change scores. </w:t>
      </w:r>
      <w:r w:rsidR="005326A1" w:rsidRPr="00ED0D23">
        <w:rPr>
          <w:color w:val="0000FF"/>
        </w:rPr>
        <w:t>We expect that the risk adjusted model performance will be stable among IRFs regardless of whether they have</w:t>
      </w:r>
      <w:r w:rsidR="005326A1">
        <w:rPr>
          <w:color w:val="0000FF"/>
        </w:rPr>
        <w:t xml:space="preserve"> patients with</w:t>
      </w:r>
      <w:r w:rsidR="005326A1" w:rsidRPr="00ED0D23">
        <w:rPr>
          <w:color w:val="0000FF"/>
        </w:rPr>
        <w:t xml:space="preserve"> low or high change scores</w:t>
      </w:r>
      <w:r w:rsidR="005326A1">
        <w:rPr>
          <w:color w:val="0000FF"/>
        </w:rPr>
        <w:t xml:space="preserve"> on average</w:t>
      </w:r>
      <w:r w:rsidR="005326A1" w:rsidRPr="00ED0D23">
        <w:rPr>
          <w:color w:val="0000FF"/>
        </w:rPr>
        <w:t xml:space="preserve">. </w:t>
      </w:r>
    </w:p>
    <w:p w14:paraId="7DF26336" w14:textId="3A724E18" w:rsidR="00C63FB5" w:rsidRDefault="00C63FB5" w:rsidP="00C63FB5">
      <w:pPr>
        <w:spacing w:line="240" w:lineRule="auto"/>
        <w:rPr>
          <w:color w:val="0000FF"/>
        </w:rPr>
      </w:pPr>
      <w:r>
        <w:rPr>
          <w:color w:val="0000FF"/>
        </w:rPr>
        <w:t xml:space="preserve">As seen in </w:t>
      </w:r>
      <w:r>
        <w:rPr>
          <w:b/>
          <w:bCs/>
          <w:color w:val="0000FF"/>
        </w:rPr>
        <w:t>Table 1</w:t>
      </w:r>
      <w:r w:rsidR="00360220">
        <w:rPr>
          <w:b/>
          <w:bCs/>
          <w:color w:val="0000FF"/>
        </w:rPr>
        <w:t>6</w:t>
      </w:r>
      <w:r>
        <w:rPr>
          <w:color w:val="0000FF"/>
        </w:rPr>
        <w:t xml:space="preserve">, the average </w:t>
      </w:r>
      <w:r w:rsidR="00BF23FC">
        <w:rPr>
          <w:color w:val="0000FF"/>
        </w:rPr>
        <w:t xml:space="preserve">expected </w:t>
      </w:r>
      <w:r>
        <w:rPr>
          <w:color w:val="0000FF"/>
        </w:rPr>
        <w:t>to observed change score ratios within each decile approximated 1.</w:t>
      </w:r>
      <w:r w:rsidR="00A2367E">
        <w:rPr>
          <w:color w:val="0000FF"/>
        </w:rPr>
        <w:t>3</w:t>
      </w:r>
      <w:r>
        <w:rPr>
          <w:color w:val="0000FF"/>
        </w:rPr>
        <w:t xml:space="preserve">, with a range </w:t>
      </w:r>
      <w:r w:rsidRPr="00694B99">
        <w:rPr>
          <w:color w:val="0000FF"/>
        </w:rPr>
        <w:t xml:space="preserve">of </w:t>
      </w:r>
      <w:r w:rsidR="00694B99">
        <w:rPr>
          <w:color w:val="0000FF"/>
        </w:rPr>
        <w:t>1.</w:t>
      </w:r>
      <w:r w:rsidR="00A2367E">
        <w:rPr>
          <w:color w:val="0000FF"/>
        </w:rPr>
        <w:t>2</w:t>
      </w:r>
      <w:r w:rsidR="00694B99">
        <w:rPr>
          <w:color w:val="0000FF"/>
        </w:rPr>
        <w:t xml:space="preserve"> to 1.</w:t>
      </w:r>
      <w:r w:rsidR="00A2367E">
        <w:rPr>
          <w:color w:val="0000FF"/>
        </w:rPr>
        <w:t>4</w:t>
      </w:r>
      <w:r>
        <w:rPr>
          <w:color w:val="0000FF"/>
        </w:rPr>
        <w:t xml:space="preserve">, validating model performance. There was little variability in average </w:t>
      </w:r>
      <w:r w:rsidR="00BF23FC">
        <w:rPr>
          <w:color w:val="0000FF"/>
        </w:rPr>
        <w:t xml:space="preserve">expected </w:t>
      </w:r>
      <w:r>
        <w:rPr>
          <w:color w:val="0000FF"/>
        </w:rPr>
        <w:t xml:space="preserve">to observed change score ratios across deciles, supporting model stability across the range of </w:t>
      </w:r>
      <w:r w:rsidR="00BF23FC">
        <w:rPr>
          <w:color w:val="0000FF"/>
        </w:rPr>
        <w:t xml:space="preserve">expected </w:t>
      </w:r>
      <w:r>
        <w:rPr>
          <w:color w:val="0000FF"/>
        </w:rPr>
        <w:t xml:space="preserve">change scores and across the sample. </w:t>
      </w:r>
    </w:p>
    <w:p w14:paraId="56D4FD83" w14:textId="4E2ACB2E" w:rsidR="00C63FB5" w:rsidRPr="00694B99" w:rsidRDefault="00C63FB5" w:rsidP="00C63FB5">
      <w:pPr>
        <w:rPr>
          <w:color w:val="0000FF"/>
        </w:rPr>
      </w:pPr>
      <w:r w:rsidRPr="00694B99">
        <w:rPr>
          <w:b/>
          <w:color w:val="0000FF"/>
        </w:rPr>
        <w:t>Table 1</w:t>
      </w:r>
      <w:r w:rsidR="00360220">
        <w:rPr>
          <w:b/>
          <w:color w:val="0000FF"/>
        </w:rPr>
        <w:t>6</w:t>
      </w:r>
      <w:r w:rsidRPr="00694B99">
        <w:rPr>
          <w:b/>
          <w:color w:val="0000FF"/>
        </w:rPr>
        <w:t xml:space="preserve">. Ratio of Average </w:t>
      </w:r>
      <w:r w:rsidR="000A7F27">
        <w:rPr>
          <w:b/>
          <w:color w:val="0000FF"/>
        </w:rPr>
        <w:t>Expected</w:t>
      </w:r>
      <w:r w:rsidR="000A7F27" w:rsidRPr="00694B99">
        <w:rPr>
          <w:b/>
          <w:color w:val="0000FF"/>
        </w:rPr>
        <w:t xml:space="preserve"> </w:t>
      </w:r>
      <w:r w:rsidRPr="00694B99">
        <w:rPr>
          <w:b/>
          <w:color w:val="0000FF"/>
        </w:rPr>
        <w:t xml:space="preserve">to Average Observed Change in Mobility Scores Across Deciles of </w:t>
      </w:r>
      <w:r w:rsidR="00BF23FC">
        <w:rPr>
          <w:b/>
          <w:color w:val="0000FF"/>
        </w:rPr>
        <w:t>Expected</w:t>
      </w:r>
      <w:r w:rsidR="00BF23FC" w:rsidRPr="00694B99">
        <w:rPr>
          <w:b/>
          <w:color w:val="0000FF"/>
        </w:rPr>
        <w:t xml:space="preserve"> </w:t>
      </w:r>
      <w:r w:rsidRPr="00694B99">
        <w:rPr>
          <w:b/>
          <w:color w:val="0000FF"/>
        </w:rPr>
        <w:t>Change Scores</w:t>
      </w:r>
    </w:p>
    <w:tbl>
      <w:tblPr>
        <w:tblW w:w="8960" w:type="dxa"/>
        <w:jc w:val="center"/>
        <w:tblLook w:val="04A0" w:firstRow="1" w:lastRow="0" w:firstColumn="1" w:lastColumn="0" w:noHBand="0" w:noVBand="1"/>
        <w:tblDescription w:val="Page Layout"/>
      </w:tblPr>
      <w:tblGrid>
        <w:gridCol w:w="2520"/>
        <w:gridCol w:w="1530"/>
        <w:gridCol w:w="1530"/>
        <w:gridCol w:w="1710"/>
        <w:gridCol w:w="1670"/>
      </w:tblGrid>
      <w:tr w:rsidR="00C63FB5" w:rsidRPr="00694B99" w14:paraId="2C5320F7" w14:textId="77777777" w:rsidTr="00694B99">
        <w:trPr>
          <w:trHeight w:val="844"/>
          <w:jc w:val="center"/>
        </w:trPr>
        <w:tc>
          <w:tcPr>
            <w:tcW w:w="2520" w:type="dxa"/>
            <w:tcBorders>
              <w:top w:val="single" w:sz="4" w:space="0" w:color="auto"/>
              <w:left w:val="nil"/>
              <w:bottom w:val="single" w:sz="4" w:space="0" w:color="auto"/>
              <w:right w:val="nil"/>
            </w:tcBorders>
            <w:vAlign w:val="center"/>
            <w:hideMark/>
          </w:tcPr>
          <w:p w14:paraId="440E5DD6" w14:textId="7D012A8E" w:rsidR="00C63FB5" w:rsidRPr="00694B99" w:rsidRDefault="00C63FB5">
            <w:pPr>
              <w:spacing w:after="0" w:line="240" w:lineRule="auto"/>
              <w:jc w:val="center"/>
              <w:rPr>
                <w:rFonts w:eastAsia="Times New Roman" w:cs="Times New Roman"/>
                <w:b/>
                <w:bCs/>
                <w:color w:val="0000FF"/>
              </w:rPr>
            </w:pPr>
            <w:r w:rsidRPr="00694B99">
              <w:rPr>
                <w:rFonts w:eastAsia="Times New Roman" w:cs="Times New Roman"/>
                <w:b/>
                <w:bCs/>
                <w:color w:val="0000FF"/>
              </w:rPr>
              <w:t xml:space="preserve">Deciles of </w:t>
            </w:r>
            <w:r w:rsidR="000A7F27">
              <w:rPr>
                <w:rFonts w:eastAsia="Times New Roman" w:cs="Times New Roman"/>
                <w:b/>
                <w:bCs/>
                <w:color w:val="0000FF"/>
              </w:rPr>
              <w:t>Expected</w:t>
            </w:r>
            <w:r w:rsidR="000A7F27" w:rsidRPr="00694B99">
              <w:rPr>
                <w:rFonts w:eastAsia="Times New Roman" w:cs="Times New Roman"/>
                <w:b/>
                <w:bCs/>
                <w:color w:val="0000FF"/>
              </w:rPr>
              <w:t xml:space="preserve"> </w:t>
            </w:r>
            <w:r w:rsidRPr="00694B99">
              <w:rPr>
                <w:rFonts w:eastAsia="Times New Roman" w:cs="Times New Roman"/>
                <w:b/>
                <w:bCs/>
                <w:color w:val="0000FF"/>
              </w:rPr>
              <w:t>Change Scores</w:t>
            </w:r>
          </w:p>
        </w:tc>
        <w:tc>
          <w:tcPr>
            <w:tcW w:w="1530" w:type="dxa"/>
            <w:tcBorders>
              <w:top w:val="single" w:sz="4" w:space="0" w:color="auto"/>
              <w:left w:val="nil"/>
              <w:bottom w:val="single" w:sz="4" w:space="0" w:color="auto"/>
              <w:right w:val="nil"/>
            </w:tcBorders>
            <w:vAlign w:val="center"/>
            <w:hideMark/>
          </w:tcPr>
          <w:p w14:paraId="7632AD03" w14:textId="77777777" w:rsidR="00C63FB5" w:rsidRPr="00694B99" w:rsidRDefault="00C63FB5">
            <w:pPr>
              <w:spacing w:after="0" w:line="240" w:lineRule="auto"/>
              <w:jc w:val="center"/>
              <w:rPr>
                <w:rFonts w:eastAsia="Times New Roman" w:cs="Times New Roman"/>
                <w:b/>
                <w:bCs/>
                <w:color w:val="0000FF"/>
              </w:rPr>
            </w:pPr>
            <w:r w:rsidRPr="00694B99">
              <w:rPr>
                <w:rFonts w:eastAsia="Times New Roman" w:cs="Times New Roman"/>
                <w:b/>
                <w:bCs/>
                <w:color w:val="0000FF"/>
              </w:rPr>
              <w:t>Sample size</w:t>
            </w:r>
          </w:p>
        </w:tc>
        <w:tc>
          <w:tcPr>
            <w:tcW w:w="1530" w:type="dxa"/>
            <w:tcBorders>
              <w:top w:val="single" w:sz="4" w:space="0" w:color="auto"/>
              <w:left w:val="nil"/>
              <w:bottom w:val="single" w:sz="4" w:space="0" w:color="auto"/>
              <w:right w:val="nil"/>
            </w:tcBorders>
            <w:vAlign w:val="center"/>
            <w:hideMark/>
          </w:tcPr>
          <w:p w14:paraId="112436DE" w14:textId="30CA8BE3" w:rsidR="00C63FB5" w:rsidRPr="00694B99" w:rsidRDefault="00C63FB5">
            <w:pPr>
              <w:spacing w:after="0" w:line="240" w:lineRule="auto"/>
              <w:jc w:val="center"/>
              <w:rPr>
                <w:rFonts w:eastAsia="Times New Roman" w:cs="Times New Roman"/>
                <w:b/>
                <w:bCs/>
                <w:color w:val="0000FF"/>
              </w:rPr>
            </w:pPr>
            <w:r w:rsidRPr="00694B99">
              <w:rPr>
                <w:rFonts w:eastAsia="Times New Roman" w:cs="Times New Roman"/>
                <w:b/>
                <w:bCs/>
                <w:color w:val="0000FF"/>
              </w:rPr>
              <w:t xml:space="preserve">Average </w:t>
            </w:r>
            <w:r w:rsidR="000A7F27">
              <w:rPr>
                <w:rFonts w:eastAsia="Times New Roman" w:cs="Times New Roman"/>
                <w:b/>
                <w:bCs/>
                <w:color w:val="0000FF"/>
              </w:rPr>
              <w:t>Expected</w:t>
            </w:r>
            <w:r w:rsidR="000A7F27" w:rsidRPr="00694B99">
              <w:rPr>
                <w:rFonts w:eastAsia="Times New Roman" w:cs="Times New Roman"/>
                <w:b/>
                <w:bCs/>
                <w:color w:val="0000FF"/>
              </w:rPr>
              <w:t xml:space="preserve"> </w:t>
            </w:r>
            <w:r w:rsidRPr="00694B99">
              <w:rPr>
                <w:rFonts w:eastAsia="Times New Roman" w:cs="Times New Roman"/>
                <w:b/>
                <w:bCs/>
                <w:color w:val="0000FF"/>
              </w:rPr>
              <w:t>Change Score</w:t>
            </w:r>
          </w:p>
        </w:tc>
        <w:tc>
          <w:tcPr>
            <w:tcW w:w="1710" w:type="dxa"/>
            <w:tcBorders>
              <w:top w:val="single" w:sz="4" w:space="0" w:color="auto"/>
              <w:left w:val="nil"/>
              <w:bottom w:val="single" w:sz="4" w:space="0" w:color="auto"/>
              <w:right w:val="nil"/>
            </w:tcBorders>
            <w:vAlign w:val="center"/>
            <w:hideMark/>
          </w:tcPr>
          <w:p w14:paraId="35598FFB" w14:textId="77777777" w:rsidR="00C63FB5" w:rsidRPr="00694B99" w:rsidRDefault="00C63FB5">
            <w:pPr>
              <w:spacing w:after="0" w:line="240" w:lineRule="auto"/>
              <w:jc w:val="center"/>
              <w:rPr>
                <w:rFonts w:eastAsia="Times New Roman" w:cs="Times New Roman"/>
                <w:b/>
                <w:bCs/>
                <w:color w:val="0000FF"/>
              </w:rPr>
            </w:pPr>
            <w:r w:rsidRPr="00694B99">
              <w:rPr>
                <w:rFonts w:eastAsia="Times New Roman" w:cs="Times New Roman"/>
                <w:b/>
                <w:bCs/>
                <w:color w:val="0000FF"/>
              </w:rPr>
              <w:t>Average Observed Change Score</w:t>
            </w:r>
          </w:p>
        </w:tc>
        <w:tc>
          <w:tcPr>
            <w:tcW w:w="1670" w:type="dxa"/>
            <w:tcBorders>
              <w:top w:val="single" w:sz="4" w:space="0" w:color="auto"/>
              <w:left w:val="nil"/>
              <w:bottom w:val="single" w:sz="4" w:space="0" w:color="auto"/>
              <w:right w:val="nil"/>
            </w:tcBorders>
            <w:vAlign w:val="center"/>
            <w:hideMark/>
          </w:tcPr>
          <w:p w14:paraId="47F565E7" w14:textId="65655882" w:rsidR="00C63FB5" w:rsidRPr="00694B99" w:rsidRDefault="00C63FB5">
            <w:pPr>
              <w:spacing w:after="0" w:line="240" w:lineRule="auto"/>
              <w:jc w:val="center"/>
              <w:rPr>
                <w:rFonts w:eastAsia="Times New Roman" w:cs="Times New Roman"/>
                <w:b/>
                <w:bCs/>
                <w:color w:val="0000FF"/>
              </w:rPr>
            </w:pPr>
            <w:r w:rsidRPr="00694B99">
              <w:rPr>
                <w:rFonts w:eastAsia="Times New Roman" w:cs="Times New Roman"/>
                <w:b/>
                <w:bCs/>
                <w:color w:val="0000FF"/>
              </w:rPr>
              <w:t xml:space="preserve">Average </w:t>
            </w:r>
            <w:r w:rsidR="000A7F27">
              <w:rPr>
                <w:rFonts w:eastAsia="Times New Roman" w:cs="Times New Roman"/>
                <w:b/>
                <w:bCs/>
                <w:color w:val="0000FF"/>
              </w:rPr>
              <w:t>Expected</w:t>
            </w:r>
            <w:r w:rsidR="000A7F27" w:rsidRPr="00694B99">
              <w:rPr>
                <w:rFonts w:eastAsia="Times New Roman" w:cs="Times New Roman"/>
                <w:b/>
                <w:bCs/>
                <w:color w:val="0000FF"/>
              </w:rPr>
              <w:t xml:space="preserve"> </w:t>
            </w:r>
            <w:r w:rsidRPr="00694B99">
              <w:rPr>
                <w:rFonts w:eastAsia="Times New Roman" w:cs="Times New Roman"/>
                <w:b/>
                <w:bCs/>
                <w:color w:val="0000FF"/>
              </w:rPr>
              <w:t>to Observed Ratio</w:t>
            </w:r>
          </w:p>
        </w:tc>
      </w:tr>
      <w:tr w:rsidR="001D06C6" w:rsidRPr="00694B99" w14:paraId="556B9320" w14:textId="77777777" w:rsidTr="00D77E49">
        <w:trPr>
          <w:trHeight w:val="300"/>
          <w:jc w:val="center"/>
        </w:trPr>
        <w:tc>
          <w:tcPr>
            <w:tcW w:w="2520" w:type="dxa"/>
            <w:tcBorders>
              <w:top w:val="single" w:sz="4" w:space="0" w:color="auto"/>
              <w:left w:val="nil"/>
              <w:bottom w:val="nil"/>
              <w:right w:val="nil"/>
            </w:tcBorders>
            <w:vAlign w:val="bottom"/>
          </w:tcPr>
          <w:p w14:paraId="0C24799A" w14:textId="16BD9B10" w:rsidR="001D06C6" w:rsidRPr="00694B99" w:rsidRDefault="001D06C6" w:rsidP="001D06C6">
            <w:pPr>
              <w:spacing w:after="0" w:line="240" w:lineRule="auto"/>
              <w:jc w:val="center"/>
              <w:rPr>
                <w:color w:val="0000FF"/>
              </w:rPr>
            </w:pPr>
            <w:r>
              <w:rPr>
                <w:color w:val="0000FF"/>
              </w:rPr>
              <w:t xml:space="preserve">Decile </w:t>
            </w:r>
            <w:r w:rsidRPr="001D06C6">
              <w:rPr>
                <w:color w:val="0000FF"/>
              </w:rPr>
              <w:t>1</w:t>
            </w:r>
            <w:r>
              <w:rPr>
                <w:color w:val="0000FF"/>
              </w:rPr>
              <w:t xml:space="preserve"> </w:t>
            </w:r>
            <w:r w:rsidRPr="001D06C6">
              <w:rPr>
                <w:color w:val="0000FF"/>
              </w:rPr>
              <w:t>(-27.0</w:t>
            </w:r>
            <w:r>
              <w:rPr>
                <w:color w:val="0000FF"/>
              </w:rPr>
              <w:t xml:space="preserve"> – </w:t>
            </w:r>
            <w:r w:rsidRPr="001D06C6">
              <w:rPr>
                <w:color w:val="0000FF"/>
              </w:rPr>
              <w:t>19.1)</w:t>
            </w:r>
          </w:p>
        </w:tc>
        <w:tc>
          <w:tcPr>
            <w:tcW w:w="1530" w:type="dxa"/>
            <w:tcBorders>
              <w:top w:val="single" w:sz="4" w:space="0" w:color="auto"/>
              <w:left w:val="nil"/>
              <w:bottom w:val="nil"/>
              <w:right w:val="nil"/>
            </w:tcBorders>
            <w:vAlign w:val="bottom"/>
          </w:tcPr>
          <w:p w14:paraId="6E59C290" w14:textId="2551777F" w:rsidR="001D06C6" w:rsidRPr="00694B99" w:rsidRDefault="001D06C6" w:rsidP="001D06C6">
            <w:pPr>
              <w:spacing w:after="0" w:line="240" w:lineRule="auto"/>
              <w:jc w:val="center"/>
              <w:rPr>
                <w:color w:val="0000FF"/>
              </w:rPr>
            </w:pPr>
            <w:r w:rsidRPr="001D06C6">
              <w:rPr>
                <w:color w:val="0000FF"/>
              </w:rPr>
              <w:t>42,863</w:t>
            </w:r>
          </w:p>
        </w:tc>
        <w:tc>
          <w:tcPr>
            <w:tcW w:w="1530" w:type="dxa"/>
            <w:tcBorders>
              <w:top w:val="single" w:sz="4" w:space="0" w:color="auto"/>
              <w:left w:val="nil"/>
              <w:bottom w:val="nil"/>
              <w:right w:val="nil"/>
            </w:tcBorders>
            <w:vAlign w:val="bottom"/>
          </w:tcPr>
          <w:p w14:paraId="048A024E" w14:textId="416212DC" w:rsidR="001D06C6" w:rsidRPr="00694B99" w:rsidRDefault="001D06C6" w:rsidP="001D06C6">
            <w:pPr>
              <w:spacing w:after="0" w:line="240" w:lineRule="auto"/>
              <w:jc w:val="center"/>
              <w:rPr>
                <w:color w:val="0000FF"/>
              </w:rPr>
            </w:pPr>
            <w:r w:rsidRPr="001D06C6">
              <w:rPr>
                <w:color w:val="0000FF"/>
              </w:rPr>
              <w:t>14.6</w:t>
            </w:r>
          </w:p>
        </w:tc>
        <w:tc>
          <w:tcPr>
            <w:tcW w:w="1710" w:type="dxa"/>
            <w:tcBorders>
              <w:top w:val="single" w:sz="4" w:space="0" w:color="auto"/>
              <w:left w:val="nil"/>
              <w:bottom w:val="nil"/>
              <w:right w:val="nil"/>
            </w:tcBorders>
            <w:vAlign w:val="bottom"/>
          </w:tcPr>
          <w:p w14:paraId="3D8724B5" w14:textId="6A7A65F3" w:rsidR="001D06C6" w:rsidRPr="00694B99" w:rsidRDefault="001D06C6" w:rsidP="001D06C6">
            <w:pPr>
              <w:spacing w:after="0" w:line="240" w:lineRule="auto"/>
              <w:jc w:val="center"/>
              <w:rPr>
                <w:color w:val="0000FF"/>
              </w:rPr>
            </w:pPr>
            <w:r w:rsidRPr="001D06C6">
              <w:rPr>
                <w:color w:val="0000FF"/>
              </w:rPr>
              <w:t>15.7</w:t>
            </w:r>
          </w:p>
        </w:tc>
        <w:tc>
          <w:tcPr>
            <w:tcW w:w="1670" w:type="dxa"/>
            <w:tcBorders>
              <w:top w:val="single" w:sz="4" w:space="0" w:color="auto"/>
              <w:left w:val="nil"/>
              <w:bottom w:val="nil"/>
              <w:right w:val="nil"/>
            </w:tcBorders>
            <w:vAlign w:val="bottom"/>
          </w:tcPr>
          <w:p w14:paraId="0497FA57" w14:textId="74A607EC" w:rsidR="001D06C6" w:rsidRPr="00694B99" w:rsidRDefault="001D06C6" w:rsidP="001D06C6">
            <w:pPr>
              <w:spacing w:after="0" w:line="240" w:lineRule="auto"/>
              <w:jc w:val="center"/>
              <w:rPr>
                <w:color w:val="0000FF"/>
              </w:rPr>
            </w:pPr>
            <w:r w:rsidRPr="001D06C6">
              <w:rPr>
                <w:color w:val="0000FF"/>
              </w:rPr>
              <w:t>1.3</w:t>
            </w:r>
          </w:p>
        </w:tc>
      </w:tr>
      <w:tr w:rsidR="001D06C6" w:rsidRPr="00694B99" w14:paraId="6FDE99A2" w14:textId="77777777" w:rsidTr="00D77E49">
        <w:trPr>
          <w:trHeight w:val="300"/>
          <w:jc w:val="center"/>
        </w:trPr>
        <w:tc>
          <w:tcPr>
            <w:tcW w:w="2520" w:type="dxa"/>
            <w:vAlign w:val="bottom"/>
          </w:tcPr>
          <w:p w14:paraId="1AF82352" w14:textId="2EF2169E" w:rsidR="001D06C6" w:rsidRPr="00694B99" w:rsidRDefault="001D06C6" w:rsidP="001D06C6">
            <w:pPr>
              <w:spacing w:after="0" w:line="240" w:lineRule="auto"/>
              <w:jc w:val="center"/>
              <w:rPr>
                <w:color w:val="0000FF"/>
              </w:rPr>
            </w:pPr>
            <w:r>
              <w:rPr>
                <w:color w:val="0000FF"/>
              </w:rPr>
              <w:t xml:space="preserve">Decile </w:t>
            </w:r>
            <w:r w:rsidRPr="001D06C6">
              <w:rPr>
                <w:color w:val="0000FF"/>
              </w:rPr>
              <w:t>2</w:t>
            </w:r>
            <w:r>
              <w:rPr>
                <w:color w:val="0000FF"/>
              </w:rPr>
              <w:t xml:space="preserve"> </w:t>
            </w:r>
            <w:r w:rsidRPr="001D06C6">
              <w:rPr>
                <w:color w:val="0000FF"/>
              </w:rPr>
              <w:t>(19.1</w:t>
            </w:r>
            <w:r>
              <w:rPr>
                <w:color w:val="0000FF"/>
              </w:rPr>
              <w:t xml:space="preserve"> – </w:t>
            </w:r>
            <w:r w:rsidRPr="001D06C6">
              <w:rPr>
                <w:color w:val="0000FF"/>
              </w:rPr>
              <w:t>23.0)</w:t>
            </w:r>
          </w:p>
        </w:tc>
        <w:tc>
          <w:tcPr>
            <w:tcW w:w="1530" w:type="dxa"/>
            <w:vAlign w:val="bottom"/>
          </w:tcPr>
          <w:p w14:paraId="3C6FBB75" w14:textId="208AD11D"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257759F6" w14:textId="0884FA10" w:rsidR="001D06C6" w:rsidRPr="00694B99" w:rsidRDefault="001D06C6" w:rsidP="001D06C6">
            <w:pPr>
              <w:spacing w:after="0" w:line="240" w:lineRule="auto"/>
              <w:jc w:val="center"/>
              <w:rPr>
                <w:color w:val="0000FF"/>
              </w:rPr>
            </w:pPr>
            <w:r w:rsidRPr="001D06C6">
              <w:rPr>
                <w:color w:val="0000FF"/>
              </w:rPr>
              <w:t>21.2</w:t>
            </w:r>
          </w:p>
        </w:tc>
        <w:tc>
          <w:tcPr>
            <w:tcW w:w="1710" w:type="dxa"/>
            <w:vAlign w:val="bottom"/>
          </w:tcPr>
          <w:p w14:paraId="6EC2FFC4" w14:textId="7079F7F3" w:rsidR="001D06C6" w:rsidRPr="00694B99" w:rsidRDefault="001D06C6" w:rsidP="001D06C6">
            <w:pPr>
              <w:spacing w:after="0" w:line="240" w:lineRule="auto"/>
              <w:jc w:val="center"/>
              <w:rPr>
                <w:color w:val="0000FF"/>
              </w:rPr>
            </w:pPr>
            <w:r w:rsidRPr="001D06C6">
              <w:rPr>
                <w:color w:val="0000FF"/>
              </w:rPr>
              <w:t>20.6</w:t>
            </w:r>
          </w:p>
        </w:tc>
        <w:tc>
          <w:tcPr>
            <w:tcW w:w="1670" w:type="dxa"/>
            <w:vAlign w:val="bottom"/>
          </w:tcPr>
          <w:p w14:paraId="49DAF465" w14:textId="122A11B4" w:rsidR="001D06C6" w:rsidRPr="00694B99" w:rsidRDefault="001D06C6" w:rsidP="001D06C6">
            <w:pPr>
              <w:spacing w:after="0" w:line="240" w:lineRule="auto"/>
              <w:jc w:val="center"/>
              <w:rPr>
                <w:color w:val="0000FF"/>
              </w:rPr>
            </w:pPr>
            <w:r w:rsidRPr="001D06C6">
              <w:rPr>
                <w:color w:val="0000FF"/>
              </w:rPr>
              <w:t>1.4</w:t>
            </w:r>
          </w:p>
        </w:tc>
      </w:tr>
      <w:tr w:rsidR="001D06C6" w:rsidRPr="00694B99" w14:paraId="1376B5EE" w14:textId="77777777" w:rsidTr="00D77E49">
        <w:trPr>
          <w:trHeight w:val="300"/>
          <w:jc w:val="center"/>
        </w:trPr>
        <w:tc>
          <w:tcPr>
            <w:tcW w:w="2520" w:type="dxa"/>
            <w:vAlign w:val="bottom"/>
          </w:tcPr>
          <w:p w14:paraId="49B8DEFA" w14:textId="5539BC1B" w:rsidR="001D06C6" w:rsidRPr="00694B99" w:rsidRDefault="001D06C6" w:rsidP="001D06C6">
            <w:pPr>
              <w:spacing w:after="0" w:line="240" w:lineRule="auto"/>
              <w:jc w:val="center"/>
              <w:rPr>
                <w:color w:val="0000FF"/>
              </w:rPr>
            </w:pPr>
            <w:r>
              <w:rPr>
                <w:color w:val="0000FF"/>
              </w:rPr>
              <w:t xml:space="preserve">Decile </w:t>
            </w:r>
            <w:r w:rsidRPr="001D06C6">
              <w:rPr>
                <w:color w:val="0000FF"/>
              </w:rPr>
              <w:t>3</w:t>
            </w:r>
            <w:r>
              <w:rPr>
                <w:color w:val="0000FF"/>
              </w:rPr>
              <w:t xml:space="preserve"> </w:t>
            </w:r>
            <w:r w:rsidRPr="001D06C6">
              <w:rPr>
                <w:color w:val="0000FF"/>
              </w:rPr>
              <w:t>(23.0</w:t>
            </w:r>
            <w:r>
              <w:rPr>
                <w:color w:val="0000FF"/>
              </w:rPr>
              <w:t xml:space="preserve"> – </w:t>
            </w:r>
            <w:r w:rsidRPr="001D06C6">
              <w:rPr>
                <w:color w:val="0000FF"/>
              </w:rPr>
              <w:t>25.6)</w:t>
            </w:r>
          </w:p>
        </w:tc>
        <w:tc>
          <w:tcPr>
            <w:tcW w:w="1530" w:type="dxa"/>
            <w:vAlign w:val="bottom"/>
          </w:tcPr>
          <w:p w14:paraId="544EF1DD" w14:textId="72F5D392"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73A18B57" w14:textId="5BC2762F" w:rsidR="001D06C6" w:rsidRPr="00694B99" w:rsidRDefault="001D06C6" w:rsidP="001D06C6">
            <w:pPr>
              <w:spacing w:after="0" w:line="240" w:lineRule="auto"/>
              <w:jc w:val="center"/>
              <w:rPr>
                <w:color w:val="0000FF"/>
              </w:rPr>
            </w:pPr>
            <w:r w:rsidRPr="001D06C6">
              <w:rPr>
                <w:color w:val="0000FF"/>
              </w:rPr>
              <w:t>24.3</w:t>
            </w:r>
          </w:p>
        </w:tc>
        <w:tc>
          <w:tcPr>
            <w:tcW w:w="1710" w:type="dxa"/>
            <w:vAlign w:val="bottom"/>
          </w:tcPr>
          <w:p w14:paraId="176B8391" w14:textId="4E3CC383" w:rsidR="001D06C6" w:rsidRPr="00694B99" w:rsidRDefault="001D06C6" w:rsidP="001D06C6">
            <w:pPr>
              <w:spacing w:after="0" w:line="240" w:lineRule="auto"/>
              <w:jc w:val="center"/>
              <w:rPr>
                <w:color w:val="0000FF"/>
              </w:rPr>
            </w:pPr>
            <w:r w:rsidRPr="001D06C6">
              <w:rPr>
                <w:color w:val="0000FF"/>
              </w:rPr>
              <w:t>23.5</w:t>
            </w:r>
          </w:p>
        </w:tc>
        <w:tc>
          <w:tcPr>
            <w:tcW w:w="1670" w:type="dxa"/>
            <w:vAlign w:val="bottom"/>
          </w:tcPr>
          <w:p w14:paraId="12A30800" w14:textId="0C255BA6" w:rsidR="001D06C6" w:rsidRPr="00694B99" w:rsidRDefault="001D06C6" w:rsidP="001D06C6">
            <w:pPr>
              <w:spacing w:after="0" w:line="240" w:lineRule="auto"/>
              <w:jc w:val="center"/>
              <w:rPr>
                <w:color w:val="0000FF"/>
              </w:rPr>
            </w:pPr>
            <w:r w:rsidRPr="001D06C6">
              <w:rPr>
                <w:color w:val="0000FF"/>
              </w:rPr>
              <w:t>1.4</w:t>
            </w:r>
          </w:p>
        </w:tc>
      </w:tr>
      <w:tr w:rsidR="001D06C6" w:rsidRPr="00694B99" w14:paraId="26BA4DC3" w14:textId="77777777" w:rsidTr="00D77E49">
        <w:trPr>
          <w:trHeight w:val="300"/>
          <w:jc w:val="center"/>
        </w:trPr>
        <w:tc>
          <w:tcPr>
            <w:tcW w:w="2520" w:type="dxa"/>
            <w:vAlign w:val="bottom"/>
          </w:tcPr>
          <w:p w14:paraId="4C2E1B57" w14:textId="6EBC37E4" w:rsidR="001D06C6" w:rsidRPr="00694B99" w:rsidRDefault="001D06C6" w:rsidP="001D06C6">
            <w:pPr>
              <w:spacing w:after="0" w:line="240" w:lineRule="auto"/>
              <w:jc w:val="center"/>
              <w:rPr>
                <w:color w:val="0000FF"/>
              </w:rPr>
            </w:pPr>
            <w:r>
              <w:rPr>
                <w:color w:val="0000FF"/>
              </w:rPr>
              <w:t xml:space="preserve">Decile </w:t>
            </w:r>
            <w:r w:rsidRPr="001D06C6">
              <w:rPr>
                <w:color w:val="0000FF"/>
              </w:rPr>
              <w:t>4</w:t>
            </w:r>
            <w:r>
              <w:rPr>
                <w:color w:val="0000FF"/>
              </w:rPr>
              <w:t xml:space="preserve"> </w:t>
            </w:r>
            <w:r w:rsidRPr="001D06C6">
              <w:rPr>
                <w:color w:val="0000FF"/>
              </w:rPr>
              <w:t>(25.6</w:t>
            </w:r>
            <w:r>
              <w:rPr>
                <w:color w:val="0000FF"/>
              </w:rPr>
              <w:t xml:space="preserve"> – </w:t>
            </w:r>
            <w:r w:rsidRPr="001D06C6">
              <w:rPr>
                <w:color w:val="0000FF"/>
              </w:rPr>
              <w:t>27.6)</w:t>
            </w:r>
          </w:p>
        </w:tc>
        <w:tc>
          <w:tcPr>
            <w:tcW w:w="1530" w:type="dxa"/>
            <w:vAlign w:val="bottom"/>
          </w:tcPr>
          <w:p w14:paraId="1FDBB512" w14:textId="1039A7BB"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4ABE2C8F" w14:textId="0EE45BCC" w:rsidR="001D06C6" w:rsidRPr="00694B99" w:rsidRDefault="001D06C6" w:rsidP="001D06C6">
            <w:pPr>
              <w:spacing w:after="0" w:line="240" w:lineRule="auto"/>
              <w:jc w:val="center"/>
              <w:rPr>
                <w:color w:val="0000FF"/>
              </w:rPr>
            </w:pPr>
            <w:r w:rsidRPr="001D06C6">
              <w:rPr>
                <w:color w:val="0000FF"/>
              </w:rPr>
              <w:t>26.6</w:t>
            </w:r>
          </w:p>
        </w:tc>
        <w:tc>
          <w:tcPr>
            <w:tcW w:w="1710" w:type="dxa"/>
            <w:vAlign w:val="bottom"/>
          </w:tcPr>
          <w:p w14:paraId="7CC04C8D" w14:textId="69A250B0" w:rsidR="001D06C6" w:rsidRPr="00694B99" w:rsidRDefault="001D06C6" w:rsidP="001D06C6">
            <w:pPr>
              <w:spacing w:after="0" w:line="240" w:lineRule="auto"/>
              <w:jc w:val="center"/>
              <w:rPr>
                <w:color w:val="0000FF"/>
              </w:rPr>
            </w:pPr>
            <w:r w:rsidRPr="001D06C6">
              <w:rPr>
                <w:color w:val="0000FF"/>
              </w:rPr>
              <w:t>25.9</w:t>
            </w:r>
          </w:p>
        </w:tc>
        <w:tc>
          <w:tcPr>
            <w:tcW w:w="1670" w:type="dxa"/>
            <w:vAlign w:val="bottom"/>
          </w:tcPr>
          <w:p w14:paraId="7845BEEC" w14:textId="12FE56E4" w:rsidR="001D06C6" w:rsidRPr="00694B99" w:rsidRDefault="001D06C6" w:rsidP="001D06C6">
            <w:pPr>
              <w:spacing w:after="0" w:line="240" w:lineRule="auto"/>
              <w:jc w:val="center"/>
              <w:rPr>
                <w:color w:val="0000FF"/>
              </w:rPr>
            </w:pPr>
            <w:r w:rsidRPr="001D06C6">
              <w:rPr>
                <w:color w:val="0000FF"/>
              </w:rPr>
              <w:t>1.4</w:t>
            </w:r>
          </w:p>
        </w:tc>
      </w:tr>
      <w:tr w:rsidR="001D06C6" w:rsidRPr="00694B99" w14:paraId="0951DFE0" w14:textId="77777777" w:rsidTr="00D77E49">
        <w:trPr>
          <w:trHeight w:val="300"/>
          <w:jc w:val="center"/>
        </w:trPr>
        <w:tc>
          <w:tcPr>
            <w:tcW w:w="2520" w:type="dxa"/>
            <w:vAlign w:val="bottom"/>
          </w:tcPr>
          <w:p w14:paraId="5445E637" w14:textId="38566453" w:rsidR="001D06C6" w:rsidRPr="00694B99" w:rsidRDefault="001D06C6" w:rsidP="001D06C6">
            <w:pPr>
              <w:spacing w:after="0" w:line="240" w:lineRule="auto"/>
              <w:jc w:val="center"/>
              <w:rPr>
                <w:color w:val="0000FF"/>
              </w:rPr>
            </w:pPr>
            <w:r>
              <w:rPr>
                <w:color w:val="0000FF"/>
              </w:rPr>
              <w:t xml:space="preserve">Decile </w:t>
            </w:r>
            <w:r w:rsidRPr="001D06C6">
              <w:rPr>
                <w:color w:val="0000FF"/>
              </w:rPr>
              <w:t>5</w:t>
            </w:r>
            <w:r>
              <w:rPr>
                <w:color w:val="0000FF"/>
              </w:rPr>
              <w:t xml:space="preserve"> </w:t>
            </w:r>
            <w:r w:rsidRPr="001D06C6">
              <w:rPr>
                <w:color w:val="0000FF"/>
              </w:rPr>
              <w:t>(27.6</w:t>
            </w:r>
            <w:r>
              <w:rPr>
                <w:color w:val="0000FF"/>
              </w:rPr>
              <w:t xml:space="preserve"> – </w:t>
            </w:r>
            <w:r w:rsidRPr="001D06C6">
              <w:rPr>
                <w:color w:val="0000FF"/>
              </w:rPr>
              <w:t>29.4)</w:t>
            </w:r>
          </w:p>
        </w:tc>
        <w:tc>
          <w:tcPr>
            <w:tcW w:w="1530" w:type="dxa"/>
            <w:vAlign w:val="bottom"/>
          </w:tcPr>
          <w:p w14:paraId="189DA48C" w14:textId="42583255"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72BE5D28" w14:textId="4C8FC7FC" w:rsidR="001D06C6" w:rsidRPr="00694B99" w:rsidRDefault="001D06C6" w:rsidP="001D06C6">
            <w:pPr>
              <w:spacing w:after="0" w:line="240" w:lineRule="auto"/>
              <w:jc w:val="center"/>
              <w:rPr>
                <w:color w:val="0000FF"/>
              </w:rPr>
            </w:pPr>
            <w:r w:rsidRPr="001D06C6">
              <w:rPr>
                <w:color w:val="0000FF"/>
              </w:rPr>
              <w:t>28.6</w:t>
            </w:r>
          </w:p>
        </w:tc>
        <w:tc>
          <w:tcPr>
            <w:tcW w:w="1710" w:type="dxa"/>
            <w:vAlign w:val="bottom"/>
          </w:tcPr>
          <w:p w14:paraId="0C08C09E" w14:textId="42F7F7F9" w:rsidR="001D06C6" w:rsidRPr="00694B99" w:rsidRDefault="001D06C6" w:rsidP="001D06C6">
            <w:pPr>
              <w:spacing w:after="0" w:line="240" w:lineRule="auto"/>
              <w:jc w:val="center"/>
              <w:rPr>
                <w:color w:val="0000FF"/>
              </w:rPr>
            </w:pPr>
            <w:r w:rsidRPr="001D06C6">
              <w:rPr>
                <w:color w:val="0000FF"/>
              </w:rPr>
              <w:t>28.0</w:t>
            </w:r>
          </w:p>
        </w:tc>
        <w:tc>
          <w:tcPr>
            <w:tcW w:w="1670" w:type="dxa"/>
            <w:vAlign w:val="bottom"/>
          </w:tcPr>
          <w:p w14:paraId="46D23541" w14:textId="3DF0D4BD" w:rsidR="001D06C6" w:rsidRPr="00694B99" w:rsidRDefault="001D06C6" w:rsidP="001D06C6">
            <w:pPr>
              <w:spacing w:after="0" w:line="240" w:lineRule="auto"/>
              <w:jc w:val="center"/>
              <w:rPr>
                <w:color w:val="0000FF"/>
              </w:rPr>
            </w:pPr>
            <w:r w:rsidRPr="001D06C6">
              <w:rPr>
                <w:color w:val="0000FF"/>
              </w:rPr>
              <w:t>1.4</w:t>
            </w:r>
          </w:p>
        </w:tc>
      </w:tr>
      <w:tr w:rsidR="001D06C6" w:rsidRPr="00694B99" w14:paraId="004024C3" w14:textId="77777777" w:rsidTr="00D77E49">
        <w:trPr>
          <w:trHeight w:val="300"/>
          <w:jc w:val="center"/>
        </w:trPr>
        <w:tc>
          <w:tcPr>
            <w:tcW w:w="2520" w:type="dxa"/>
            <w:vAlign w:val="bottom"/>
          </w:tcPr>
          <w:p w14:paraId="25063F03" w14:textId="4B9362D4" w:rsidR="001D06C6" w:rsidRPr="00694B99" w:rsidRDefault="001D06C6" w:rsidP="001D06C6">
            <w:pPr>
              <w:spacing w:after="0" w:line="240" w:lineRule="auto"/>
              <w:jc w:val="center"/>
              <w:rPr>
                <w:color w:val="0000FF"/>
              </w:rPr>
            </w:pPr>
            <w:r>
              <w:rPr>
                <w:color w:val="0000FF"/>
              </w:rPr>
              <w:t xml:space="preserve">Decile </w:t>
            </w:r>
            <w:r w:rsidRPr="001D06C6">
              <w:rPr>
                <w:color w:val="0000FF"/>
              </w:rPr>
              <w:t>6</w:t>
            </w:r>
            <w:r>
              <w:rPr>
                <w:color w:val="0000FF"/>
              </w:rPr>
              <w:t xml:space="preserve"> </w:t>
            </w:r>
            <w:r w:rsidRPr="001D06C6">
              <w:rPr>
                <w:color w:val="0000FF"/>
              </w:rPr>
              <w:t>(29.4</w:t>
            </w:r>
            <w:r>
              <w:rPr>
                <w:color w:val="0000FF"/>
              </w:rPr>
              <w:t xml:space="preserve"> – </w:t>
            </w:r>
            <w:r w:rsidRPr="001D06C6">
              <w:rPr>
                <w:color w:val="0000FF"/>
              </w:rPr>
              <w:t>31.1)</w:t>
            </w:r>
          </w:p>
        </w:tc>
        <w:tc>
          <w:tcPr>
            <w:tcW w:w="1530" w:type="dxa"/>
            <w:vAlign w:val="bottom"/>
          </w:tcPr>
          <w:p w14:paraId="7BAC1720" w14:textId="5B1E22DC" w:rsidR="001D06C6" w:rsidRPr="00694B99" w:rsidRDefault="001D06C6" w:rsidP="001D06C6">
            <w:pPr>
              <w:spacing w:after="0" w:line="240" w:lineRule="auto"/>
              <w:jc w:val="center"/>
              <w:rPr>
                <w:color w:val="0000FF"/>
              </w:rPr>
            </w:pPr>
            <w:r w:rsidRPr="001D06C6">
              <w:rPr>
                <w:color w:val="0000FF"/>
              </w:rPr>
              <w:t>42,864</w:t>
            </w:r>
          </w:p>
        </w:tc>
        <w:tc>
          <w:tcPr>
            <w:tcW w:w="1530" w:type="dxa"/>
            <w:vAlign w:val="bottom"/>
          </w:tcPr>
          <w:p w14:paraId="140019F1" w14:textId="2E2C47B6" w:rsidR="001D06C6" w:rsidRPr="00694B99" w:rsidRDefault="001D06C6" w:rsidP="001D06C6">
            <w:pPr>
              <w:spacing w:after="0" w:line="240" w:lineRule="auto"/>
              <w:jc w:val="center"/>
              <w:rPr>
                <w:color w:val="0000FF"/>
              </w:rPr>
            </w:pPr>
            <w:r w:rsidRPr="001D06C6">
              <w:rPr>
                <w:color w:val="0000FF"/>
              </w:rPr>
              <w:t>30.3</w:t>
            </w:r>
          </w:p>
        </w:tc>
        <w:tc>
          <w:tcPr>
            <w:tcW w:w="1710" w:type="dxa"/>
            <w:vAlign w:val="bottom"/>
          </w:tcPr>
          <w:p w14:paraId="62EFFB01" w14:textId="73C7D945" w:rsidR="001D06C6" w:rsidRPr="00694B99" w:rsidRDefault="001D06C6" w:rsidP="001D06C6">
            <w:pPr>
              <w:spacing w:after="0" w:line="240" w:lineRule="auto"/>
              <w:jc w:val="center"/>
              <w:rPr>
                <w:color w:val="0000FF"/>
              </w:rPr>
            </w:pPr>
            <w:r w:rsidRPr="001D06C6">
              <w:rPr>
                <w:color w:val="0000FF"/>
              </w:rPr>
              <w:t>30.1</w:t>
            </w:r>
          </w:p>
        </w:tc>
        <w:tc>
          <w:tcPr>
            <w:tcW w:w="1670" w:type="dxa"/>
            <w:vAlign w:val="bottom"/>
          </w:tcPr>
          <w:p w14:paraId="2B7D4801" w14:textId="54E72932" w:rsidR="001D06C6" w:rsidRPr="00694B99" w:rsidRDefault="001D06C6" w:rsidP="001D06C6">
            <w:pPr>
              <w:spacing w:after="0" w:line="240" w:lineRule="auto"/>
              <w:jc w:val="center"/>
              <w:rPr>
                <w:color w:val="0000FF"/>
              </w:rPr>
            </w:pPr>
            <w:r w:rsidRPr="001D06C6">
              <w:rPr>
                <w:color w:val="0000FF"/>
              </w:rPr>
              <w:t>1.3</w:t>
            </w:r>
          </w:p>
        </w:tc>
      </w:tr>
      <w:tr w:rsidR="001D06C6" w:rsidRPr="00694B99" w14:paraId="0149B519" w14:textId="77777777" w:rsidTr="00D77E49">
        <w:trPr>
          <w:trHeight w:val="300"/>
          <w:jc w:val="center"/>
        </w:trPr>
        <w:tc>
          <w:tcPr>
            <w:tcW w:w="2520" w:type="dxa"/>
            <w:vAlign w:val="bottom"/>
          </w:tcPr>
          <w:p w14:paraId="37CEEA83" w14:textId="4BB6A483" w:rsidR="001D06C6" w:rsidRPr="00694B99" w:rsidRDefault="001D06C6" w:rsidP="001D06C6">
            <w:pPr>
              <w:spacing w:after="0" w:line="240" w:lineRule="auto"/>
              <w:jc w:val="center"/>
              <w:rPr>
                <w:color w:val="0000FF"/>
              </w:rPr>
            </w:pPr>
            <w:r>
              <w:rPr>
                <w:color w:val="0000FF"/>
              </w:rPr>
              <w:t xml:space="preserve">Decile </w:t>
            </w:r>
            <w:r w:rsidRPr="001D06C6">
              <w:rPr>
                <w:color w:val="0000FF"/>
              </w:rPr>
              <w:t>7</w:t>
            </w:r>
            <w:r>
              <w:rPr>
                <w:color w:val="0000FF"/>
              </w:rPr>
              <w:t xml:space="preserve"> </w:t>
            </w:r>
            <w:r w:rsidRPr="001D06C6">
              <w:rPr>
                <w:color w:val="0000FF"/>
              </w:rPr>
              <w:t>(31.1</w:t>
            </w:r>
            <w:r>
              <w:rPr>
                <w:color w:val="0000FF"/>
              </w:rPr>
              <w:t xml:space="preserve"> – </w:t>
            </w:r>
            <w:r w:rsidRPr="001D06C6">
              <w:rPr>
                <w:color w:val="0000FF"/>
              </w:rPr>
              <w:t>32.7)</w:t>
            </w:r>
          </w:p>
        </w:tc>
        <w:tc>
          <w:tcPr>
            <w:tcW w:w="1530" w:type="dxa"/>
            <w:vAlign w:val="bottom"/>
          </w:tcPr>
          <w:p w14:paraId="18077ABC" w14:textId="43244A31"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71FC49AC" w14:textId="623F0A46" w:rsidR="001D06C6" w:rsidRPr="00694B99" w:rsidRDefault="001D06C6" w:rsidP="001D06C6">
            <w:pPr>
              <w:spacing w:after="0" w:line="240" w:lineRule="auto"/>
              <w:jc w:val="center"/>
              <w:rPr>
                <w:color w:val="0000FF"/>
              </w:rPr>
            </w:pPr>
            <w:r w:rsidRPr="001D06C6">
              <w:rPr>
                <w:color w:val="0000FF"/>
              </w:rPr>
              <w:t>31.9</w:t>
            </w:r>
          </w:p>
        </w:tc>
        <w:tc>
          <w:tcPr>
            <w:tcW w:w="1710" w:type="dxa"/>
            <w:vAlign w:val="bottom"/>
          </w:tcPr>
          <w:p w14:paraId="76A34158" w14:textId="2779FC6B" w:rsidR="001D06C6" w:rsidRPr="00694B99" w:rsidRDefault="001D06C6" w:rsidP="001D06C6">
            <w:pPr>
              <w:spacing w:after="0" w:line="240" w:lineRule="auto"/>
              <w:jc w:val="center"/>
              <w:rPr>
                <w:color w:val="0000FF"/>
              </w:rPr>
            </w:pPr>
            <w:r w:rsidRPr="001D06C6">
              <w:rPr>
                <w:color w:val="0000FF"/>
              </w:rPr>
              <w:t>32.1</w:t>
            </w:r>
          </w:p>
        </w:tc>
        <w:tc>
          <w:tcPr>
            <w:tcW w:w="1670" w:type="dxa"/>
            <w:vAlign w:val="bottom"/>
          </w:tcPr>
          <w:p w14:paraId="700EC287" w14:textId="0DD5584F" w:rsidR="001D06C6" w:rsidRPr="00694B99" w:rsidRDefault="001D06C6" w:rsidP="001D06C6">
            <w:pPr>
              <w:spacing w:after="0" w:line="240" w:lineRule="auto"/>
              <w:jc w:val="center"/>
              <w:rPr>
                <w:color w:val="0000FF"/>
              </w:rPr>
            </w:pPr>
            <w:r w:rsidRPr="001D06C6">
              <w:rPr>
                <w:color w:val="0000FF"/>
              </w:rPr>
              <w:t>1.3</w:t>
            </w:r>
          </w:p>
        </w:tc>
      </w:tr>
      <w:tr w:rsidR="001D06C6" w:rsidRPr="00694B99" w14:paraId="53C40146" w14:textId="77777777" w:rsidTr="00D77E49">
        <w:trPr>
          <w:trHeight w:val="300"/>
          <w:jc w:val="center"/>
        </w:trPr>
        <w:tc>
          <w:tcPr>
            <w:tcW w:w="2520" w:type="dxa"/>
            <w:vAlign w:val="bottom"/>
          </w:tcPr>
          <w:p w14:paraId="03B543E5" w14:textId="64024A13" w:rsidR="001D06C6" w:rsidRPr="00694B99" w:rsidRDefault="001D06C6" w:rsidP="001D06C6">
            <w:pPr>
              <w:spacing w:after="0" w:line="240" w:lineRule="auto"/>
              <w:jc w:val="center"/>
              <w:rPr>
                <w:color w:val="0000FF"/>
              </w:rPr>
            </w:pPr>
            <w:r>
              <w:rPr>
                <w:color w:val="0000FF"/>
              </w:rPr>
              <w:t xml:space="preserve">Decile </w:t>
            </w:r>
            <w:r w:rsidRPr="001D06C6">
              <w:rPr>
                <w:color w:val="0000FF"/>
              </w:rPr>
              <w:t>8</w:t>
            </w:r>
            <w:r>
              <w:rPr>
                <w:color w:val="0000FF"/>
              </w:rPr>
              <w:t xml:space="preserve"> </w:t>
            </w:r>
            <w:r w:rsidRPr="001D06C6">
              <w:rPr>
                <w:color w:val="0000FF"/>
              </w:rPr>
              <w:t>(32.7</w:t>
            </w:r>
            <w:r>
              <w:rPr>
                <w:color w:val="0000FF"/>
              </w:rPr>
              <w:t xml:space="preserve"> – </w:t>
            </w:r>
            <w:r w:rsidRPr="001D06C6">
              <w:rPr>
                <w:color w:val="0000FF"/>
              </w:rPr>
              <w:t>34.4)</w:t>
            </w:r>
          </w:p>
        </w:tc>
        <w:tc>
          <w:tcPr>
            <w:tcW w:w="1530" w:type="dxa"/>
            <w:vAlign w:val="bottom"/>
          </w:tcPr>
          <w:p w14:paraId="5BFA6A6E" w14:textId="4CA99475"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30D1D2D0" w14:textId="20B12A77" w:rsidR="001D06C6" w:rsidRPr="00694B99" w:rsidRDefault="001D06C6" w:rsidP="001D06C6">
            <w:pPr>
              <w:spacing w:after="0" w:line="240" w:lineRule="auto"/>
              <w:jc w:val="center"/>
              <w:rPr>
                <w:color w:val="0000FF"/>
              </w:rPr>
            </w:pPr>
            <w:r w:rsidRPr="001D06C6">
              <w:rPr>
                <w:color w:val="0000FF"/>
              </w:rPr>
              <w:t>33.6</w:t>
            </w:r>
          </w:p>
        </w:tc>
        <w:tc>
          <w:tcPr>
            <w:tcW w:w="1710" w:type="dxa"/>
            <w:vAlign w:val="bottom"/>
          </w:tcPr>
          <w:p w14:paraId="7C914FC6" w14:textId="47B6E887" w:rsidR="001D06C6" w:rsidRPr="00694B99" w:rsidRDefault="001D06C6" w:rsidP="001D06C6">
            <w:pPr>
              <w:spacing w:after="0" w:line="240" w:lineRule="auto"/>
              <w:jc w:val="center"/>
              <w:rPr>
                <w:color w:val="0000FF"/>
              </w:rPr>
            </w:pPr>
            <w:r w:rsidRPr="001D06C6">
              <w:rPr>
                <w:color w:val="0000FF"/>
              </w:rPr>
              <w:t>33.8</w:t>
            </w:r>
          </w:p>
        </w:tc>
        <w:tc>
          <w:tcPr>
            <w:tcW w:w="1670" w:type="dxa"/>
            <w:vAlign w:val="bottom"/>
          </w:tcPr>
          <w:p w14:paraId="6DAE5371" w14:textId="4F035FF4" w:rsidR="001D06C6" w:rsidRPr="00694B99" w:rsidRDefault="001D06C6" w:rsidP="001D06C6">
            <w:pPr>
              <w:spacing w:after="0" w:line="240" w:lineRule="auto"/>
              <w:jc w:val="center"/>
              <w:rPr>
                <w:color w:val="0000FF"/>
              </w:rPr>
            </w:pPr>
            <w:r w:rsidRPr="001D06C6">
              <w:rPr>
                <w:color w:val="0000FF"/>
              </w:rPr>
              <w:t>1.3</w:t>
            </w:r>
          </w:p>
        </w:tc>
      </w:tr>
      <w:tr w:rsidR="001D06C6" w:rsidRPr="00694B99" w14:paraId="31871C41" w14:textId="77777777" w:rsidTr="00D77E49">
        <w:trPr>
          <w:trHeight w:val="300"/>
          <w:jc w:val="center"/>
        </w:trPr>
        <w:tc>
          <w:tcPr>
            <w:tcW w:w="2520" w:type="dxa"/>
            <w:vAlign w:val="bottom"/>
          </w:tcPr>
          <w:p w14:paraId="2171B193" w14:textId="02C19BF3" w:rsidR="001D06C6" w:rsidRPr="00694B99" w:rsidRDefault="001D06C6" w:rsidP="001D06C6">
            <w:pPr>
              <w:spacing w:after="0" w:line="240" w:lineRule="auto"/>
              <w:jc w:val="center"/>
              <w:rPr>
                <w:color w:val="0000FF"/>
              </w:rPr>
            </w:pPr>
            <w:r>
              <w:rPr>
                <w:color w:val="0000FF"/>
              </w:rPr>
              <w:t xml:space="preserve">Decile </w:t>
            </w:r>
            <w:r w:rsidRPr="001D06C6">
              <w:rPr>
                <w:color w:val="0000FF"/>
              </w:rPr>
              <w:t>9</w:t>
            </w:r>
            <w:r>
              <w:rPr>
                <w:color w:val="0000FF"/>
              </w:rPr>
              <w:t xml:space="preserve"> </w:t>
            </w:r>
            <w:r w:rsidRPr="001D06C6">
              <w:rPr>
                <w:color w:val="0000FF"/>
              </w:rPr>
              <w:t>(34.4</w:t>
            </w:r>
            <w:r>
              <w:rPr>
                <w:color w:val="0000FF"/>
              </w:rPr>
              <w:t xml:space="preserve"> – </w:t>
            </w:r>
            <w:r w:rsidRPr="001D06C6">
              <w:rPr>
                <w:color w:val="0000FF"/>
              </w:rPr>
              <w:t>36.5)</w:t>
            </w:r>
          </w:p>
        </w:tc>
        <w:tc>
          <w:tcPr>
            <w:tcW w:w="1530" w:type="dxa"/>
            <w:vAlign w:val="bottom"/>
          </w:tcPr>
          <w:p w14:paraId="21B61165" w14:textId="4F84F678" w:rsidR="001D06C6" w:rsidRPr="00694B99" w:rsidRDefault="001D06C6" w:rsidP="001D06C6">
            <w:pPr>
              <w:spacing w:after="0" w:line="240" w:lineRule="auto"/>
              <w:jc w:val="center"/>
              <w:rPr>
                <w:color w:val="0000FF"/>
              </w:rPr>
            </w:pPr>
            <w:r w:rsidRPr="001D06C6">
              <w:rPr>
                <w:color w:val="0000FF"/>
              </w:rPr>
              <w:t>42,863</w:t>
            </w:r>
          </w:p>
        </w:tc>
        <w:tc>
          <w:tcPr>
            <w:tcW w:w="1530" w:type="dxa"/>
            <w:vAlign w:val="bottom"/>
          </w:tcPr>
          <w:p w14:paraId="60C623FC" w14:textId="3AF049D6" w:rsidR="001D06C6" w:rsidRPr="00694B99" w:rsidRDefault="001D06C6" w:rsidP="001D06C6">
            <w:pPr>
              <w:spacing w:after="0" w:line="240" w:lineRule="auto"/>
              <w:jc w:val="center"/>
              <w:rPr>
                <w:color w:val="0000FF"/>
              </w:rPr>
            </w:pPr>
            <w:r w:rsidRPr="001D06C6">
              <w:rPr>
                <w:color w:val="0000FF"/>
              </w:rPr>
              <w:t>35.4</w:t>
            </w:r>
          </w:p>
        </w:tc>
        <w:tc>
          <w:tcPr>
            <w:tcW w:w="1710" w:type="dxa"/>
            <w:vAlign w:val="bottom"/>
          </w:tcPr>
          <w:p w14:paraId="2C5F61A6" w14:textId="2F4D7454" w:rsidR="001D06C6" w:rsidRPr="00694B99" w:rsidRDefault="001D06C6" w:rsidP="001D06C6">
            <w:pPr>
              <w:spacing w:after="0" w:line="240" w:lineRule="auto"/>
              <w:jc w:val="center"/>
              <w:rPr>
                <w:color w:val="0000FF"/>
              </w:rPr>
            </w:pPr>
            <w:r w:rsidRPr="001D06C6">
              <w:rPr>
                <w:color w:val="0000FF"/>
              </w:rPr>
              <w:t>36.0</w:t>
            </w:r>
          </w:p>
        </w:tc>
        <w:tc>
          <w:tcPr>
            <w:tcW w:w="1670" w:type="dxa"/>
            <w:vAlign w:val="bottom"/>
          </w:tcPr>
          <w:p w14:paraId="6231F4BF" w14:textId="49748F56" w:rsidR="001D06C6" w:rsidRPr="00694B99" w:rsidRDefault="001D06C6" w:rsidP="001D06C6">
            <w:pPr>
              <w:spacing w:after="0" w:line="240" w:lineRule="auto"/>
              <w:jc w:val="center"/>
              <w:rPr>
                <w:color w:val="0000FF"/>
              </w:rPr>
            </w:pPr>
            <w:r w:rsidRPr="001D06C6">
              <w:rPr>
                <w:color w:val="0000FF"/>
              </w:rPr>
              <w:t>1.3</w:t>
            </w:r>
          </w:p>
        </w:tc>
      </w:tr>
      <w:tr w:rsidR="001D06C6" w:rsidRPr="00694B99" w14:paraId="70D84C5D" w14:textId="77777777" w:rsidTr="00D77E49">
        <w:trPr>
          <w:trHeight w:val="315"/>
          <w:jc w:val="center"/>
        </w:trPr>
        <w:tc>
          <w:tcPr>
            <w:tcW w:w="2520" w:type="dxa"/>
            <w:tcBorders>
              <w:top w:val="nil"/>
              <w:left w:val="nil"/>
              <w:bottom w:val="single" w:sz="4" w:space="0" w:color="auto"/>
              <w:right w:val="nil"/>
            </w:tcBorders>
            <w:vAlign w:val="bottom"/>
          </w:tcPr>
          <w:p w14:paraId="2753AD6D" w14:textId="2F6846BE" w:rsidR="001D06C6" w:rsidRPr="00694B99" w:rsidRDefault="001D06C6" w:rsidP="001D06C6">
            <w:pPr>
              <w:spacing w:after="0" w:line="240" w:lineRule="auto"/>
              <w:jc w:val="center"/>
              <w:rPr>
                <w:color w:val="0000FF"/>
              </w:rPr>
            </w:pPr>
            <w:r>
              <w:rPr>
                <w:color w:val="0000FF"/>
              </w:rPr>
              <w:t xml:space="preserve">Decile </w:t>
            </w:r>
            <w:r w:rsidRPr="001D06C6">
              <w:rPr>
                <w:color w:val="0000FF"/>
              </w:rPr>
              <w:t>10</w:t>
            </w:r>
            <w:r>
              <w:rPr>
                <w:color w:val="0000FF"/>
              </w:rPr>
              <w:t xml:space="preserve"> </w:t>
            </w:r>
            <w:r w:rsidRPr="001D06C6">
              <w:rPr>
                <w:color w:val="0000FF"/>
              </w:rPr>
              <w:t>(36.5</w:t>
            </w:r>
            <w:r>
              <w:rPr>
                <w:color w:val="0000FF"/>
              </w:rPr>
              <w:t xml:space="preserve"> – </w:t>
            </w:r>
            <w:r w:rsidRPr="001D06C6">
              <w:rPr>
                <w:color w:val="0000FF"/>
              </w:rPr>
              <w:t>46.1)</w:t>
            </w:r>
          </w:p>
        </w:tc>
        <w:tc>
          <w:tcPr>
            <w:tcW w:w="1530" w:type="dxa"/>
            <w:tcBorders>
              <w:top w:val="nil"/>
              <w:left w:val="nil"/>
              <w:bottom w:val="single" w:sz="4" w:space="0" w:color="auto"/>
              <w:right w:val="nil"/>
            </w:tcBorders>
            <w:vAlign w:val="bottom"/>
          </w:tcPr>
          <w:p w14:paraId="5030F0D5" w14:textId="17ABA166" w:rsidR="001D06C6" w:rsidRPr="00694B99" w:rsidRDefault="001D06C6" w:rsidP="001D06C6">
            <w:pPr>
              <w:spacing w:after="0" w:line="240" w:lineRule="auto"/>
              <w:jc w:val="center"/>
              <w:rPr>
                <w:color w:val="0000FF"/>
              </w:rPr>
            </w:pPr>
            <w:r w:rsidRPr="001D06C6">
              <w:rPr>
                <w:color w:val="0000FF"/>
              </w:rPr>
              <w:t>42,863</w:t>
            </w:r>
          </w:p>
        </w:tc>
        <w:tc>
          <w:tcPr>
            <w:tcW w:w="1530" w:type="dxa"/>
            <w:tcBorders>
              <w:top w:val="nil"/>
              <w:left w:val="nil"/>
              <w:bottom w:val="single" w:sz="4" w:space="0" w:color="auto"/>
              <w:right w:val="nil"/>
            </w:tcBorders>
            <w:vAlign w:val="bottom"/>
          </w:tcPr>
          <w:p w14:paraId="00940B1A" w14:textId="2E5B80A6" w:rsidR="001D06C6" w:rsidRPr="00694B99" w:rsidRDefault="001D06C6" w:rsidP="001D06C6">
            <w:pPr>
              <w:spacing w:after="0" w:line="240" w:lineRule="auto"/>
              <w:jc w:val="center"/>
              <w:rPr>
                <w:color w:val="0000FF"/>
              </w:rPr>
            </w:pPr>
            <w:r w:rsidRPr="001D06C6">
              <w:rPr>
                <w:color w:val="0000FF"/>
              </w:rPr>
              <w:t>38.8</w:t>
            </w:r>
          </w:p>
        </w:tc>
        <w:tc>
          <w:tcPr>
            <w:tcW w:w="1710" w:type="dxa"/>
            <w:tcBorders>
              <w:top w:val="nil"/>
              <w:left w:val="nil"/>
              <w:bottom w:val="single" w:sz="4" w:space="0" w:color="auto"/>
              <w:right w:val="nil"/>
            </w:tcBorders>
            <w:vAlign w:val="bottom"/>
          </w:tcPr>
          <w:p w14:paraId="4A7A9141" w14:textId="07633BCC" w:rsidR="001D06C6" w:rsidRPr="00694B99" w:rsidRDefault="001D06C6" w:rsidP="001D06C6">
            <w:pPr>
              <w:spacing w:after="0" w:line="240" w:lineRule="auto"/>
              <w:jc w:val="center"/>
              <w:rPr>
                <w:color w:val="0000FF"/>
              </w:rPr>
            </w:pPr>
            <w:r w:rsidRPr="001D06C6">
              <w:rPr>
                <w:color w:val="0000FF"/>
              </w:rPr>
              <w:t>39.6</w:t>
            </w:r>
          </w:p>
        </w:tc>
        <w:tc>
          <w:tcPr>
            <w:tcW w:w="1670" w:type="dxa"/>
            <w:tcBorders>
              <w:top w:val="nil"/>
              <w:left w:val="nil"/>
              <w:bottom w:val="single" w:sz="4" w:space="0" w:color="auto"/>
              <w:right w:val="nil"/>
            </w:tcBorders>
            <w:vAlign w:val="bottom"/>
          </w:tcPr>
          <w:p w14:paraId="5B2335EB" w14:textId="04F9AC46" w:rsidR="001D06C6" w:rsidRPr="00694B99" w:rsidRDefault="001D06C6" w:rsidP="001D06C6">
            <w:pPr>
              <w:spacing w:after="0" w:line="240" w:lineRule="auto"/>
              <w:jc w:val="center"/>
              <w:rPr>
                <w:color w:val="0000FF"/>
              </w:rPr>
            </w:pPr>
            <w:r w:rsidRPr="001D06C6">
              <w:rPr>
                <w:color w:val="0000FF"/>
              </w:rPr>
              <w:t>1.2</w:t>
            </w:r>
          </w:p>
        </w:tc>
      </w:tr>
      <w:tr w:rsidR="001D06C6" w14:paraId="0E073742" w14:textId="77777777" w:rsidTr="00694B99">
        <w:trPr>
          <w:trHeight w:val="315"/>
          <w:jc w:val="center"/>
        </w:trPr>
        <w:tc>
          <w:tcPr>
            <w:tcW w:w="2520" w:type="dxa"/>
            <w:tcBorders>
              <w:top w:val="single" w:sz="4" w:space="0" w:color="auto"/>
              <w:left w:val="nil"/>
              <w:bottom w:val="single" w:sz="4" w:space="0" w:color="auto"/>
              <w:right w:val="nil"/>
            </w:tcBorders>
            <w:hideMark/>
          </w:tcPr>
          <w:p w14:paraId="34F67D61" w14:textId="77777777" w:rsidR="001D06C6" w:rsidRPr="00694B99" w:rsidRDefault="001D06C6" w:rsidP="001D06C6">
            <w:pPr>
              <w:spacing w:after="0" w:line="240" w:lineRule="auto"/>
              <w:jc w:val="center"/>
              <w:rPr>
                <w:rFonts w:eastAsia="Times New Roman" w:cs="Times New Roman"/>
                <w:b/>
                <w:color w:val="0000FF"/>
              </w:rPr>
            </w:pPr>
            <w:r w:rsidRPr="00694B99">
              <w:rPr>
                <w:rFonts w:eastAsia="Times New Roman" w:cs="Times New Roman"/>
                <w:b/>
                <w:color w:val="0000FF"/>
              </w:rPr>
              <w:t>Total Sample</w:t>
            </w:r>
          </w:p>
        </w:tc>
        <w:tc>
          <w:tcPr>
            <w:tcW w:w="1530" w:type="dxa"/>
            <w:tcBorders>
              <w:top w:val="single" w:sz="4" w:space="0" w:color="auto"/>
              <w:left w:val="nil"/>
              <w:bottom w:val="single" w:sz="4" w:space="0" w:color="auto"/>
              <w:right w:val="nil"/>
            </w:tcBorders>
            <w:vAlign w:val="bottom"/>
          </w:tcPr>
          <w:p w14:paraId="6F34B3CC" w14:textId="79529E84" w:rsidR="001D06C6" w:rsidRPr="00694B99" w:rsidRDefault="001D06C6" w:rsidP="001D06C6">
            <w:pPr>
              <w:spacing w:after="0" w:line="240" w:lineRule="auto"/>
              <w:jc w:val="center"/>
              <w:rPr>
                <w:color w:val="0000FF"/>
              </w:rPr>
            </w:pPr>
            <w:r w:rsidRPr="001D06C6">
              <w:rPr>
                <w:color w:val="0000FF"/>
              </w:rPr>
              <w:t>428,631</w:t>
            </w:r>
          </w:p>
        </w:tc>
        <w:tc>
          <w:tcPr>
            <w:tcW w:w="1530" w:type="dxa"/>
            <w:tcBorders>
              <w:top w:val="single" w:sz="4" w:space="0" w:color="auto"/>
              <w:left w:val="nil"/>
              <w:bottom w:val="single" w:sz="4" w:space="0" w:color="auto"/>
              <w:right w:val="nil"/>
            </w:tcBorders>
            <w:vAlign w:val="bottom"/>
          </w:tcPr>
          <w:p w14:paraId="53E296D7" w14:textId="71982AC8" w:rsidR="001D06C6" w:rsidRPr="00694B99" w:rsidRDefault="001D06C6" w:rsidP="001D06C6">
            <w:pPr>
              <w:spacing w:after="0" w:line="240" w:lineRule="auto"/>
              <w:jc w:val="center"/>
              <w:rPr>
                <w:color w:val="0000FF"/>
              </w:rPr>
            </w:pPr>
            <w:r w:rsidRPr="001D06C6">
              <w:rPr>
                <w:color w:val="0000FF"/>
              </w:rPr>
              <w:t>28.5</w:t>
            </w:r>
          </w:p>
        </w:tc>
        <w:tc>
          <w:tcPr>
            <w:tcW w:w="1710" w:type="dxa"/>
            <w:tcBorders>
              <w:top w:val="single" w:sz="4" w:space="0" w:color="auto"/>
              <w:left w:val="nil"/>
              <w:bottom w:val="single" w:sz="4" w:space="0" w:color="auto"/>
              <w:right w:val="nil"/>
            </w:tcBorders>
            <w:vAlign w:val="bottom"/>
          </w:tcPr>
          <w:p w14:paraId="36C18827" w14:textId="75AE2C2B" w:rsidR="001D06C6" w:rsidRPr="00694B99" w:rsidRDefault="001D06C6" w:rsidP="001D06C6">
            <w:pPr>
              <w:spacing w:after="0" w:line="240" w:lineRule="auto"/>
              <w:jc w:val="center"/>
              <w:rPr>
                <w:color w:val="0000FF"/>
              </w:rPr>
            </w:pPr>
            <w:r w:rsidRPr="001D06C6">
              <w:rPr>
                <w:color w:val="0000FF"/>
              </w:rPr>
              <w:t>28.5</w:t>
            </w:r>
          </w:p>
        </w:tc>
        <w:tc>
          <w:tcPr>
            <w:tcW w:w="1670" w:type="dxa"/>
            <w:tcBorders>
              <w:top w:val="single" w:sz="4" w:space="0" w:color="auto"/>
              <w:left w:val="nil"/>
              <w:bottom w:val="single" w:sz="4" w:space="0" w:color="auto"/>
              <w:right w:val="nil"/>
            </w:tcBorders>
            <w:vAlign w:val="bottom"/>
          </w:tcPr>
          <w:p w14:paraId="39911609" w14:textId="35E17504" w:rsidR="001D06C6" w:rsidRPr="00694B99" w:rsidRDefault="001D06C6" w:rsidP="001D06C6">
            <w:pPr>
              <w:spacing w:after="0" w:line="240" w:lineRule="auto"/>
              <w:jc w:val="center"/>
              <w:rPr>
                <w:color w:val="0000FF"/>
              </w:rPr>
            </w:pPr>
            <w:r w:rsidRPr="001D06C6">
              <w:rPr>
                <w:color w:val="0000FF"/>
              </w:rPr>
              <w:t>1.3</w:t>
            </w:r>
          </w:p>
        </w:tc>
      </w:tr>
    </w:tbl>
    <w:p w14:paraId="185E739B" w14:textId="407A4CCC" w:rsidR="00B66D4D" w:rsidRDefault="00B66D4D" w:rsidP="00092566">
      <w:pPr>
        <w:autoSpaceDE w:val="0"/>
        <w:autoSpaceDN w:val="0"/>
        <w:adjustRightInd w:val="0"/>
        <w:spacing w:after="0" w:line="240" w:lineRule="auto"/>
        <w:rPr>
          <w:rFonts w:cstheme="minorHAnsi"/>
          <w:color w:val="0000FF"/>
          <w:sz w:val="20"/>
          <w:szCs w:val="20"/>
        </w:rPr>
      </w:pPr>
      <w:r w:rsidRPr="00531564">
        <w:rPr>
          <w:rFonts w:cstheme="minorHAnsi"/>
          <w:color w:val="0000FF"/>
          <w:sz w:val="20"/>
          <w:szCs w:val="20"/>
        </w:rPr>
        <w:t xml:space="preserve">Note: </w:t>
      </w:r>
      <w:r w:rsidR="00BF23FC" w:rsidRPr="00B915C7">
        <w:rPr>
          <w:rFonts w:cstheme="minorHAnsi"/>
          <w:color w:val="0000FF"/>
          <w:sz w:val="20"/>
          <w:szCs w:val="20"/>
        </w:rPr>
        <w:t xml:space="preserve">Note: N = number of patient stays; </w:t>
      </w:r>
      <w:r w:rsidR="00BF23FC" w:rsidRPr="00D77E49">
        <w:rPr>
          <w:rFonts w:cstheme="minorHAnsi"/>
          <w:color w:val="0000FF"/>
          <w:sz w:val="20"/>
          <w:szCs w:val="20"/>
        </w:rPr>
        <w:t xml:space="preserve">Observed </w:t>
      </w:r>
      <w:r w:rsidR="00D14A49">
        <w:rPr>
          <w:rFonts w:cstheme="minorHAnsi"/>
          <w:color w:val="0000FF"/>
          <w:sz w:val="20"/>
          <w:szCs w:val="20"/>
        </w:rPr>
        <w:t>Change in Mobility</w:t>
      </w:r>
      <w:r w:rsidR="00BF23FC" w:rsidRPr="00D77E49">
        <w:rPr>
          <w:rFonts w:cstheme="minorHAnsi"/>
          <w:color w:val="0000FF"/>
          <w:sz w:val="20"/>
          <w:szCs w:val="20"/>
        </w:rPr>
        <w:t xml:space="preserve"> values are </w:t>
      </w:r>
      <w:r w:rsidR="00D14A49">
        <w:rPr>
          <w:rFonts w:cstheme="minorHAnsi"/>
          <w:color w:val="0000FF"/>
          <w:sz w:val="20"/>
          <w:szCs w:val="20"/>
        </w:rPr>
        <w:t>units of change in mobility</w:t>
      </w:r>
      <w:r w:rsidR="00BF23FC" w:rsidRPr="00B915C7">
        <w:rPr>
          <w:rFonts w:cstheme="minorHAnsi"/>
          <w:color w:val="0000FF"/>
          <w:sz w:val="20"/>
          <w:szCs w:val="20"/>
        </w:rPr>
        <w:t xml:space="preserve"> (possible range: </w:t>
      </w:r>
      <w:r w:rsidR="00D14A49">
        <w:rPr>
          <w:rFonts w:cstheme="minorHAnsi"/>
          <w:color w:val="0000FF"/>
          <w:sz w:val="20"/>
          <w:szCs w:val="20"/>
        </w:rPr>
        <w:t>-35</w:t>
      </w:r>
      <w:r w:rsidR="00BF23FC" w:rsidRPr="00B915C7">
        <w:rPr>
          <w:rFonts w:cstheme="minorHAnsi"/>
          <w:color w:val="0000FF"/>
          <w:sz w:val="20"/>
          <w:szCs w:val="20"/>
        </w:rPr>
        <w:t xml:space="preserve"> to </w:t>
      </w:r>
      <w:r w:rsidR="00D14A49">
        <w:rPr>
          <w:rFonts w:cstheme="minorHAnsi"/>
          <w:color w:val="0000FF"/>
          <w:sz w:val="20"/>
          <w:szCs w:val="20"/>
        </w:rPr>
        <w:t>35</w:t>
      </w:r>
      <w:r w:rsidR="00BF23FC">
        <w:rPr>
          <w:rFonts w:cstheme="minorHAnsi"/>
          <w:color w:val="0000FF"/>
          <w:sz w:val="20"/>
          <w:szCs w:val="20"/>
        </w:rPr>
        <w:t xml:space="preserve">); </w:t>
      </w:r>
      <w:r w:rsidRPr="00531564">
        <w:rPr>
          <w:rFonts w:cstheme="minorHAnsi"/>
          <w:color w:val="0000FF"/>
          <w:sz w:val="20"/>
          <w:szCs w:val="20"/>
        </w:rPr>
        <w:t>Providers with &lt;20 stays during the 12-month testing period are excluded</w:t>
      </w:r>
      <w:r>
        <w:rPr>
          <w:rFonts w:cstheme="minorHAnsi"/>
          <w:color w:val="0000FF"/>
          <w:sz w:val="20"/>
          <w:szCs w:val="20"/>
        </w:rPr>
        <w:t>.</w:t>
      </w:r>
    </w:p>
    <w:p w14:paraId="0CABCFFF" w14:textId="0807C59E" w:rsidR="00743E46" w:rsidRDefault="00B66D4D" w:rsidP="00092566">
      <w:pPr>
        <w:autoSpaceDE w:val="0"/>
        <w:autoSpaceDN w:val="0"/>
        <w:adjustRightInd w:val="0"/>
        <w:spacing w:after="0" w:line="240" w:lineRule="auto"/>
        <w:rPr>
          <w:rFonts w:cstheme="minorHAnsi"/>
          <w:color w:val="0000FF"/>
          <w:sz w:val="20"/>
          <w:szCs w:val="20"/>
        </w:rPr>
      </w:pPr>
      <w:r w:rsidRPr="00B915C7">
        <w:rPr>
          <w:rFonts w:cstheme="minorHAnsi"/>
          <w:color w:val="0000FF"/>
          <w:sz w:val="20"/>
          <w:szCs w:val="20"/>
        </w:rPr>
        <w:t>Source: RTI analysis of IRF-PAI, January – December 2017. (Program reference: MV</w:t>
      </w:r>
      <w:r>
        <w:rPr>
          <w:rFonts w:cstheme="minorHAnsi"/>
          <w:color w:val="0000FF"/>
          <w:sz w:val="20"/>
          <w:szCs w:val="20"/>
        </w:rPr>
        <w:t>5</w:t>
      </w:r>
      <w:r w:rsidR="00BF23FC">
        <w:rPr>
          <w:rFonts w:cstheme="minorHAnsi"/>
          <w:color w:val="0000FF"/>
          <w:sz w:val="20"/>
          <w:szCs w:val="20"/>
        </w:rPr>
        <w:t>0</w:t>
      </w:r>
      <w:r w:rsidRPr="00B915C7">
        <w:rPr>
          <w:rFonts w:cstheme="minorHAnsi"/>
          <w:color w:val="0000FF"/>
          <w:sz w:val="20"/>
          <w:szCs w:val="20"/>
        </w:rPr>
        <w:t>)</w:t>
      </w:r>
    </w:p>
    <w:p w14:paraId="2F743420" w14:textId="77777777" w:rsidR="00B66D4D" w:rsidRDefault="00B66D4D" w:rsidP="00092566">
      <w:pPr>
        <w:autoSpaceDE w:val="0"/>
        <w:autoSpaceDN w:val="0"/>
        <w:adjustRightInd w:val="0"/>
        <w:spacing w:after="0" w:line="240" w:lineRule="auto"/>
        <w:rPr>
          <w:rFonts w:cstheme="minorHAnsi"/>
          <w:b/>
        </w:rPr>
      </w:pPr>
    </w:p>
    <w:p w14:paraId="0CABD000" w14:textId="5ACF2E37" w:rsidR="00092566" w:rsidRDefault="009C7513" w:rsidP="00092566">
      <w:pPr>
        <w:autoSpaceDE w:val="0"/>
        <w:autoSpaceDN w:val="0"/>
        <w:adjustRightInd w:val="0"/>
        <w:spacing w:after="0" w:line="240" w:lineRule="auto"/>
        <w:rPr>
          <w:rFonts w:cstheme="minorHAnsi"/>
          <w:bCs/>
        </w:rPr>
      </w:pPr>
      <w:bookmarkStart w:id="102" w:name="question2b49"/>
      <w:bookmarkEnd w:id="102"/>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592CDCE1" w14:textId="77777777" w:rsidR="00EE3DF5" w:rsidRPr="00A25024" w:rsidRDefault="00EE3DF5" w:rsidP="00092566">
      <w:pPr>
        <w:autoSpaceDE w:val="0"/>
        <w:autoSpaceDN w:val="0"/>
        <w:adjustRightInd w:val="0"/>
        <w:spacing w:after="0" w:line="240" w:lineRule="auto"/>
        <w:rPr>
          <w:rFonts w:cstheme="minorHAnsi"/>
          <w:bCs/>
        </w:rPr>
      </w:pPr>
    </w:p>
    <w:p w14:paraId="033FEE04" w14:textId="4859CA17" w:rsidR="00C63FB5" w:rsidRDefault="00C63FB5" w:rsidP="00C63FB5">
      <w:pPr>
        <w:rPr>
          <w:rFonts w:cstheme="minorHAnsi"/>
          <w:bCs/>
        </w:rPr>
      </w:pPr>
      <w:r>
        <w:rPr>
          <w:iCs/>
          <w:color w:val="0000FF"/>
        </w:rPr>
        <w:t>Not applicable</w:t>
      </w:r>
      <w:r w:rsidR="006F43A1">
        <w:rPr>
          <w:iCs/>
          <w:color w:val="0000FF"/>
        </w:rPr>
        <w:t xml:space="preserve"> – no stratification</w:t>
      </w:r>
    </w:p>
    <w:p w14:paraId="24FB6144" w14:textId="77777777" w:rsidR="00EE3DF5"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0CABD002" w14:textId="55792E8B" w:rsidR="00092566" w:rsidRPr="00A25024" w:rsidRDefault="00092566" w:rsidP="00092566">
      <w:pPr>
        <w:autoSpaceDE w:val="0"/>
        <w:autoSpaceDN w:val="0"/>
        <w:adjustRightInd w:val="0"/>
        <w:spacing w:after="0" w:line="240" w:lineRule="auto"/>
        <w:rPr>
          <w:rFonts w:cstheme="minorHAnsi"/>
          <w:bCs/>
        </w:rPr>
      </w:pPr>
      <w:r w:rsidRPr="00A25024">
        <w:rPr>
          <w:rFonts w:cstheme="minorHAnsi"/>
          <w:bCs/>
        </w:rPr>
        <w:br/>
      </w:r>
      <w:r w:rsidR="00C63FB5">
        <w:rPr>
          <w:iCs/>
          <w:color w:val="0000FF"/>
        </w:rPr>
        <w:t xml:space="preserve">In summary, our results demonstrate reasonable predictive ability of our risk adjustment model for IRFs. </w:t>
      </w:r>
      <w:r w:rsidR="00C63FB5">
        <w:t xml:space="preserve"> </w:t>
      </w:r>
    </w:p>
    <w:p w14:paraId="0CABD003" w14:textId="77777777" w:rsidR="00092566" w:rsidRPr="00A25024" w:rsidRDefault="00092566" w:rsidP="00092566">
      <w:pPr>
        <w:spacing w:after="0" w:line="240" w:lineRule="auto"/>
        <w:rPr>
          <w:rFonts w:cstheme="minorHAnsi"/>
        </w:rPr>
      </w:pPr>
    </w:p>
    <w:p w14:paraId="0CABD004" w14:textId="292288F8" w:rsidR="00021170" w:rsidRDefault="009C7513" w:rsidP="009B1A15">
      <w:pPr>
        <w:spacing w:after="0" w:line="240" w:lineRule="auto"/>
        <w:rPr>
          <w:rFonts w:cstheme="minorHAnsi"/>
        </w:rPr>
      </w:pPr>
      <w:r w:rsidRPr="00D77E49">
        <w:rPr>
          <w:rFonts w:cstheme="minorHAnsi"/>
          <w:b/>
        </w:rPr>
        <w:t>2b3</w:t>
      </w:r>
      <w:r w:rsidR="009B1A15" w:rsidRPr="00D77E49">
        <w:rPr>
          <w:rFonts w:cstheme="minorHAnsi"/>
          <w:b/>
        </w:rPr>
        <w:t>.11.</w:t>
      </w:r>
      <w:r w:rsidR="009B1A15" w:rsidRPr="00D77E49">
        <w:rPr>
          <w:rFonts w:cstheme="minorHAnsi"/>
        </w:rPr>
        <w:t xml:space="preserve"> </w:t>
      </w:r>
      <w:r w:rsidR="00092566" w:rsidRPr="00D77E49">
        <w:rPr>
          <w:rFonts w:cstheme="minorHAnsi"/>
          <w:b/>
        </w:rPr>
        <w:t>Optional</w:t>
      </w:r>
      <w:r w:rsidR="009B1A15" w:rsidRPr="00D77E49">
        <w:rPr>
          <w:rFonts w:cstheme="minorHAnsi"/>
          <w:b/>
        </w:rPr>
        <w:t xml:space="preserve"> Additional Testing</w:t>
      </w:r>
      <w:r w:rsidR="004756E1" w:rsidRPr="00D77E49">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2CED54C8" w14:textId="77777777" w:rsidR="00EE3DF5" w:rsidRPr="009B1A15" w:rsidRDefault="00EE3DF5" w:rsidP="009B1A15">
      <w:pPr>
        <w:spacing w:after="0" w:line="240" w:lineRule="auto"/>
        <w:rPr>
          <w:rFonts w:cstheme="minorHAnsi"/>
        </w:rPr>
      </w:pPr>
    </w:p>
    <w:p w14:paraId="05A58B69" w14:textId="77777777" w:rsidR="00F40534" w:rsidRDefault="00C63FB5" w:rsidP="00F40534">
      <w:pPr>
        <w:spacing w:after="0" w:line="240" w:lineRule="auto"/>
        <w:rPr>
          <w:iCs/>
          <w:color w:val="0000FF"/>
        </w:rPr>
      </w:pPr>
      <w:r w:rsidRPr="00D77E49">
        <w:rPr>
          <w:iCs/>
          <w:color w:val="0000FF"/>
        </w:rPr>
        <w:t>None</w:t>
      </w:r>
    </w:p>
    <w:p w14:paraId="0CABD006" w14:textId="566BEE65" w:rsidR="00D61410" w:rsidRPr="00A25024" w:rsidRDefault="00D61410" w:rsidP="00F40534">
      <w:pPr>
        <w:rPr>
          <w:rFonts w:cstheme="minorHAnsi"/>
          <w:bCs/>
        </w:rPr>
      </w:pPr>
      <w:r>
        <w:rPr>
          <w:rFonts w:cstheme="minorHAnsi"/>
          <w:bCs/>
        </w:rPr>
        <w:lastRenderedPageBreak/>
        <w:t>_______________________</w:t>
      </w:r>
    </w:p>
    <w:p w14:paraId="0CABD007" w14:textId="27DA4976" w:rsidR="00D61410" w:rsidRPr="00A25024" w:rsidRDefault="009C7513" w:rsidP="00D61410">
      <w:pPr>
        <w:autoSpaceDE w:val="0"/>
        <w:autoSpaceDN w:val="0"/>
        <w:adjustRightInd w:val="0"/>
        <w:spacing w:after="0" w:line="240" w:lineRule="auto"/>
        <w:rPr>
          <w:rFonts w:cstheme="minorHAnsi"/>
          <w:b/>
          <w:bCs/>
        </w:rPr>
      </w:pPr>
      <w:bookmarkStart w:id="103" w:name="section2b5"/>
      <w:bookmarkEnd w:id="103"/>
      <w:r>
        <w:rPr>
          <w:rFonts w:cstheme="minorHAnsi"/>
          <w:b/>
          <w:bCs/>
        </w:rPr>
        <w:t>2b4</w:t>
      </w:r>
      <w:r w:rsidR="00D61410" w:rsidRPr="00A25024">
        <w:rPr>
          <w:rFonts w:cstheme="minorHAnsi"/>
          <w:b/>
          <w:bCs/>
        </w:rPr>
        <w:t>. IDENTIFICATION OF STATISTICALLY SIGNIFICANT &amp; MEANINGFUL DIFFERENCES IN PERFORMANCE</w:t>
      </w:r>
    </w:p>
    <w:p w14:paraId="0CABD008" w14:textId="2D3565CB"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004C7A57" w14:textId="5E950773" w:rsidR="00DF51AD" w:rsidRPr="00301BB9" w:rsidRDefault="00DF51AD" w:rsidP="00EE3DF5">
      <w:pPr>
        <w:autoSpaceDE w:val="0"/>
        <w:autoSpaceDN w:val="0"/>
        <w:adjustRightInd w:val="0"/>
        <w:spacing w:line="240" w:lineRule="auto"/>
        <w:rPr>
          <w:rFonts w:cstheme="minorHAnsi"/>
          <w:color w:val="0000FF"/>
          <w:szCs w:val="24"/>
        </w:rPr>
      </w:pPr>
      <w:r w:rsidRPr="009318CB">
        <w:rPr>
          <w:rFonts w:cstheme="minorHAnsi"/>
          <w:color w:val="0000FF"/>
          <w:szCs w:val="24"/>
        </w:rPr>
        <w:t xml:space="preserve">For the IRF Change in </w:t>
      </w:r>
      <w:r>
        <w:rPr>
          <w:rFonts w:cstheme="minorHAnsi"/>
          <w:color w:val="0000FF"/>
          <w:szCs w:val="24"/>
        </w:rPr>
        <w:t>Mobility</w:t>
      </w:r>
      <w:r w:rsidRPr="009318CB">
        <w:rPr>
          <w:rFonts w:cstheme="minorHAnsi"/>
          <w:color w:val="0000FF"/>
          <w:szCs w:val="24"/>
        </w:rPr>
        <w:t xml:space="preserve"> Score</w:t>
      </w:r>
      <w:r w:rsidR="00837708">
        <w:rPr>
          <w:rFonts w:cstheme="minorHAnsi"/>
          <w:color w:val="0000FF"/>
          <w:szCs w:val="24"/>
        </w:rPr>
        <w:t xml:space="preserve"> performance</w:t>
      </w:r>
      <w:r w:rsidRPr="009318CB">
        <w:rPr>
          <w:rFonts w:cstheme="minorHAnsi"/>
          <w:color w:val="0000FF"/>
          <w:szCs w:val="24"/>
        </w:rPr>
        <w:t xml:space="preserve"> measure, we examined whether </w:t>
      </w:r>
      <w:r w:rsidR="00301BB9">
        <w:rPr>
          <w:rFonts w:cstheme="minorHAnsi"/>
          <w:color w:val="0000FF"/>
          <w:szCs w:val="24"/>
        </w:rPr>
        <w:t xml:space="preserve">each IRF’s </w:t>
      </w:r>
      <w:r w:rsidR="009F7AEF">
        <w:rPr>
          <w:rFonts w:cstheme="minorHAnsi"/>
          <w:color w:val="0000FF"/>
          <w:szCs w:val="24"/>
        </w:rPr>
        <w:t xml:space="preserve">calculated </w:t>
      </w:r>
      <w:r w:rsidRPr="009318CB">
        <w:rPr>
          <w:rFonts w:cstheme="minorHAnsi"/>
          <w:color w:val="0000FF"/>
          <w:szCs w:val="24"/>
        </w:rPr>
        <w:t xml:space="preserve">performance </w:t>
      </w:r>
      <w:bookmarkStart w:id="104" w:name="_Hlk536011000"/>
      <w:r w:rsidR="009F7AEF">
        <w:rPr>
          <w:rFonts w:cstheme="minorHAnsi"/>
          <w:color w:val="0000FF"/>
          <w:szCs w:val="24"/>
        </w:rPr>
        <w:t xml:space="preserve">measure score (the risk-adjusted change in mobility score) </w:t>
      </w:r>
      <w:bookmarkEnd w:id="104"/>
      <w:r w:rsidRPr="009318CB">
        <w:rPr>
          <w:rFonts w:cstheme="minorHAnsi"/>
          <w:color w:val="0000FF"/>
          <w:szCs w:val="24"/>
        </w:rPr>
        <w:t>was worse than, better than, or the same as national average performance</w:t>
      </w:r>
      <w:r w:rsidR="00301BB9">
        <w:rPr>
          <w:rFonts w:cstheme="minorHAnsi"/>
          <w:color w:val="0000FF"/>
          <w:szCs w:val="24"/>
        </w:rPr>
        <w:t xml:space="preserve"> of all IRFs</w:t>
      </w:r>
      <w:r w:rsidRPr="009318CB">
        <w:rPr>
          <w:rFonts w:cstheme="minorHAnsi"/>
          <w:color w:val="0000FF"/>
          <w:szCs w:val="24"/>
        </w:rPr>
        <w:t xml:space="preserve">. For each </w:t>
      </w:r>
      <w:r w:rsidR="00301BB9">
        <w:rPr>
          <w:rFonts w:cstheme="minorHAnsi"/>
          <w:color w:val="0000FF"/>
          <w:szCs w:val="24"/>
        </w:rPr>
        <w:t>IRF</w:t>
      </w:r>
      <w:r w:rsidRPr="009318CB">
        <w:rPr>
          <w:rFonts w:cstheme="minorHAnsi"/>
          <w:color w:val="0000FF"/>
          <w:szCs w:val="24"/>
        </w:rPr>
        <w:t xml:space="preserve">, we calculated the 95% confidence interval for the </w:t>
      </w:r>
      <w:r w:rsidR="00301BB9">
        <w:rPr>
          <w:rFonts w:cstheme="minorHAnsi"/>
          <w:color w:val="0000FF"/>
          <w:szCs w:val="24"/>
        </w:rPr>
        <w:t>computed performance measure score</w:t>
      </w:r>
      <w:r w:rsidRPr="009318CB">
        <w:rPr>
          <w:rFonts w:cstheme="minorHAnsi"/>
          <w:color w:val="0000FF"/>
          <w:szCs w:val="24"/>
        </w:rPr>
        <w:t xml:space="preserve"> and compared </w:t>
      </w:r>
      <w:r w:rsidR="00301BB9">
        <w:rPr>
          <w:rFonts w:cstheme="minorHAnsi"/>
          <w:color w:val="0000FF"/>
          <w:szCs w:val="24"/>
        </w:rPr>
        <w:t xml:space="preserve">this </w:t>
      </w:r>
      <w:r w:rsidRPr="009318CB">
        <w:rPr>
          <w:rFonts w:cstheme="minorHAnsi"/>
          <w:color w:val="0000FF"/>
          <w:szCs w:val="24"/>
        </w:rPr>
        <w:t xml:space="preserve">with the national mean observed change score. Facilities whose confidence interval was lower than the national mean observed change score were considered to have worse performance than the national average. Facilities whose confidence interval was higher than the national mean observed change score were considered to have better performance than the national average. Facilities whose confidence interval </w:t>
      </w:r>
      <w:r w:rsidRPr="00301BB9">
        <w:rPr>
          <w:rFonts w:cstheme="minorHAnsi"/>
          <w:color w:val="0000FF"/>
          <w:szCs w:val="24"/>
        </w:rPr>
        <w:t>overlapped with the national mean observed change score were considered to be similar to national average performance.</w:t>
      </w:r>
      <w:r w:rsidR="006F43A1" w:rsidRPr="00301BB9">
        <w:rPr>
          <w:rFonts w:cstheme="minorHAnsi"/>
          <w:color w:val="0000FF"/>
          <w:szCs w:val="24"/>
        </w:rPr>
        <w:t xml:space="preserve"> </w:t>
      </w:r>
    </w:p>
    <w:p w14:paraId="0CABD00A" w14:textId="139E6618"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4C8CB200" w14:textId="46E6C93F" w:rsidR="00DF51AD" w:rsidRPr="009318CB" w:rsidRDefault="00DF51AD" w:rsidP="00EE3DF5">
      <w:pPr>
        <w:autoSpaceDE w:val="0"/>
        <w:autoSpaceDN w:val="0"/>
        <w:adjustRightInd w:val="0"/>
        <w:spacing w:line="240" w:lineRule="auto"/>
        <w:rPr>
          <w:rFonts w:cstheme="minorHAnsi"/>
          <w:color w:val="0000FF"/>
          <w:szCs w:val="24"/>
        </w:rPr>
      </w:pPr>
      <w:r w:rsidRPr="009318CB">
        <w:rPr>
          <w:rFonts w:cstheme="minorHAnsi"/>
          <w:b/>
          <w:bCs/>
          <w:color w:val="0000FF"/>
          <w:szCs w:val="24"/>
        </w:rPr>
        <w:t>Table 1</w:t>
      </w:r>
      <w:r w:rsidR="00360220">
        <w:rPr>
          <w:rFonts w:cstheme="minorHAnsi"/>
          <w:b/>
          <w:bCs/>
          <w:color w:val="0000FF"/>
          <w:szCs w:val="24"/>
        </w:rPr>
        <w:t>7</w:t>
      </w:r>
      <w:r w:rsidRPr="009318CB">
        <w:rPr>
          <w:rFonts w:cstheme="minorHAnsi"/>
          <w:color w:val="0000FF"/>
          <w:szCs w:val="24"/>
        </w:rPr>
        <w:t xml:space="preserve"> shows that for the IRF Change in </w:t>
      </w:r>
      <w:r>
        <w:rPr>
          <w:rFonts w:cstheme="minorHAnsi"/>
          <w:color w:val="0000FF"/>
          <w:szCs w:val="24"/>
        </w:rPr>
        <w:t>Mobility</w:t>
      </w:r>
      <w:r w:rsidRPr="009318CB">
        <w:rPr>
          <w:rFonts w:cstheme="minorHAnsi"/>
          <w:color w:val="0000FF"/>
          <w:szCs w:val="24"/>
        </w:rPr>
        <w:t xml:space="preserve"> Score measure, </w:t>
      </w:r>
      <w:r w:rsidR="00BF23FC">
        <w:rPr>
          <w:rFonts w:cstheme="minorHAnsi"/>
          <w:color w:val="0000FF"/>
          <w:szCs w:val="24"/>
        </w:rPr>
        <w:t>37.8</w:t>
      </w:r>
      <w:r w:rsidRPr="00D77E49">
        <w:rPr>
          <w:rFonts w:cstheme="minorHAnsi"/>
          <w:color w:val="0000FF"/>
          <w:szCs w:val="24"/>
        </w:rPr>
        <w:t>% of IRFs had 95%</w:t>
      </w:r>
      <w:r w:rsidRPr="009318CB">
        <w:rPr>
          <w:rFonts w:cstheme="minorHAnsi"/>
          <w:color w:val="0000FF"/>
          <w:szCs w:val="24"/>
        </w:rPr>
        <w:t xml:space="preserve"> confidence intervals lower than the national mean change score, indicating worse than national average performance.  </w:t>
      </w:r>
      <w:bookmarkStart w:id="105" w:name="_Hlk536011014"/>
      <w:r w:rsidR="009F7AEF">
        <w:rPr>
          <w:rFonts w:cstheme="minorHAnsi"/>
          <w:color w:val="0000FF"/>
          <w:szCs w:val="24"/>
        </w:rPr>
        <w:t xml:space="preserve">As shown in </w:t>
      </w:r>
      <w:r w:rsidR="009F7AEF" w:rsidRPr="00DC4CC8">
        <w:rPr>
          <w:rFonts w:cstheme="minorHAnsi"/>
          <w:b/>
          <w:color w:val="0000FF"/>
          <w:szCs w:val="24"/>
        </w:rPr>
        <w:t>Figure 3</w:t>
      </w:r>
      <w:r w:rsidR="009F7AEF">
        <w:rPr>
          <w:rFonts w:cstheme="minorHAnsi"/>
          <w:color w:val="0000FF"/>
          <w:szCs w:val="24"/>
        </w:rPr>
        <w:t xml:space="preserve"> above, the IRF calculated performance scores (i.e., the risk-adjusted change in mobility scores) are generally normally distributed.</w:t>
      </w:r>
      <w:bookmarkEnd w:id="105"/>
    </w:p>
    <w:p w14:paraId="4C9593CC" w14:textId="0B16139F" w:rsidR="00DF51AD" w:rsidRPr="009318CB" w:rsidRDefault="00DF51AD" w:rsidP="00EE3DF5">
      <w:pPr>
        <w:autoSpaceDE w:val="0"/>
        <w:autoSpaceDN w:val="0"/>
        <w:adjustRightInd w:val="0"/>
        <w:spacing w:line="240" w:lineRule="auto"/>
        <w:rPr>
          <w:rFonts w:cstheme="minorHAnsi"/>
          <w:color w:val="0000FF"/>
          <w:szCs w:val="24"/>
        </w:rPr>
      </w:pPr>
      <w:r w:rsidRPr="009318CB">
        <w:rPr>
          <w:rFonts w:cstheme="minorHAnsi"/>
          <w:b/>
          <w:color w:val="0000FF"/>
          <w:szCs w:val="24"/>
        </w:rPr>
        <w:t>Table 1</w:t>
      </w:r>
      <w:r w:rsidR="00360220">
        <w:rPr>
          <w:rFonts w:cstheme="minorHAnsi"/>
          <w:b/>
          <w:color w:val="0000FF"/>
          <w:szCs w:val="24"/>
        </w:rPr>
        <w:t>7</w:t>
      </w:r>
      <w:r w:rsidRPr="009318CB">
        <w:rPr>
          <w:rFonts w:cstheme="minorHAnsi"/>
          <w:b/>
          <w:color w:val="0000FF"/>
          <w:szCs w:val="24"/>
        </w:rPr>
        <w:t xml:space="preserve">. Comparison of Facility-Level Measure Scores with National Average Performance for Change in </w:t>
      </w:r>
      <w:r>
        <w:rPr>
          <w:rFonts w:cstheme="minorHAnsi"/>
          <w:b/>
          <w:color w:val="0000FF"/>
          <w:szCs w:val="24"/>
        </w:rPr>
        <w:t>Mobility</w:t>
      </w:r>
      <w:r w:rsidRPr="009318CB">
        <w:rPr>
          <w:rFonts w:cstheme="minorHAnsi"/>
          <w:b/>
          <w:color w:val="0000FF"/>
          <w:szCs w:val="24"/>
        </w:rPr>
        <w:t xml:space="preserve"> Score </w:t>
      </w:r>
      <w:r w:rsidR="00BF23FC">
        <w:rPr>
          <w:rFonts w:cstheme="minorHAnsi"/>
          <w:b/>
          <w:color w:val="0000FF"/>
          <w:szCs w:val="24"/>
        </w:rPr>
        <w:t>(N = 1,117)</w:t>
      </w:r>
    </w:p>
    <w:tbl>
      <w:tblPr>
        <w:tblW w:w="9270" w:type="dxa"/>
        <w:tblInd w:w="-5" w:type="dxa"/>
        <w:tblBorders>
          <w:top w:val="single" w:sz="4" w:space="0" w:color="auto"/>
          <w:bottom w:val="single" w:sz="4" w:space="0" w:color="auto"/>
        </w:tblBorders>
        <w:tblLook w:val="04A0" w:firstRow="1" w:lastRow="0" w:firstColumn="1" w:lastColumn="0" w:noHBand="0" w:noVBand="1"/>
      </w:tblPr>
      <w:tblGrid>
        <w:gridCol w:w="2847"/>
        <w:gridCol w:w="2141"/>
        <w:gridCol w:w="2141"/>
        <w:gridCol w:w="2141"/>
      </w:tblGrid>
      <w:tr w:rsidR="00DF51AD" w:rsidRPr="009318CB" w14:paraId="635A550A" w14:textId="77777777" w:rsidTr="00882BFF">
        <w:trPr>
          <w:trHeight w:val="1113"/>
        </w:trPr>
        <w:tc>
          <w:tcPr>
            <w:tcW w:w="2847" w:type="dxa"/>
            <w:tcBorders>
              <w:top w:val="single" w:sz="4" w:space="0" w:color="auto"/>
              <w:bottom w:val="single" w:sz="4" w:space="0" w:color="auto"/>
            </w:tcBorders>
            <w:shd w:val="clear" w:color="auto" w:fill="auto"/>
            <w:vAlign w:val="center"/>
          </w:tcPr>
          <w:p w14:paraId="2153E53C" w14:textId="77777777" w:rsidR="00DF51AD" w:rsidRPr="00EE3DF5" w:rsidRDefault="00DF51AD" w:rsidP="00882BFF">
            <w:pPr>
              <w:autoSpaceDE w:val="0"/>
              <w:autoSpaceDN w:val="0"/>
              <w:adjustRightInd w:val="0"/>
              <w:spacing w:after="0"/>
              <w:rPr>
                <w:rFonts w:eastAsia="Calibri" w:cstheme="minorHAnsi"/>
                <w:b/>
                <w:color w:val="0000FF"/>
                <w:szCs w:val="24"/>
              </w:rPr>
            </w:pPr>
            <w:r w:rsidRPr="00EE3DF5">
              <w:rPr>
                <w:rFonts w:eastAsia="Calibri" w:cstheme="minorHAnsi"/>
                <w:b/>
                <w:color w:val="0000FF"/>
                <w:szCs w:val="24"/>
              </w:rPr>
              <w:t>Measure Name</w:t>
            </w:r>
          </w:p>
        </w:tc>
        <w:tc>
          <w:tcPr>
            <w:tcW w:w="2141" w:type="dxa"/>
            <w:tcBorders>
              <w:top w:val="single" w:sz="4" w:space="0" w:color="auto"/>
              <w:bottom w:val="single" w:sz="4" w:space="0" w:color="auto"/>
            </w:tcBorders>
            <w:shd w:val="clear" w:color="auto" w:fill="auto"/>
            <w:vAlign w:val="center"/>
          </w:tcPr>
          <w:p w14:paraId="2A8DE665"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 xml:space="preserve">Facility Performance Worse than National Average </w:t>
            </w:r>
          </w:p>
          <w:p w14:paraId="20CC81FE"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N (%)</w:t>
            </w:r>
          </w:p>
        </w:tc>
        <w:tc>
          <w:tcPr>
            <w:tcW w:w="2141" w:type="dxa"/>
            <w:tcBorders>
              <w:top w:val="single" w:sz="4" w:space="0" w:color="auto"/>
              <w:bottom w:val="single" w:sz="4" w:space="0" w:color="auto"/>
            </w:tcBorders>
            <w:shd w:val="clear" w:color="auto" w:fill="auto"/>
            <w:vAlign w:val="center"/>
          </w:tcPr>
          <w:p w14:paraId="60A3A3D2"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Facility Performance Better than National Average</w:t>
            </w:r>
            <w:r w:rsidRPr="00EE3DF5" w:rsidDel="00431CD0">
              <w:rPr>
                <w:rFonts w:eastAsia="Calibri" w:cstheme="minorHAnsi"/>
                <w:b/>
                <w:color w:val="0000FF"/>
                <w:szCs w:val="24"/>
              </w:rPr>
              <w:t xml:space="preserve"> </w:t>
            </w:r>
          </w:p>
          <w:p w14:paraId="00D09220"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N (%)</w:t>
            </w:r>
          </w:p>
        </w:tc>
        <w:tc>
          <w:tcPr>
            <w:tcW w:w="2141" w:type="dxa"/>
            <w:tcBorders>
              <w:top w:val="single" w:sz="4" w:space="0" w:color="auto"/>
              <w:bottom w:val="single" w:sz="4" w:space="0" w:color="auto"/>
            </w:tcBorders>
            <w:shd w:val="clear" w:color="auto" w:fill="auto"/>
            <w:vAlign w:val="center"/>
          </w:tcPr>
          <w:p w14:paraId="5C827924"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Facility Performance Same as National  Average</w:t>
            </w:r>
          </w:p>
          <w:p w14:paraId="146E37AB" w14:textId="77777777" w:rsidR="00DF51AD" w:rsidRPr="00EE3DF5" w:rsidRDefault="00DF51AD" w:rsidP="00882BFF">
            <w:pPr>
              <w:autoSpaceDE w:val="0"/>
              <w:autoSpaceDN w:val="0"/>
              <w:adjustRightInd w:val="0"/>
              <w:spacing w:after="0"/>
              <w:jc w:val="center"/>
              <w:rPr>
                <w:rFonts w:eastAsia="Calibri" w:cstheme="minorHAnsi"/>
                <w:b/>
                <w:color w:val="0000FF"/>
                <w:szCs w:val="24"/>
              </w:rPr>
            </w:pPr>
            <w:r w:rsidRPr="00EE3DF5">
              <w:rPr>
                <w:rFonts w:eastAsia="Calibri" w:cstheme="minorHAnsi"/>
                <w:b/>
                <w:color w:val="0000FF"/>
                <w:szCs w:val="24"/>
              </w:rPr>
              <w:t>N (%)</w:t>
            </w:r>
          </w:p>
        </w:tc>
      </w:tr>
      <w:tr w:rsidR="00BF23FC" w:rsidRPr="009318CB" w14:paraId="41078E9A" w14:textId="77777777" w:rsidTr="00302EF1">
        <w:trPr>
          <w:trHeight w:val="638"/>
        </w:trPr>
        <w:tc>
          <w:tcPr>
            <w:tcW w:w="2847" w:type="dxa"/>
            <w:tcBorders>
              <w:top w:val="single" w:sz="4" w:space="0" w:color="auto"/>
            </w:tcBorders>
            <w:shd w:val="clear" w:color="auto" w:fill="auto"/>
            <w:vAlign w:val="center"/>
          </w:tcPr>
          <w:p w14:paraId="1B7D4A22" w14:textId="4571D532" w:rsidR="00BF23FC" w:rsidRPr="009318CB" w:rsidRDefault="00BF23FC" w:rsidP="00BF23FC">
            <w:pPr>
              <w:autoSpaceDE w:val="0"/>
              <w:autoSpaceDN w:val="0"/>
              <w:adjustRightInd w:val="0"/>
              <w:spacing w:after="0"/>
              <w:rPr>
                <w:rFonts w:eastAsia="Calibri" w:cstheme="minorHAnsi"/>
                <w:color w:val="0000FF"/>
                <w:szCs w:val="24"/>
              </w:rPr>
            </w:pPr>
            <w:r w:rsidRPr="009318CB">
              <w:rPr>
                <w:rFonts w:eastAsia="Calibri" w:cstheme="minorHAnsi"/>
                <w:color w:val="0000FF"/>
                <w:szCs w:val="24"/>
              </w:rPr>
              <w:t xml:space="preserve">Change </w:t>
            </w:r>
            <w:r>
              <w:rPr>
                <w:rFonts w:eastAsia="Calibri" w:cstheme="minorHAnsi"/>
                <w:color w:val="0000FF"/>
                <w:szCs w:val="24"/>
              </w:rPr>
              <w:t xml:space="preserve">in Mobility </w:t>
            </w:r>
            <w:r w:rsidRPr="009318CB">
              <w:rPr>
                <w:rFonts w:eastAsia="Calibri" w:cstheme="minorHAnsi"/>
                <w:color w:val="0000FF"/>
                <w:szCs w:val="24"/>
              </w:rPr>
              <w:t>Score</w:t>
            </w:r>
          </w:p>
        </w:tc>
        <w:tc>
          <w:tcPr>
            <w:tcW w:w="2141" w:type="dxa"/>
            <w:tcBorders>
              <w:top w:val="single" w:sz="4" w:space="0" w:color="auto"/>
            </w:tcBorders>
            <w:shd w:val="clear" w:color="auto" w:fill="auto"/>
            <w:vAlign w:val="center"/>
          </w:tcPr>
          <w:p w14:paraId="3091CA9A" w14:textId="285605B2" w:rsidR="00BF23FC" w:rsidRPr="009318CB" w:rsidRDefault="00BF23FC" w:rsidP="00BF23FC">
            <w:pPr>
              <w:autoSpaceDE w:val="0"/>
              <w:autoSpaceDN w:val="0"/>
              <w:adjustRightInd w:val="0"/>
              <w:spacing w:after="0"/>
              <w:jc w:val="center"/>
              <w:rPr>
                <w:rFonts w:eastAsia="Calibri" w:cstheme="minorHAnsi"/>
                <w:color w:val="0000FF"/>
                <w:szCs w:val="24"/>
              </w:rPr>
            </w:pPr>
            <w:r w:rsidRPr="00D77E49">
              <w:rPr>
                <w:rFonts w:eastAsia="Calibri" w:cstheme="minorHAnsi"/>
                <w:color w:val="0000FF"/>
                <w:szCs w:val="24"/>
              </w:rPr>
              <w:t>422 (37.8%)</w:t>
            </w:r>
          </w:p>
        </w:tc>
        <w:tc>
          <w:tcPr>
            <w:tcW w:w="2141" w:type="dxa"/>
            <w:tcBorders>
              <w:top w:val="single" w:sz="4" w:space="0" w:color="auto"/>
            </w:tcBorders>
            <w:shd w:val="clear" w:color="auto" w:fill="auto"/>
            <w:vAlign w:val="center"/>
          </w:tcPr>
          <w:p w14:paraId="64163E06" w14:textId="07254A52" w:rsidR="00BF23FC" w:rsidRPr="009318CB" w:rsidRDefault="00BF23FC" w:rsidP="00BF23FC">
            <w:pPr>
              <w:autoSpaceDE w:val="0"/>
              <w:autoSpaceDN w:val="0"/>
              <w:adjustRightInd w:val="0"/>
              <w:spacing w:after="0"/>
              <w:jc w:val="center"/>
              <w:rPr>
                <w:rFonts w:eastAsia="Calibri" w:cstheme="minorHAnsi"/>
                <w:color w:val="0000FF"/>
                <w:szCs w:val="24"/>
              </w:rPr>
            </w:pPr>
            <w:r w:rsidRPr="00D77E49">
              <w:rPr>
                <w:rFonts w:eastAsia="Calibri" w:cstheme="minorHAnsi"/>
                <w:color w:val="0000FF"/>
                <w:szCs w:val="24"/>
              </w:rPr>
              <w:t>352 (31.5%)</w:t>
            </w:r>
          </w:p>
        </w:tc>
        <w:tc>
          <w:tcPr>
            <w:tcW w:w="2141" w:type="dxa"/>
            <w:tcBorders>
              <w:top w:val="single" w:sz="4" w:space="0" w:color="auto"/>
            </w:tcBorders>
            <w:shd w:val="clear" w:color="auto" w:fill="auto"/>
            <w:vAlign w:val="center"/>
          </w:tcPr>
          <w:p w14:paraId="44566257" w14:textId="3CA0D84C" w:rsidR="00BF23FC" w:rsidRPr="009318CB" w:rsidRDefault="00BF23FC" w:rsidP="00BF23FC">
            <w:pPr>
              <w:autoSpaceDE w:val="0"/>
              <w:autoSpaceDN w:val="0"/>
              <w:adjustRightInd w:val="0"/>
              <w:spacing w:after="0"/>
              <w:jc w:val="center"/>
              <w:rPr>
                <w:rFonts w:eastAsia="Calibri" w:cstheme="minorHAnsi"/>
                <w:color w:val="0000FF"/>
                <w:szCs w:val="24"/>
              </w:rPr>
            </w:pPr>
            <w:r w:rsidRPr="00D77E49">
              <w:rPr>
                <w:rFonts w:eastAsia="Calibri" w:cstheme="minorHAnsi"/>
                <w:color w:val="0000FF"/>
                <w:szCs w:val="24"/>
              </w:rPr>
              <w:t>343 (30.7%)</w:t>
            </w:r>
          </w:p>
        </w:tc>
      </w:tr>
    </w:tbl>
    <w:p w14:paraId="09F4B25D" w14:textId="77777777" w:rsidR="00BF23FC" w:rsidRDefault="00BF23FC" w:rsidP="00BF23FC">
      <w:pPr>
        <w:autoSpaceDE w:val="0"/>
        <w:autoSpaceDN w:val="0"/>
        <w:adjustRightInd w:val="0"/>
        <w:spacing w:after="0" w:line="240" w:lineRule="auto"/>
        <w:rPr>
          <w:rFonts w:cstheme="minorHAnsi"/>
          <w:color w:val="0000FF"/>
          <w:sz w:val="20"/>
          <w:szCs w:val="20"/>
        </w:rPr>
      </w:pPr>
      <w:r>
        <w:rPr>
          <w:rFonts w:cstheme="minorHAnsi"/>
          <w:color w:val="0000FF"/>
          <w:sz w:val="20"/>
          <w:szCs w:val="20"/>
        </w:rPr>
        <w:t xml:space="preserve">Note: </w:t>
      </w:r>
      <w:r w:rsidRPr="000B5974">
        <w:rPr>
          <w:rFonts w:cstheme="minorHAnsi"/>
          <w:color w:val="0000FF"/>
          <w:sz w:val="20"/>
          <w:szCs w:val="20"/>
        </w:rPr>
        <w:t>Providers with &lt; 20 stays during the 12-month testing period are excluded.</w:t>
      </w:r>
    </w:p>
    <w:p w14:paraId="3EBF50D4" w14:textId="3B0CBBC7" w:rsidR="00DF51AD" w:rsidRPr="00DF51AD" w:rsidRDefault="00DF51AD" w:rsidP="00D61410">
      <w:pPr>
        <w:autoSpaceDE w:val="0"/>
        <w:autoSpaceDN w:val="0"/>
        <w:adjustRightInd w:val="0"/>
        <w:spacing w:after="0" w:line="240" w:lineRule="auto"/>
        <w:rPr>
          <w:rFonts w:cstheme="minorHAnsi"/>
          <w:bCs/>
        </w:rPr>
      </w:pPr>
      <w:r w:rsidRPr="00DF51AD">
        <w:rPr>
          <w:rFonts w:cstheme="minorHAnsi"/>
          <w:color w:val="0000FF"/>
          <w:sz w:val="20"/>
          <w:szCs w:val="20"/>
        </w:rPr>
        <w:t xml:space="preserve">Source: RTI analysis of IRF-PAI, January – December 2017. (Program reference: </w:t>
      </w:r>
      <w:r w:rsidR="00BF23FC">
        <w:rPr>
          <w:rFonts w:cstheme="minorHAnsi"/>
          <w:color w:val="0000FF"/>
          <w:sz w:val="20"/>
          <w:szCs w:val="20"/>
        </w:rPr>
        <w:t>MV53</w:t>
      </w:r>
      <w:r w:rsidRPr="00DF51AD">
        <w:rPr>
          <w:rFonts w:cstheme="minorHAnsi"/>
          <w:color w:val="0000FF"/>
          <w:sz w:val="20"/>
          <w:szCs w:val="2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15CEFDE8"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304D0312" w14:textId="77777777" w:rsidR="00302EF1" w:rsidRDefault="00444286" w:rsidP="00F40534">
      <w:pPr>
        <w:autoSpaceDE w:val="0"/>
        <w:autoSpaceDN w:val="0"/>
        <w:adjustRightInd w:val="0"/>
        <w:rPr>
          <w:rFonts w:cstheme="minorHAnsi"/>
          <w:color w:val="0000FF"/>
        </w:rPr>
      </w:pPr>
      <w:r w:rsidRPr="00C22BBD">
        <w:rPr>
          <w:rFonts w:cstheme="minorHAnsi"/>
          <w:color w:val="0000FF"/>
        </w:rPr>
        <w:t>These results demonstrate the ability of the measures to discriminate among facilities based on facility-level measure performance.</w:t>
      </w:r>
    </w:p>
    <w:p w14:paraId="0CABD00D" w14:textId="68200AD9" w:rsidR="0086464B" w:rsidRPr="00F40534" w:rsidRDefault="0086464B" w:rsidP="00F40534">
      <w:pPr>
        <w:autoSpaceDE w:val="0"/>
        <w:autoSpaceDN w:val="0"/>
        <w:adjustRightInd w:val="0"/>
        <w:rPr>
          <w:rFonts w:cstheme="minorHAnsi"/>
          <w:color w:val="0000FF"/>
        </w:rPr>
      </w:pPr>
      <w:r>
        <w:rPr>
          <w:rFonts w:cstheme="minorHAnsi"/>
          <w:b/>
          <w:bCs/>
        </w:rPr>
        <w:lastRenderedPageBreak/>
        <w:t>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F9391C">
        <w:rPr>
          <w:rFonts w:cstheme="minorHAnsi"/>
          <w:b/>
          <w:bCs/>
          <w:i/>
        </w:rPr>
        <w:t xml:space="preserve">If only one set of specifications, this section can be </w:t>
      </w:r>
      <w:r w:rsidR="00BE592D" w:rsidRPr="00F9391C">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3F6545CB" w14:textId="77777777" w:rsidR="00444286" w:rsidRDefault="00444286" w:rsidP="00444286">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377012FB"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65545E3" w14:textId="77777777" w:rsidR="00444286" w:rsidRDefault="00444286" w:rsidP="00444286">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6F27689F" w14:textId="77777777" w:rsidR="00444286" w:rsidRDefault="009C7513" w:rsidP="00444286">
      <w:pPr>
        <w:autoSpaceDE w:val="0"/>
        <w:autoSpaceDN w:val="0"/>
        <w:adjustRightInd w:val="0"/>
        <w:spacing w:after="0" w:line="240" w:lineRule="auto"/>
        <w:rPr>
          <w:rFonts w:cstheme="minorHAnsi"/>
          <w:bCs/>
          <w:color w:val="0000FF"/>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0CABD017" w14:textId="51775DF3" w:rsidR="0079180E" w:rsidRPr="00F40534" w:rsidRDefault="00444286" w:rsidP="00DB3627">
      <w:pPr>
        <w:autoSpaceDE w:val="0"/>
        <w:autoSpaceDN w:val="0"/>
        <w:adjustRightInd w:val="0"/>
        <w:spacing w:after="0" w:line="240" w:lineRule="auto"/>
        <w:rPr>
          <w:rFonts w:cstheme="minorHAnsi"/>
          <w:bCs/>
          <w:color w:val="0000FF"/>
        </w:rPr>
      </w:pPr>
      <w:r w:rsidRPr="00DC3B7A">
        <w:rPr>
          <w:rFonts w:cstheme="minorHAnsi"/>
          <w:bCs/>
          <w:color w:val="0000FF"/>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2C74838B" w:rsidR="008F7E67" w:rsidRPr="00A25024"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t xml:space="preserve"> </w:t>
      </w:r>
    </w:p>
    <w:p w14:paraId="634433FF" w14:textId="0F137501" w:rsidR="00444286" w:rsidRDefault="00444286" w:rsidP="00444286">
      <w:pPr>
        <w:autoSpaceDE w:val="0"/>
        <w:autoSpaceDN w:val="0"/>
        <w:adjustRightInd w:val="0"/>
        <w:spacing w:after="0" w:line="240" w:lineRule="auto"/>
        <w:rPr>
          <w:rFonts w:eastAsia="Calibri" w:cs="Times New Roman"/>
          <w:color w:val="0000FF"/>
        </w:rPr>
      </w:pPr>
      <w:r w:rsidRPr="001B4B1B">
        <w:rPr>
          <w:rFonts w:eastAsia="Calibri" w:cs="Times New Roman"/>
          <w:color w:val="0000FF"/>
        </w:rPr>
        <w:t xml:space="preserve">We ran frequencies of missing data for each </w:t>
      </w:r>
      <w:r>
        <w:rPr>
          <w:rFonts w:eastAsia="Calibri" w:cs="Times New Roman"/>
          <w:color w:val="0000FF"/>
        </w:rPr>
        <w:t>mobility</w:t>
      </w:r>
      <w:r w:rsidRPr="001B4B1B">
        <w:rPr>
          <w:rFonts w:eastAsia="Calibri" w:cs="Times New Roman"/>
          <w:color w:val="0000FF"/>
        </w:rPr>
        <w:t xml:space="preserve"> </w:t>
      </w:r>
      <w:r w:rsidR="0093624C">
        <w:rPr>
          <w:rFonts w:eastAsia="Calibri" w:cs="Times New Roman"/>
          <w:color w:val="0000FF"/>
        </w:rPr>
        <w:t xml:space="preserve">data element </w:t>
      </w:r>
      <w:r>
        <w:rPr>
          <w:rFonts w:eastAsia="Calibri" w:cs="Times New Roman"/>
          <w:color w:val="0000FF"/>
        </w:rPr>
        <w:t xml:space="preserve">at admission and discharge </w:t>
      </w:r>
      <w:bookmarkStart w:id="106" w:name="_Hlk536011077"/>
      <w:r w:rsidR="009F7AEF">
        <w:rPr>
          <w:rFonts w:eastAsia="Calibri" w:cs="Times New Roman"/>
          <w:color w:val="0000FF"/>
        </w:rPr>
        <w:t xml:space="preserve">as well as each of the risk adjustors </w:t>
      </w:r>
      <w:bookmarkEnd w:id="106"/>
      <w:r>
        <w:rPr>
          <w:rFonts w:eastAsia="Calibri" w:cs="Times New Roman"/>
          <w:color w:val="0000FF"/>
        </w:rPr>
        <w:t>after applying the exclusion criteria</w:t>
      </w:r>
      <w:r w:rsidR="0093624C">
        <w:rPr>
          <w:rFonts w:eastAsia="Calibri" w:cs="Times New Roman"/>
          <w:color w:val="0000FF"/>
        </w:rPr>
        <w:t xml:space="preserve"> to examine the extent and distribution of missing data</w:t>
      </w:r>
      <w:r>
        <w:rPr>
          <w:rFonts w:eastAsia="Calibri" w:cs="Times New Roman"/>
          <w:color w:val="0000FF"/>
        </w:rPr>
        <w:t xml:space="preserve">. </w:t>
      </w:r>
      <w:bookmarkStart w:id="107" w:name="_Hlk536011086"/>
      <w:r w:rsidR="009F7AEF">
        <w:rPr>
          <w:rFonts w:eastAsia="Calibri" w:cs="Times New Roman"/>
          <w:color w:val="0000FF"/>
        </w:rPr>
        <w:t>Missing data on the IRF-PAI is identified as a dash (-), which is coded by providers</w:t>
      </w:r>
      <w:r w:rsidR="009F7AEF" w:rsidRPr="006E5350">
        <w:t xml:space="preserve"> </w:t>
      </w:r>
      <w:r w:rsidR="009F7AEF">
        <w:rPr>
          <w:rFonts w:eastAsia="Calibri" w:cs="Times New Roman"/>
          <w:color w:val="0000FF"/>
        </w:rPr>
        <w:t xml:space="preserve">to </w:t>
      </w:r>
      <w:r w:rsidR="009F7AEF" w:rsidRPr="006E5350">
        <w:rPr>
          <w:rFonts w:eastAsia="Calibri" w:cs="Times New Roman"/>
          <w:color w:val="0000FF"/>
        </w:rPr>
        <w:t xml:space="preserve">indicate </w:t>
      </w:r>
      <w:r w:rsidR="009F7AEF">
        <w:rPr>
          <w:rFonts w:eastAsia="Calibri" w:cs="Times New Roman"/>
          <w:color w:val="0000FF"/>
        </w:rPr>
        <w:t xml:space="preserve">they have </w:t>
      </w:r>
      <w:r w:rsidR="009F7AEF" w:rsidRPr="006E5350">
        <w:rPr>
          <w:rFonts w:eastAsia="Calibri" w:cs="Times New Roman"/>
          <w:color w:val="0000FF"/>
        </w:rPr>
        <w:t xml:space="preserve">“No information.” </w:t>
      </w:r>
      <w:r w:rsidR="009F7AEF">
        <w:rPr>
          <w:rFonts w:eastAsia="Calibri" w:cs="Times New Roman"/>
          <w:color w:val="0000FF"/>
        </w:rPr>
        <w:t>D</w:t>
      </w:r>
      <w:r w:rsidR="009F7AEF" w:rsidRPr="006E5350">
        <w:rPr>
          <w:rFonts w:eastAsia="Calibri" w:cs="Times New Roman"/>
          <w:color w:val="0000FF"/>
        </w:rPr>
        <w:t xml:space="preserve">ash use </w:t>
      </w:r>
      <w:r w:rsidR="009F7AEF">
        <w:rPr>
          <w:rFonts w:eastAsia="Calibri" w:cs="Times New Roman"/>
          <w:color w:val="0000FF"/>
        </w:rPr>
        <w:t xml:space="preserve">is expected </w:t>
      </w:r>
      <w:r w:rsidR="009F7AEF" w:rsidRPr="006E5350">
        <w:rPr>
          <w:rFonts w:eastAsia="Calibri" w:cs="Times New Roman"/>
          <w:color w:val="0000FF"/>
        </w:rPr>
        <w:t>to be a rare occurrence</w:t>
      </w:r>
      <w:r w:rsidR="009F7AEF">
        <w:rPr>
          <w:rFonts w:eastAsia="Calibri" w:cs="Times New Roman"/>
          <w:color w:val="0000FF"/>
        </w:rPr>
        <w:t xml:space="preserve"> and coding guidance is provided through in-person and web-based trainings, training manuals, and responses to help desk inquiries</w:t>
      </w:r>
      <w:r w:rsidR="009F7AEF" w:rsidRPr="006E5350">
        <w:rPr>
          <w:rFonts w:eastAsia="Calibri" w:cs="Times New Roman"/>
          <w:color w:val="0000FF"/>
        </w:rPr>
        <w:t>.</w:t>
      </w:r>
      <w:bookmarkEnd w:id="107"/>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782A572" w14:textId="77777777" w:rsidR="00302EF1" w:rsidRDefault="009C7513" w:rsidP="00444286">
      <w:pPr>
        <w:autoSpaceDE w:val="0"/>
        <w:autoSpaceDN w:val="0"/>
        <w:adjustRightInd w:val="0"/>
        <w:spacing w:after="0" w:line="240" w:lineRule="auto"/>
        <w:rPr>
          <w:rFonts w:cstheme="minorHAnsi"/>
          <w:bCs/>
          <w:color w:val="0000FF"/>
        </w:rPr>
      </w:pPr>
      <w:r>
        <w:rPr>
          <w:rFonts w:cstheme="minorHAnsi"/>
          <w:b/>
          <w:bCs/>
        </w:rPr>
        <w:lastRenderedPageBreak/>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88FDB5F" w14:textId="40EA4C6C" w:rsidR="00444286" w:rsidRDefault="00444286" w:rsidP="00444286">
      <w:pPr>
        <w:autoSpaceDE w:val="0"/>
        <w:autoSpaceDN w:val="0"/>
        <w:adjustRightInd w:val="0"/>
        <w:spacing w:after="0" w:line="240" w:lineRule="auto"/>
        <w:rPr>
          <w:rFonts w:eastAsia="Calibri" w:cstheme="minorHAnsi"/>
          <w:color w:val="0000FF"/>
        </w:rPr>
      </w:pPr>
      <w:r w:rsidRPr="00981CB7">
        <w:rPr>
          <w:rFonts w:cstheme="minorHAnsi"/>
          <w:bCs/>
          <w:color w:val="0000FF"/>
        </w:rPr>
        <w:t xml:space="preserve">The frequencies of missing data for each </w:t>
      </w:r>
      <w:r>
        <w:rPr>
          <w:rFonts w:cstheme="minorHAnsi"/>
          <w:bCs/>
          <w:color w:val="0000FF"/>
        </w:rPr>
        <w:t>mobility</w:t>
      </w:r>
      <w:r w:rsidRPr="00981CB7">
        <w:rPr>
          <w:rFonts w:cstheme="minorHAnsi"/>
          <w:bCs/>
          <w:color w:val="0000FF"/>
        </w:rPr>
        <w:t xml:space="preserve"> </w:t>
      </w:r>
      <w:r w:rsidR="00745539">
        <w:rPr>
          <w:rFonts w:cstheme="minorHAnsi"/>
          <w:bCs/>
          <w:color w:val="0000FF"/>
        </w:rPr>
        <w:t>data element</w:t>
      </w:r>
      <w:r w:rsidRPr="00981CB7">
        <w:rPr>
          <w:rFonts w:cstheme="minorHAnsi"/>
          <w:bCs/>
          <w:color w:val="0000FF"/>
        </w:rPr>
        <w:t xml:space="preserve"> using data from the IRF-PAI are reported in </w:t>
      </w:r>
      <w:r w:rsidRPr="00981CB7">
        <w:rPr>
          <w:rFonts w:cstheme="minorHAnsi"/>
          <w:b/>
          <w:color w:val="0000FF"/>
        </w:rPr>
        <w:t>Table 1</w:t>
      </w:r>
      <w:r w:rsidR="00360220">
        <w:rPr>
          <w:rFonts w:cstheme="minorHAnsi"/>
          <w:b/>
          <w:color w:val="0000FF"/>
        </w:rPr>
        <w:t>8</w:t>
      </w:r>
      <w:r w:rsidRPr="00981CB7">
        <w:rPr>
          <w:rFonts w:cstheme="minorHAnsi"/>
          <w:b/>
          <w:color w:val="0000FF"/>
        </w:rPr>
        <w:t xml:space="preserve"> </w:t>
      </w:r>
      <w:r w:rsidRPr="00981CB7">
        <w:rPr>
          <w:rFonts w:cstheme="minorHAnsi"/>
          <w:bCs/>
          <w:color w:val="0000FF"/>
        </w:rPr>
        <w:t xml:space="preserve">at admission and discharge. </w:t>
      </w:r>
      <w:r w:rsidRPr="00981CB7">
        <w:rPr>
          <w:rFonts w:eastAsia="Calibri" w:cstheme="minorHAnsi"/>
          <w:color w:val="0000FF"/>
        </w:rPr>
        <w:t xml:space="preserve">Across all </w:t>
      </w:r>
      <w:r>
        <w:rPr>
          <w:rFonts w:eastAsia="Calibri" w:cstheme="minorHAnsi"/>
          <w:color w:val="0000FF"/>
        </w:rPr>
        <w:t>mobility</w:t>
      </w:r>
      <w:r w:rsidRPr="00981CB7">
        <w:rPr>
          <w:rFonts w:eastAsia="Calibri" w:cstheme="minorHAnsi"/>
          <w:color w:val="0000FF"/>
        </w:rPr>
        <w:t xml:space="preserve"> </w:t>
      </w:r>
      <w:r w:rsidR="00745539">
        <w:rPr>
          <w:rFonts w:eastAsia="Calibri" w:cstheme="minorHAnsi"/>
          <w:color w:val="0000FF"/>
        </w:rPr>
        <w:t>data element</w:t>
      </w:r>
      <w:r w:rsidRPr="00981CB7">
        <w:rPr>
          <w:rFonts w:eastAsia="Calibri" w:cstheme="minorHAnsi"/>
          <w:color w:val="0000FF"/>
        </w:rPr>
        <w:t xml:space="preserve">s, at admission and discharge, the number of cases in which the </w:t>
      </w:r>
      <w:r w:rsidR="00745539">
        <w:rPr>
          <w:rFonts w:eastAsia="Calibri" w:cstheme="minorHAnsi"/>
          <w:color w:val="0000FF"/>
        </w:rPr>
        <w:t>data element</w:t>
      </w:r>
      <w:r w:rsidRPr="00981CB7">
        <w:rPr>
          <w:rFonts w:eastAsia="Calibri" w:cstheme="minorHAnsi"/>
          <w:color w:val="0000FF"/>
        </w:rPr>
        <w:t xml:space="preserve"> data are missing is very low – less than </w:t>
      </w:r>
      <w:r w:rsidR="0093624C">
        <w:rPr>
          <w:rFonts w:eastAsia="Calibri" w:cstheme="minorHAnsi"/>
          <w:color w:val="0000FF"/>
        </w:rPr>
        <w:t>0.5</w:t>
      </w:r>
      <w:r w:rsidRPr="00981CB7">
        <w:rPr>
          <w:rFonts w:eastAsia="Calibri" w:cstheme="minorHAnsi"/>
          <w:color w:val="0000FF"/>
        </w:rPr>
        <w:t xml:space="preserve">%. </w:t>
      </w:r>
    </w:p>
    <w:p w14:paraId="57A5EC07" w14:textId="77777777" w:rsidR="00444286" w:rsidRPr="00DC3B7A" w:rsidRDefault="00444286" w:rsidP="00444286">
      <w:pPr>
        <w:autoSpaceDE w:val="0"/>
        <w:autoSpaceDN w:val="0"/>
        <w:adjustRightInd w:val="0"/>
        <w:spacing w:after="0"/>
        <w:rPr>
          <w:rFonts w:cstheme="minorHAnsi"/>
          <w:bCs/>
          <w:color w:val="0000FF"/>
          <w:sz w:val="24"/>
          <w:szCs w:val="24"/>
          <w:highlight w:val="yellow"/>
        </w:rPr>
      </w:pPr>
    </w:p>
    <w:p w14:paraId="135CA1C9" w14:textId="3400A135" w:rsidR="00444286" w:rsidRPr="00ED3C78" w:rsidRDefault="00444286" w:rsidP="00444286">
      <w:pPr>
        <w:autoSpaceDE w:val="0"/>
        <w:autoSpaceDN w:val="0"/>
        <w:adjustRightInd w:val="0"/>
        <w:spacing w:after="0" w:line="240" w:lineRule="auto"/>
        <w:rPr>
          <w:rFonts w:cstheme="minorHAnsi"/>
          <w:b/>
          <w:bCs/>
          <w:color w:val="0000FF"/>
        </w:rPr>
      </w:pPr>
      <w:r w:rsidRPr="00ED3C78">
        <w:rPr>
          <w:rFonts w:eastAsia="Times New Roman" w:cstheme="minorHAnsi"/>
          <w:b/>
          <w:bCs/>
          <w:color w:val="0000FF"/>
        </w:rPr>
        <w:t>Table 1</w:t>
      </w:r>
      <w:r w:rsidR="00360220">
        <w:rPr>
          <w:rFonts w:eastAsia="Times New Roman" w:cstheme="minorHAnsi"/>
          <w:b/>
          <w:bCs/>
          <w:color w:val="0000FF"/>
        </w:rPr>
        <w:t>8</w:t>
      </w:r>
      <w:r w:rsidRPr="00ED3C78">
        <w:rPr>
          <w:rFonts w:eastAsia="Times New Roman" w:cstheme="minorHAnsi"/>
          <w:b/>
          <w:bCs/>
          <w:color w:val="0000FF"/>
        </w:rPr>
        <w:t>.</w:t>
      </w:r>
      <w:r w:rsidRPr="00ED3C78">
        <w:rPr>
          <w:rFonts w:cstheme="minorHAnsi"/>
          <w:b/>
          <w:bCs/>
          <w:color w:val="0000FF"/>
        </w:rPr>
        <w:t xml:space="preserve"> </w:t>
      </w:r>
      <w:r w:rsidR="007874F0" w:rsidRPr="00ED3C78">
        <w:rPr>
          <w:rFonts w:cstheme="minorHAnsi"/>
          <w:b/>
          <w:bCs/>
          <w:color w:val="0000FF"/>
        </w:rPr>
        <w:t>Mobility</w:t>
      </w:r>
      <w:r w:rsidRPr="00ED3C78">
        <w:rPr>
          <w:rFonts w:cstheme="minorHAnsi"/>
          <w:b/>
          <w:bCs/>
          <w:color w:val="0000FF"/>
        </w:rPr>
        <w:t xml:space="preserve"> </w:t>
      </w:r>
      <w:r w:rsidR="00745539">
        <w:rPr>
          <w:rFonts w:cstheme="minorHAnsi"/>
          <w:b/>
          <w:bCs/>
          <w:color w:val="0000FF"/>
        </w:rPr>
        <w:t xml:space="preserve">Data </w:t>
      </w:r>
      <w:r w:rsidR="00BF23FC">
        <w:rPr>
          <w:rFonts w:cstheme="minorHAnsi"/>
          <w:b/>
          <w:bCs/>
          <w:color w:val="0000FF"/>
        </w:rPr>
        <w:t>E</w:t>
      </w:r>
      <w:r w:rsidR="00745539">
        <w:rPr>
          <w:rFonts w:cstheme="minorHAnsi"/>
          <w:b/>
          <w:bCs/>
          <w:color w:val="0000FF"/>
        </w:rPr>
        <w:t>lement</w:t>
      </w:r>
      <w:r w:rsidRPr="00ED3C78">
        <w:rPr>
          <w:rFonts w:cstheme="minorHAnsi"/>
          <w:b/>
          <w:bCs/>
          <w:color w:val="0000FF"/>
        </w:rPr>
        <w:t>s: Missing Data (n=42</w:t>
      </w:r>
      <w:r w:rsidR="007874F0" w:rsidRPr="00ED3C78">
        <w:rPr>
          <w:rFonts w:cstheme="minorHAnsi"/>
          <w:b/>
          <w:bCs/>
          <w:color w:val="0000FF"/>
        </w:rPr>
        <w:t>8,076</w:t>
      </w:r>
      <w:r w:rsidRPr="00ED3C78">
        <w:rPr>
          <w:rFonts w:cstheme="minorHAnsi"/>
          <w:b/>
          <w:bCs/>
          <w:color w:val="0000FF"/>
        </w:rPr>
        <w:t>)</w:t>
      </w:r>
    </w:p>
    <w:tbl>
      <w:tblPr>
        <w:tblW w:w="5288" w:type="pct"/>
        <w:tblLook w:val="04A0" w:firstRow="1" w:lastRow="0" w:firstColumn="1" w:lastColumn="0" w:noHBand="0" w:noVBand="1"/>
      </w:tblPr>
      <w:tblGrid>
        <w:gridCol w:w="5316"/>
        <w:gridCol w:w="2385"/>
        <w:gridCol w:w="2198"/>
      </w:tblGrid>
      <w:tr w:rsidR="00444286" w:rsidRPr="00ED3C78" w14:paraId="4EC82A7B" w14:textId="77777777" w:rsidTr="005B6E3A">
        <w:trPr>
          <w:trHeight w:val="660"/>
        </w:trPr>
        <w:tc>
          <w:tcPr>
            <w:tcW w:w="2685" w:type="pct"/>
            <w:tcBorders>
              <w:top w:val="single" w:sz="4" w:space="0" w:color="auto"/>
              <w:left w:val="nil"/>
              <w:bottom w:val="single" w:sz="4" w:space="0" w:color="auto"/>
              <w:right w:val="nil"/>
            </w:tcBorders>
            <w:shd w:val="clear" w:color="auto" w:fill="auto"/>
            <w:noWrap/>
            <w:vAlign w:val="bottom"/>
            <w:hideMark/>
          </w:tcPr>
          <w:p w14:paraId="63B75C4E" w14:textId="77777777" w:rsidR="00444286" w:rsidRPr="00ED3C78" w:rsidRDefault="00444286" w:rsidP="00882BFF">
            <w:pPr>
              <w:spacing w:after="0" w:line="240" w:lineRule="auto"/>
              <w:rPr>
                <w:rFonts w:eastAsia="Times New Roman" w:cstheme="minorHAnsi"/>
                <w:color w:val="0000FF"/>
              </w:rPr>
            </w:pPr>
          </w:p>
        </w:tc>
        <w:tc>
          <w:tcPr>
            <w:tcW w:w="1205" w:type="pct"/>
            <w:tcBorders>
              <w:top w:val="single" w:sz="4" w:space="0" w:color="auto"/>
              <w:left w:val="nil"/>
              <w:bottom w:val="single" w:sz="4" w:space="0" w:color="auto"/>
              <w:right w:val="nil"/>
            </w:tcBorders>
            <w:shd w:val="clear" w:color="auto" w:fill="auto"/>
            <w:vAlign w:val="bottom"/>
            <w:hideMark/>
          </w:tcPr>
          <w:p w14:paraId="0C5D16B3" w14:textId="77777777" w:rsidR="00444286" w:rsidRPr="00ED3C78" w:rsidRDefault="00444286" w:rsidP="00882BFF">
            <w:pPr>
              <w:spacing w:after="0" w:line="240" w:lineRule="auto"/>
              <w:jc w:val="center"/>
              <w:rPr>
                <w:rFonts w:eastAsia="Times New Roman" w:cstheme="minorHAnsi"/>
                <w:b/>
                <w:bCs/>
                <w:color w:val="0000FF"/>
              </w:rPr>
            </w:pPr>
            <w:r w:rsidRPr="00ED3C78">
              <w:rPr>
                <w:rFonts w:eastAsia="Times New Roman" w:cstheme="minorHAnsi"/>
                <w:b/>
                <w:bCs/>
                <w:color w:val="0000FF"/>
              </w:rPr>
              <w:t xml:space="preserve">Admission: </w:t>
            </w:r>
            <w:r w:rsidRPr="00ED3C78">
              <w:rPr>
                <w:rFonts w:eastAsia="Times New Roman" w:cstheme="minorHAnsi"/>
                <w:b/>
                <w:bCs/>
                <w:color w:val="0000FF"/>
              </w:rPr>
              <w:br/>
              <w:t>Not Assessed (-)</w:t>
            </w:r>
          </w:p>
        </w:tc>
        <w:tc>
          <w:tcPr>
            <w:tcW w:w="1110" w:type="pct"/>
            <w:tcBorders>
              <w:top w:val="single" w:sz="4" w:space="0" w:color="auto"/>
              <w:left w:val="nil"/>
              <w:bottom w:val="single" w:sz="4" w:space="0" w:color="auto"/>
              <w:right w:val="nil"/>
            </w:tcBorders>
            <w:shd w:val="clear" w:color="auto" w:fill="auto"/>
            <w:vAlign w:val="bottom"/>
            <w:hideMark/>
          </w:tcPr>
          <w:p w14:paraId="6A3C75E4" w14:textId="77777777" w:rsidR="00444286" w:rsidRPr="00ED3C78" w:rsidRDefault="00444286" w:rsidP="00882BFF">
            <w:pPr>
              <w:spacing w:after="0" w:line="240" w:lineRule="auto"/>
              <w:jc w:val="center"/>
              <w:rPr>
                <w:rFonts w:eastAsia="Times New Roman" w:cstheme="minorHAnsi"/>
                <w:b/>
                <w:bCs/>
                <w:color w:val="0000FF"/>
              </w:rPr>
            </w:pPr>
            <w:r w:rsidRPr="00ED3C78">
              <w:rPr>
                <w:rFonts w:eastAsia="Times New Roman" w:cstheme="minorHAnsi"/>
                <w:b/>
                <w:bCs/>
                <w:color w:val="0000FF"/>
              </w:rPr>
              <w:t xml:space="preserve">Discharge: </w:t>
            </w:r>
          </w:p>
          <w:p w14:paraId="2C8393C1" w14:textId="77777777" w:rsidR="00444286" w:rsidRPr="00ED3C78" w:rsidRDefault="00444286" w:rsidP="00882BFF">
            <w:pPr>
              <w:spacing w:after="0" w:line="240" w:lineRule="auto"/>
              <w:jc w:val="center"/>
              <w:rPr>
                <w:rFonts w:eastAsia="Times New Roman" w:cstheme="minorHAnsi"/>
                <w:b/>
                <w:bCs/>
                <w:color w:val="0000FF"/>
              </w:rPr>
            </w:pPr>
            <w:r w:rsidRPr="00ED3C78">
              <w:rPr>
                <w:rFonts w:eastAsia="Times New Roman" w:cstheme="minorHAnsi"/>
                <w:b/>
                <w:bCs/>
                <w:color w:val="0000FF"/>
              </w:rPr>
              <w:t>Not Assessed (-)</w:t>
            </w:r>
          </w:p>
        </w:tc>
      </w:tr>
      <w:tr w:rsidR="00444286" w:rsidRPr="00ED3C78" w14:paraId="199B6ABA" w14:textId="77777777" w:rsidTr="005B6E3A">
        <w:trPr>
          <w:trHeight w:val="300"/>
        </w:trPr>
        <w:tc>
          <w:tcPr>
            <w:tcW w:w="2685" w:type="pct"/>
            <w:tcBorders>
              <w:top w:val="single" w:sz="4" w:space="0" w:color="auto"/>
              <w:left w:val="nil"/>
              <w:bottom w:val="nil"/>
              <w:right w:val="nil"/>
            </w:tcBorders>
            <w:shd w:val="clear" w:color="auto" w:fill="auto"/>
            <w:noWrap/>
            <w:vAlign w:val="bottom"/>
            <w:hideMark/>
          </w:tcPr>
          <w:p w14:paraId="70128294" w14:textId="1453D99E" w:rsidR="00444286" w:rsidRPr="00ED3C78" w:rsidRDefault="007874F0" w:rsidP="00882BFF">
            <w:pPr>
              <w:spacing w:after="0" w:line="240" w:lineRule="auto"/>
              <w:rPr>
                <w:rFonts w:eastAsia="Times New Roman" w:cstheme="minorHAnsi"/>
                <w:b/>
                <w:bCs/>
                <w:color w:val="0000FF"/>
              </w:rPr>
            </w:pPr>
            <w:r w:rsidRPr="00ED3C78">
              <w:rPr>
                <w:rFonts w:eastAsia="Times New Roman" w:cstheme="minorHAnsi"/>
                <w:b/>
                <w:bCs/>
                <w:color w:val="0000FF"/>
              </w:rPr>
              <w:t>Mobility</w:t>
            </w:r>
            <w:r w:rsidR="00444286" w:rsidRPr="00ED3C78">
              <w:rPr>
                <w:rFonts w:eastAsia="Times New Roman" w:cstheme="minorHAnsi"/>
                <w:b/>
                <w:bCs/>
                <w:color w:val="0000FF"/>
              </w:rPr>
              <w:t> </w:t>
            </w:r>
            <w:r w:rsidR="00745539">
              <w:rPr>
                <w:rFonts w:eastAsia="Times New Roman" w:cstheme="minorHAnsi"/>
                <w:b/>
                <w:bCs/>
                <w:color w:val="0000FF"/>
              </w:rPr>
              <w:t xml:space="preserve">Data </w:t>
            </w:r>
            <w:r w:rsidR="00BF23FC">
              <w:rPr>
                <w:rFonts w:eastAsia="Times New Roman" w:cstheme="minorHAnsi"/>
                <w:b/>
                <w:bCs/>
                <w:color w:val="0000FF"/>
              </w:rPr>
              <w:t>E</w:t>
            </w:r>
            <w:r w:rsidR="00745539">
              <w:rPr>
                <w:rFonts w:eastAsia="Times New Roman" w:cstheme="minorHAnsi"/>
                <w:b/>
                <w:bCs/>
                <w:color w:val="0000FF"/>
              </w:rPr>
              <w:t>lement</w:t>
            </w:r>
            <w:r w:rsidR="00444286" w:rsidRPr="00ED3C78">
              <w:rPr>
                <w:rFonts w:eastAsia="Times New Roman" w:cstheme="minorHAnsi"/>
                <w:b/>
                <w:bCs/>
                <w:color w:val="0000FF"/>
              </w:rPr>
              <w:t>s </w:t>
            </w:r>
          </w:p>
        </w:tc>
        <w:tc>
          <w:tcPr>
            <w:tcW w:w="1205" w:type="pct"/>
            <w:tcBorders>
              <w:top w:val="single" w:sz="4" w:space="0" w:color="auto"/>
              <w:left w:val="nil"/>
              <w:bottom w:val="nil"/>
              <w:right w:val="nil"/>
            </w:tcBorders>
            <w:shd w:val="clear" w:color="auto" w:fill="auto"/>
            <w:noWrap/>
            <w:vAlign w:val="bottom"/>
            <w:hideMark/>
          </w:tcPr>
          <w:p w14:paraId="11285610" w14:textId="77777777" w:rsidR="00444286" w:rsidRPr="00ED3C78" w:rsidRDefault="00444286" w:rsidP="00882BFF">
            <w:pPr>
              <w:spacing w:after="0" w:line="240" w:lineRule="auto"/>
              <w:rPr>
                <w:rFonts w:eastAsia="Times New Roman" w:cstheme="minorHAnsi"/>
                <w:b/>
                <w:bCs/>
                <w:color w:val="0000FF"/>
              </w:rPr>
            </w:pPr>
          </w:p>
        </w:tc>
        <w:tc>
          <w:tcPr>
            <w:tcW w:w="1110" w:type="pct"/>
            <w:tcBorders>
              <w:top w:val="single" w:sz="4" w:space="0" w:color="auto"/>
              <w:left w:val="nil"/>
              <w:bottom w:val="nil"/>
              <w:right w:val="nil"/>
            </w:tcBorders>
            <w:shd w:val="clear" w:color="auto" w:fill="auto"/>
            <w:noWrap/>
            <w:vAlign w:val="bottom"/>
            <w:hideMark/>
          </w:tcPr>
          <w:p w14:paraId="537A65AC" w14:textId="77777777" w:rsidR="00444286" w:rsidRPr="00ED3C78" w:rsidRDefault="00444286" w:rsidP="00882BFF">
            <w:pPr>
              <w:spacing w:after="0" w:line="240" w:lineRule="auto"/>
              <w:rPr>
                <w:rFonts w:eastAsia="Times New Roman" w:cstheme="minorHAnsi"/>
                <w:color w:val="0000FF"/>
              </w:rPr>
            </w:pPr>
          </w:p>
        </w:tc>
      </w:tr>
      <w:tr w:rsidR="00EE7277" w:rsidRPr="00ED3C78" w14:paraId="68B74A9F" w14:textId="77777777" w:rsidTr="005B6E3A">
        <w:trPr>
          <w:trHeight w:val="282"/>
        </w:trPr>
        <w:tc>
          <w:tcPr>
            <w:tcW w:w="2685" w:type="pct"/>
            <w:tcBorders>
              <w:top w:val="nil"/>
              <w:left w:val="nil"/>
              <w:bottom w:val="nil"/>
              <w:right w:val="nil"/>
            </w:tcBorders>
            <w:shd w:val="clear" w:color="auto" w:fill="auto"/>
            <w:noWrap/>
            <w:vAlign w:val="bottom"/>
            <w:hideMark/>
          </w:tcPr>
          <w:p w14:paraId="7A5A22FB" w14:textId="182C0395"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GG0170A: Mobility - Roll Left and Right</w:t>
            </w:r>
          </w:p>
        </w:tc>
        <w:tc>
          <w:tcPr>
            <w:tcW w:w="1205" w:type="pct"/>
            <w:tcBorders>
              <w:top w:val="nil"/>
              <w:left w:val="nil"/>
              <w:bottom w:val="nil"/>
              <w:right w:val="nil"/>
            </w:tcBorders>
            <w:shd w:val="clear" w:color="auto" w:fill="auto"/>
            <w:noWrap/>
            <w:vAlign w:val="bottom"/>
            <w:hideMark/>
          </w:tcPr>
          <w:p w14:paraId="6EFCE6F9" w14:textId="535216F7"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45 (0.</w:t>
            </w:r>
            <w:r w:rsidR="00437CA7" w:rsidRPr="00ED3C78">
              <w:rPr>
                <w:rFonts w:eastAsia="Times New Roman" w:cstheme="minorHAnsi"/>
                <w:color w:val="0000FF"/>
              </w:rPr>
              <w:t>01</w:t>
            </w:r>
            <w:r w:rsidRPr="00ED3C78">
              <w:rPr>
                <w:rFonts w:eastAsia="Times New Roman" w:cstheme="minorHAnsi"/>
                <w:color w:val="0000FF"/>
              </w:rPr>
              <w:t>%)</w:t>
            </w:r>
          </w:p>
        </w:tc>
        <w:tc>
          <w:tcPr>
            <w:tcW w:w="1110" w:type="pct"/>
            <w:tcBorders>
              <w:top w:val="nil"/>
              <w:left w:val="nil"/>
              <w:bottom w:val="nil"/>
              <w:right w:val="nil"/>
            </w:tcBorders>
            <w:shd w:val="clear" w:color="auto" w:fill="auto"/>
            <w:noWrap/>
            <w:vAlign w:val="bottom"/>
            <w:hideMark/>
          </w:tcPr>
          <w:p w14:paraId="7735DEF5" w14:textId="47C37D41"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81 (0.0</w:t>
            </w:r>
            <w:r w:rsidR="00437CA7" w:rsidRPr="00ED3C78">
              <w:rPr>
                <w:rFonts w:eastAsia="Times New Roman" w:cstheme="minorHAnsi"/>
                <w:color w:val="0000FF"/>
              </w:rPr>
              <w:t>2</w:t>
            </w:r>
            <w:r w:rsidRPr="00ED3C78">
              <w:rPr>
                <w:rFonts w:eastAsia="Times New Roman" w:cstheme="minorHAnsi"/>
                <w:color w:val="0000FF"/>
              </w:rPr>
              <w:t>%)</w:t>
            </w:r>
          </w:p>
        </w:tc>
      </w:tr>
      <w:tr w:rsidR="00EE7277" w:rsidRPr="00ED3C78" w14:paraId="352366A9" w14:textId="77777777" w:rsidTr="005B6E3A">
        <w:trPr>
          <w:trHeight w:val="282"/>
        </w:trPr>
        <w:tc>
          <w:tcPr>
            <w:tcW w:w="2685" w:type="pct"/>
            <w:tcBorders>
              <w:top w:val="nil"/>
              <w:left w:val="nil"/>
              <w:bottom w:val="nil"/>
              <w:right w:val="nil"/>
            </w:tcBorders>
            <w:shd w:val="clear" w:color="auto" w:fill="auto"/>
            <w:noWrap/>
            <w:vAlign w:val="bottom"/>
            <w:hideMark/>
          </w:tcPr>
          <w:p w14:paraId="5AB6AC12" w14:textId="622DF524"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GG0170B: Mobility - Sit to Lying</w:t>
            </w:r>
          </w:p>
        </w:tc>
        <w:tc>
          <w:tcPr>
            <w:tcW w:w="1205" w:type="pct"/>
            <w:tcBorders>
              <w:top w:val="nil"/>
              <w:left w:val="nil"/>
              <w:bottom w:val="nil"/>
              <w:right w:val="nil"/>
            </w:tcBorders>
            <w:shd w:val="clear" w:color="auto" w:fill="auto"/>
            <w:noWrap/>
            <w:vAlign w:val="bottom"/>
            <w:hideMark/>
          </w:tcPr>
          <w:p w14:paraId="2CF4277A" w14:textId="318E3A44"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28 </w:t>
            </w:r>
            <w:r w:rsidR="00437CA7" w:rsidRPr="00ED3C78">
              <w:rPr>
                <w:rFonts w:eastAsia="Times New Roman" w:cstheme="minorHAnsi"/>
                <w:color w:val="0000FF"/>
              </w:rPr>
              <w:t>(&lt; 0.01%)</w:t>
            </w:r>
          </w:p>
        </w:tc>
        <w:tc>
          <w:tcPr>
            <w:tcW w:w="1110" w:type="pct"/>
            <w:tcBorders>
              <w:top w:val="nil"/>
              <w:left w:val="nil"/>
              <w:bottom w:val="nil"/>
              <w:right w:val="nil"/>
            </w:tcBorders>
            <w:shd w:val="clear" w:color="auto" w:fill="auto"/>
            <w:noWrap/>
            <w:vAlign w:val="bottom"/>
            <w:hideMark/>
          </w:tcPr>
          <w:p w14:paraId="2D9B2D3E" w14:textId="31A90EFD"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55 (0.0</w:t>
            </w:r>
            <w:r w:rsidR="00437CA7" w:rsidRPr="00ED3C78">
              <w:rPr>
                <w:rFonts w:eastAsia="Times New Roman" w:cstheme="minorHAnsi"/>
                <w:color w:val="0000FF"/>
              </w:rPr>
              <w:t>1</w:t>
            </w:r>
            <w:r w:rsidRPr="00ED3C78">
              <w:rPr>
                <w:rFonts w:eastAsia="Times New Roman" w:cstheme="minorHAnsi"/>
                <w:color w:val="0000FF"/>
              </w:rPr>
              <w:t>%)</w:t>
            </w:r>
          </w:p>
        </w:tc>
      </w:tr>
      <w:tr w:rsidR="00EE7277" w:rsidRPr="00ED3C78" w14:paraId="037F29D2" w14:textId="77777777" w:rsidTr="005B6E3A">
        <w:trPr>
          <w:trHeight w:val="282"/>
        </w:trPr>
        <w:tc>
          <w:tcPr>
            <w:tcW w:w="2685" w:type="pct"/>
            <w:tcBorders>
              <w:top w:val="nil"/>
              <w:left w:val="nil"/>
              <w:bottom w:val="nil"/>
              <w:right w:val="nil"/>
            </w:tcBorders>
            <w:shd w:val="clear" w:color="auto" w:fill="auto"/>
            <w:noWrap/>
            <w:vAlign w:val="bottom"/>
            <w:hideMark/>
          </w:tcPr>
          <w:p w14:paraId="2A2631A5" w14:textId="752EA9B6"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GG0170C: Mobility - Lying to Sitting on Side of Bed</w:t>
            </w:r>
          </w:p>
        </w:tc>
        <w:tc>
          <w:tcPr>
            <w:tcW w:w="1205" w:type="pct"/>
            <w:tcBorders>
              <w:top w:val="nil"/>
              <w:left w:val="nil"/>
              <w:bottom w:val="nil"/>
              <w:right w:val="nil"/>
            </w:tcBorders>
            <w:shd w:val="clear" w:color="auto" w:fill="auto"/>
            <w:noWrap/>
            <w:vAlign w:val="bottom"/>
            <w:hideMark/>
          </w:tcPr>
          <w:p w14:paraId="164B4F06" w14:textId="3D83F0E2"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33 </w:t>
            </w:r>
            <w:r w:rsidR="00437CA7" w:rsidRPr="00ED3C78">
              <w:rPr>
                <w:rFonts w:eastAsia="Times New Roman" w:cstheme="minorHAnsi"/>
                <w:color w:val="0000FF"/>
              </w:rPr>
              <w:t>(&lt; 0.01%)</w:t>
            </w:r>
          </w:p>
        </w:tc>
        <w:tc>
          <w:tcPr>
            <w:tcW w:w="1110" w:type="pct"/>
            <w:tcBorders>
              <w:top w:val="nil"/>
              <w:left w:val="nil"/>
              <w:bottom w:val="nil"/>
              <w:right w:val="nil"/>
            </w:tcBorders>
            <w:shd w:val="clear" w:color="auto" w:fill="auto"/>
            <w:noWrap/>
            <w:vAlign w:val="bottom"/>
            <w:hideMark/>
          </w:tcPr>
          <w:p w14:paraId="622368FA" w14:textId="3DB0DAB9"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55 (0.0</w:t>
            </w:r>
            <w:r w:rsidR="00437CA7" w:rsidRPr="00ED3C78">
              <w:rPr>
                <w:rFonts w:eastAsia="Times New Roman" w:cstheme="minorHAnsi"/>
                <w:color w:val="0000FF"/>
              </w:rPr>
              <w:t>1</w:t>
            </w:r>
            <w:r w:rsidRPr="00ED3C78">
              <w:rPr>
                <w:rFonts w:eastAsia="Times New Roman" w:cstheme="minorHAnsi"/>
                <w:color w:val="0000FF"/>
              </w:rPr>
              <w:t>%)</w:t>
            </w:r>
          </w:p>
        </w:tc>
      </w:tr>
      <w:tr w:rsidR="00EE7277" w:rsidRPr="00ED3C78" w14:paraId="4D84172C" w14:textId="77777777" w:rsidTr="005B6E3A">
        <w:trPr>
          <w:trHeight w:val="282"/>
        </w:trPr>
        <w:tc>
          <w:tcPr>
            <w:tcW w:w="2685" w:type="pct"/>
            <w:tcBorders>
              <w:top w:val="nil"/>
              <w:left w:val="nil"/>
              <w:bottom w:val="nil"/>
              <w:right w:val="nil"/>
            </w:tcBorders>
            <w:shd w:val="clear" w:color="auto" w:fill="auto"/>
            <w:noWrap/>
            <w:vAlign w:val="bottom"/>
            <w:hideMark/>
          </w:tcPr>
          <w:p w14:paraId="40741F73" w14:textId="7ED6B6E9"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GG0170D: Mobility - Sit to Stand</w:t>
            </w:r>
          </w:p>
        </w:tc>
        <w:tc>
          <w:tcPr>
            <w:tcW w:w="1205" w:type="pct"/>
            <w:tcBorders>
              <w:top w:val="nil"/>
              <w:left w:val="nil"/>
              <w:bottom w:val="nil"/>
              <w:right w:val="nil"/>
            </w:tcBorders>
            <w:shd w:val="clear" w:color="auto" w:fill="auto"/>
            <w:noWrap/>
            <w:vAlign w:val="bottom"/>
            <w:hideMark/>
          </w:tcPr>
          <w:p w14:paraId="41E76787" w14:textId="2F90B4EC"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29 </w:t>
            </w:r>
            <w:r w:rsidR="00437CA7" w:rsidRPr="00ED3C78">
              <w:rPr>
                <w:rFonts w:eastAsia="Times New Roman" w:cstheme="minorHAnsi"/>
                <w:color w:val="0000FF"/>
              </w:rPr>
              <w:t>(&lt; 0.01%)</w:t>
            </w:r>
          </w:p>
        </w:tc>
        <w:tc>
          <w:tcPr>
            <w:tcW w:w="1110" w:type="pct"/>
            <w:tcBorders>
              <w:top w:val="nil"/>
              <w:left w:val="nil"/>
              <w:bottom w:val="nil"/>
              <w:right w:val="nil"/>
            </w:tcBorders>
            <w:shd w:val="clear" w:color="auto" w:fill="auto"/>
            <w:noWrap/>
            <w:vAlign w:val="bottom"/>
            <w:hideMark/>
          </w:tcPr>
          <w:p w14:paraId="657B7D55" w14:textId="44C3CABE"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42 (0.0</w:t>
            </w:r>
            <w:r w:rsidR="00437CA7" w:rsidRPr="00ED3C78">
              <w:rPr>
                <w:rFonts w:eastAsia="Times New Roman" w:cstheme="minorHAnsi"/>
                <w:color w:val="0000FF"/>
              </w:rPr>
              <w:t>1</w:t>
            </w:r>
            <w:r w:rsidRPr="00ED3C78">
              <w:rPr>
                <w:rFonts w:eastAsia="Times New Roman" w:cstheme="minorHAnsi"/>
                <w:color w:val="0000FF"/>
              </w:rPr>
              <w:t>%)</w:t>
            </w:r>
          </w:p>
        </w:tc>
      </w:tr>
      <w:tr w:rsidR="00EE7277" w:rsidRPr="00ED3C78" w14:paraId="32A26E6A" w14:textId="77777777" w:rsidTr="005B6E3A">
        <w:trPr>
          <w:trHeight w:val="282"/>
        </w:trPr>
        <w:tc>
          <w:tcPr>
            <w:tcW w:w="2685" w:type="pct"/>
            <w:tcBorders>
              <w:top w:val="nil"/>
              <w:left w:val="nil"/>
              <w:bottom w:val="nil"/>
              <w:right w:val="nil"/>
            </w:tcBorders>
            <w:shd w:val="clear" w:color="auto" w:fill="auto"/>
            <w:noWrap/>
            <w:vAlign w:val="bottom"/>
            <w:hideMark/>
          </w:tcPr>
          <w:p w14:paraId="5F79BF09" w14:textId="7E32D3EB"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GG0170E: Mobility - Chair/Bed-to-Chair Transfer</w:t>
            </w:r>
          </w:p>
        </w:tc>
        <w:tc>
          <w:tcPr>
            <w:tcW w:w="1205" w:type="pct"/>
            <w:tcBorders>
              <w:top w:val="nil"/>
              <w:left w:val="nil"/>
              <w:bottom w:val="nil"/>
              <w:right w:val="nil"/>
            </w:tcBorders>
            <w:shd w:val="clear" w:color="auto" w:fill="auto"/>
            <w:noWrap/>
            <w:vAlign w:val="bottom"/>
            <w:hideMark/>
          </w:tcPr>
          <w:p w14:paraId="5CA2A41E" w14:textId="1AEDE3A0"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31 </w:t>
            </w:r>
            <w:r w:rsidR="00437CA7" w:rsidRPr="00ED3C78">
              <w:rPr>
                <w:rFonts w:eastAsia="Times New Roman" w:cstheme="minorHAnsi"/>
                <w:color w:val="0000FF"/>
              </w:rPr>
              <w:t>(&lt; 0.01%)</w:t>
            </w:r>
          </w:p>
        </w:tc>
        <w:tc>
          <w:tcPr>
            <w:tcW w:w="1110" w:type="pct"/>
            <w:tcBorders>
              <w:top w:val="nil"/>
              <w:left w:val="nil"/>
              <w:bottom w:val="nil"/>
              <w:right w:val="nil"/>
            </w:tcBorders>
            <w:shd w:val="clear" w:color="auto" w:fill="auto"/>
            <w:noWrap/>
            <w:vAlign w:val="bottom"/>
            <w:hideMark/>
          </w:tcPr>
          <w:p w14:paraId="667F09A8" w14:textId="137D443F"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35 (</w:t>
            </w:r>
            <w:r w:rsidR="00437CA7" w:rsidRPr="00ED3C78">
              <w:rPr>
                <w:rFonts w:eastAsia="Times New Roman" w:cstheme="minorHAnsi"/>
                <w:color w:val="0000FF"/>
              </w:rPr>
              <w:t xml:space="preserve">&lt; </w:t>
            </w:r>
            <w:r w:rsidRPr="00ED3C78">
              <w:rPr>
                <w:rFonts w:eastAsia="Times New Roman" w:cstheme="minorHAnsi"/>
                <w:color w:val="0000FF"/>
              </w:rPr>
              <w:t>0.0</w:t>
            </w:r>
            <w:r w:rsidR="00437CA7" w:rsidRPr="00ED3C78">
              <w:rPr>
                <w:rFonts w:eastAsia="Times New Roman" w:cstheme="minorHAnsi"/>
                <w:color w:val="0000FF"/>
              </w:rPr>
              <w:t>1</w:t>
            </w:r>
            <w:r w:rsidRPr="00ED3C78">
              <w:rPr>
                <w:rFonts w:eastAsia="Times New Roman" w:cstheme="minorHAnsi"/>
                <w:color w:val="0000FF"/>
              </w:rPr>
              <w:t>%)</w:t>
            </w:r>
          </w:p>
        </w:tc>
      </w:tr>
      <w:tr w:rsidR="00EE7277" w:rsidRPr="00ED3C78" w14:paraId="065ECDF1" w14:textId="77777777" w:rsidTr="005B6E3A">
        <w:trPr>
          <w:trHeight w:val="282"/>
        </w:trPr>
        <w:tc>
          <w:tcPr>
            <w:tcW w:w="2685" w:type="pct"/>
            <w:tcBorders>
              <w:top w:val="nil"/>
              <w:left w:val="nil"/>
              <w:bottom w:val="nil"/>
              <w:right w:val="nil"/>
            </w:tcBorders>
            <w:shd w:val="clear" w:color="auto" w:fill="auto"/>
            <w:noWrap/>
            <w:vAlign w:val="bottom"/>
            <w:hideMark/>
          </w:tcPr>
          <w:p w14:paraId="1C72A011" w14:textId="2940C49A"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GG0170F: Mobility - Toilet Transfer</w:t>
            </w:r>
          </w:p>
        </w:tc>
        <w:tc>
          <w:tcPr>
            <w:tcW w:w="1205" w:type="pct"/>
            <w:tcBorders>
              <w:top w:val="nil"/>
              <w:left w:val="nil"/>
              <w:bottom w:val="nil"/>
              <w:right w:val="nil"/>
            </w:tcBorders>
            <w:shd w:val="clear" w:color="auto" w:fill="auto"/>
            <w:noWrap/>
            <w:vAlign w:val="bottom"/>
            <w:hideMark/>
          </w:tcPr>
          <w:p w14:paraId="7473718E" w14:textId="0BBE70C8"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76 </w:t>
            </w:r>
            <w:r w:rsidR="00437CA7" w:rsidRPr="00ED3C78">
              <w:rPr>
                <w:rFonts w:eastAsia="Times New Roman" w:cstheme="minorHAnsi"/>
                <w:color w:val="0000FF"/>
              </w:rPr>
              <w:t>(0.02%)</w:t>
            </w:r>
          </w:p>
        </w:tc>
        <w:tc>
          <w:tcPr>
            <w:tcW w:w="1110" w:type="pct"/>
            <w:tcBorders>
              <w:top w:val="nil"/>
              <w:left w:val="nil"/>
              <w:bottom w:val="nil"/>
              <w:right w:val="nil"/>
            </w:tcBorders>
            <w:shd w:val="clear" w:color="auto" w:fill="auto"/>
            <w:noWrap/>
            <w:vAlign w:val="bottom"/>
            <w:hideMark/>
          </w:tcPr>
          <w:p w14:paraId="0BD85C6F" w14:textId="47AFF18A"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58 (0.0</w:t>
            </w:r>
            <w:r w:rsidR="00437CA7" w:rsidRPr="00ED3C78">
              <w:rPr>
                <w:rFonts w:eastAsia="Times New Roman" w:cstheme="minorHAnsi"/>
                <w:color w:val="0000FF"/>
              </w:rPr>
              <w:t>1</w:t>
            </w:r>
            <w:r w:rsidRPr="00ED3C78">
              <w:rPr>
                <w:rFonts w:eastAsia="Times New Roman" w:cstheme="minorHAnsi"/>
                <w:color w:val="0000FF"/>
              </w:rPr>
              <w:t>%)</w:t>
            </w:r>
          </w:p>
        </w:tc>
      </w:tr>
      <w:tr w:rsidR="00EE7277" w:rsidRPr="00ED3C78" w14:paraId="7D952BB5" w14:textId="77777777" w:rsidTr="005B6E3A">
        <w:trPr>
          <w:trHeight w:val="282"/>
        </w:trPr>
        <w:tc>
          <w:tcPr>
            <w:tcW w:w="2685" w:type="pct"/>
            <w:tcBorders>
              <w:top w:val="nil"/>
              <w:left w:val="nil"/>
              <w:right w:val="nil"/>
            </w:tcBorders>
            <w:shd w:val="clear" w:color="auto" w:fill="auto"/>
            <w:noWrap/>
            <w:vAlign w:val="bottom"/>
            <w:hideMark/>
          </w:tcPr>
          <w:p w14:paraId="7E0F5231" w14:textId="397E9586"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GG0170G: Mobility - Car Transfer</w:t>
            </w:r>
          </w:p>
        </w:tc>
        <w:tc>
          <w:tcPr>
            <w:tcW w:w="1205" w:type="pct"/>
            <w:tcBorders>
              <w:top w:val="nil"/>
              <w:left w:val="nil"/>
              <w:right w:val="nil"/>
            </w:tcBorders>
            <w:shd w:val="clear" w:color="auto" w:fill="auto"/>
            <w:noWrap/>
            <w:vAlign w:val="bottom"/>
            <w:hideMark/>
          </w:tcPr>
          <w:p w14:paraId="2CD1121F" w14:textId="33A04FE0"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168 (0.0</w:t>
            </w:r>
            <w:r w:rsidR="00437CA7" w:rsidRPr="00ED3C78">
              <w:rPr>
                <w:rFonts w:eastAsia="Times New Roman" w:cstheme="minorHAnsi"/>
                <w:color w:val="0000FF"/>
              </w:rPr>
              <w:t>4</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hideMark/>
          </w:tcPr>
          <w:p w14:paraId="6BB0ED86" w14:textId="43D20E01"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247 (0.1</w:t>
            </w:r>
            <w:r w:rsidR="00437CA7" w:rsidRPr="00ED3C78">
              <w:rPr>
                <w:rFonts w:eastAsia="Times New Roman" w:cstheme="minorHAnsi"/>
                <w:color w:val="0000FF"/>
              </w:rPr>
              <w:t>9</w:t>
            </w:r>
            <w:r w:rsidRPr="00ED3C78">
              <w:rPr>
                <w:rFonts w:eastAsia="Times New Roman" w:cstheme="minorHAnsi"/>
                <w:color w:val="0000FF"/>
              </w:rPr>
              <w:t>%)</w:t>
            </w:r>
          </w:p>
        </w:tc>
      </w:tr>
      <w:tr w:rsidR="00EE7277" w:rsidRPr="00ED3C78" w14:paraId="45DBC377" w14:textId="77777777" w:rsidTr="005B6E3A">
        <w:trPr>
          <w:trHeight w:val="282"/>
        </w:trPr>
        <w:tc>
          <w:tcPr>
            <w:tcW w:w="2685" w:type="pct"/>
            <w:tcBorders>
              <w:top w:val="nil"/>
              <w:left w:val="nil"/>
              <w:right w:val="nil"/>
            </w:tcBorders>
            <w:shd w:val="clear" w:color="auto" w:fill="auto"/>
            <w:noWrap/>
            <w:vAlign w:val="bottom"/>
          </w:tcPr>
          <w:p w14:paraId="0008450E" w14:textId="483B125E"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GG0170I: Mobility - Walk 10 Feet</w:t>
            </w:r>
          </w:p>
        </w:tc>
        <w:tc>
          <w:tcPr>
            <w:tcW w:w="1205" w:type="pct"/>
            <w:tcBorders>
              <w:top w:val="nil"/>
              <w:left w:val="nil"/>
              <w:right w:val="nil"/>
            </w:tcBorders>
            <w:shd w:val="clear" w:color="auto" w:fill="auto"/>
            <w:noWrap/>
            <w:vAlign w:val="bottom"/>
          </w:tcPr>
          <w:p w14:paraId="584DE26E" w14:textId="2EFD0415"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44 (0.0</w:t>
            </w:r>
            <w:r w:rsidR="00437CA7" w:rsidRPr="00ED3C78">
              <w:rPr>
                <w:rFonts w:eastAsia="Times New Roman" w:cstheme="minorHAnsi"/>
                <w:color w:val="0000FF"/>
              </w:rPr>
              <w:t>1</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3EF48694" w14:textId="6C701227"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65 (0.0</w:t>
            </w:r>
            <w:r w:rsidR="00437CA7" w:rsidRPr="00ED3C78">
              <w:rPr>
                <w:rFonts w:eastAsia="Times New Roman" w:cstheme="minorHAnsi"/>
                <w:color w:val="0000FF"/>
              </w:rPr>
              <w:t>2</w:t>
            </w:r>
            <w:r w:rsidRPr="00ED3C78">
              <w:rPr>
                <w:rFonts w:eastAsia="Times New Roman" w:cstheme="minorHAnsi"/>
                <w:color w:val="0000FF"/>
              </w:rPr>
              <w:t>%)</w:t>
            </w:r>
          </w:p>
        </w:tc>
      </w:tr>
      <w:tr w:rsidR="00EE7277" w:rsidRPr="00ED3C78" w14:paraId="40D4DF0C" w14:textId="77777777" w:rsidTr="005B6E3A">
        <w:trPr>
          <w:trHeight w:val="282"/>
        </w:trPr>
        <w:tc>
          <w:tcPr>
            <w:tcW w:w="2685" w:type="pct"/>
            <w:tcBorders>
              <w:top w:val="nil"/>
              <w:left w:val="nil"/>
              <w:right w:val="nil"/>
            </w:tcBorders>
            <w:shd w:val="clear" w:color="auto" w:fill="auto"/>
            <w:noWrap/>
            <w:vAlign w:val="bottom"/>
          </w:tcPr>
          <w:p w14:paraId="61E09281" w14:textId="1D3C6E14"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GG0170J: Mobility - Walk 50 Feet with Two Turns</w:t>
            </w:r>
          </w:p>
        </w:tc>
        <w:tc>
          <w:tcPr>
            <w:tcW w:w="1205" w:type="pct"/>
            <w:tcBorders>
              <w:top w:val="nil"/>
              <w:left w:val="nil"/>
              <w:right w:val="nil"/>
            </w:tcBorders>
            <w:shd w:val="clear" w:color="auto" w:fill="auto"/>
            <w:noWrap/>
            <w:vAlign w:val="bottom"/>
          </w:tcPr>
          <w:p w14:paraId="7F614330" w14:textId="3B92624F"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75 (0.0</w:t>
            </w:r>
            <w:r w:rsidR="00437CA7" w:rsidRPr="00ED3C78">
              <w:rPr>
                <w:rFonts w:eastAsia="Times New Roman" w:cstheme="minorHAnsi"/>
                <w:color w:val="0000FF"/>
              </w:rPr>
              <w:t>2</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515B90F5" w14:textId="2275618C"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85 (0.0</w:t>
            </w:r>
            <w:r w:rsidR="00437CA7" w:rsidRPr="00ED3C78">
              <w:rPr>
                <w:rFonts w:eastAsia="Times New Roman" w:cstheme="minorHAnsi"/>
                <w:color w:val="0000FF"/>
              </w:rPr>
              <w:t>2</w:t>
            </w:r>
            <w:r w:rsidRPr="00ED3C78">
              <w:rPr>
                <w:rFonts w:eastAsia="Times New Roman" w:cstheme="minorHAnsi"/>
                <w:color w:val="0000FF"/>
              </w:rPr>
              <w:t>%)</w:t>
            </w:r>
          </w:p>
        </w:tc>
      </w:tr>
      <w:tr w:rsidR="00EE7277" w:rsidRPr="00ED3C78" w14:paraId="575110F8" w14:textId="77777777" w:rsidTr="005B6E3A">
        <w:trPr>
          <w:trHeight w:val="282"/>
        </w:trPr>
        <w:tc>
          <w:tcPr>
            <w:tcW w:w="2685" w:type="pct"/>
            <w:tcBorders>
              <w:top w:val="nil"/>
              <w:left w:val="nil"/>
              <w:right w:val="nil"/>
            </w:tcBorders>
            <w:shd w:val="clear" w:color="auto" w:fill="auto"/>
            <w:noWrap/>
            <w:vAlign w:val="bottom"/>
          </w:tcPr>
          <w:p w14:paraId="5C82962F" w14:textId="3257A525"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GG0170K: Mobility - Walk 150 Feet</w:t>
            </w:r>
          </w:p>
        </w:tc>
        <w:tc>
          <w:tcPr>
            <w:tcW w:w="1205" w:type="pct"/>
            <w:tcBorders>
              <w:top w:val="nil"/>
              <w:left w:val="nil"/>
              <w:right w:val="nil"/>
            </w:tcBorders>
            <w:shd w:val="clear" w:color="auto" w:fill="auto"/>
            <w:noWrap/>
            <w:vAlign w:val="bottom"/>
          </w:tcPr>
          <w:p w14:paraId="18C87739" w14:textId="79D251E1"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116 (0.0</w:t>
            </w:r>
            <w:r w:rsidR="00437CA7" w:rsidRPr="00ED3C78">
              <w:rPr>
                <w:rFonts w:eastAsia="Times New Roman" w:cstheme="minorHAnsi"/>
                <w:color w:val="0000FF"/>
              </w:rPr>
              <w:t>3</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5D9279A2" w14:textId="0C2C099C"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117 (0.0</w:t>
            </w:r>
            <w:r w:rsidR="00437CA7" w:rsidRPr="00ED3C78">
              <w:rPr>
                <w:rFonts w:eastAsia="Times New Roman" w:cstheme="minorHAnsi"/>
                <w:color w:val="0000FF"/>
              </w:rPr>
              <w:t>3</w:t>
            </w:r>
            <w:r w:rsidRPr="00ED3C78">
              <w:rPr>
                <w:rFonts w:eastAsia="Times New Roman" w:cstheme="minorHAnsi"/>
                <w:color w:val="0000FF"/>
              </w:rPr>
              <w:t>%)</w:t>
            </w:r>
          </w:p>
        </w:tc>
      </w:tr>
      <w:tr w:rsidR="00EE7277" w:rsidRPr="00ED3C78" w14:paraId="41ED05C5" w14:textId="77777777" w:rsidTr="005B6E3A">
        <w:trPr>
          <w:trHeight w:val="282"/>
        </w:trPr>
        <w:tc>
          <w:tcPr>
            <w:tcW w:w="2685" w:type="pct"/>
            <w:tcBorders>
              <w:top w:val="nil"/>
              <w:left w:val="nil"/>
              <w:right w:val="nil"/>
            </w:tcBorders>
            <w:shd w:val="clear" w:color="auto" w:fill="auto"/>
            <w:noWrap/>
            <w:vAlign w:val="bottom"/>
          </w:tcPr>
          <w:p w14:paraId="0E4C3AF5" w14:textId="676758E7"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GG0170L: Mobility - Walking 10 Feet on Uneven Surfaces</w:t>
            </w:r>
          </w:p>
        </w:tc>
        <w:tc>
          <w:tcPr>
            <w:tcW w:w="1205" w:type="pct"/>
            <w:tcBorders>
              <w:top w:val="nil"/>
              <w:left w:val="nil"/>
              <w:right w:val="nil"/>
            </w:tcBorders>
            <w:shd w:val="clear" w:color="auto" w:fill="auto"/>
            <w:noWrap/>
            <w:vAlign w:val="bottom"/>
          </w:tcPr>
          <w:p w14:paraId="1D7E8EC4" w14:textId="149C1522"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121 (0.0</w:t>
            </w:r>
            <w:r w:rsidR="00437CA7" w:rsidRPr="00ED3C78">
              <w:rPr>
                <w:rFonts w:eastAsia="Times New Roman" w:cstheme="minorHAnsi"/>
                <w:color w:val="0000FF"/>
              </w:rPr>
              <w:t>3</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1B37ACCD" w14:textId="10795FAB"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208 (0.0</w:t>
            </w:r>
            <w:r w:rsidR="00437CA7" w:rsidRPr="00ED3C78">
              <w:rPr>
                <w:rFonts w:eastAsia="Times New Roman" w:cstheme="minorHAnsi"/>
                <w:color w:val="0000FF"/>
              </w:rPr>
              <w:t>5</w:t>
            </w:r>
            <w:r w:rsidRPr="00ED3C78">
              <w:rPr>
                <w:rFonts w:eastAsia="Times New Roman" w:cstheme="minorHAnsi"/>
                <w:color w:val="0000FF"/>
              </w:rPr>
              <w:t>%)</w:t>
            </w:r>
          </w:p>
        </w:tc>
      </w:tr>
      <w:tr w:rsidR="00EE7277" w:rsidRPr="00ED3C78" w14:paraId="74D208BB" w14:textId="77777777" w:rsidTr="005B6E3A">
        <w:trPr>
          <w:trHeight w:val="282"/>
        </w:trPr>
        <w:tc>
          <w:tcPr>
            <w:tcW w:w="2685" w:type="pct"/>
            <w:tcBorders>
              <w:top w:val="nil"/>
              <w:left w:val="nil"/>
              <w:right w:val="nil"/>
            </w:tcBorders>
            <w:shd w:val="clear" w:color="auto" w:fill="auto"/>
            <w:noWrap/>
            <w:vAlign w:val="bottom"/>
          </w:tcPr>
          <w:p w14:paraId="51FF45F2" w14:textId="02CA754E"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GG0170M: Mobility - 1 Step (Curb)</w:t>
            </w:r>
          </w:p>
        </w:tc>
        <w:tc>
          <w:tcPr>
            <w:tcW w:w="1205" w:type="pct"/>
            <w:tcBorders>
              <w:top w:val="nil"/>
              <w:left w:val="nil"/>
              <w:right w:val="nil"/>
            </w:tcBorders>
            <w:shd w:val="clear" w:color="auto" w:fill="auto"/>
            <w:noWrap/>
            <w:vAlign w:val="bottom"/>
          </w:tcPr>
          <w:p w14:paraId="492B29BC" w14:textId="2F613B09"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 xml:space="preserve">84 </w:t>
            </w:r>
            <w:r w:rsidR="00437CA7" w:rsidRPr="00ED3C78">
              <w:rPr>
                <w:rFonts w:eastAsia="Times New Roman" w:cstheme="minorHAnsi"/>
                <w:color w:val="0000FF"/>
              </w:rPr>
              <w:t>(0.02%)</w:t>
            </w:r>
          </w:p>
        </w:tc>
        <w:tc>
          <w:tcPr>
            <w:tcW w:w="1110" w:type="pct"/>
            <w:tcBorders>
              <w:top w:val="nil"/>
              <w:left w:val="nil"/>
              <w:right w:val="nil"/>
            </w:tcBorders>
            <w:shd w:val="clear" w:color="auto" w:fill="auto"/>
            <w:noWrap/>
            <w:vAlign w:val="bottom"/>
          </w:tcPr>
          <w:p w14:paraId="17ECDC74" w14:textId="1B57ED3A"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140 (0.0</w:t>
            </w:r>
            <w:r w:rsidR="00437CA7" w:rsidRPr="00ED3C78">
              <w:rPr>
                <w:rFonts w:eastAsia="Times New Roman" w:cstheme="minorHAnsi"/>
                <w:color w:val="0000FF"/>
              </w:rPr>
              <w:t>3</w:t>
            </w:r>
            <w:r w:rsidRPr="00ED3C78">
              <w:rPr>
                <w:rFonts w:eastAsia="Times New Roman" w:cstheme="minorHAnsi"/>
                <w:color w:val="0000FF"/>
              </w:rPr>
              <w:t>%)</w:t>
            </w:r>
          </w:p>
        </w:tc>
      </w:tr>
      <w:tr w:rsidR="00EE7277" w:rsidRPr="00ED3C78" w14:paraId="7DE17FF7" w14:textId="77777777" w:rsidTr="005B6E3A">
        <w:trPr>
          <w:trHeight w:val="282"/>
        </w:trPr>
        <w:tc>
          <w:tcPr>
            <w:tcW w:w="2685" w:type="pct"/>
            <w:tcBorders>
              <w:top w:val="nil"/>
              <w:left w:val="nil"/>
              <w:right w:val="nil"/>
            </w:tcBorders>
            <w:shd w:val="clear" w:color="auto" w:fill="auto"/>
            <w:noWrap/>
            <w:vAlign w:val="bottom"/>
          </w:tcPr>
          <w:p w14:paraId="352488A3" w14:textId="2C02ED94"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GG0170N: Mobility - 4 Steps</w:t>
            </w:r>
          </w:p>
        </w:tc>
        <w:tc>
          <w:tcPr>
            <w:tcW w:w="1205" w:type="pct"/>
            <w:tcBorders>
              <w:top w:val="nil"/>
              <w:left w:val="nil"/>
              <w:right w:val="nil"/>
            </w:tcBorders>
            <w:shd w:val="clear" w:color="auto" w:fill="auto"/>
            <w:noWrap/>
            <w:vAlign w:val="bottom"/>
          </w:tcPr>
          <w:p w14:paraId="559AA097" w14:textId="42E37E83"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105 (0.0</w:t>
            </w:r>
            <w:r w:rsidR="00437CA7" w:rsidRPr="00ED3C78">
              <w:rPr>
                <w:rFonts w:eastAsia="Times New Roman" w:cstheme="minorHAnsi"/>
                <w:color w:val="0000FF"/>
              </w:rPr>
              <w:t>2</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280FB6B8" w14:textId="17349633"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138 (0.0</w:t>
            </w:r>
            <w:r w:rsidR="00437CA7" w:rsidRPr="00ED3C78">
              <w:rPr>
                <w:rFonts w:eastAsia="Times New Roman" w:cstheme="minorHAnsi"/>
                <w:color w:val="0000FF"/>
              </w:rPr>
              <w:t>3</w:t>
            </w:r>
            <w:r w:rsidRPr="00ED3C78">
              <w:rPr>
                <w:rFonts w:eastAsia="Times New Roman" w:cstheme="minorHAnsi"/>
                <w:color w:val="0000FF"/>
              </w:rPr>
              <w:t>%)</w:t>
            </w:r>
          </w:p>
        </w:tc>
      </w:tr>
      <w:tr w:rsidR="00EE7277" w:rsidRPr="00ED3C78" w14:paraId="06FF99D1" w14:textId="77777777" w:rsidTr="005B6E3A">
        <w:trPr>
          <w:trHeight w:val="282"/>
        </w:trPr>
        <w:tc>
          <w:tcPr>
            <w:tcW w:w="2685" w:type="pct"/>
            <w:tcBorders>
              <w:top w:val="nil"/>
              <w:left w:val="nil"/>
              <w:right w:val="nil"/>
            </w:tcBorders>
            <w:shd w:val="clear" w:color="auto" w:fill="auto"/>
            <w:noWrap/>
            <w:vAlign w:val="bottom"/>
          </w:tcPr>
          <w:p w14:paraId="74110CD7" w14:textId="0761221C"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GG0170O: Mobility - 12 Steps</w:t>
            </w:r>
          </w:p>
        </w:tc>
        <w:tc>
          <w:tcPr>
            <w:tcW w:w="1205" w:type="pct"/>
            <w:tcBorders>
              <w:top w:val="nil"/>
              <w:left w:val="nil"/>
              <w:right w:val="nil"/>
            </w:tcBorders>
            <w:shd w:val="clear" w:color="auto" w:fill="auto"/>
            <w:noWrap/>
            <w:vAlign w:val="bottom"/>
          </w:tcPr>
          <w:p w14:paraId="4D268D57" w14:textId="2C79342B"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145 (0.0</w:t>
            </w:r>
            <w:r w:rsidR="00437CA7" w:rsidRPr="00ED3C78">
              <w:rPr>
                <w:rFonts w:eastAsia="Times New Roman" w:cstheme="minorHAnsi"/>
                <w:color w:val="0000FF"/>
              </w:rPr>
              <w:t>3</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5B09188C" w14:textId="13C0220C"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270 (0.</w:t>
            </w:r>
            <w:r w:rsidR="00437CA7" w:rsidRPr="00ED3C78">
              <w:rPr>
                <w:rFonts w:eastAsia="Times New Roman" w:cstheme="minorHAnsi"/>
                <w:color w:val="0000FF"/>
              </w:rPr>
              <w:t>06</w:t>
            </w:r>
            <w:r w:rsidRPr="00ED3C78">
              <w:rPr>
                <w:rFonts w:eastAsia="Times New Roman" w:cstheme="minorHAnsi"/>
                <w:color w:val="0000FF"/>
              </w:rPr>
              <w:t>%)</w:t>
            </w:r>
          </w:p>
        </w:tc>
      </w:tr>
      <w:tr w:rsidR="00EE7277" w:rsidRPr="00ED3C78" w14:paraId="1D892AA3" w14:textId="77777777" w:rsidTr="005B6E3A">
        <w:trPr>
          <w:trHeight w:val="282"/>
        </w:trPr>
        <w:tc>
          <w:tcPr>
            <w:tcW w:w="2685" w:type="pct"/>
            <w:tcBorders>
              <w:top w:val="nil"/>
              <w:left w:val="nil"/>
              <w:right w:val="nil"/>
            </w:tcBorders>
            <w:shd w:val="clear" w:color="auto" w:fill="auto"/>
            <w:noWrap/>
            <w:vAlign w:val="bottom"/>
          </w:tcPr>
          <w:p w14:paraId="68656B68" w14:textId="34664066" w:rsidR="00EE7277" w:rsidRPr="00ED3C78" w:rsidRDefault="00EE7277" w:rsidP="00EE7277">
            <w:pPr>
              <w:spacing w:after="0" w:line="240" w:lineRule="auto"/>
              <w:rPr>
                <w:rFonts w:eastAsia="Times New Roman" w:cstheme="minorHAnsi"/>
                <w:color w:val="0000FF"/>
              </w:rPr>
            </w:pPr>
            <w:r w:rsidRPr="00ED3C78">
              <w:rPr>
                <w:rFonts w:eastAsia="Times New Roman" w:cstheme="minorHAnsi"/>
                <w:color w:val="0000FF"/>
              </w:rPr>
              <w:t>GG0170P: Mobility - Picking Up Object</w:t>
            </w:r>
          </w:p>
        </w:tc>
        <w:tc>
          <w:tcPr>
            <w:tcW w:w="1205" w:type="pct"/>
            <w:tcBorders>
              <w:top w:val="nil"/>
              <w:left w:val="nil"/>
              <w:right w:val="nil"/>
            </w:tcBorders>
            <w:shd w:val="clear" w:color="auto" w:fill="auto"/>
            <w:noWrap/>
            <w:vAlign w:val="bottom"/>
          </w:tcPr>
          <w:p w14:paraId="15D66759" w14:textId="40D32186"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145 (0.0</w:t>
            </w:r>
            <w:r w:rsidR="00437CA7" w:rsidRPr="00ED3C78">
              <w:rPr>
                <w:rFonts w:eastAsia="Times New Roman" w:cstheme="minorHAnsi"/>
                <w:color w:val="0000FF"/>
              </w:rPr>
              <w:t>3</w:t>
            </w:r>
            <w:r w:rsidRPr="00ED3C78">
              <w:rPr>
                <w:rFonts w:eastAsia="Times New Roman" w:cstheme="minorHAnsi"/>
                <w:color w:val="0000FF"/>
              </w:rPr>
              <w:t>%)</w:t>
            </w:r>
          </w:p>
        </w:tc>
        <w:tc>
          <w:tcPr>
            <w:tcW w:w="1110" w:type="pct"/>
            <w:tcBorders>
              <w:top w:val="nil"/>
              <w:left w:val="nil"/>
              <w:right w:val="nil"/>
            </w:tcBorders>
            <w:shd w:val="clear" w:color="auto" w:fill="auto"/>
            <w:noWrap/>
            <w:vAlign w:val="bottom"/>
          </w:tcPr>
          <w:p w14:paraId="5D4790C1" w14:textId="19BE06CF" w:rsidR="00EE7277" w:rsidRPr="00ED3C78" w:rsidRDefault="00EE7277" w:rsidP="00EE7277">
            <w:pPr>
              <w:spacing w:after="0" w:line="240" w:lineRule="auto"/>
              <w:jc w:val="center"/>
              <w:rPr>
                <w:rFonts w:eastAsia="Times New Roman" w:cstheme="minorHAnsi"/>
                <w:color w:val="0000FF"/>
              </w:rPr>
            </w:pPr>
            <w:r w:rsidRPr="00ED3C78">
              <w:rPr>
                <w:rFonts w:eastAsia="Times New Roman" w:cstheme="minorHAnsi"/>
                <w:color w:val="0000FF"/>
              </w:rPr>
              <w:t>293 (0.</w:t>
            </w:r>
            <w:r w:rsidR="00437CA7" w:rsidRPr="00ED3C78">
              <w:rPr>
                <w:rFonts w:eastAsia="Times New Roman" w:cstheme="minorHAnsi"/>
                <w:color w:val="0000FF"/>
              </w:rPr>
              <w:t>0</w:t>
            </w:r>
            <w:r w:rsidR="00ED3C78" w:rsidRPr="00ED3C78">
              <w:rPr>
                <w:rFonts w:eastAsia="Times New Roman" w:cstheme="minorHAnsi"/>
                <w:color w:val="0000FF"/>
              </w:rPr>
              <w:t>7</w:t>
            </w:r>
            <w:r w:rsidRPr="00ED3C78">
              <w:rPr>
                <w:rFonts w:eastAsia="Times New Roman" w:cstheme="minorHAnsi"/>
                <w:color w:val="0000FF"/>
              </w:rPr>
              <w:t>%)</w:t>
            </w:r>
          </w:p>
        </w:tc>
      </w:tr>
      <w:tr w:rsidR="0093624C" w:rsidRPr="00ED3C78" w14:paraId="6C177E2E" w14:textId="77777777" w:rsidTr="005B6E3A">
        <w:trPr>
          <w:trHeight w:val="282"/>
        </w:trPr>
        <w:tc>
          <w:tcPr>
            <w:tcW w:w="2685" w:type="pct"/>
            <w:tcBorders>
              <w:top w:val="nil"/>
              <w:left w:val="nil"/>
              <w:right w:val="nil"/>
            </w:tcBorders>
            <w:shd w:val="clear" w:color="auto" w:fill="auto"/>
            <w:noWrap/>
            <w:vAlign w:val="bottom"/>
          </w:tcPr>
          <w:p w14:paraId="6613CA0F" w14:textId="33036B13" w:rsidR="0093624C" w:rsidRPr="00ED3C78" w:rsidRDefault="0093624C" w:rsidP="0093624C">
            <w:pPr>
              <w:spacing w:after="0" w:line="240" w:lineRule="auto"/>
              <w:rPr>
                <w:rFonts w:eastAsia="Times New Roman" w:cstheme="minorHAnsi"/>
                <w:color w:val="0000FF"/>
              </w:rPr>
            </w:pPr>
            <w:r w:rsidRPr="00ED3C78">
              <w:rPr>
                <w:rFonts w:eastAsia="Times New Roman" w:cstheme="minorHAnsi"/>
                <w:color w:val="0000FF"/>
              </w:rPr>
              <w:t>GG0170</w:t>
            </w:r>
            <w:r>
              <w:rPr>
                <w:rFonts w:eastAsia="Times New Roman" w:cstheme="minorHAnsi"/>
                <w:color w:val="0000FF"/>
              </w:rPr>
              <w:t>R</w:t>
            </w:r>
            <w:r w:rsidRPr="00ED3C78">
              <w:rPr>
                <w:rFonts w:eastAsia="Times New Roman" w:cstheme="minorHAnsi"/>
                <w:color w:val="0000FF"/>
              </w:rPr>
              <w:t>: Mobility - W</w:t>
            </w:r>
            <w:r>
              <w:rPr>
                <w:rFonts w:eastAsia="Times New Roman" w:cstheme="minorHAnsi"/>
                <w:color w:val="0000FF"/>
              </w:rPr>
              <w:t>heel</w:t>
            </w:r>
            <w:r w:rsidRPr="00ED3C78">
              <w:rPr>
                <w:rFonts w:eastAsia="Times New Roman" w:cstheme="minorHAnsi"/>
                <w:color w:val="0000FF"/>
              </w:rPr>
              <w:t xml:space="preserve"> 50 Feet with Two Turns</w:t>
            </w:r>
          </w:p>
        </w:tc>
        <w:tc>
          <w:tcPr>
            <w:tcW w:w="1205" w:type="pct"/>
            <w:tcBorders>
              <w:top w:val="nil"/>
              <w:left w:val="nil"/>
              <w:right w:val="nil"/>
            </w:tcBorders>
            <w:shd w:val="clear" w:color="auto" w:fill="auto"/>
            <w:noWrap/>
            <w:vAlign w:val="bottom"/>
          </w:tcPr>
          <w:p w14:paraId="203BA028" w14:textId="676A2FE6" w:rsidR="0093624C" w:rsidRPr="00ED3C78" w:rsidRDefault="001058CA" w:rsidP="0093624C">
            <w:pPr>
              <w:spacing w:after="0" w:line="240" w:lineRule="auto"/>
              <w:jc w:val="center"/>
              <w:rPr>
                <w:rFonts w:eastAsia="Times New Roman" w:cstheme="minorHAnsi"/>
                <w:color w:val="0000FF"/>
              </w:rPr>
            </w:pPr>
            <w:r>
              <w:rPr>
                <w:rFonts w:eastAsia="Times New Roman" w:cstheme="minorHAnsi"/>
                <w:color w:val="0000FF"/>
              </w:rPr>
              <w:t xml:space="preserve">11 </w:t>
            </w:r>
            <w:r w:rsidRPr="00ED3C78">
              <w:rPr>
                <w:rFonts w:eastAsia="Times New Roman" w:cstheme="minorHAnsi"/>
                <w:color w:val="0000FF"/>
              </w:rPr>
              <w:t>(&lt; 0.01%)</w:t>
            </w:r>
          </w:p>
        </w:tc>
        <w:tc>
          <w:tcPr>
            <w:tcW w:w="1110" w:type="pct"/>
            <w:tcBorders>
              <w:top w:val="nil"/>
              <w:left w:val="nil"/>
              <w:right w:val="nil"/>
            </w:tcBorders>
            <w:shd w:val="clear" w:color="auto" w:fill="auto"/>
            <w:noWrap/>
            <w:vAlign w:val="bottom"/>
          </w:tcPr>
          <w:p w14:paraId="2A7BD7EE" w14:textId="6DB1231E" w:rsidR="0093624C" w:rsidRPr="00ED3C78" w:rsidRDefault="005345A9" w:rsidP="0093624C">
            <w:pPr>
              <w:spacing w:after="0" w:line="240" w:lineRule="auto"/>
              <w:jc w:val="center"/>
              <w:rPr>
                <w:rFonts w:eastAsia="Times New Roman" w:cstheme="minorHAnsi"/>
                <w:color w:val="0000FF"/>
              </w:rPr>
            </w:pPr>
            <w:r>
              <w:rPr>
                <w:rFonts w:eastAsia="Times New Roman" w:cstheme="minorHAnsi"/>
                <w:color w:val="0000FF"/>
              </w:rPr>
              <w:t>&lt; 11**</w:t>
            </w:r>
          </w:p>
        </w:tc>
      </w:tr>
      <w:tr w:rsidR="0093624C" w:rsidRPr="00ED3C78" w14:paraId="647871B5" w14:textId="77777777" w:rsidTr="005B6E3A">
        <w:trPr>
          <w:trHeight w:val="282"/>
        </w:trPr>
        <w:tc>
          <w:tcPr>
            <w:tcW w:w="2685" w:type="pct"/>
            <w:tcBorders>
              <w:top w:val="nil"/>
              <w:left w:val="nil"/>
              <w:right w:val="nil"/>
            </w:tcBorders>
            <w:shd w:val="clear" w:color="auto" w:fill="auto"/>
            <w:noWrap/>
            <w:vAlign w:val="bottom"/>
          </w:tcPr>
          <w:p w14:paraId="37217E77" w14:textId="20FBBCEB" w:rsidR="0093624C" w:rsidRPr="00ED3C78" w:rsidRDefault="0093624C" w:rsidP="0093624C">
            <w:pPr>
              <w:spacing w:after="0" w:line="240" w:lineRule="auto"/>
              <w:rPr>
                <w:rFonts w:eastAsia="Times New Roman" w:cstheme="minorHAnsi"/>
                <w:color w:val="0000FF"/>
              </w:rPr>
            </w:pPr>
            <w:r w:rsidRPr="00ED3C78">
              <w:rPr>
                <w:rFonts w:eastAsia="Times New Roman" w:cstheme="minorHAnsi"/>
                <w:color w:val="0000FF"/>
              </w:rPr>
              <w:t>GG0170</w:t>
            </w:r>
            <w:r>
              <w:rPr>
                <w:rFonts w:eastAsia="Times New Roman" w:cstheme="minorHAnsi"/>
                <w:color w:val="0000FF"/>
              </w:rPr>
              <w:t>S</w:t>
            </w:r>
            <w:r w:rsidRPr="00ED3C78">
              <w:rPr>
                <w:rFonts w:eastAsia="Times New Roman" w:cstheme="minorHAnsi"/>
                <w:color w:val="0000FF"/>
              </w:rPr>
              <w:t>: Mobility - W</w:t>
            </w:r>
            <w:r>
              <w:rPr>
                <w:rFonts w:eastAsia="Times New Roman" w:cstheme="minorHAnsi"/>
                <w:color w:val="0000FF"/>
              </w:rPr>
              <w:t>heel</w:t>
            </w:r>
            <w:r w:rsidRPr="00ED3C78">
              <w:rPr>
                <w:rFonts w:eastAsia="Times New Roman" w:cstheme="minorHAnsi"/>
                <w:color w:val="0000FF"/>
              </w:rPr>
              <w:t xml:space="preserve"> 150 Feet</w:t>
            </w:r>
          </w:p>
        </w:tc>
        <w:tc>
          <w:tcPr>
            <w:tcW w:w="1205" w:type="pct"/>
            <w:tcBorders>
              <w:top w:val="nil"/>
              <w:left w:val="nil"/>
              <w:right w:val="nil"/>
            </w:tcBorders>
            <w:shd w:val="clear" w:color="auto" w:fill="auto"/>
            <w:noWrap/>
            <w:vAlign w:val="bottom"/>
          </w:tcPr>
          <w:p w14:paraId="1AFD76A5" w14:textId="3D9DE1FB" w:rsidR="0093624C" w:rsidRPr="00ED3C78" w:rsidRDefault="001058CA" w:rsidP="0093624C">
            <w:pPr>
              <w:spacing w:after="0" w:line="240" w:lineRule="auto"/>
              <w:jc w:val="center"/>
              <w:rPr>
                <w:rFonts w:eastAsia="Times New Roman" w:cstheme="minorHAnsi"/>
                <w:color w:val="0000FF"/>
              </w:rPr>
            </w:pPr>
            <w:r>
              <w:rPr>
                <w:rFonts w:eastAsia="Times New Roman" w:cstheme="minorHAnsi"/>
                <w:color w:val="0000FF"/>
              </w:rPr>
              <w:t xml:space="preserve">18 </w:t>
            </w:r>
            <w:r w:rsidRPr="00ED3C78">
              <w:rPr>
                <w:rFonts w:eastAsia="Times New Roman" w:cstheme="minorHAnsi"/>
                <w:color w:val="0000FF"/>
              </w:rPr>
              <w:t>(&lt; 0.01%)</w:t>
            </w:r>
          </w:p>
        </w:tc>
        <w:tc>
          <w:tcPr>
            <w:tcW w:w="1110" w:type="pct"/>
            <w:tcBorders>
              <w:top w:val="nil"/>
              <w:left w:val="nil"/>
              <w:right w:val="nil"/>
            </w:tcBorders>
            <w:shd w:val="clear" w:color="auto" w:fill="auto"/>
            <w:noWrap/>
            <w:vAlign w:val="bottom"/>
          </w:tcPr>
          <w:p w14:paraId="08BD6280" w14:textId="620F1992" w:rsidR="0093624C" w:rsidRPr="00ED3C78" w:rsidRDefault="005345A9" w:rsidP="0093624C">
            <w:pPr>
              <w:spacing w:after="0" w:line="240" w:lineRule="auto"/>
              <w:jc w:val="center"/>
              <w:rPr>
                <w:rFonts w:eastAsia="Times New Roman" w:cstheme="minorHAnsi"/>
                <w:color w:val="0000FF"/>
              </w:rPr>
            </w:pPr>
            <w:r>
              <w:rPr>
                <w:rFonts w:eastAsia="Times New Roman" w:cstheme="minorHAnsi"/>
                <w:color w:val="0000FF"/>
              </w:rPr>
              <w:t>&lt; 11**</w:t>
            </w:r>
          </w:p>
        </w:tc>
      </w:tr>
      <w:tr w:rsidR="0093624C" w:rsidRPr="00ED3C78" w14:paraId="3E7B56CD" w14:textId="77777777" w:rsidTr="005B6E3A">
        <w:trPr>
          <w:trHeight w:val="282"/>
        </w:trPr>
        <w:tc>
          <w:tcPr>
            <w:tcW w:w="2685" w:type="pct"/>
            <w:tcBorders>
              <w:top w:val="nil"/>
              <w:left w:val="nil"/>
              <w:bottom w:val="single" w:sz="4" w:space="0" w:color="auto"/>
              <w:right w:val="nil"/>
            </w:tcBorders>
            <w:shd w:val="clear" w:color="auto" w:fill="auto"/>
            <w:noWrap/>
            <w:vAlign w:val="bottom"/>
            <w:hideMark/>
          </w:tcPr>
          <w:p w14:paraId="5EBAACAC" w14:textId="77777777" w:rsidR="0093624C" w:rsidRPr="00ED3C78" w:rsidRDefault="0093624C" w:rsidP="0093624C">
            <w:pPr>
              <w:spacing w:after="0" w:line="240" w:lineRule="auto"/>
              <w:rPr>
                <w:rFonts w:eastAsia="Times New Roman" w:cstheme="minorHAnsi"/>
                <w:color w:val="0000FF"/>
              </w:rPr>
            </w:pPr>
            <w:r w:rsidRPr="00ED3C78">
              <w:rPr>
                <w:rFonts w:eastAsia="Times New Roman" w:cstheme="minorHAnsi"/>
                <w:color w:val="0000FF"/>
              </w:rPr>
              <w:t>Total</w:t>
            </w:r>
          </w:p>
        </w:tc>
        <w:tc>
          <w:tcPr>
            <w:tcW w:w="1205" w:type="pct"/>
            <w:tcBorders>
              <w:top w:val="nil"/>
              <w:left w:val="nil"/>
              <w:bottom w:val="single" w:sz="4" w:space="0" w:color="auto"/>
              <w:right w:val="nil"/>
            </w:tcBorders>
            <w:shd w:val="clear" w:color="auto" w:fill="auto"/>
            <w:noWrap/>
            <w:vAlign w:val="bottom"/>
            <w:hideMark/>
          </w:tcPr>
          <w:p w14:paraId="3A7F2E4F" w14:textId="3D8FFEDC" w:rsidR="0093624C" w:rsidRPr="00ED3C78" w:rsidRDefault="0093624C" w:rsidP="0093624C">
            <w:pPr>
              <w:spacing w:after="0" w:line="240" w:lineRule="auto"/>
              <w:jc w:val="center"/>
              <w:rPr>
                <w:rFonts w:eastAsia="Times New Roman" w:cstheme="minorHAnsi"/>
                <w:color w:val="0000FF"/>
              </w:rPr>
            </w:pPr>
            <w:r w:rsidRPr="00ED3C78">
              <w:rPr>
                <w:rFonts w:eastAsia="Times New Roman" w:cstheme="minorHAnsi"/>
                <w:color w:val="0000FF"/>
              </w:rPr>
              <w:t>1,245 (0.3%)</w:t>
            </w:r>
          </w:p>
        </w:tc>
        <w:tc>
          <w:tcPr>
            <w:tcW w:w="1110" w:type="pct"/>
            <w:tcBorders>
              <w:top w:val="nil"/>
              <w:left w:val="nil"/>
              <w:bottom w:val="single" w:sz="4" w:space="0" w:color="auto"/>
              <w:right w:val="nil"/>
            </w:tcBorders>
            <w:shd w:val="clear" w:color="auto" w:fill="auto"/>
            <w:noWrap/>
            <w:vAlign w:val="bottom"/>
            <w:hideMark/>
          </w:tcPr>
          <w:p w14:paraId="3C204EC9" w14:textId="6DBCED45" w:rsidR="0093624C" w:rsidRPr="00ED3C78" w:rsidRDefault="0093624C" w:rsidP="0093624C">
            <w:pPr>
              <w:spacing w:after="0" w:line="240" w:lineRule="auto"/>
              <w:jc w:val="center"/>
              <w:rPr>
                <w:rFonts w:eastAsia="Times New Roman" w:cstheme="minorHAnsi"/>
                <w:color w:val="0000FF"/>
              </w:rPr>
            </w:pPr>
            <w:r w:rsidRPr="00ED3C78">
              <w:rPr>
                <w:rFonts w:eastAsia="Times New Roman" w:cstheme="minorHAnsi"/>
                <w:color w:val="0000FF"/>
              </w:rPr>
              <w:t>1,889 (0.4%)</w:t>
            </w:r>
          </w:p>
        </w:tc>
      </w:tr>
    </w:tbl>
    <w:p w14:paraId="1CBDD1E3" w14:textId="0241ABB3" w:rsidR="00444286" w:rsidRDefault="00444286" w:rsidP="00444286">
      <w:pPr>
        <w:pStyle w:val="NoSpacing"/>
        <w:contextualSpacing/>
        <w:rPr>
          <w:rFonts w:asciiTheme="minorHAnsi" w:hAnsiTheme="minorHAnsi" w:cstheme="minorHAnsi"/>
          <w:color w:val="0000FF"/>
          <w:sz w:val="20"/>
          <w:szCs w:val="20"/>
        </w:rPr>
      </w:pPr>
      <w:r w:rsidRPr="00ED3C78">
        <w:rPr>
          <w:rFonts w:asciiTheme="minorHAnsi" w:hAnsiTheme="minorHAnsi" w:cstheme="minorHAnsi"/>
          <w:color w:val="0000FF"/>
          <w:sz w:val="20"/>
          <w:szCs w:val="20"/>
        </w:rPr>
        <w:t>Source: RTI analysis of IRF-PAI, January– December 2017. (Program reference: MV45).</w:t>
      </w:r>
    </w:p>
    <w:p w14:paraId="780192E6" w14:textId="50938221" w:rsidR="005345A9" w:rsidRDefault="005345A9" w:rsidP="005345A9">
      <w:pPr>
        <w:pStyle w:val="NoSpacing"/>
        <w:ind w:right="720"/>
        <w:contextualSpacing/>
        <w:rPr>
          <w:rFonts w:cstheme="minorBidi"/>
          <w:color w:val="0000FF"/>
          <w:sz w:val="20"/>
        </w:rPr>
      </w:pPr>
      <w:r>
        <w:rPr>
          <w:rFonts w:cstheme="minorBidi"/>
          <w:color w:val="0000FF"/>
          <w:sz w:val="20"/>
        </w:rPr>
        <w:t>*Wheelchair data elements include only patients who are not walking.</w:t>
      </w:r>
    </w:p>
    <w:p w14:paraId="11B30114" w14:textId="3FA3787C" w:rsidR="005345A9" w:rsidRPr="00144804" w:rsidRDefault="005345A9" w:rsidP="00444286">
      <w:pPr>
        <w:pStyle w:val="NoSpacing"/>
        <w:contextualSpacing/>
        <w:rPr>
          <w:rFonts w:asciiTheme="minorHAnsi" w:hAnsiTheme="minorHAnsi" w:cstheme="minorHAnsi"/>
          <w:color w:val="0000FF"/>
          <w:sz w:val="20"/>
          <w:szCs w:val="20"/>
        </w:rPr>
      </w:pPr>
      <w:r>
        <w:rPr>
          <w:rFonts w:asciiTheme="minorHAnsi" w:hAnsiTheme="minorHAnsi" w:cstheme="minorHAnsi"/>
          <w:color w:val="0000FF"/>
          <w:sz w:val="20"/>
          <w:szCs w:val="20"/>
        </w:rPr>
        <w:t>** We are unable to report data when the number of cases is less than 11.</w:t>
      </w:r>
    </w:p>
    <w:p w14:paraId="3270B300" w14:textId="77777777" w:rsidR="00444286" w:rsidRDefault="00444286" w:rsidP="008F7E67">
      <w:pPr>
        <w:autoSpaceDE w:val="0"/>
        <w:autoSpaceDN w:val="0"/>
        <w:adjustRightInd w:val="0"/>
        <w:spacing w:after="0" w:line="240" w:lineRule="auto"/>
        <w:rPr>
          <w:rFonts w:cstheme="minorHAnsi"/>
          <w:bCs/>
        </w:rPr>
      </w:pPr>
    </w:p>
    <w:p w14:paraId="43AC5BE1" w14:textId="77777777" w:rsidR="009F7AEF" w:rsidRDefault="009F7AEF" w:rsidP="009F7AEF">
      <w:pPr>
        <w:autoSpaceDE w:val="0"/>
        <w:autoSpaceDN w:val="0"/>
        <w:adjustRightInd w:val="0"/>
        <w:spacing w:after="0" w:line="240" w:lineRule="auto"/>
        <w:rPr>
          <w:rFonts w:eastAsia="Calibri" w:cstheme="minorHAnsi"/>
          <w:color w:val="0000FF"/>
        </w:rPr>
      </w:pPr>
      <w:bookmarkStart w:id="108" w:name="_Hlk536011107"/>
      <w:r>
        <w:rPr>
          <w:rFonts w:eastAsia="Calibri" w:cstheme="minorHAnsi"/>
          <w:color w:val="0000FF"/>
        </w:rPr>
        <w:t>The frequencies of missing data for each of the risk adjustors (available upon request) is also very low, ranging from no missing data for Age and Primary Diagnosis to 0.1% for the BIMS. Though missing data is rare, it is still accounted for in the calculation of the risk adjustors. For example, when determining Prior Surgery from the J2000 data element, a dash (-) on the IRF-PAI is recoded to “0” to indicate no Prior Surgery rather than dropping the patient from the performance measure calculation.</w:t>
      </w:r>
    </w:p>
    <w:bookmarkEnd w:id="108"/>
    <w:p w14:paraId="0CABD01E" w14:textId="77777777" w:rsidR="008F7E67" w:rsidRPr="00E1508F" w:rsidRDefault="008F7E67" w:rsidP="008F7E67">
      <w:pPr>
        <w:autoSpaceDE w:val="0"/>
        <w:autoSpaceDN w:val="0"/>
        <w:adjustRightInd w:val="0"/>
        <w:spacing w:after="0" w:line="240" w:lineRule="auto"/>
        <w:rPr>
          <w:rFonts w:cstheme="minorHAnsi"/>
          <w:bCs/>
        </w:rPr>
      </w:pPr>
    </w:p>
    <w:p w14:paraId="4ED44152" w14:textId="77777777" w:rsidR="00302EF1" w:rsidRDefault="00302EF1">
      <w:pPr>
        <w:rPr>
          <w:rFonts w:cstheme="minorHAnsi"/>
          <w:b/>
          <w:bCs/>
        </w:rPr>
      </w:pPr>
      <w:r>
        <w:rPr>
          <w:rFonts w:cstheme="minorHAnsi"/>
          <w:b/>
          <w:bCs/>
        </w:rPr>
        <w:br w:type="page"/>
      </w:r>
    </w:p>
    <w:p w14:paraId="0CABD01F" w14:textId="6A11FAED" w:rsidR="008B604D" w:rsidRDefault="009C7513">
      <w:pPr>
        <w:autoSpaceDE w:val="0"/>
        <w:autoSpaceDN w:val="0"/>
        <w:adjustRightInd w:val="0"/>
        <w:spacing w:after="0" w:line="240" w:lineRule="auto"/>
        <w:rPr>
          <w:rFonts w:cstheme="minorHAnsi"/>
          <w:bCs/>
        </w:rPr>
      </w:pPr>
      <w:r>
        <w:rPr>
          <w:rFonts w:cstheme="minorHAnsi"/>
          <w:b/>
          <w:bCs/>
        </w:rPr>
        <w:lastRenderedPageBreak/>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BC5110B" w14:textId="4C4C46FB" w:rsidR="00603099" w:rsidRPr="00ED3C78" w:rsidRDefault="00603099" w:rsidP="00603099">
      <w:pPr>
        <w:autoSpaceDE w:val="0"/>
        <w:autoSpaceDN w:val="0"/>
        <w:adjustRightInd w:val="0"/>
        <w:spacing w:after="0" w:line="240" w:lineRule="auto"/>
        <w:rPr>
          <w:color w:val="0000FF"/>
          <w:szCs w:val="24"/>
        </w:rPr>
      </w:pPr>
      <w:bookmarkStart w:id="109" w:name="_Hlk533590081"/>
      <w:r w:rsidRPr="00ED3C78">
        <w:rPr>
          <w:rFonts w:eastAsia="Calibri" w:cs="Times New Roman"/>
          <w:color w:val="0000FF"/>
          <w:szCs w:val="24"/>
        </w:rPr>
        <w:t xml:space="preserve">There is a very small </w:t>
      </w:r>
      <w:r w:rsidR="0093624C">
        <w:rPr>
          <w:rFonts w:eastAsia="Calibri" w:cs="Times New Roman"/>
          <w:color w:val="0000FF"/>
          <w:szCs w:val="24"/>
        </w:rPr>
        <w:t>percentage</w:t>
      </w:r>
      <w:r w:rsidRPr="00ED3C78">
        <w:rPr>
          <w:rFonts w:eastAsia="Calibri" w:cs="Times New Roman"/>
          <w:color w:val="0000FF"/>
          <w:szCs w:val="24"/>
        </w:rPr>
        <w:t xml:space="preserve"> of cases with missing data, </w:t>
      </w:r>
      <w:r w:rsidR="00BF23FC">
        <w:rPr>
          <w:rFonts w:eastAsia="Calibri" w:cs="Times New Roman"/>
          <w:color w:val="0000FF"/>
          <w:szCs w:val="24"/>
        </w:rPr>
        <w:t xml:space="preserve">and </w:t>
      </w:r>
      <w:r w:rsidRPr="00ED3C78">
        <w:rPr>
          <w:rFonts w:eastAsia="Calibri" w:cs="Times New Roman"/>
          <w:color w:val="0000FF"/>
          <w:szCs w:val="24"/>
        </w:rPr>
        <w:t>we believe this</w:t>
      </w:r>
      <w:r w:rsidRPr="00ED3C78">
        <w:rPr>
          <w:color w:val="0000FF"/>
          <w:szCs w:val="24"/>
        </w:rPr>
        <w:t xml:space="preserve"> very small percentage is unlikely to cause significant bias.</w:t>
      </w:r>
    </w:p>
    <w:p w14:paraId="60FAACD3" w14:textId="77777777" w:rsidR="00603099" w:rsidRDefault="00603099">
      <w:pPr>
        <w:autoSpaceDE w:val="0"/>
        <w:autoSpaceDN w:val="0"/>
        <w:adjustRightInd w:val="0"/>
        <w:spacing w:after="0" w:line="240" w:lineRule="auto"/>
        <w:rPr>
          <w:rFonts w:cstheme="minorHAnsi"/>
          <w:bCs/>
        </w:rPr>
      </w:pPr>
    </w:p>
    <w:bookmarkEnd w:id="109"/>
    <w:p w14:paraId="32A13729" w14:textId="77777777" w:rsidR="00C46D56" w:rsidRDefault="00C46D56" w:rsidP="00F50A37">
      <w:pPr>
        <w:autoSpaceDE w:val="0"/>
        <w:autoSpaceDN w:val="0"/>
        <w:adjustRightInd w:val="0"/>
        <w:spacing w:after="0" w:line="240" w:lineRule="auto"/>
        <w:jc w:val="center"/>
        <w:rPr>
          <w:b/>
          <w:color w:val="0000FF"/>
          <w:sz w:val="24"/>
          <w:szCs w:val="24"/>
        </w:rPr>
      </w:pPr>
      <w:r>
        <w:rPr>
          <w:b/>
          <w:color w:val="0000FF"/>
          <w:sz w:val="24"/>
          <w:szCs w:val="24"/>
        </w:rPr>
        <w:br w:type="page"/>
      </w:r>
    </w:p>
    <w:p w14:paraId="05911018" w14:textId="73558376" w:rsidR="00F50A37" w:rsidRDefault="00F50A37" w:rsidP="00F50A37">
      <w:pPr>
        <w:autoSpaceDE w:val="0"/>
        <w:autoSpaceDN w:val="0"/>
        <w:adjustRightInd w:val="0"/>
        <w:spacing w:after="0" w:line="240" w:lineRule="auto"/>
        <w:jc w:val="center"/>
        <w:rPr>
          <w:b/>
          <w:color w:val="0000FF"/>
          <w:sz w:val="24"/>
          <w:szCs w:val="24"/>
        </w:rPr>
      </w:pPr>
      <w:r>
        <w:rPr>
          <w:b/>
          <w:color w:val="0000FF"/>
          <w:sz w:val="24"/>
          <w:szCs w:val="24"/>
        </w:rPr>
        <w:lastRenderedPageBreak/>
        <w:t>Appendix A</w:t>
      </w:r>
    </w:p>
    <w:p w14:paraId="292323FD" w14:textId="77777777" w:rsidR="00F50A37" w:rsidRDefault="00F50A37" w:rsidP="00F50A37">
      <w:pPr>
        <w:autoSpaceDE w:val="0"/>
        <w:autoSpaceDN w:val="0"/>
        <w:adjustRightInd w:val="0"/>
        <w:spacing w:after="0" w:line="240" w:lineRule="auto"/>
        <w:rPr>
          <w:b/>
          <w:color w:val="0000FF"/>
          <w:sz w:val="24"/>
          <w:szCs w:val="24"/>
        </w:rPr>
      </w:pPr>
    </w:p>
    <w:p w14:paraId="44286E63" w14:textId="4BAC7CAA" w:rsidR="00F50A37" w:rsidRDefault="00F50A37" w:rsidP="00F50A37">
      <w:pPr>
        <w:autoSpaceDE w:val="0"/>
        <w:autoSpaceDN w:val="0"/>
        <w:adjustRightInd w:val="0"/>
        <w:spacing w:after="0" w:line="240" w:lineRule="auto"/>
        <w:rPr>
          <w:rFonts w:cstheme="minorHAnsi"/>
          <w:b/>
          <w:color w:val="0000FF"/>
        </w:rPr>
      </w:pPr>
      <w:r w:rsidRPr="00981CB7">
        <w:rPr>
          <w:rFonts w:cstheme="minorHAnsi"/>
          <w:b/>
          <w:color w:val="0000FF"/>
        </w:rPr>
        <w:t>Table A-1. Intercept and Risk-</w:t>
      </w:r>
      <w:r>
        <w:rPr>
          <w:rFonts w:cstheme="minorHAnsi"/>
          <w:b/>
          <w:color w:val="0000FF"/>
        </w:rPr>
        <w:t>A</w:t>
      </w:r>
      <w:r w:rsidRPr="00981CB7">
        <w:rPr>
          <w:rFonts w:cstheme="minorHAnsi"/>
          <w:b/>
          <w:color w:val="0000FF"/>
        </w:rPr>
        <w:t xml:space="preserve">djustor Definitions and Covariate Values for the </w:t>
      </w:r>
      <w:r>
        <w:rPr>
          <w:rFonts w:cstheme="minorHAnsi"/>
          <w:b/>
          <w:color w:val="0000FF"/>
        </w:rPr>
        <w:t>Change in</w:t>
      </w:r>
      <w:r w:rsidRPr="00981CB7">
        <w:rPr>
          <w:rFonts w:cstheme="minorHAnsi"/>
          <w:b/>
          <w:color w:val="0000FF"/>
        </w:rPr>
        <w:t xml:space="preserve"> </w:t>
      </w:r>
      <w:r>
        <w:rPr>
          <w:rFonts w:cstheme="minorHAnsi"/>
          <w:b/>
          <w:color w:val="0000FF"/>
        </w:rPr>
        <w:t>Mobility</w:t>
      </w:r>
      <w:r w:rsidRPr="00981CB7">
        <w:rPr>
          <w:rFonts w:cstheme="minorHAnsi"/>
          <w:b/>
          <w:color w:val="0000FF"/>
        </w:rPr>
        <w:t xml:space="preserve"> Measure, (NQF #263</w:t>
      </w:r>
      <w:r>
        <w:rPr>
          <w:rFonts w:cstheme="minorHAnsi"/>
          <w:b/>
          <w:color w:val="0000FF"/>
        </w:rPr>
        <w:t>4</w:t>
      </w:r>
      <w:r w:rsidRPr="00981CB7">
        <w:rPr>
          <w:rFonts w:cstheme="minorHAnsi"/>
          <w:b/>
          <w:color w:val="0000FF"/>
        </w:rPr>
        <w:t>)</w:t>
      </w:r>
    </w:p>
    <w:p w14:paraId="64FB5E55" w14:textId="0333A8EA" w:rsidR="00F50A37" w:rsidRDefault="00F50A37">
      <w:pPr>
        <w:autoSpaceDE w:val="0"/>
        <w:autoSpaceDN w:val="0"/>
        <w:adjustRightInd w:val="0"/>
        <w:spacing w:after="0" w:line="240" w:lineRule="auto"/>
        <w:rPr>
          <w:rFonts w:cstheme="minorHAnsi"/>
          <w:bCs/>
        </w:rPr>
      </w:pPr>
    </w:p>
    <w:tbl>
      <w:tblPr>
        <w:tblW w:w="9895" w:type="dxa"/>
        <w:tblLayout w:type="fixed"/>
        <w:tblCellMar>
          <w:left w:w="115" w:type="dxa"/>
          <w:right w:w="115" w:type="dxa"/>
        </w:tblCellMar>
        <w:tblLook w:val="04A0" w:firstRow="1" w:lastRow="0" w:firstColumn="1" w:lastColumn="0" w:noHBand="0" w:noVBand="1"/>
      </w:tblPr>
      <w:tblGrid>
        <w:gridCol w:w="1975"/>
        <w:gridCol w:w="2160"/>
        <w:gridCol w:w="3420"/>
        <w:gridCol w:w="2340"/>
      </w:tblGrid>
      <w:tr w:rsidR="00F50A37" w:rsidRPr="004C7C89" w14:paraId="7EAA3F60" w14:textId="77777777" w:rsidTr="00E94725">
        <w:trPr>
          <w:cantSplit/>
          <w:tblHeader/>
        </w:trPr>
        <w:tc>
          <w:tcPr>
            <w:tcW w:w="19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1028AE3C" w14:textId="77777777" w:rsidR="00F50A37" w:rsidRPr="00837708" w:rsidRDefault="00F50A37" w:rsidP="00E94725">
            <w:pPr>
              <w:pStyle w:val="TableHeaders"/>
              <w:rPr>
                <w:rFonts w:asciiTheme="minorHAnsi" w:hAnsiTheme="minorHAnsi" w:cstheme="minorHAnsi"/>
                <w:b/>
                <w:color w:val="0000FF"/>
                <w:sz w:val="20"/>
                <w:szCs w:val="22"/>
              </w:rPr>
            </w:pPr>
            <w:r w:rsidRPr="00837708">
              <w:rPr>
                <w:rFonts w:asciiTheme="minorHAnsi" w:hAnsiTheme="minorHAnsi" w:cstheme="minorHAnsi"/>
                <w:b/>
                <w:color w:val="0000FF"/>
                <w:sz w:val="20"/>
                <w:szCs w:val="22"/>
              </w:rPr>
              <w:t>Risk Adjustor</w:t>
            </w:r>
          </w:p>
        </w:tc>
        <w:tc>
          <w:tcPr>
            <w:tcW w:w="216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03B0ECF9" w14:textId="77777777" w:rsidR="00F50A37" w:rsidRPr="00837708" w:rsidRDefault="00F50A37" w:rsidP="00E94725">
            <w:pPr>
              <w:pStyle w:val="TableHeaders"/>
              <w:rPr>
                <w:rFonts w:asciiTheme="minorHAnsi" w:hAnsiTheme="minorHAnsi" w:cstheme="minorHAnsi"/>
                <w:b/>
                <w:color w:val="0000FF"/>
                <w:sz w:val="20"/>
                <w:szCs w:val="22"/>
              </w:rPr>
            </w:pPr>
            <w:r w:rsidRPr="00837708">
              <w:rPr>
                <w:rFonts w:asciiTheme="minorHAnsi" w:hAnsiTheme="minorHAnsi" w:cstheme="minorHAnsi"/>
                <w:b/>
                <w:color w:val="0000FF"/>
                <w:sz w:val="20"/>
                <w:szCs w:val="22"/>
              </w:rPr>
              <w:t>Risk Adjustor Category</w:t>
            </w:r>
          </w:p>
        </w:tc>
        <w:tc>
          <w:tcPr>
            <w:tcW w:w="3420" w:type="dxa"/>
            <w:tcBorders>
              <w:top w:val="single" w:sz="4" w:space="0" w:color="auto"/>
              <w:left w:val="nil"/>
              <w:bottom w:val="single" w:sz="4" w:space="0" w:color="auto"/>
              <w:right w:val="single" w:sz="4" w:space="0" w:color="auto"/>
            </w:tcBorders>
            <w:shd w:val="clear" w:color="auto" w:fill="B8CCE4" w:themeFill="accent1" w:themeFillTint="66"/>
            <w:vAlign w:val="center"/>
            <w:hideMark/>
          </w:tcPr>
          <w:p w14:paraId="357FB046" w14:textId="17354C4B" w:rsidR="00F50A37" w:rsidRPr="00837708" w:rsidRDefault="00F50A37" w:rsidP="00E94725">
            <w:pPr>
              <w:pStyle w:val="TableHeaders"/>
              <w:rPr>
                <w:rFonts w:asciiTheme="minorHAnsi" w:hAnsiTheme="minorHAnsi" w:cstheme="minorHAnsi"/>
                <w:b/>
                <w:color w:val="0000FF"/>
                <w:sz w:val="20"/>
                <w:szCs w:val="22"/>
              </w:rPr>
            </w:pPr>
            <w:r w:rsidRPr="00837708">
              <w:rPr>
                <w:rFonts w:asciiTheme="minorHAnsi" w:hAnsiTheme="minorHAnsi" w:cstheme="minorHAnsi"/>
                <w:b/>
                <w:color w:val="0000FF"/>
                <w:sz w:val="20"/>
                <w:szCs w:val="22"/>
              </w:rPr>
              <w:t xml:space="preserve">IRF-PAI Item(s) and </w:t>
            </w:r>
            <w:r w:rsidR="008913D2">
              <w:rPr>
                <w:rFonts w:asciiTheme="minorHAnsi" w:hAnsiTheme="minorHAnsi" w:cstheme="minorHAnsi"/>
                <w:b/>
                <w:color w:val="0000FF"/>
                <w:sz w:val="20"/>
                <w:szCs w:val="22"/>
              </w:rPr>
              <w:t>Recoding</w:t>
            </w:r>
          </w:p>
        </w:tc>
        <w:tc>
          <w:tcPr>
            <w:tcW w:w="2340"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A4CD19A" w14:textId="77777777" w:rsidR="00F50A37" w:rsidRPr="00837708" w:rsidRDefault="00F50A37" w:rsidP="00E94725">
            <w:pPr>
              <w:pStyle w:val="TableHeaders"/>
              <w:rPr>
                <w:rFonts w:asciiTheme="minorHAnsi" w:hAnsiTheme="minorHAnsi" w:cstheme="minorHAnsi"/>
                <w:b/>
                <w:color w:val="0000FF"/>
                <w:sz w:val="20"/>
                <w:szCs w:val="22"/>
              </w:rPr>
            </w:pPr>
            <w:r w:rsidRPr="00837708">
              <w:rPr>
                <w:rFonts w:asciiTheme="minorHAnsi" w:hAnsiTheme="minorHAnsi" w:cstheme="minorHAnsi"/>
                <w:b/>
                <w:color w:val="0000FF"/>
                <w:sz w:val="20"/>
                <w:szCs w:val="22"/>
              </w:rPr>
              <w:t>Intercept and Coefficients for Change in Mobility (NQF #2634)</w:t>
            </w:r>
          </w:p>
          <w:p w14:paraId="7E9A4086" w14:textId="3011C881" w:rsidR="00837708" w:rsidRPr="00837708" w:rsidRDefault="00837708" w:rsidP="00E94725">
            <w:pPr>
              <w:pStyle w:val="TableHeaders"/>
              <w:rPr>
                <w:rFonts w:asciiTheme="minorHAnsi" w:hAnsiTheme="minorHAnsi" w:cstheme="minorHAnsi"/>
                <w:b/>
                <w:color w:val="0000FF"/>
                <w:sz w:val="20"/>
                <w:szCs w:val="22"/>
              </w:rPr>
            </w:pPr>
            <w:r w:rsidRPr="00837708">
              <w:rPr>
                <w:rFonts w:asciiTheme="minorHAnsi" w:hAnsiTheme="minorHAnsi" w:cstheme="minorHAnsi"/>
                <w:b/>
                <w:color w:val="0000FF"/>
                <w:sz w:val="20"/>
                <w:szCs w:val="22"/>
              </w:rPr>
              <w:t>All values have 4 decimal places</w:t>
            </w:r>
          </w:p>
        </w:tc>
      </w:tr>
      <w:tr w:rsidR="00F50A37" w:rsidRPr="004C7C89" w14:paraId="23A5D04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44E38E3"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Intercept</w:t>
            </w:r>
          </w:p>
        </w:tc>
        <w:tc>
          <w:tcPr>
            <w:tcW w:w="2160" w:type="dxa"/>
            <w:tcBorders>
              <w:top w:val="single" w:sz="4" w:space="0" w:color="auto"/>
              <w:left w:val="nil"/>
              <w:bottom w:val="single" w:sz="4" w:space="0" w:color="auto"/>
              <w:right w:val="single" w:sz="4" w:space="0" w:color="auto"/>
            </w:tcBorders>
          </w:tcPr>
          <w:p w14:paraId="27E955C7"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3420" w:type="dxa"/>
            <w:tcBorders>
              <w:top w:val="single" w:sz="4" w:space="0" w:color="auto"/>
              <w:left w:val="nil"/>
              <w:bottom w:val="single" w:sz="4" w:space="0" w:color="auto"/>
              <w:right w:val="single" w:sz="4" w:space="0" w:color="auto"/>
            </w:tcBorders>
          </w:tcPr>
          <w:p w14:paraId="3D8C69B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t>
            </w:r>
          </w:p>
        </w:tc>
        <w:tc>
          <w:tcPr>
            <w:tcW w:w="2340" w:type="dxa"/>
            <w:tcBorders>
              <w:top w:val="single" w:sz="4" w:space="0" w:color="auto"/>
              <w:left w:val="nil"/>
              <w:bottom w:val="single" w:sz="4" w:space="0" w:color="auto"/>
              <w:right w:val="single" w:sz="4" w:space="0" w:color="auto"/>
            </w:tcBorders>
            <w:vAlign w:val="bottom"/>
          </w:tcPr>
          <w:p w14:paraId="4EBF8032" w14:textId="47ACD368"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33.9674</w:t>
            </w:r>
          </w:p>
        </w:tc>
      </w:tr>
      <w:tr w:rsidR="00F50A37" w:rsidRPr="004C7C89" w14:paraId="190EBE92"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B345D5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12EE47E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&lt;35 years</w:t>
            </w:r>
          </w:p>
        </w:tc>
        <w:tc>
          <w:tcPr>
            <w:tcW w:w="3420" w:type="dxa"/>
            <w:tcBorders>
              <w:top w:val="single" w:sz="4" w:space="0" w:color="auto"/>
              <w:left w:val="nil"/>
              <w:bottom w:val="single" w:sz="4" w:space="0" w:color="auto"/>
              <w:right w:val="single" w:sz="4" w:space="0" w:color="auto"/>
            </w:tcBorders>
            <w:vAlign w:val="bottom"/>
          </w:tcPr>
          <w:p w14:paraId="5A49F6B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&lt;35 years = 1; else = 0</w:t>
            </w:r>
          </w:p>
        </w:tc>
        <w:tc>
          <w:tcPr>
            <w:tcW w:w="2340" w:type="dxa"/>
            <w:tcBorders>
              <w:top w:val="single" w:sz="4" w:space="0" w:color="auto"/>
              <w:left w:val="nil"/>
              <w:bottom w:val="single" w:sz="4" w:space="0" w:color="auto"/>
              <w:right w:val="single" w:sz="4" w:space="0" w:color="auto"/>
            </w:tcBorders>
            <w:vAlign w:val="bottom"/>
          </w:tcPr>
          <w:p w14:paraId="628B6782" w14:textId="4C371772"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-1.0232</w:t>
            </w:r>
          </w:p>
        </w:tc>
      </w:tr>
      <w:tr w:rsidR="00F50A37" w:rsidRPr="004C7C89" w14:paraId="19A1069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5B1A06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6A64A16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35-44 years</w:t>
            </w:r>
          </w:p>
        </w:tc>
        <w:tc>
          <w:tcPr>
            <w:tcW w:w="3420" w:type="dxa"/>
            <w:tcBorders>
              <w:top w:val="single" w:sz="4" w:space="0" w:color="auto"/>
              <w:left w:val="nil"/>
              <w:bottom w:val="single" w:sz="4" w:space="0" w:color="auto"/>
              <w:right w:val="single" w:sz="4" w:space="0" w:color="auto"/>
            </w:tcBorders>
            <w:vAlign w:val="bottom"/>
          </w:tcPr>
          <w:p w14:paraId="3190FFE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35–44 years = 1; else = 0</w:t>
            </w:r>
          </w:p>
        </w:tc>
        <w:tc>
          <w:tcPr>
            <w:tcW w:w="2340" w:type="dxa"/>
            <w:tcBorders>
              <w:top w:val="single" w:sz="4" w:space="0" w:color="auto"/>
              <w:left w:val="nil"/>
              <w:bottom w:val="single" w:sz="4" w:space="0" w:color="auto"/>
              <w:right w:val="single" w:sz="4" w:space="0" w:color="auto"/>
            </w:tcBorders>
            <w:vAlign w:val="bottom"/>
          </w:tcPr>
          <w:p w14:paraId="22B52033" w14:textId="788B4202"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-0.6223</w:t>
            </w:r>
          </w:p>
        </w:tc>
      </w:tr>
      <w:tr w:rsidR="00F50A37" w:rsidRPr="004C7C89" w14:paraId="451540B0"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18796D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59B1AB5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45-54 years</w:t>
            </w:r>
          </w:p>
        </w:tc>
        <w:tc>
          <w:tcPr>
            <w:tcW w:w="3420" w:type="dxa"/>
            <w:tcBorders>
              <w:top w:val="single" w:sz="4" w:space="0" w:color="auto"/>
              <w:left w:val="nil"/>
              <w:bottom w:val="single" w:sz="4" w:space="0" w:color="auto"/>
              <w:right w:val="single" w:sz="4" w:space="0" w:color="auto"/>
            </w:tcBorders>
            <w:vAlign w:val="bottom"/>
          </w:tcPr>
          <w:p w14:paraId="1006F32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45–54 years = 1; else = 0</w:t>
            </w:r>
          </w:p>
        </w:tc>
        <w:tc>
          <w:tcPr>
            <w:tcW w:w="2340" w:type="dxa"/>
            <w:tcBorders>
              <w:top w:val="single" w:sz="4" w:space="0" w:color="auto"/>
              <w:left w:val="nil"/>
              <w:bottom w:val="single" w:sz="4" w:space="0" w:color="auto"/>
              <w:right w:val="single" w:sz="4" w:space="0" w:color="auto"/>
            </w:tcBorders>
            <w:vAlign w:val="bottom"/>
          </w:tcPr>
          <w:p w14:paraId="75AB3B77" w14:textId="11703F84"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0.3772</w:t>
            </w:r>
          </w:p>
        </w:tc>
      </w:tr>
      <w:tr w:rsidR="00F50A37" w:rsidRPr="004C7C89" w14:paraId="056A79B0"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B5F6E8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77206C5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55-64 years</w:t>
            </w:r>
          </w:p>
        </w:tc>
        <w:tc>
          <w:tcPr>
            <w:tcW w:w="3420" w:type="dxa"/>
            <w:tcBorders>
              <w:top w:val="single" w:sz="4" w:space="0" w:color="auto"/>
              <w:left w:val="nil"/>
              <w:bottom w:val="single" w:sz="4" w:space="0" w:color="auto"/>
              <w:right w:val="single" w:sz="4" w:space="0" w:color="auto"/>
            </w:tcBorders>
            <w:vAlign w:val="bottom"/>
          </w:tcPr>
          <w:p w14:paraId="31EA098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55–64 years = 1; else = 0</w:t>
            </w:r>
          </w:p>
        </w:tc>
        <w:tc>
          <w:tcPr>
            <w:tcW w:w="2340" w:type="dxa"/>
            <w:tcBorders>
              <w:top w:val="single" w:sz="4" w:space="0" w:color="auto"/>
              <w:left w:val="nil"/>
              <w:bottom w:val="single" w:sz="4" w:space="0" w:color="auto"/>
              <w:right w:val="single" w:sz="4" w:space="0" w:color="auto"/>
            </w:tcBorders>
            <w:vAlign w:val="bottom"/>
          </w:tcPr>
          <w:p w14:paraId="7A7C1625" w14:textId="1A4156F0"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-0.0486</w:t>
            </w:r>
          </w:p>
        </w:tc>
      </w:tr>
      <w:tr w:rsidR="00F50A37" w:rsidRPr="004C7C89" w14:paraId="6164926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0CB0C4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68A41574"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75-84 years</w:t>
            </w:r>
          </w:p>
        </w:tc>
        <w:tc>
          <w:tcPr>
            <w:tcW w:w="3420" w:type="dxa"/>
            <w:tcBorders>
              <w:top w:val="single" w:sz="4" w:space="0" w:color="auto"/>
              <w:left w:val="nil"/>
              <w:bottom w:val="single" w:sz="4" w:space="0" w:color="auto"/>
              <w:right w:val="single" w:sz="4" w:space="0" w:color="auto"/>
            </w:tcBorders>
            <w:vAlign w:val="bottom"/>
          </w:tcPr>
          <w:p w14:paraId="79D7EC6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Truncate (Item 12 – Item 6) = age; If age 75–84 years = 1; else = 0 </w:t>
            </w:r>
          </w:p>
        </w:tc>
        <w:tc>
          <w:tcPr>
            <w:tcW w:w="2340" w:type="dxa"/>
            <w:tcBorders>
              <w:top w:val="single" w:sz="4" w:space="0" w:color="auto"/>
              <w:left w:val="nil"/>
              <w:bottom w:val="single" w:sz="4" w:space="0" w:color="auto"/>
              <w:right w:val="single" w:sz="4" w:space="0" w:color="auto"/>
            </w:tcBorders>
            <w:vAlign w:val="bottom"/>
          </w:tcPr>
          <w:p w14:paraId="6B958036" w14:textId="57B10090"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-1.1907</w:t>
            </w:r>
          </w:p>
        </w:tc>
      </w:tr>
      <w:tr w:rsidR="00F50A37" w:rsidRPr="004C7C89" w14:paraId="1397A066"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A522E5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6DC8E27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85-90 years</w:t>
            </w:r>
          </w:p>
        </w:tc>
        <w:tc>
          <w:tcPr>
            <w:tcW w:w="3420" w:type="dxa"/>
            <w:tcBorders>
              <w:top w:val="single" w:sz="4" w:space="0" w:color="auto"/>
              <w:left w:val="nil"/>
              <w:bottom w:val="single" w:sz="4" w:space="0" w:color="auto"/>
              <w:right w:val="single" w:sz="4" w:space="0" w:color="auto"/>
            </w:tcBorders>
            <w:vAlign w:val="bottom"/>
          </w:tcPr>
          <w:p w14:paraId="4EA61DF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85–90 years = 1; else = 0</w:t>
            </w:r>
          </w:p>
        </w:tc>
        <w:tc>
          <w:tcPr>
            <w:tcW w:w="2340" w:type="dxa"/>
            <w:tcBorders>
              <w:top w:val="single" w:sz="4" w:space="0" w:color="auto"/>
              <w:left w:val="nil"/>
              <w:bottom w:val="single" w:sz="4" w:space="0" w:color="auto"/>
              <w:right w:val="single" w:sz="4" w:space="0" w:color="auto"/>
            </w:tcBorders>
            <w:vAlign w:val="bottom"/>
          </w:tcPr>
          <w:p w14:paraId="55D97CDA" w14:textId="3C6F8A2D"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-2.7306</w:t>
            </w:r>
          </w:p>
        </w:tc>
      </w:tr>
      <w:tr w:rsidR="00F50A37" w:rsidRPr="004C7C89" w14:paraId="26316A2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AF11D6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Age Group</w:t>
            </w:r>
          </w:p>
        </w:tc>
        <w:tc>
          <w:tcPr>
            <w:tcW w:w="2160" w:type="dxa"/>
            <w:tcBorders>
              <w:top w:val="single" w:sz="4" w:space="0" w:color="auto"/>
              <w:left w:val="nil"/>
              <w:bottom w:val="single" w:sz="4" w:space="0" w:color="auto"/>
              <w:right w:val="single" w:sz="4" w:space="0" w:color="auto"/>
            </w:tcBorders>
            <w:vAlign w:val="bottom"/>
          </w:tcPr>
          <w:p w14:paraId="4F02DD87"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&gt;90 years</w:t>
            </w:r>
          </w:p>
        </w:tc>
        <w:tc>
          <w:tcPr>
            <w:tcW w:w="3420" w:type="dxa"/>
            <w:tcBorders>
              <w:top w:val="single" w:sz="4" w:space="0" w:color="auto"/>
              <w:left w:val="nil"/>
              <w:bottom w:val="single" w:sz="4" w:space="0" w:color="auto"/>
              <w:right w:val="single" w:sz="4" w:space="0" w:color="auto"/>
            </w:tcBorders>
            <w:vAlign w:val="bottom"/>
          </w:tcPr>
          <w:p w14:paraId="3BF9525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Truncate (Item 12 – Item 6) = age; If age &gt;90 years = 1; else = 0</w:t>
            </w:r>
          </w:p>
        </w:tc>
        <w:tc>
          <w:tcPr>
            <w:tcW w:w="2340" w:type="dxa"/>
            <w:tcBorders>
              <w:top w:val="single" w:sz="4" w:space="0" w:color="auto"/>
              <w:left w:val="nil"/>
              <w:bottom w:val="single" w:sz="4" w:space="0" w:color="auto"/>
              <w:right w:val="single" w:sz="4" w:space="0" w:color="auto"/>
            </w:tcBorders>
            <w:vAlign w:val="bottom"/>
          </w:tcPr>
          <w:p w14:paraId="66D8CCB0" w14:textId="1E14AF79"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-4.5621</w:t>
            </w:r>
          </w:p>
        </w:tc>
      </w:tr>
      <w:tr w:rsidR="00F50A37" w:rsidRPr="004C7C89" w14:paraId="34EF98C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0C261CA"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continuous form</w:t>
            </w:r>
          </w:p>
        </w:tc>
        <w:tc>
          <w:tcPr>
            <w:tcW w:w="2160" w:type="dxa"/>
            <w:tcBorders>
              <w:top w:val="single" w:sz="4" w:space="0" w:color="auto"/>
              <w:left w:val="nil"/>
              <w:bottom w:val="single" w:sz="4" w:space="0" w:color="auto"/>
              <w:right w:val="single" w:sz="4" w:space="0" w:color="auto"/>
            </w:tcBorders>
          </w:tcPr>
          <w:p w14:paraId="4C2E536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continuous form</w:t>
            </w:r>
          </w:p>
        </w:tc>
        <w:tc>
          <w:tcPr>
            <w:tcW w:w="3420" w:type="dxa"/>
            <w:tcBorders>
              <w:top w:val="single" w:sz="4" w:space="0" w:color="auto"/>
              <w:left w:val="nil"/>
              <w:bottom w:val="single" w:sz="4" w:space="0" w:color="auto"/>
              <w:right w:val="single" w:sz="4" w:space="0" w:color="auto"/>
            </w:tcBorders>
          </w:tcPr>
          <w:p w14:paraId="284197A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Score = (GG0170A1 + GG0170B1 + GG0170C1 + GG0170D1 + GG0170E1 + GG0170F1 + GG0170G1 + GG0170I1 + GG0170J1 + GG0170K1 + GG0170L1 + GG0170M1 + GG0170N1 + GG0170O1 + GG0170P1)</w:t>
            </w:r>
          </w:p>
        </w:tc>
        <w:tc>
          <w:tcPr>
            <w:tcW w:w="2340" w:type="dxa"/>
            <w:tcBorders>
              <w:top w:val="single" w:sz="4" w:space="0" w:color="auto"/>
              <w:left w:val="nil"/>
              <w:bottom w:val="single" w:sz="4" w:space="0" w:color="auto"/>
              <w:right w:val="single" w:sz="4" w:space="0" w:color="auto"/>
            </w:tcBorders>
            <w:vAlign w:val="bottom"/>
          </w:tcPr>
          <w:p w14:paraId="77633B87" w14:textId="1A9C879B"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0.8718</w:t>
            </w:r>
          </w:p>
        </w:tc>
      </w:tr>
      <w:tr w:rsidR="00F50A37" w:rsidRPr="004C7C89" w14:paraId="3E439ED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6C542D7"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squared form</w:t>
            </w:r>
          </w:p>
        </w:tc>
        <w:tc>
          <w:tcPr>
            <w:tcW w:w="2160" w:type="dxa"/>
            <w:tcBorders>
              <w:top w:val="single" w:sz="4" w:space="0" w:color="auto"/>
              <w:left w:val="nil"/>
              <w:bottom w:val="single" w:sz="4" w:space="0" w:color="auto"/>
              <w:right w:val="single" w:sz="4" w:space="0" w:color="auto"/>
            </w:tcBorders>
          </w:tcPr>
          <w:p w14:paraId="38A21A8E"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 squared form</w:t>
            </w:r>
          </w:p>
        </w:tc>
        <w:tc>
          <w:tcPr>
            <w:tcW w:w="3420" w:type="dxa"/>
            <w:tcBorders>
              <w:top w:val="single" w:sz="4" w:space="0" w:color="auto"/>
              <w:left w:val="nil"/>
              <w:bottom w:val="single" w:sz="4" w:space="0" w:color="auto"/>
              <w:right w:val="single" w:sz="4" w:space="0" w:color="auto"/>
            </w:tcBorders>
          </w:tcPr>
          <w:p w14:paraId="3DE19B5E"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Squared = (GG0170A1 + GG0170B1 + GG0170C1 + GG0170D1 + GG0170E1 + GG0170F1 + GG0170G1 + GG0170I1 + GG0170J1 + GG0170K1 + GG0170L1 + GG0170M1 + GG0170N1 + GG0170O1 + GG0170P1) * (GG0170A1 + GG0170B1 + GG0170C1 + GG0170D1 + GG0170E1 + GG0170F1 + GG0170G1 + GG0170I1 + GG0170J1 + GG0170K1 + GG0170L1 + GG0170M1 + GG0170N1 + GG0170O1 + GG0170P1)</w:t>
            </w:r>
          </w:p>
        </w:tc>
        <w:tc>
          <w:tcPr>
            <w:tcW w:w="2340" w:type="dxa"/>
            <w:tcBorders>
              <w:top w:val="single" w:sz="4" w:space="0" w:color="auto"/>
              <w:left w:val="nil"/>
              <w:bottom w:val="single" w:sz="4" w:space="0" w:color="auto"/>
              <w:right w:val="single" w:sz="4" w:space="0" w:color="auto"/>
            </w:tcBorders>
            <w:vAlign w:val="bottom"/>
          </w:tcPr>
          <w:p w14:paraId="13124090" w14:textId="020B0633"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-0.0169</w:t>
            </w:r>
          </w:p>
        </w:tc>
      </w:tr>
      <w:tr w:rsidR="00F50A37" w:rsidRPr="004C7C89" w14:paraId="49ED993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3327A3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0287B2C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Stroke</w:t>
            </w:r>
          </w:p>
        </w:tc>
        <w:tc>
          <w:tcPr>
            <w:tcW w:w="3420" w:type="dxa"/>
            <w:tcBorders>
              <w:top w:val="single" w:sz="4" w:space="0" w:color="auto"/>
              <w:left w:val="nil"/>
              <w:bottom w:val="single" w:sz="4" w:space="0" w:color="auto"/>
              <w:right w:val="single" w:sz="4" w:space="0" w:color="auto"/>
            </w:tcBorders>
            <w:vAlign w:val="bottom"/>
          </w:tcPr>
          <w:p w14:paraId="2AE3310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0001.1 or 0001.2 or 0001.3 or 0001.4 or 0001.9; else = 0</w:t>
            </w:r>
          </w:p>
        </w:tc>
        <w:tc>
          <w:tcPr>
            <w:tcW w:w="2340" w:type="dxa"/>
            <w:tcBorders>
              <w:top w:val="single" w:sz="4" w:space="0" w:color="auto"/>
              <w:left w:val="nil"/>
              <w:bottom w:val="single" w:sz="4" w:space="0" w:color="auto"/>
              <w:right w:val="single" w:sz="4" w:space="0" w:color="auto"/>
            </w:tcBorders>
            <w:vAlign w:val="bottom"/>
          </w:tcPr>
          <w:p w14:paraId="68DB8E43" w14:textId="7BF9918A" w:rsidR="00F50A37" w:rsidRPr="004C7C89" w:rsidRDefault="00F50A37" w:rsidP="00360220">
            <w:pPr>
              <w:pStyle w:val="TableText"/>
              <w:tabs>
                <w:tab w:val="decimal" w:pos="701"/>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-21.2855</w:t>
            </w:r>
          </w:p>
        </w:tc>
      </w:tr>
      <w:tr w:rsidR="00F50A37" w:rsidRPr="004C7C89" w14:paraId="02940CDD"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B1B12D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Primary Diagnosis Group</w:t>
            </w:r>
          </w:p>
        </w:tc>
        <w:tc>
          <w:tcPr>
            <w:tcW w:w="2160" w:type="dxa"/>
            <w:tcBorders>
              <w:top w:val="single" w:sz="4" w:space="0" w:color="auto"/>
              <w:left w:val="nil"/>
              <w:bottom w:val="single" w:sz="4" w:space="0" w:color="auto"/>
              <w:right w:val="single" w:sz="4" w:space="0" w:color="auto"/>
            </w:tcBorders>
            <w:vAlign w:val="bottom"/>
          </w:tcPr>
          <w:p w14:paraId="18AEAFB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Brain Dysfunction</w:t>
            </w:r>
          </w:p>
        </w:tc>
        <w:tc>
          <w:tcPr>
            <w:tcW w:w="3420" w:type="dxa"/>
            <w:tcBorders>
              <w:top w:val="single" w:sz="4" w:space="0" w:color="auto"/>
              <w:left w:val="nil"/>
              <w:bottom w:val="single" w:sz="4" w:space="0" w:color="auto"/>
              <w:right w:val="single" w:sz="4" w:space="0" w:color="auto"/>
            </w:tcBorders>
            <w:vAlign w:val="bottom"/>
          </w:tcPr>
          <w:p w14:paraId="00984273"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0002.1 or 0002.9; else = 0</w:t>
            </w:r>
          </w:p>
        </w:tc>
        <w:tc>
          <w:tcPr>
            <w:tcW w:w="2340" w:type="dxa"/>
            <w:tcBorders>
              <w:top w:val="single" w:sz="4" w:space="0" w:color="auto"/>
              <w:left w:val="nil"/>
              <w:bottom w:val="single" w:sz="4" w:space="0" w:color="auto"/>
              <w:right w:val="single" w:sz="4" w:space="0" w:color="auto"/>
            </w:tcBorders>
            <w:vAlign w:val="bottom"/>
          </w:tcPr>
          <w:p w14:paraId="6C39DB04" w14:textId="3051521F"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-13.3061</w:t>
            </w:r>
          </w:p>
        </w:tc>
      </w:tr>
      <w:tr w:rsidR="00F50A37" w:rsidRPr="004C7C89" w14:paraId="19C7C04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4BE223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0D33B76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Brain Dysfunction</w:t>
            </w:r>
          </w:p>
        </w:tc>
        <w:tc>
          <w:tcPr>
            <w:tcW w:w="3420" w:type="dxa"/>
            <w:tcBorders>
              <w:top w:val="single" w:sz="4" w:space="0" w:color="auto"/>
              <w:left w:val="nil"/>
              <w:bottom w:val="single" w:sz="4" w:space="0" w:color="auto"/>
              <w:right w:val="single" w:sz="4" w:space="0" w:color="auto"/>
            </w:tcBorders>
            <w:vAlign w:val="bottom"/>
          </w:tcPr>
          <w:p w14:paraId="1410D5D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Item 21A = 0002.21 or 0002.22 or 0014.1 or 0014.2; else = 0 </w:t>
            </w:r>
          </w:p>
        </w:tc>
        <w:tc>
          <w:tcPr>
            <w:tcW w:w="2340" w:type="dxa"/>
            <w:tcBorders>
              <w:top w:val="single" w:sz="4" w:space="0" w:color="auto"/>
              <w:left w:val="nil"/>
              <w:bottom w:val="single" w:sz="4" w:space="0" w:color="auto"/>
              <w:right w:val="single" w:sz="4" w:space="0" w:color="auto"/>
            </w:tcBorders>
            <w:vAlign w:val="bottom"/>
          </w:tcPr>
          <w:p w14:paraId="64E7557E" w14:textId="3AC84AE6"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-9.5438</w:t>
            </w:r>
          </w:p>
        </w:tc>
      </w:tr>
      <w:tr w:rsidR="00F50A37" w:rsidRPr="004C7C89" w14:paraId="4005A5D2"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F28472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673E511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Non-Traumatic Spinal Cord Dysfunction</w:t>
            </w:r>
          </w:p>
        </w:tc>
        <w:tc>
          <w:tcPr>
            <w:tcW w:w="3420" w:type="dxa"/>
            <w:tcBorders>
              <w:top w:val="single" w:sz="4" w:space="0" w:color="auto"/>
              <w:left w:val="nil"/>
              <w:bottom w:val="single" w:sz="4" w:space="0" w:color="auto"/>
              <w:right w:val="single" w:sz="4" w:space="0" w:color="auto"/>
            </w:tcBorders>
            <w:vAlign w:val="bottom"/>
          </w:tcPr>
          <w:p w14:paraId="5CBA132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0004.110 or 0004.111 or 0004.112 or 0004.120 or 004.1211 or 0004.1212 or 0004.130; else = 0</w:t>
            </w:r>
          </w:p>
        </w:tc>
        <w:tc>
          <w:tcPr>
            <w:tcW w:w="2340" w:type="dxa"/>
            <w:tcBorders>
              <w:top w:val="single" w:sz="4" w:space="0" w:color="auto"/>
              <w:left w:val="nil"/>
              <w:bottom w:val="single" w:sz="4" w:space="0" w:color="auto"/>
              <w:right w:val="single" w:sz="4" w:space="0" w:color="auto"/>
            </w:tcBorders>
            <w:vAlign w:val="bottom"/>
          </w:tcPr>
          <w:p w14:paraId="697EC983" w14:textId="30EE3904"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-14.2253</w:t>
            </w:r>
          </w:p>
        </w:tc>
      </w:tr>
      <w:tr w:rsidR="00F50A37" w:rsidRPr="004C7C89" w14:paraId="04DD0D2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3B72D1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154A00A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Traumatic Spinal Cord Dysfunction</w:t>
            </w:r>
          </w:p>
        </w:tc>
        <w:tc>
          <w:tcPr>
            <w:tcW w:w="3420" w:type="dxa"/>
            <w:tcBorders>
              <w:top w:val="single" w:sz="4" w:space="0" w:color="auto"/>
              <w:left w:val="nil"/>
              <w:bottom w:val="single" w:sz="4" w:space="0" w:color="auto"/>
              <w:right w:val="single" w:sz="4" w:space="0" w:color="auto"/>
            </w:tcBorders>
            <w:vAlign w:val="bottom"/>
          </w:tcPr>
          <w:p w14:paraId="530902E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0004.210 or 0004.211 or 0004.212 or 0004.220 or 004.2211 or 0004.2212 or 0004.230 or 0014.3; else = 0</w:t>
            </w:r>
          </w:p>
        </w:tc>
        <w:tc>
          <w:tcPr>
            <w:tcW w:w="2340" w:type="dxa"/>
            <w:tcBorders>
              <w:top w:val="single" w:sz="4" w:space="0" w:color="auto"/>
              <w:left w:val="nil"/>
              <w:bottom w:val="single" w:sz="4" w:space="0" w:color="auto"/>
              <w:right w:val="single" w:sz="4" w:space="0" w:color="auto"/>
            </w:tcBorders>
            <w:vAlign w:val="bottom"/>
          </w:tcPr>
          <w:p w14:paraId="1BC237A2" w14:textId="3E0E11A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-19.1942</w:t>
            </w:r>
          </w:p>
        </w:tc>
      </w:tr>
      <w:tr w:rsidR="00F50A37" w:rsidRPr="004C7C89" w14:paraId="24399FC3" w14:textId="77777777" w:rsidTr="00E94725">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2F4E801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nil"/>
              <w:left w:val="nil"/>
              <w:bottom w:val="single" w:sz="4" w:space="0" w:color="auto"/>
              <w:right w:val="single" w:sz="4" w:space="0" w:color="auto"/>
            </w:tcBorders>
            <w:vAlign w:val="bottom"/>
          </w:tcPr>
          <w:p w14:paraId="7193B90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Progressive Neurological Conditions</w:t>
            </w:r>
          </w:p>
        </w:tc>
        <w:tc>
          <w:tcPr>
            <w:tcW w:w="3420" w:type="dxa"/>
            <w:tcBorders>
              <w:top w:val="nil"/>
              <w:left w:val="nil"/>
              <w:bottom w:val="single" w:sz="4" w:space="0" w:color="auto"/>
              <w:right w:val="single" w:sz="4" w:space="0" w:color="auto"/>
            </w:tcBorders>
            <w:vAlign w:val="bottom"/>
          </w:tcPr>
          <w:p w14:paraId="4B2F46B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0003.1 or 0003.2; else = 0</w:t>
            </w:r>
          </w:p>
        </w:tc>
        <w:tc>
          <w:tcPr>
            <w:tcW w:w="2340" w:type="dxa"/>
            <w:tcBorders>
              <w:top w:val="nil"/>
              <w:left w:val="nil"/>
              <w:bottom w:val="single" w:sz="4" w:space="0" w:color="auto"/>
              <w:right w:val="single" w:sz="4" w:space="0" w:color="auto"/>
            </w:tcBorders>
            <w:vAlign w:val="bottom"/>
          </w:tcPr>
          <w:p w14:paraId="6FB8EBC4" w14:textId="3CC87DF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-13.9890</w:t>
            </w:r>
          </w:p>
        </w:tc>
      </w:tr>
      <w:tr w:rsidR="00F50A37" w:rsidRPr="004C7C89" w14:paraId="0336654B" w14:textId="77777777" w:rsidTr="00E94725">
        <w:trPr>
          <w:cantSplit/>
        </w:trPr>
        <w:tc>
          <w:tcPr>
            <w:tcW w:w="1975" w:type="dxa"/>
            <w:tcBorders>
              <w:top w:val="nil"/>
              <w:left w:val="single" w:sz="4" w:space="0" w:color="auto"/>
              <w:bottom w:val="single" w:sz="4" w:space="0" w:color="auto"/>
              <w:right w:val="single" w:sz="4" w:space="0" w:color="auto"/>
            </w:tcBorders>
            <w:shd w:val="clear" w:color="auto" w:fill="FFFFFF"/>
            <w:vAlign w:val="bottom"/>
          </w:tcPr>
          <w:p w14:paraId="51B2C27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nil"/>
              <w:left w:val="nil"/>
              <w:bottom w:val="single" w:sz="4" w:space="0" w:color="auto"/>
              <w:right w:val="single" w:sz="4" w:space="0" w:color="auto"/>
            </w:tcBorders>
            <w:vAlign w:val="bottom"/>
          </w:tcPr>
          <w:p w14:paraId="51DC66FD"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Neurological Conditions</w:t>
            </w:r>
          </w:p>
        </w:tc>
        <w:tc>
          <w:tcPr>
            <w:tcW w:w="3420" w:type="dxa"/>
            <w:tcBorders>
              <w:top w:val="nil"/>
              <w:left w:val="nil"/>
              <w:bottom w:val="single" w:sz="4" w:space="0" w:color="auto"/>
              <w:right w:val="single" w:sz="4" w:space="0" w:color="auto"/>
            </w:tcBorders>
            <w:vAlign w:val="bottom"/>
          </w:tcPr>
          <w:p w14:paraId="0F67E47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0003.3 or 0003.4 or 0003.5 or 0003.8 or 0003.9; else = 0</w:t>
            </w:r>
          </w:p>
        </w:tc>
        <w:tc>
          <w:tcPr>
            <w:tcW w:w="2340" w:type="dxa"/>
            <w:tcBorders>
              <w:top w:val="nil"/>
              <w:left w:val="nil"/>
              <w:bottom w:val="single" w:sz="4" w:space="0" w:color="auto"/>
              <w:right w:val="single" w:sz="4" w:space="0" w:color="auto"/>
            </w:tcBorders>
            <w:vAlign w:val="bottom"/>
          </w:tcPr>
          <w:p w14:paraId="1FB52418" w14:textId="7295A3C7"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-12.1751</w:t>
            </w:r>
          </w:p>
        </w:tc>
      </w:tr>
      <w:tr w:rsidR="00F50A37" w:rsidRPr="004C7C89" w14:paraId="52EE7D5D"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8D8A70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0A8D1EB4"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Fractures and Other Multiple Trauma</w:t>
            </w:r>
          </w:p>
        </w:tc>
        <w:tc>
          <w:tcPr>
            <w:tcW w:w="3420" w:type="dxa"/>
            <w:tcBorders>
              <w:top w:val="single" w:sz="4" w:space="0" w:color="auto"/>
              <w:left w:val="nil"/>
              <w:bottom w:val="single" w:sz="4" w:space="0" w:color="auto"/>
              <w:right w:val="single" w:sz="4" w:space="0" w:color="auto"/>
            </w:tcBorders>
            <w:vAlign w:val="bottom"/>
          </w:tcPr>
          <w:p w14:paraId="62DF915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0008.11 or 0008.12 or 0008.2 or 0008.3 or 0008.4 or 0014.9; else = 0</w:t>
            </w:r>
          </w:p>
        </w:tc>
        <w:tc>
          <w:tcPr>
            <w:tcW w:w="2340" w:type="dxa"/>
            <w:tcBorders>
              <w:top w:val="single" w:sz="4" w:space="0" w:color="auto"/>
              <w:left w:val="nil"/>
              <w:bottom w:val="single" w:sz="4" w:space="0" w:color="auto"/>
              <w:right w:val="single" w:sz="4" w:space="0" w:color="auto"/>
            </w:tcBorders>
            <w:vAlign w:val="bottom"/>
          </w:tcPr>
          <w:p w14:paraId="35D8A2E8" w14:textId="71B8FFD4"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-10.9297</w:t>
            </w:r>
          </w:p>
        </w:tc>
      </w:tr>
      <w:tr w:rsidR="00F50A37" w:rsidRPr="004C7C89" w14:paraId="1460392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24C45E2"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6321B48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Amputation</w:t>
            </w:r>
          </w:p>
        </w:tc>
        <w:tc>
          <w:tcPr>
            <w:tcW w:w="3420" w:type="dxa"/>
            <w:tcBorders>
              <w:top w:val="single" w:sz="4" w:space="0" w:color="auto"/>
              <w:left w:val="nil"/>
              <w:bottom w:val="single" w:sz="4" w:space="0" w:color="auto"/>
              <w:right w:val="single" w:sz="4" w:space="0" w:color="auto"/>
            </w:tcBorders>
            <w:vAlign w:val="bottom"/>
          </w:tcPr>
          <w:p w14:paraId="1F18BA67"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0005.1 or 0005.2 or 0005.3 or 0005.4 or 0005.5 or 0005.6 or 0005.7 or 0005.9; else = 0</w:t>
            </w:r>
          </w:p>
        </w:tc>
        <w:tc>
          <w:tcPr>
            <w:tcW w:w="2340" w:type="dxa"/>
            <w:tcBorders>
              <w:top w:val="single" w:sz="4" w:space="0" w:color="auto"/>
              <w:left w:val="nil"/>
              <w:bottom w:val="single" w:sz="4" w:space="0" w:color="auto"/>
              <w:right w:val="single" w:sz="4" w:space="0" w:color="auto"/>
            </w:tcBorders>
            <w:vAlign w:val="bottom"/>
          </w:tcPr>
          <w:p w14:paraId="12B3BCD7" w14:textId="613B4FA4"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-18.0956</w:t>
            </w:r>
          </w:p>
        </w:tc>
      </w:tr>
      <w:tr w:rsidR="00F50A37" w:rsidRPr="004C7C89" w14:paraId="6FEA52FB"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A7D7E1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4B5AE19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Other Orthopedic Conditions</w:t>
            </w:r>
          </w:p>
        </w:tc>
        <w:tc>
          <w:tcPr>
            <w:tcW w:w="3420" w:type="dxa"/>
            <w:tcBorders>
              <w:top w:val="single" w:sz="4" w:space="0" w:color="auto"/>
              <w:left w:val="nil"/>
              <w:bottom w:val="single" w:sz="4" w:space="0" w:color="auto"/>
              <w:right w:val="single" w:sz="4" w:space="0" w:color="auto"/>
            </w:tcBorders>
            <w:vAlign w:val="bottom"/>
          </w:tcPr>
          <w:p w14:paraId="788C4DC4"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0006.1 or 0006.2 or 0006.9 or 0007.1 or 0007.2 or 0007.3 or 0007.9 or 0008.9; else = 0</w:t>
            </w:r>
          </w:p>
        </w:tc>
        <w:tc>
          <w:tcPr>
            <w:tcW w:w="2340" w:type="dxa"/>
            <w:tcBorders>
              <w:top w:val="single" w:sz="4" w:space="0" w:color="auto"/>
              <w:left w:val="nil"/>
              <w:bottom w:val="single" w:sz="4" w:space="0" w:color="auto"/>
              <w:right w:val="single" w:sz="4" w:space="0" w:color="auto"/>
            </w:tcBorders>
            <w:vAlign w:val="bottom"/>
          </w:tcPr>
          <w:p w14:paraId="39904D18" w14:textId="3B6B288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-12.7626</w:t>
            </w:r>
          </w:p>
        </w:tc>
      </w:tr>
      <w:tr w:rsidR="00F50A37" w:rsidRPr="004C7C89" w14:paraId="4E23737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B7E490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06C4E72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Debility, Cardiorespiratory Conditions</w:t>
            </w:r>
          </w:p>
        </w:tc>
        <w:tc>
          <w:tcPr>
            <w:tcW w:w="3420" w:type="dxa"/>
            <w:tcBorders>
              <w:top w:val="single" w:sz="4" w:space="0" w:color="auto"/>
              <w:left w:val="nil"/>
              <w:bottom w:val="single" w:sz="4" w:space="0" w:color="auto"/>
              <w:right w:val="single" w:sz="4" w:space="0" w:color="auto"/>
            </w:tcBorders>
            <w:vAlign w:val="bottom"/>
          </w:tcPr>
          <w:p w14:paraId="4AE50AA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0009 or 0010.1 or 0010.9 or 0016 or 0017.4 or 0017.51 or 0017.52; else = 0</w:t>
            </w:r>
          </w:p>
        </w:tc>
        <w:tc>
          <w:tcPr>
            <w:tcW w:w="2340" w:type="dxa"/>
            <w:tcBorders>
              <w:top w:val="single" w:sz="4" w:space="0" w:color="auto"/>
              <w:left w:val="nil"/>
              <w:bottom w:val="single" w:sz="4" w:space="0" w:color="auto"/>
              <w:right w:val="single" w:sz="4" w:space="0" w:color="auto"/>
            </w:tcBorders>
            <w:vAlign w:val="bottom"/>
          </w:tcPr>
          <w:p w14:paraId="4FD58A32" w14:textId="18FDEC94"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-12.0697</w:t>
            </w:r>
          </w:p>
        </w:tc>
      </w:tr>
      <w:tr w:rsidR="00F50A37" w:rsidRPr="004C7C89" w14:paraId="54BCC6F1"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112354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Primary Diagnosis Group</w:t>
            </w:r>
          </w:p>
        </w:tc>
        <w:tc>
          <w:tcPr>
            <w:tcW w:w="2160" w:type="dxa"/>
            <w:tcBorders>
              <w:top w:val="single" w:sz="4" w:space="0" w:color="auto"/>
              <w:left w:val="nil"/>
              <w:bottom w:val="single" w:sz="4" w:space="0" w:color="auto"/>
              <w:right w:val="single" w:sz="4" w:space="0" w:color="auto"/>
            </w:tcBorders>
            <w:vAlign w:val="bottom"/>
          </w:tcPr>
          <w:p w14:paraId="7293182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Medically Complex Conditions</w:t>
            </w:r>
          </w:p>
        </w:tc>
        <w:tc>
          <w:tcPr>
            <w:tcW w:w="3420" w:type="dxa"/>
            <w:tcBorders>
              <w:top w:val="single" w:sz="4" w:space="0" w:color="auto"/>
              <w:left w:val="nil"/>
              <w:bottom w:val="single" w:sz="4" w:space="0" w:color="auto"/>
              <w:right w:val="single" w:sz="4" w:space="0" w:color="auto"/>
            </w:tcBorders>
            <w:vAlign w:val="bottom"/>
          </w:tcPr>
          <w:p w14:paraId="101323F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1 if Item 21A = 0011 or 0012.1 or 0012.9 or 0013 or 0015 or 0017.1 or 0017.2 or 0017.31 or 0017.32 or 0017.6 or 0017.7 or 0017.8 or 0017.9; else = 0</w:t>
            </w:r>
          </w:p>
        </w:tc>
        <w:tc>
          <w:tcPr>
            <w:tcW w:w="2340" w:type="dxa"/>
            <w:tcBorders>
              <w:top w:val="single" w:sz="4" w:space="0" w:color="auto"/>
              <w:left w:val="nil"/>
              <w:bottom w:val="single" w:sz="4" w:space="0" w:color="auto"/>
              <w:right w:val="single" w:sz="4" w:space="0" w:color="auto"/>
            </w:tcBorders>
            <w:vAlign w:val="bottom"/>
          </w:tcPr>
          <w:p w14:paraId="49581F7C" w14:textId="6069AC1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-12.7777</w:t>
            </w:r>
          </w:p>
        </w:tc>
      </w:tr>
      <w:tr w:rsidR="00F50A37" w:rsidRPr="004C7C89" w14:paraId="6638C8DD"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928DECB"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5FF80A6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Stroke</w:t>
            </w:r>
          </w:p>
        </w:tc>
        <w:tc>
          <w:tcPr>
            <w:tcW w:w="3420" w:type="dxa"/>
            <w:tcBorders>
              <w:top w:val="single" w:sz="4" w:space="0" w:color="auto"/>
              <w:left w:val="nil"/>
              <w:bottom w:val="single" w:sz="4" w:space="0" w:color="auto"/>
              <w:right w:val="single" w:sz="4" w:space="0" w:color="auto"/>
            </w:tcBorders>
          </w:tcPr>
          <w:p w14:paraId="49B31603"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Stroke (see above)</w:t>
            </w:r>
          </w:p>
        </w:tc>
        <w:tc>
          <w:tcPr>
            <w:tcW w:w="2340" w:type="dxa"/>
            <w:tcBorders>
              <w:top w:val="single" w:sz="4" w:space="0" w:color="auto"/>
              <w:left w:val="nil"/>
              <w:bottom w:val="single" w:sz="4" w:space="0" w:color="auto"/>
              <w:right w:val="single" w:sz="4" w:space="0" w:color="auto"/>
            </w:tcBorders>
            <w:vAlign w:val="bottom"/>
          </w:tcPr>
          <w:p w14:paraId="766044B5" w14:textId="50FB4B97"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0.3699</w:t>
            </w:r>
          </w:p>
        </w:tc>
      </w:tr>
      <w:tr w:rsidR="00F50A37" w:rsidRPr="004C7C89" w14:paraId="2CA8440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B7EC2E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3907814A"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Non-Traumatic Brain Dysfunction</w:t>
            </w:r>
          </w:p>
        </w:tc>
        <w:tc>
          <w:tcPr>
            <w:tcW w:w="3420" w:type="dxa"/>
            <w:tcBorders>
              <w:top w:val="single" w:sz="4" w:space="0" w:color="auto"/>
              <w:left w:val="nil"/>
              <w:bottom w:val="single" w:sz="4" w:space="0" w:color="auto"/>
              <w:right w:val="single" w:sz="4" w:space="0" w:color="auto"/>
            </w:tcBorders>
          </w:tcPr>
          <w:p w14:paraId="6FF7D34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Non-Traumatic Brain Dysfunction (see above)</w:t>
            </w:r>
          </w:p>
        </w:tc>
        <w:tc>
          <w:tcPr>
            <w:tcW w:w="2340" w:type="dxa"/>
            <w:tcBorders>
              <w:top w:val="single" w:sz="4" w:space="0" w:color="auto"/>
              <w:left w:val="nil"/>
              <w:bottom w:val="single" w:sz="4" w:space="0" w:color="auto"/>
              <w:right w:val="single" w:sz="4" w:space="0" w:color="auto"/>
            </w:tcBorders>
            <w:vAlign w:val="bottom"/>
          </w:tcPr>
          <w:p w14:paraId="1170BA50" w14:textId="538FAEE7"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0.1953</w:t>
            </w:r>
          </w:p>
        </w:tc>
      </w:tr>
      <w:tr w:rsidR="00F50A37" w:rsidRPr="004C7C89" w14:paraId="31C820E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4E46F738"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lastRenderedPageBreak/>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1386F30B"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Traumatic Brain Dysfunction</w:t>
            </w:r>
          </w:p>
        </w:tc>
        <w:tc>
          <w:tcPr>
            <w:tcW w:w="3420" w:type="dxa"/>
            <w:tcBorders>
              <w:top w:val="single" w:sz="4" w:space="0" w:color="auto"/>
              <w:left w:val="nil"/>
              <w:bottom w:val="single" w:sz="4" w:space="0" w:color="auto"/>
              <w:right w:val="single" w:sz="4" w:space="0" w:color="auto"/>
            </w:tcBorders>
          </w:tcPr>
          <w:p w14:paraId="3B269C5A"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Traumatic Brain Dysfunction (see above)</w:t>
            </w:r>
          </w:p>
        </w:tc>
        <w:tc>
          <w:tcPr>
            <w:tcW w:w="2340" w:type="dxa"/>
            <w:tcBorders>
              <w:top w:val="single" w:sz="4" w:space="0" w:color="auto"/>
              <w:left w:val="nil"/>
              <w:bottom w:val="single" w:sz="4" w:space="0" w:color="auto"/>
              <w:right w:val="single" w:sz="4" w:space="0" w:color="auto"/>
            </w:tcBorders>
            <w:vAlign w:val="bottom"/>
          </w:tcPr>
          <w:p w14:paraId="5348FABE" w14:textId="4A35C5F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0.1291</w:t>
            </w:r>
          </w:p>
        </w:tc>
      </w:tr>
      <w:tr w:rsidR="00F50A37" w:rsidRPr="004C7C89" w14:paraId="1CC28790"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5A2AACF"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2C7FBB3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Non-Traumatic Spinal Cord Dysfunction</w:t>
            </w:r>
          </w:p>
        </w:tc>
        <w:tc>
          <w:tcPr>
            <w:tcW w:w="3420" w:type="dxa"/>
            <w:tcBorders>
              <w:top w:val="single" w:sz="4" w:space="0" w:color="auto"/>
              <w:left w:val="nil"/>
              <w:bottom w:val="single" w:sz="4" w:space="0" w:color="auto"/>
              <w:right w:val="single" w:sz="4" w:space="0" w:color="auto"/>
            </w:tcBorders>
          </w:tcPr>
          <w:p w14:paraId="3B3D012C"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Non-Traumatic Spinal Cord Dysfunction (see above)</w:t>
            </w:r>
          </w:p>
        </w:tc>
        <w:tc>
          <w:tcPr>
            <w:tcW w:w="2340" w:type="dxa"/>
            <w:tcBorders>
              <w:top w:val="single" w:sz="4" w:space="0" w:color="auto"/>
              <w:left w:val="nil"/>
              <w:bottom w:val="single" w:sz="4" w:space="0" w:color="auto"/>
              <w:right w:val="single" w:sz="4" w:space="0" w:color="auto"/>
            </w:tcBorders>
            <w:vAlign w:val="bottom"/>
          </w:tcPr>
          <w:p w14:paraId="2E62BB91" w14:textId="0BF8336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0.2475</w:t>
            </w:r>
          </w:p>
        </w:tc>
      </w:tr>
      <w:tr w:rsidR="00F50A37" w:rsidRPr="004C7C89" w14:paraId="71980CE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6DD769A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7BFC999B"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Traumatic Spinal Cord Dysfunction</w:t>
            </w:r>
          </w:p>
        </w:tc>
        <w:tc>
          <w:tcPr>
            <w:tcW w:w="3420" w:type="dxa"/>
            <w:tcBorders>
              <w:top w:val="single" w:sz="4" w:space="0" w:color="auto"/>
              <w:left w:val="nil"/>
              <w:bottom w:val="single" w:sz="4" w:space="0" w:color="auto"/>
              <w:right w:val="single" w:sz="4" w:space="0" w:color="auto"/>
            </w:tcBorders>
          </w:tcPr>
          <w:p w14:paraId="249DD83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Traumatic Spinal Cord Dysfunction (see above)</w:t>
            </w:r>
          </w:p>
        </w:tc>
        <w:tc>
          <w:tcPr>
            <w:tcW w:w="2340" w:type="dxa"/>
            <w:tcBorders>
              <w:top w:val="single" w:sz="4" w:space="0" w:color="auto"/>
              <w:left w:val="nil"/>
              <w:bottom w:val="single" w:sz="4" w:space="0" w:color="auto"/>
              <w:right w:val="single" w:sz="4" w:space="0" w:color="auto"/>
            </w:tcBorders>
            <w:vAlign w:val="bottom"/>
          </w:tcPr>
          <w:p w14:paraId="567C1755" w14:textId="4BD7CEE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0.3625</w:t>
            </w:r>
          </w:p>
        </w:tc>
      </w:tr>
      <w:tr w:rsidR="00F50A37" w:rsidRPr="004C7C89" w14:paraId="3A2D8C7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7134629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01B654BB"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Progressive Neurological Conditions</w:t>
            </w:r>
          </w:p>
        </w:tc>
        <w:tc>
          <w:tcPr>
            <w:tcW w:w="3420" w:type="dxa"/>
            <w:tcBorders>
              <w:top w:val="single" w:sz="4" w:space="0" w:color="auto"/>
              <w:left w:val="nil"/>
              <w:bottom w:val="single" w:sz="4" w:space="0" w:color="auto"/>
              <w:right w:val="single" w:sz="4" w:space="0" w:color="auto"/>
            </w:tcBorders>
          </w:tcPr>
          <w:p w14:paraId="4ADD4DBE"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Progressive Neurological Conditions (see above)</w:t>
            </w:r>
          </w:p>
        </w:tc>
        <w:tc>
          <w:tcPr>
            <w:tcW w:w="2340" w:type="dxa"/>
            <w:tcBorders>
              <w:top w:val="single" w:sz="4" w:space="0" w:color="auto"/>
              <w:left w:val="nil"/>
              <w:bottom w:val="single" w:sz="4" w:space="0" w:color="auto"/>
              <w:right w:val="single" w:sz="4" w:space="0" w:color="auto"/>
            </w:tcBorders>
            <w:vAlign w:val="bottom"/>
          </w:tcPr>
          <w:p w14:paraId="26FC5AA1" w14:textId="312861E2"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0.2007</w:t>
            </w:r>
          </w:p>
        </w:tc>
      </w:tr>
      <w:tr w:rsidR="00F50A37" w:rsidRPr="004C7C89" w14:paraId="093CE7C0"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0733B28"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5FB1134B"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Other Neurological Conditions</w:t>
            </w:r>
          </w:p>
        </w:tc>
        <w:tc>
          <w:tcPr>
            <w:tcW w:w="3420" w:type="dxa"/>
            <w:tcBorders>
              <w:top w:val="single" w:sz="4" w:space="0" w:color="auto"/>
              <w:left w:val="nil"/>
              <w:bottom w:val="single" w:sz="4" w:space="0" w:color="auto"/>
              <w:right w:val="single" w:sz="4" w:space="0" w:color="auto"/>
            </w:tcBorders>
          </w:tcPr>
          <w:p w14:paraId="273E131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Other Neurological Conditions (see above)</w:t>
            </w:r>
          </w:p>
        </w:tc>
        <w:tc>
          <w:tcPr>
            <w:tcW w:w="2340" w:type="dxa"/>
            <w:tcBorders>
              <w:top w:val="single" w:sz="4" w:space="0" w:color="auto"/>
              <w:left w:val="nil"/>
              <w:bottom w:val="single" w:sz="4" w:space="0" w:color="auto"/>
              <w:right w:val="single" w:sz="4" w:space="0" w:color="auto"/>
            </w:tcBorders>
            <w:vAlign w:val="bottom"/>
          </w:tcPr>
          <w:p w14:paraId="136E4AEB" w14:textId="753FF44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0.2438</w:t>
            </w:r>
          </w:p>
        </w:tc>
      </w:tr>
      <w:tr w:rsidR="00F50A37" w:rsidRPr="004C7C89" w14:paraId="6EB4057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0936415"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3173170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Fractures and Other Multiple Trauma</w:t>
            </w:r>
          </w:p>
        </w:tc>
        <w:tc>
          <w:tcPr>
            <w:tcW w:w="3420" w:type="dxa"/>
            <w:tcBorders>
              <w:top w:val="single" w:sz="4" w:space="0" w:color="auto"/>
              <w:left w:val="nil"/>
              <w:bottom w:val="single" w:sz="4" w:space="0" w:color="auto"/>
              <w:right w:val="single" w:sz="4" w:space="0" w:color="auto"/>
            </w:tcBorders>
          </w:tcPr>
          <w:p w14:paraId="27463CA2"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Fractures and Other Multiple Trauma (see above)</w:t>
            </w:r>
          </w:p>
        </w:tc>
        <w:tc>
          <w:tcPr>
            <w:tcW w:w="2340" w:type="dxa"/>
            <w:tcBorders>
              <w:top w:val="single" w:sz="4" w:space="0" w:color="auto"/>
              <w:left w:val="nil"/>
              <w:bottom w:val="single" w:sz="4" w:space="0" w:color="auto"/>
              <w:right w:val="single" w:sz="4" w:space="0" w:color="auto"/>
            </w:tcBorders>
            <w:vAlign w:val="bottom"/>
          </w:tcPr>
          <w:p w14:paraId="4C90EBD4" w14:textId="318AB46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0.1736</w:t>
            </w:r>
          </w:p>
        </w:tc>
      </w:tr>
      <w:tr w:rsidR="00F50A37" w:rsidRPr="004C7C89" w14:paraId="6CB95FD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B424F25"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09E2F8D0"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Amputation</w:t>
            </w:r>
          </w:p>
        </w:tc>
        <w:tc>
          <w:tcPr>
            <w:tcW w:w="3420" w:type="dxa"/>
            <w:tcBorders>
              <w:top w:val="single" w:sz="4" w:space="0" w:color="auto"/>
              <w:left w:val="nil"/>
              <w:bottom w:val="single" w:sz="4" w:space="0" w:color="auto"/>
              <w:right w:val="single" w:sz="4" w:space="0" w:color="auto"/>
            </w:tcBorders>
          </w:tcPr>
          <w:p w14:paraId="63700A25"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Amputation (see above)</w:t>
            </w:r>
          </w:p>
        </w:tc>
        <w:tc>
          <w:tcPr>
            <w:tcW w:w="2340" w:type="dxa"/>
            <w:tcBorders>
              <w:top w:val="single" w:sz="4" w:space="0" w:color="auto"/>
              <w:left w:val="nil"/>
              <w:bottom w:val="single" w:sz="4" w:space="0" w:color="auto"/>
              <w:right w:val="single" w:sz="4" w:space="0" w:color="auto"/>
            </w:tcBorders>
            <w:vAlign w:val="bottom"/>
          </w:tcPr>
          <w:p w14:paraId="5C420B53" w14:textId="31371228"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0.1188</w:t>
            </w:r>
          </w:p>
        </w:tc>
      </w:tr>
      <w:tr w:rsidR="00F50A37" w:rsidRPr="004C7C89" w14:paraId="764516D1"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E9EC281"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4B988B08"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Other Orthopedic Conditions</w:t>
            </w:r>
          </w:p>
        </w:tc>
        <w:tc>
          <w:tcPr>
            <w:tcW w:w="3420" w:type="dxa"/>
            <w:tcBorders>
              <w:top w:val="single" w:sz="4" w:space="0" w:color="auto"/>
              <w:left w:val="nil"/>
              <w:bottom w:val="single" w:sz="4" w:space="0" w:color="auto"/>
              <w:right w:val="single" w:sz="4" w:space="0" w:color="auto"/>
            </w:tcBorders>
          </w:tcPr>
          <w:p w14:paraId="361A8647"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Other Orthopedic Conditions (see above)</w:t>
            </w:r>
          </w:p>
        </w:tc>
        <w:tc>
          <w:tcPr>
            <w:tcW w:w="2340" w:type="dxa"/>
            <w:tcBorders>
              <w:top w:val="single" w:sz="4" w:space="0" w:color="auto"/>
              <w:left w:val="nil"/>
              <w:bottom w:val="single" w:sz="4" w:space="0" w:color="auto"/>
              <w:right w:val="single" w:sz="4" w:space="0" w:color="auto"/>
            </w:tcBorders>
            <w:vAlign w:val="bottom"/>
          </w:tcPr>
          <w:p w14:paraId="329E1980" w14:textId="28C05A5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0.2086</w:t>
            </w:r>
          </w:p>
        </w:tc>
      </w:tr>
      <w:tr w:rsidR="00F50A37" w:rsidRPr="004C7C89" w14:paraId="0D9195E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3894F87"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55BCD4C5"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Debility, Cardiorespiratory Conditions</w:t>
            </w:r>
          </w:p>
        </w:tc>
        <w:tc>
          <w:tcPr>
            <w:tcW w:w="3420" w:type="dxa"/>
            <w:tcBorders>
              <w:top w:val="single" w:sz="4" w:space="0" w:color="auto"/>
              <w:left w:val="nil"/>
              <w:bottom w:val="single" w:sz="4" w:space="0" w:color="auto"/>
              <w:right w:val="single" w:sz="4" w:space="0" w:color="auto"/>
            </w:tcBorders>
          </w:tcPr>
          <w:p w14:paraId="483B6487"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Debility, Cardiorespiratory Conditions (see above)</w:t>
            </w:r>
          </w:p>
        </w:tc>
        <w:tc>
          <w:tcPr>
            <w:tcW w:w="2340" w:type="dxa"/>
            <w:tcBorders>
              <w:top w:val="single" w:sz="4" w:space="0" w:color="auto"/>
              <w:left w:val="nil"/>
              <w:bottom w:val="single" w:sz="4" w:space="0" w:color="auto"/>
              <w:right w:val="single" w:sz="4" w:space="0" w:color="auto"/>
            </w:tcBorders>
            <w:vAlign w:val="bottom"/>
          </w:tcPr>
          <w:p w14:paraId="298C7C84" w14:textId="7657160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0.2188</w:t>
            </w:r>
          </w:p>
        </w:tc>
      </w:tr>
      <w:tr w:rsidR="00F50A37" w:rsidRPr="004C7C89" w14:paraId="5C678EC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5301FAD"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Interaction of admission mobility score and primary diagnosis group</w:t>
            </w:r>
          </w:p>
        </w:tc>
        <w:tc>
          <w:tcPr>
            <w:tcW w:w="2160" w:type="dxa"/>
            <w:tcBorders>
              <w:top w:val="single" w:sz="4" w:space="0" w:color="auto"/>
              <w:left w:val="nil"/>
              <w:bottom w:val="single" w:sz="4" w:space="0" w:color="auto"/>
              <w:right w:val="single" w:sz="4" w:space="0" w:color="auto"/>
            </w:tcBorders>
          </w:tcPr>
          <w:p w14:paraId="423BED24"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Medically Complex Conditions</w:t>
            </w:r>
          </w:p>
        </w:tc>
        <w:tc>
          <w:tcPr>
            <w:tcW w:w="3420" w:type="dxa"/>
            <w:tcBorders>
              <w:top w:val="single" w:sz="4" w:space="0" w:color="auto"/>
              <w:left w:val="nil"/>
              <w:bottom w:val="single" w:sz="4" w:space="0" w:color="auto"/>
              <w:right w:val="single" w:sz="4" w:space="0" w:color="auto"/>
            </w:tcBorders>
          </w:tcPr>
          <w:p w14:paraId="100547E3" w14:textId="77777777" w:rsidR="00F50A37" w:rsidRPr="004C7C89" w:rsidRDefault="00F50A37" w:rsidP="00F50A37">
            <w:pPr>
              <w:pStyle w:val="TableText"/>
              <w:rPr>
                <w:rFonts w:asciiTheme="minorHAnsi" w:hAnsiTheme="minorHAnsi" w:cstheme="minorHAnsi"/>
                <w:color w:val="0000FF"/>
                <w:sz w:val="20"/>
                <w:szCs w:val="22"/>
              </w:rPr>
            </w:pPr>
            <w:r w:rsidRPr="000264A2">
              <w:rPr>
                <w:rFonts w:asciiTheme="minorHAnsi" w:hAnsiTheme="minorHAnsi" w:cstheme="minorHAnsi"/>
                <w:color w:val="0000FF"/>
                <w:sz w:val="20"/>
                <w:szCs w:val="22"/>
              </w:rPr>
              <w:t>Admission mobility: continuous form (see above) multiplied by Primary diagnosis: Medically Complex Conditions (see above)</w:t>
            </w:r>
          </w:p>
        </w:tc>
        <w:tc>
          <w:tcPr>
            <w:tcW w:w="2340" w:type="dxa"/>
            <w:tcBorders>
              <w:top w:val="single" w:sz="4" w:space="0" w:color="auto"/>
              <w:left w:val="nil"/>
              <w:bottom w:val="single" w:sz="4" w:space="0" w:color="auto"/>
              <w:right w:val="single" w:sz="4" w:space="0" w:color="auto"/>
            </w:tcBorders>
            <w:vAlign w:val="bottom"/>
          </w:tcPr>
          <w:p w14:paraId="35A37FB8" w14:textId="05F4AA2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0.2214</w:t>
            </w:r>
          </w:p>
        </w:tc>
      </w:tr>
      <w:tr w:rsidR="00F50A37" w:rsidRPr="004C7C89" w14:paraId="29E75B2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BDD7FCD"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surgery</w:t>
            </w:r>
          </w:p>
        </w:tc>
        <w:tc>
          <w:tcPr>
            <w:tcW w:w="2160" w:type="dxa"/>
            <w:tcBorders>
              <w:top w:val="single" w:sz="4" w:space="0" w:color="auto"/>
              <w:left w:val="nil"/>
              <w:bottom w:val="single" w:sz="4" w:space="0" w:color="auto"/>
              <w:right w:val="single" w:sz="4" w:space="0" w:color="auto"/>
            </w:tcBorders>
            <w:vAlign w:val="bottom"/>
          </w:tcPr>
          <w:p w14:paraId="4B7C999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Surgical</w:t>
            </w:r>
          </w:p>
        </w:tc>
        <w:tc>
          <w:tcPr>
            <w:tcW w:w="3420" w:type="dxa"/>
            <w:tcBorders>
              <w:top w:val="single" w:sz="4" w:space="0" w:color="auto"/>
              <w:left w:val="nil"/>
              <w:bottom w:val="single" w:sz="4" w:space="0" w:color="auto"/>
              <w:right w:val="single" w:sz="4" w:space="0" w:color="auto"/>
            </w:tcBorders>
            <w:vAlign w:val="bottom"/>
          </w:tcPr>
          <w:p w14:paraId="061CFF97"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J2000 = 1; else = 0</w:t>
            </w:r>
          </w:p>
        </w:tc>
        <w:tc>
          <w:tcPr>
            <w:tcW w:w="2340" w:type="dxa"/>
            <w:tcBorders>
              <w:top w:val="single" w:sz="4" w:space="0" w:color="auto"/>
              <w:left w:val="nil"/>
              <w:bottom w:val="single" w:sz="4" w:space="0" w:color="auto"/>
              <w:right w:val="single" w:sz="4" w:space="0" w:color="auto"/>
            </w:tcBorders>
            <w:vAlign w:val="bottom"/>
          </w:tcPr>
          <w:p w14:paraId="2185ED25" w14:textId="1630D9E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0.4752</w:t>
            </w:r>
          </w:p>
        </w:tc>
      </w:tr>
      <w:tr w:rsidR="00F50A37" w:rsidRPr="004C7C89" w14:paraId="23002AB1"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BA03E7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Prior functioning: indoor ambulation</w:t>
            </w:r>
            <w:r>
              <w:rPr>
                <w:rFonts w:asciiTheme="minorHAnsi" w:hAnsiTheme="minorHAnsi" w:cstheme="minorHAnsi"/>
                <w:color w:val="0000FF"/>
                <w:sz w:val="20"/>
                <w:szCs w:val="22"/>
              </w:rPr>
              <w:t xml:space="preserve"> </w:t>
            </w:r>
            <w:r w:rsidRPr="0044180F">
              <w:rPr>
                <w:rFonts w:asciiTheme="minorHAnsi" w:hAnsiTheme="minorHAnsi" w:cstheme="minorHAnsi"/>
                <w:color w:val="0000FF"/>
                <w:sz w:val="20"/>
                <w:szCs w:val="22"/>
              </w:rPr>
              <w:t>(dependent only)</w:t>
            </w:r>
          </w:p>
        </w:tc>
        <w:tc>
          <w:tcPr>
            <w:tcW w:w="2160" w:type="dxa"/>
            <w:tcBorders>
              <w:top w:val="single" w:sz="4" w:space="0" w:color="auto"/>
              <w:left w:val="nil"/>
              <w:bottom w:val="single" w:sz="4" w:space="0" w:color="auto"/>
              <w:right w:val="single" w:sz="4" w:space="0" w:color="auto"/>
            </w:tcBorders>
          </w:tcPr>
          <w:p w14:paraId="3D89DCA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6CE403E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GG0100B = 1; else = 0</w:t>
            </w:r>
          </w:p>
        </w:tc>
        <w:tc>
          <w:tcPr>
            <w:tcW w:w="2340" w:type="dxa"/>
            <w:tcBorders>
              <w:top w:val="single" w:sz="4" w:space="0" w:color="auto"/>
              <w:left w:val="nil"/>
              <w:bottom w:val="single" w:sz="4" w:space="0" w:color="auto"/>
              <w:right w:val="single" w:sz="4" w:space="0" w:color="auto"/>
            </w:tcBorders>
            <w:vAlign w:val="bottom"/>
          </w:tcPr>
          <w:p w14:paraId="0276CF6D" w14:textId="6B24928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-4.4336</w:t>
            </w:r>
          </w:p>
        </w:tc>
      </w:tr>
      <w:tr w:rsidR="00F50A37" w:rsidRPr="004C7C89" w14:paraId="7073128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5872949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indoor ambulation</w:t>
            </w:r>
            <w:r>
              <w:rPr>
                <w:rFonts w:asciiTheme="minorHAnsi" w:hAnsiTheme="minorHAnsi" w:cstheme="minorHAnsi"/>
                <w:color w:val="0000FF"/>
                <w:sz w:val="20"/>
                <w:szCs w:val="22"/>
              </w:rPr>
              <w:t xml:space="preserve"> </w:t>
            </w:r>
            <w:r w:rsidRPr="0044180F">
              <w:rPr>
                <w:rFonts w:asciiTheme="minorHAnsi" w:hAnsiTheme="minorHAnsi" w:cstheme="minorHAnsi"/>
                <w:color w:val="0000FF"/>
                <w:sz w:val="20"/>
                <w:szCs w:val="22"/>
              </w:rPr>
              <w:t>(some help only)</w:t>
            </w:r>
          </w:p>
        </w:tc>
        <w:tc>
          <w:tcPr>
            <w:tcW w:w="2160" w:type="dxa"/>
            <w:tcBorders>
              <w:top w:val="single" w:sz="4" w:space="0" w:color="auto"/>
              <w:left w:val="nil"/>
              <w:bottom w:val="single" w:sz="4" w:space="0" w:color="auto"/>
              <w:right w:val="single" w:sz="4" w:space="0" w:color="auto"/>
            </w:tcBorders>
          </w:tcPr>
          <w:p w14:paraId="3EBADF2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Some help</w:t>
            </w:r>
          </w:p>
        </w:tc>
        <w:tc>
          <w:tcPr>
            <w:tcW w:w="3420" w:type="dxa"/>
            <w:tcBorders>
              <w:top w:val="single" w:sz="4" w:space="0" w:color="auto"/>
              <w:left w:val="nil"/>
              <w:bottom w:val="single" w:sz="4" w:space="0" w:color="auto"/>
              <w:right w:val="single" w:sz="4" w:space="0" w:color="auto"/>
            </w:tcBorders>
          </w:tcPr>
          <w:p w14:paraId="2210093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GG0100B = 2; else = 0</w:t>
            </w:r>
          </w:p>
        </w:tc>
        <w:tc>
          <w:tcPr>
            <w:tcW w:w="2340" w:type="dxa"/>
            <w:tcBorders>
              <w:top w:val="single" w:sz="4" w:space="0" w:color="auto"/>
              <w:left w:val="nil"/>
              <w:bottom w:val="single" w:sz="4" w:space="0" w:color="auto"/>
              <w:right w:val="single" w:sz="4" w:space="0" w:color="auto"/>
            </w:tcBorders>
            <w:vAlign w:val="bottom"/>
          </w:tcPr>
          <w:p w14:paraId="5C3ECE09" w14:textId="7515A7BE"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-3.1450</w:t>
            </w:r>
          </w:p>
        </w:tc>
      </w:tr>
      <w:tr w:rsidR="00F50A37" w:rsidRPr="004C7C89" w14:paraId="61E8E22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099B788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stair negotiation</w:t>
            </w:r>
          </w:p>
        </w:tc>
        <w:tc>
          <w:tcPr>
            <w:tcW w:w="2160" w:type="dxa"/>
            <w:tcBorders>
              <w:top w:val="single" w:sz="4" w:space="0" w:color="auto"/>
              <w:left w:val="nil"/>
              <w:bottom w:val="single" w:sz="4" w:space="0" w:color="auto"/>
              <w:right w:val="single" w:sz="4" w:space="0" w:color="auto"/>
            </w:tcBorders>
          </w:tcPr>
          <w:p w14:paraId="2C6C7E1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592DC2B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GG0100C = 1; else = 0</w:t>
            </w:r>
          </w:p>
        </w:tc>
        <w:tc>
          <w:tcPr>
            <w:tcW w:w="2340" w:type="dxa"/>
            <w:tcBorders>
              <w:top w:val="single" w:sz="4" w:space="0" w:color="auto"/>
              <w:left w:val="nil"/>
              <w:bottom w:val="single" w:sz="4" w:space="0" w:color="auto"/>
              <w:right w:val="single" w:sz="4" w:space="0" w:color="auto"/>
            </w:tcBorders>
            <w:vAlign w:val="bottom"/>
          </w:tcPr>
          <w:p w14:paraId="4B93030D" w14:textId="5AD1237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-3.0295</w:t>
            </w:r>
          </w:p>
        </w:tc>
      </w:tr>
      <w:tr w:rsidR="00F50A37" w:rsidRPr="004C7C89" w14:paraId="655D6A1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3E383F7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stair negotiation</w:t>
            </w:r>
          </w:p>
        </w:tc>
        <w:tc>
          <w:tcPr>
            <w:tcW w:w="2160" w:type="dxa"/>
            <w:tcBorders>
              <w:top w:val="single" w:sz="4" w:space="0" w:color="auto"/>
              <w:left w:val="nil"/>
              <w:bottom w:val="single" w:sz="4" w:space="0" w:color="auto"/>
              <w:right w:val="single" w:sz="4" w:space="0" w:color="auto"/>
            </w:tcBorders>
          </w:tcPr>
          <w:p w14:paraId="0EE6AD0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Some help</w:t>
            </w:r>
          </w:p>
        </w:tc>
        <w:tc>
          <w:tcPr>
            <w:tcW w:w="3420" w:type="dxa"/>
            <w:tcBorders>
              <w:top w:val="single" w:sz="4" w:space="0" w:color="auto"/>
              <w:left w:val="nil"/>
              <w:bottom w:val="single" w:sz="4" w:space="0" w:color="auto"/>
              <w:right w:val="single" w:sz="4" w:space="0" w:color="auto"/>
            </w:tcBorders>
          </w:tcPr>
          <w:p w14:paraId="4288398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GG0100C = 2; else = 0</w:t>
            </w:r>
          </w:p>
        </w:tc>
        <w:tc>
          <w:tcPr>
            <w:tcW w:w="2340" w:type="dxa"/>
            <w:tcBorders>
              <w:top w:val="single" w:sz="4" w:space="0" w:color="auto"/>
              <w:left w:val="nil"/>
              <w:bottom w:val="single" w:sz="4" w:space="0" w:color="auto"/>
              <w:right w:val="single" w:sz="4" w:space="0" w:color="auto"/>
            </w:tcBorders>
            <w:vAlign w:val="bottom"/>
          </w:tcPr>
          <w:p w14:paraId="7F150B3F" w14:textId="244AD81D"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-1.2775</w:t>
            </w:r>
          </w:p>
        </w:tc>
      </w:tr>
      <w:tr w:rsidR="00F50A37" w:rsidRPr="004C7C89" w14:paraId="407B8D27"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4BBBFE7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Prior functioning: cognition</w:t>
            </w:r>
          </w:p>
        </w:tc>
        <w:tc>
          <w:tcPr>
            <w:tcW w:w="2160" w:type="dxa"/>
            <w:tcBorders>
              <w:top w:val="single" w:sz="4" w:space="0" w:color="auto"/>
              <w:left w:val="nil"/>
              <w:bottom w:val="single" w:sz="4" w:space="0" w:color="auto"/>
              <w:right w:val="single" w:sz="4" w:space="0" w:color="auto"/>
            </w:tcBorders>
          </w:tcPr>
          <w:p w14:paraId="061D528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Dependent</w:t>
            </w:r>
          </w:p>
        </w:tc>
        <w:tc>
          <w:tcPr>
            <w:tcW w:w="3420" w:type="dxa"/>
            <w:tcBorders>
              <w:top w:val="single" w:sz="4" w:space="0" w:color="auto"/>
              <w:left w:val="nil"/>
              <w:bottom w:val="single" w:sz="4" w:space="0" w:color="auto"/>
              <w:right w:val="single" w:sz="4" w:space="0" w:color="auto"/>
            </w:tcBorders>
          </w:tcPr>
          <w:p w14:paraId="2DF4BDB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GG0100D = 1; else = 0</w:t>
            </w:r>
          </w:p>
        </w:tc>
        <w:tc>
          <w:tcPr>
            <w:tcW w:w="2340" w:type="dxa"/>
            <w:tcBorders>
              <w:top w:val="single" w:sz="4" w:space="0" w:color="auto"/>
              <w:left w:val="nil"/>
              <w:bottom w:val="single" w:sz="4" w:space="0" w:color="auto"/>
              <w:right w:val="single" w:sz="4" w:space="0" w:color="auto"/>
            </w:tcBorders>
            <w:vAlign w:val="bottom"/>
          </w:tcPr>
          <w:p w14:paraId="211F1529" w14:textId="66518D6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-2.4905</w:t>
            </w:r>
          </w:p>
        </w:tc>
      </w:tr>
      <w:tr w:rsidR="00F50A37" w:rsidRPr="004C7C89" w14:paraId="03D4155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EE2E10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40E02E9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Walker</w:t>
            </w:r>
          </w:p>
        </w:tc>
        <w:tc>
          <w:tcPr>
            <w:tcW w:w="3420" w:type="dxa"/>
            <w:tcBorders>
              <w:top w:val="single" w:sz="4" w:space="0" w:color="auto"/>
              <w:left w:val="nil"/>
              <w:bottom w:val="single" w:sz="4" w:space="0" w:color="auto"/>
              <w:right w:val="single" w:sz="4" w:space="0" w:color="auto"/>
            </w:tcBorders>
            <w:vAlign w:val="bottom"/>
          </w:tcPr>
          <w:p w14:paraId="736887F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GG0110D = 1; else = 0</w:t>
            </w:r>
          </w:p>
        </w:tc>
        <w:tc>
          <w:tcPr>
            <w:tcW w:w="2340" w:type="dxa"/>
            <w:tcBorders>
              <w:top w:val="single" w:sz="4" w:space="0" w:color="auto"/>
              <w:left w:val="nil"/>
              <w:bottom w:val="single" w:sz="4" w:space="0" w:color="auto"/>
              <w:right w:val="single" w:sz="4" w:space="0" w:color="auto"/>
            </w:tcBorders>
            <w:vAlign w:val="bottom"/>
          </w:tcPr>
          <w:p w14:paraId="0C35B7AD" w14:textId="61A98898"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-0.8478</w:t>
            </w:r>
          </w:p>
        </w:tc>
      </w:tr>
      <w:tr w:rsidR="00F50A37" w:rsidRPr="004C7C89" w14:paraId="2088961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A431B2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7B7630C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Wheelchair/Scooter Full Time/Part Time</w:t>
            </w:r>
          </w:p>
        </w:tc>
        <w:tc>
          <w:tcPr>
            <w:tcW w:w="3420" w:type="dxa"/>
            <w:tcBorders>
              <w:top w:val="single" w:sz="4" w:space="0" w:color="auto"/>
              <w:left w:val="nil"/>
              <w:bottom w:val="single" w:sz="4" w:space="0" w:color="auto"/>
              <w:right w:val="single" w:sz="4" w:space="0" w:color="auto"/>
            </w:tcBorders>
            <w:vAlign w:val="bottom"/>
          </w:tcPr>
          <w:p w14:paraId="003A8C14"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GG0110A = 1 or GG0110B = 1; else = 0</w:t>
            </w:r>
          </w:p>
        </w:tc>
        <w:tc>
          <w:tcPr>
            <w:tcW w:w="2340" w:type="dxa"/>
            <w:tcBorders>
              <w:top w:val="single" w:sz="4" w:space="0" w:color="auto"/>
              <w:left w:val="nil"/>
              <w:bottom w:val="single" w:sz="4" w:space="0" w:color="auto"/>
              <w:right w:val="single" w:sz="4" w:space="0" w:color="auto"/>
            </w:tcBorders>
            <w:vAlign w:val="bottom"/>
          </w:tcPr>
          <w:p w14:paraId="611C94E2" w14:textId="3FEA1E9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-3.3862</w:t>
            </w:r>
          </w:p>
        </w:tc>
      </w:tr>
      <w:tr w:rsidR="00F50A37" w:rsidRPr="004C7C89" w14:paraId="51946C50"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2F2DF7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2A740D1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Mechanical Lift</w:t>
            </w:r>
          </w:p>
        </w:tc>
        <w:tc>
          <w:tcPr>
            <w:tcW w:w="3420" w:type="dxa"/>
            <w:tcBorders>
              <w:top w:val="single" w:sz="4" w:space="0" w:color="auto"/>
              <w:left w:val="nil"/>
              <w:bottom w:val="single" w:sz="4" w:space="0" w:color="auto"/>
              <w:right w:val="single" w:sz="4" w:space="0" w:color="auto"/>
            </w:tcBorders>
            <w:vAlign w:val="bottom"/>
          </w:tcPr>
          <w:p w14:paraId="4127B115"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GG0110C =1; else = 0</w:t>
            </w:r>
          </w:p>
        </w:tc>
        <w:tc>
          <w:tcPr>
            <w:tcW w:w="2340" w:type="dxa"/>
            <w:tcBorders>
              <w:top w:val="single" w:sz="4" w:space="0" w:color="auto"/>
              <w:left w:val="nil"/>
              <w:bottom w:val="single" w:sz="4" w:space="0" w:color="auto"/>
              <w:right w:val="single" w:sz="4" w:space="0" w:color="auto"/>
            </w:tcBorders>
            <w:vAlign w:val="bottom"/>
          </w:tcPr>
          <w:p w14:paraId="2AC1382A" w14:textId="13A35102"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-3.6862</w:t>
            </w:r>
          </w:p>
        </w:tc>
      </w:tr>
      <w:tr w:rsidR="00F50A37" w:rsidRPr="004C7C89" w14:paraId="7635961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60C16B9"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Prior Mobility Device/Aid</w:t>
            </w:r>
          </w:p>
        </w:tc>
        <w:tc>
          <w:tcPr>
            <w:tcW w:w="2160" w:type="dxa"/>
            <w:tcBorders>
              <w:top w:val="single" w:sz="4" w:space="0" w:color="auto"/>
              <w:left w:val="nil"/>
              <w:bottom w:val="single" w:sz="4" w:space="0" w:color="auto"/>
              <w:right w:val="single" w:sz="4" w:space="0" w:color="auto"/>
            </w:tcBorders>
            <w:vAlign w:val="bottom"/>
          </w:tcPr>
          <w:p w14:paraId="58D092F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Orthotics/Prosthetics</w:t>
            </w:r>
          </w:p>
        </w:tc>
        <w:tc>
          <w:tcPr>
            <w:tcW w:w="3420" w:type="dxa"/>
            <w:tcBorders>
              <w:top w:val="single" w:sz="4" w:space="0" w:color="auto"/>
              <w:left w:val="nil"/>
              <w:bottom w:val="single" w:sz="4" w:space="0" w:color="auto"/>
              <w:right w:val="single" w:sz="4" w:space="0" w:color="auto"/>
            </w:tcBorders>
            <w:vAlign w:val="bottom"/>
          </w:tcPr>
          <w:p w14:paraId="54A407A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GG0110E = 1; else = 0</w:t>
            </w:r>
          </w:p>
        </w:tc>
        <w:tc>
          <w:tcPr>
            <w:tcW w:w="2340" w:type="dxa"/>
            <w:tcBorders>
              <w:top w:val="single" w:sz="4" w:space="0" w:color="auto"/>
              <w:left w:val="nil"/>
              <w:bottom w:val="single" w:sz="4" w:space="0" w:color="auto"/>
              <w:right w:val="single" w:sz="4" w:space="0" w:color="auto"/>
            </w:tcBorders>
            <w:vAlign w:val="bottom"/>
          </w:tcPr>
          <w:p w14:paraId="33C70C74" w14:textId="7B67734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-0.6771</w:t>
            </w:r>
          </w:p>
        </w:tc>
      </w:tr>
      <w:tr w:rsidR="00F50A37" w:rsidRPr="004C7C89" w14:paraId="23379022"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0CC6D1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2 Pressure Ulcer</w:t>
            </w:r>
          </w:p>
        </w:tc>
        <w:tc>
          <w:tcPr>
            <w:tcW w:w="2160" w:type="dxa"/>
            <w:tcBorders>
              <w:top w:val="single" w:sz="4" w:space="0" w:color="auto"/>
              <w:left w:val="nil"/>
              <w:bottom w:val="single" w:sz="4" w:space="0" w:color="auto"/>
              <w:right w:val="single" w:sz="4" w:space="0" w:color="auto"/>
            </w:tcBorders>
            <w:vAlign w:val="bottom"/>
          </w:tcPr>
          <w:p w14:paraId="3D81D8C2"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420" w:type="dxa"/>
            <w:tcBorders>
              <w:top w:val="single" w:sz="4" w:space="0" w:color="auto"/>
              <w:left w:val="nil"/>
              <w:bottom w:val="single" w:sz="4" w:space="0" w:color="auto"/>
              <w:right w:val="single" w:sz="4" w:space="0" w:color="auto"/>
            </w:tcBorders>
            <w:vAlign w:val="bottom"/>
          </w:tcPr>
          <w:p w14:paraId="3965564E"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M0300B1 ≥ 1; else = 0</w:t>
            </w:r>
          </w:p>
        </w:tc>
        <w:tc>
          <w:tcPr>
            <w:tcW w:w="2340" w:type="dxa"/>
            <w:tcBorders>
              <w:top w:val="single" w:sz="4" w:space="0" w:color="auto"/>
              <w:left w:val="nil"/>
              <w:bottom w:val="single" w:sz="4" w:space="0" w:color="auto"/>
              <w:right w:val="single" w:sz="4" w:space="0" w:color="auto"/>
            </w:tcBorders>
            <w:vAlign w:val="bottom"/>
          </w:tcPr>
          <w:p w14:paraId="7FACCCBE" w14:textId="4ABE0B16"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-1.8035</w:t>
            </w:r>
          </w:p>
        </w:tc>
      </w:tr>
      <w:tr w:rsidR="00F50A37" w:rsidRPr="004C7C89" w14:paraId="3C4AC56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5A12C9D"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Stage 3, 4 or Unstageable Pressure Ulcer</w:t>
            </w:r>
          </w:p>
        </w:tc>
        <w:tc>
          <w:tcPr>
            <w:tcW w:w="2160" w:type="dxa"/>
            <w:tcBorders>
              <w:top w:val="single" w:sz="4" w:space="0" w:color="auto"/>
              <w:left w:val="nil"/>
              <w:bottom w:val="single" w:sz="4" w:space="0" w:color="auto"/>
              <w:right w:val="single" w:sz="4" w:space="0" w:color="auto"/>
            </w:tcBorders>
            <w:vAlign w:val="bottom"/>
          </w:tcPr>
          <w:p w14:paraId="333948B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Present</w:t>
            </w:r>
          </w:p>
        </w:tc>
        <w:tc>
          <w:tcPr>
            <w:tcW w:w="3420" w:type="dxa"/>
            <w:tcBorders>
              <w:top w:val="single" w:sz="4" w:space="0" w:color="auto"/>
              <w:left w:val="nil"/>
              <w:bottom w:val="single" w:sz="4" w:space="0" w:color="auto"/>
              <w:right w:val="single" w:sz="4" w:space="0" w:color="auto"/>
            </w:tcBorders>
            <w:vAlign w:val="bottom"/>
          </w:tcPr>
          <w:p w14:paraId="37A791D6"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M0300C1 ≥ 1 or M0300D1 ≥ 1 or M0300E1 ≥ 1 or M0300F1 ≥ 1 or M0300G1 ≥ 1; else = 0</w:t>
            </w:r>
          </w:p>
        </w:tc>
        <w:tc>
          <w:tcPr>
            <w:tcW w:w="2340" w:type="dxa"/>
            <w:tcBorders>
              <w:top w:val="single" w:sz="4" w:space="0" w:color="auto"/>
              <w:left w:val="nil"/>
              <w:bottom w:val="single" w:sz="4" w:space="0" w:color="auto"/>
              <w:right w:val="single" w:sz="4" w:space="0" w:color="auto"/>
            </w:tcBorders>
            <w:vAlign w:val="bottom"/>
          </w:tcPr>
          <w:p w14:paraId="32929429" w14:textId="77BC2FE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-2.8531</w:t>
            </w:r>
          </w:p>
        </w:tc>
      </w:tr>
      <w:tr w:rsidR="00F50A37" w:rsidRPr="004C7C89" w14:paraId="5BBDB5AF"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B84F35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160" w:type="dxa"/>
            <w:tcBorders>
              <w:top w:val="single" w:sz="4" w:space="0" w:color="auto"/>
              <w:left w:val="nil"/>
              <w:bottom w:val="single" w:sz="4" w:space="0" w:color="auto"/>
              <w:right w:val="single" w:sz="4" w:space="0" w:color="auto"/>
            </w:tcBorders>
            <w:vAlign w:val="bottom"/>
          </w:tcPr>
          <w:p w14:paraId="5677228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Moderately Impaired</w:t>
            </w:r>
          </w:p>
        </w:tc>
        <w:tc>
          <w:tcPr>
            <w:tcW w:w="3420" w:type="dxa"/>
            <w:tcBorders>
              <w:top w:val="single" w:sz="4" w:space="0" w:color="auto"/>
              <w:left w:val="nil"/>
              <w:bottom w:val="single" w:sz="4" w:space="0" w:color="auto"/>
              <w:right w:val="single" w:sz="4" w:space="0" w:color="auto"/>
            </w:tcBorders>
            <w:vAlign w:val="bottom"/>
          </w:tcPr>
          <w:p w14:paraId="33753093"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8, 9, 10, 11, or 12 or ([C0900A = 1 and C0900B = 1] or [C0900B = 1 and C0900C = 1] or [C0900A = 1 and C0900C = 1]) or [C0900A = 1 and C0900E = 1] or [C0900B = 1 and C0900E = 1] or [C0900C = 1 and C0900E = 1]); else = 0</w:t>
            </w:r>
          </w:p>
        </w:tc>
        <w:tc>
          <w:tcPr>
            <w:tcW w:w="2340" w:type="dxa"/>
            <w:tcBorders>
              <w:top w:val="single" w:sz="4" w:space="0" w:color="auto"/>
              <w:left w:val="nil"/>
              <w:bottom w:val="single" w:sz="4" w:space="0" w:color="auto"/>
              <w:right w:val="single" w:sz="4" w:space="0" w:color="auto"/>
            </w:tcBorders>
            <w:vAlign w:val="bottom"/>
          </w:tcPr>
          <w:p w14:paraId="31D53778" w14:textId="09873DE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-1.6275</w:t>
            </w:r>
          </w:p>
        </w:tc>
      </w:tr>
      <w:tr w:rsidR="00F50A37" w:rsidRPr="004C7C89" w14:paraId="14FE222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7EFD22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Cognitive Function: Brief Interview for Mental Status score</w:t>
            </w:r>
          </w:p>
        </w:tc>
        <w:tc>
          <w:tcPr>
            <w:tcW w:w="2160" w:type="dxa"/>
            <w:tcBorders>
              <w:top w:val="single" w:sz="4" w:space="0" w:color="auto"/>
              <w:left w:val="nil"/>
              <w:bottom w:val="single" w:sz="4" w:space="0" w:color="auto"/>
              <w:right w:val="single" w:sz="4" w:space="0" w:color="auto"/>
            </w:tcBorders>
            <w:vAlign w:val="bottom"/>
          </w:tcPr>
          <w:p w14:paraId="665E7C0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Severely Impaired</w:t>
            </w:r>
          </w:p>
        </w:tc>
        <w:tc>
          <w:tcPr>
            <w:tcW w:w="3420" w:type="dxa"/>
            <w:tcBorders>
              <w:top w:val="single" w:sz="4" w:space="0" w:color="auto"/>
              <w:left w:val="nil"/>
              <w:bottom w:val="single" w:sz="4" w:space="0" w:color="auto"/>
              <w:right w:val="single" w:sz="4" w:space="0" w:color="auto"/>
            </w:tcBorders>
            <w:vAlign w:val="bottom"/>
          </w:tcPr>
          <w:p w14:paraId="51CA2D6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C0500 = ≤ 7 or (C0900Z = 1 or ([C0900A=1 and C0900B = 0, and C0900C = 0, and C0900E = 0] or [C0900B=1 and C0900A = 0, and C0900C = 0, and C0900E = 0] or [C0900C=1 and C0900A = 0, and C0900B = 0, and C0900E = 0] or [C0900E=1 and C0900A = 0, and C0900B = 0, and C0900C = 0]); else = 0</w:t>
            </w:r>
          </w:p>
        </w:tc>
        <w:tc>
          <w:tcPr>
            <w:tcW w:w="2340" w:type="dxa"/>
            <w:tcBorders>
              <w:top w:val="single" w:sz="4" w:space="0" w:color="auto"/>
              <w:left w:val="nil"/>
              <w:bottom w:val="single" w:sz="4" w:space="0" w:color="auto"/>
              <w:right w:val="single" w:sz="4" w:space="0" w:color="auto"/>
            </w:tcBorders>
            <w:vAlign w:val="bottom"/>
          </w:tcPr>
          <w:p w14:paraId="543BCB96" w14:textId="245EF11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-3.6158</w:t>
            </w:r>
          </w:p>
        </w:tc>
      </w:tr>
      <w:tr w:rsidR="00F50A37" w:rsidRPr="004C7C89" w14:paraId="08EA7011"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4719BF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lastRenderedPageBreak/>
              <w:t>Communication Impairment</w:t>
            </w:r>
          </w:p>
        </w:tc>
        <w:tc>
          <w:tcPr>
            <w:tcW w:w="2160" w:type="dxa"/>
            <w:tcBorders>
              <w:top w:val="single" w:sz="4" w:space="0" w:color="auto"/>
              <w:left w:val="nil"/>
              <w:bottom w:val="single" w:sz="4" w:space="0" w:color="auto"/>
              <w:right w:val="single" w:sz="4" w:space="0" w:color="auto"/>
            </w:tcBorders>
            <w:vAlign w:val="bottom"/>
          </w:tcPr>
          <w:p w14:paraId="457861F7"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Moderate to Severe</w:t>
            </w:r>
          </w:p>
        </w:tc>
        <w:tc>
          <w:tcPr>
            <w:tcW w:w="3420" w:type="dxa"/>
            <w:tcBorders>
              <w:top w:val="single" w:sz="4" w:space="0" w:color="auto"/>
              <w:left w:val="nil"/>
              <w:bottom w:val="single" w:sz="4" w:space="0" w:color="auto"/>
              <w:right w:val="single" w:sz="4" w:space="0" w:color="auto"/>
            </w:tcBorders>
            <w:vAlign w:val="bottom"/>
          </w:tcPr>
          <w:p w14:paraId="36530C7C"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BB0800 = 1 or BB0800 = 2 or BB0700 = 1 or BB0700 = 2; else = 0</w:t>
            </w:r>
          </w:p>
        </w:tc>
        <w:tc>
          <w:tcPr>
            <w:tcW w:w="2340" w:type="dxa"/>
            <w:tcBorders>
              <w:top w:val="single" w:sz="4" w:space="0" w:color="auto"/>
              <w:left w:val="nil"/>
              <w:bottom w:val="single" w:sz="4" w:space="0" w:color="auto"/>
              <w:right w:val="single" w:sz="4" w:space="0" w:color="auto"/>
            </w:tcBorders>
            <w:vAlign w:val="bottom"/>
          </w:tcPr>
          <w:p w14:paraId="2B12BD07" w14:textId="69537982"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-1.8199</w:t>
            </w:r>
          </w:p>
        </w:tc>
      </w:tr>
      <w:tr w:rsidR="00F50A37" w:rsidRPr="004C7C89" w14:paraId="7F716BD6"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24D9EA5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Communication Impairment</w:t>
            </w:r>
          </w:p>
        </w:tc>
        <w:tc>
          <w:tcPr>
            <w:tcW w:w="2160" w:type="dxa"/>
            <w:tcBorders>
              <w:top w:val="single" w:sz="4" w:space="0" w:color="auto"/>
              <w:left w:val="nil"/>
              <w:bottom w:val="single" w:sz="4" w:space="0" w:color="auto"/>
              <w:right w:val="single" w:sz="4" w:space="0" w:color="auto"/>
            </w:tcBorders>
          </w:tcPr>
          <w:p w14:paraId="56FF948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Mild</w:t>
            </w:r>
          </w:p>
        </w:tc>
        <w:tc>
          <w:tcPr>
            <w:tcW w:w="3420" w:type="dxa"/>
            <w:tcBorders>
              <w:top w:val="single" w:sz="4" w:space="0" w:color="auto"/>
              <w:left w:val="nil"/>
              <w:bottom w:val="single" w:sz="4" w:space="0" w:color="auto"/>
              <w:right w:val="single" w:sz="4" w:space="0" w:color="auto"/>
            </w:tcBorders>
          </w:tcPr>
          <w:p w14:paraId="25F1A3C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BB0800 = 3 or BB0700 = 3; else = 0</w:t>
            </w:r>
          </w:p>
        </w:tc>
        <w:tc>
          <w:tcPr>
            <w:tcW w:w="2340" w:type="dxa"/>
            <w:tcBorders>
              <w:top w:val="single" w:sz="4" w:space="0" w:color="auto"/>
              <w:left w:val="nil"/>
              <w:bottom w:val="single" w:sz="4" w:space="0" w:color="auto"/>
              <w:right w:val="single" w:sz="4" w:space="0" w:color="auto"/>
            </w:tcBorders>
            <w:vAlign w:val="bottom"/>
          </w:tcPr>
          <w:p w14:paraId="42242377" w14:textId="426969FC"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-0.2523</w:t>
            </w:r>
          </w:p>
        </w:tc>
      </w:tr>
      <w:tr w:rsidR="00F50A37" w:rsidRPr="004C7C89" w14:paraId="5C971BA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D42E841"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Bladder Incontinence</w:t>
            </w:r>
          </w:p>
        </w:tc>
        <w:tc>
          <w:tcPr>
            <w:tcW w:w="2160" w:type="dxa"/>
            <w:tcBorders>
              <w:top w:val="single" w:sz="4" w:space="0" w:color="auto"/>
              <w:left w:val="nil"/>
              <w:bottom w:val="single" w:sz="4" w:space="0" w:color="auto"/>
              <w:right w:val="single" w:sz="4" w:space="0" w:color="auto"/>
            </w:tcBorders>
            <w:vAlign w:val="bottom"/>
          </w:tcPr>
          <w:p w14:paraId="4AD4D4A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 Always incontinent</w:t>
            </w:r>
          </w:p>
        </w:tc>
        <w:tc>
          <w:tcPr>
            <w:tcW w:w="3420" w:type="dxa"/>
            <w:tcBorders>
              <w:top w:val="single" w:sz="4" w:space="0" w:color="auto"/>
              <w:left w:val="nil"/>
              <w:bottom w:val="single" w:sz="4" w:space="0" w:color="auto"/>
              <w:right w:val="single" w:sz="4" w:space="0" w:color="auto"/>
            </w:tcBorders>
            <w:vAlign w:val="bottom"/>
          </w:tcPr>
          <w:p w14:paraId="61EF496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H0350 = 2 or H0350 = 3 or H0350 = 4; else = 0</w:t>
            </w:r>
          </w:p>
        </w:tc>
        <w:tc>
          <w:tcPr>
            <w:tcW w:w="2340" w:type="dxa"/>
            <w:tcBorders>
              <w:top w:val="single" w:sz="4" w:space="0" w:color="auto"/>
              <w:left w:val="nil"/>
              <w:bottom w:val="single" w:sz="4" w:space="0" w:color="auto"/>
              <w:right w:val="single" w:sz="4" w:space="0" w:color="auto"/>
            </w:tcBorders>
            <w:vAlign w:val="bottom"/>
          </w:tcPr>
          <w:p w14:paraId="33E112B3" w14:textId="6113C8C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-2.1385</w:t>
            </w:r>
          </w:p>
        </w:tc>
      </w:tr>
      <w:tr w:rsidR="00F50A37" w:rsidRPr="004C7C89" w14:paraId="2187E97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C0D4344"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160" w:type="dxa"/>
            <w:tcBorders>
              <w:top w:val="single" w:sz="4" w:space="0" w:color="auto"/>
              <w:left w:val="nil"/>
              <w:bottom w:val="single" w:sz="4" w:space="0" w:color="auto"/>
              <w:right w:val="single" w:sz="4" w:space="0" w:color="auto"/>
            </w:tcBorders>
            <w:vAlign w:val="bottom"/>
          </w:tcPr>
          <w:p w14:paraId="13DA60DF"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Always incontinent</w:t>
            </w:r>
          </w:p>
        </w:tc>
        <w:tc>
          <w:tcPr>
            <w:tcW w:w="3420" w:type="dxa"/>
            <w:tcBorders>
              <w:top w:val="single" w:sz="4" w:space="0" w:color="auto"/>
              <w:left w:val="nil"/>
              <w:bottom w:val="single" w:sz="4" w:space="0" w:color="auto"/>
              <w:right w:val="single" w:sz="4" w:space="0" w:color="auto"/>
            </w:tcBorders>
            <w:vAlign w:val="bottom"/>
          </w:tcPr>
          <w:p w14:paraId="3BC30455"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3; else = 0</w:t>
            </w:r>
          </w:p>
        </w:tc>
        <w:tc>
          <w:tcPr>
            <w:tcW w:w="2340" w:type="dxa"/>
            <w:tcBorders>
              <w:top w:val="single" w:sz="4" w:space="0" w:color="auto"/>
              <w:left w:val="nil"/>
              <w:bottom w:val="single" w:sz="4" w:space="0" w:color="auto"/>
              <w:right w:val="single" w:sz="4" w:space="0" w:color="auto"/>
            </w:tcBorders>
            <w:vAlign w:val="bottom"/>
          </w:tcPr>
          <w:p w14:paraId="438A08FF" w14:textId="4F0976A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-4.4006</w:t>
            </w:r>
          </w:p>
        </w:tc>
      </w:tr>
      <w:tr w:rsidR="00F50A37" w:rsidRPr="004C7C89" w14:paraId="7E04BA8D"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6154BDB"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Bowel Incontinence</w:t>
            </w:r>
          </w:p>
        </w:tc>
        <w:tc>
          <w:tcPr>
            <w:tcW w:w="2160" w:type="dxa"/>
            <w:tcBorders>
              <w:top w:val="single" w:sz="4" w:space="0" w:color="auto"/>
              <w:left w:val="nil"/>
              <w:bottom w:val="single" w:sz="4" w:space="0" w:color="auto"/>
              <w:right w:val="single" w:sz="4" w:space="0" w:color="auto"/>
            </w:tcBorders>
            <w:vAlign w:val="bottom"/>
          </w:tcPr>
          <w:p w14:paraId="2A0BFC8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Less than daily, Daily</w:t>
            </w:r>
          </w:p>
        </w:tc>
        <w:tc>
          <w:tcPr>
            <w:tcW w:w="3420" w:type="dxa"/>
            <w:tcBorders>
              <w:top w:val="single" w:sz="4" w:space="0" w:color="auto"/>
              <w:left w:val="nil"/>
              <w:bottom w:val="single" w:sz="4" w:space="0" w:color="auto"/>
              <w:right w:val="single" w:sz="4" w:space="0" w:color="auto"/>
            </w:tcBorders>
            <w:vAlign w:val="bottom"/>
          </w:tcPr>
          <w:p w14:paraId="28E3BD82"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H0400 = 1 or H0400 = 2; else = 0</w:t>
            </w:r>
          </w:p>
        </w:tc>
        <w:tc>
          <w:tcPr>
            <w:tcW w:w="2340" w:type="dxa"/>
            <w:tcBorders>
              <w:top w:val="single" w:sz="4" w:space="0" w:color="auto"/>
              <w:left w:val="nil"/>
              <w:bottom w:val="single" w:sz="4" w:space="0" w:color="auto"/>
              <w:right w:val="single" w:sz="4" w:space="0" w:color="auto"/>
            </w:tcBorders>
            <w:vAlign w:val="bottom"/>
          </w:tcPr>
          <w:p w14:paraId="43E9DE5F" w14:textId="39196C5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-1.7334</w:t>
            </w:r>
          </w:p>
        </w:tc>
      </w:tr>
      <w:tr w:rsidR="00F50A37" w:rsidRPr="004C7C89" w14:paraId="1E3EC6F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tcPr>
          <w:p w14:paraId="16759D7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Health Conditions</w:t>
            </w:r>
          </w:p>
        </w:tc>
        <w:tc>
          <w:tcPr>
            <w:tcW w:w="2160" w:type="dxa"/>
            <w:tcBorders>
              <w:top w:val="single" w:sz="4" w:space="0" w:color="auto"/>
              <w:left w:val="nil"/>
              <w:bottom w:val="single" w:sz="4" w:space="0" w:color="auto"/>
              <w:right w:val="single" w:sz="4" w:space="0" w:color="auto"/>
            </w:tcBorders>
          </w:tcPr>
          <w:p w14:paraId="3926F45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History of Falls</w:t>
            </w:r>
          </w:p>
        </w:tc>
        <w:tc>
          <w:tcPr>
            <w:tcW w:w="3420" w:type="dxa"/>
            <w:tcBorders>
              <w:top w:val="single" w:sz="4" w:space="0" w:color="auto"/>
              <w:left w:val="nil"/>
              <w:bottom w:val="single" w:sz="4" w:space="0" w:color="auto"/>
              <w:right w:val="single" w:sz="4" w:space="0" w:color="auto"/>
            </w:tcBorders>
          </w:tcPr>
          <w:p w14:paraId="2677743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 1 if J1750 = 1; else = 0</w:t>
            </w:r>
          </w:p>
        </w:tc>
        <w:tc>
          <w:tcPr>
            <w:tcW w:w="2340" w:type="dxa"/>
            <w:tcBorders>
              <w:top w:val="single" w:sz="4" w:space="0" w:color="auto"/>
              <w:left w:val="nil"/>
              <w:bottom w:val="single" w:sz="4" w:space="0" w:color="auto"/>
              <w:right w:val="single" w:sz="4" w:space="0" w:color="auto"/>
            </w:tcBorders>
            <w:vAlign w:val="bottom"/>
          </w:tcPr>
          <w:p w14:paraId="4FB2ED19" w14:textId="1F5D00C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-0.9022</w:t>
            </w:r>
          </w:p>
        </w:tc>
      </w:tr>
      <w:tr w:rsidR="00F50A37" w:rsidRPr="004C7C89" w14:paraId="3AB76D3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964381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Swallowing Ability</w:t>
            </w:r>
          </w:p>
        </w:tc>
        <w:tc>
          <w:tcPr>
            <w:tcW w:w="2160" w:type="dxa"/>
            <w:tcBorders>
              <w:top w:val="single" w:sz="4" w:space="0" w:color="auto"/>
              <w:left w:val="nil"/>
              <w:bottom w:val="single" w:sz="4" w:space="0" w:color="auto"/>
              <w:right w:val="single" w:sz="4" w:space="0" w:color="auto"/>
            </w:tcBorders>
            <w:vAlign w:val="bottom"/>
          </w:tcPr>
          <w:p w14:paraId="44C7B672"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Tube/Parenteral Feeding</w:t>
            </w:r>
          </w:p>
        </w:tc>
        <w:tc>
          <w:tcPr>
            <w:tcW w:w="3420" w:type="dxa"/>
            <w:tcBorders>
              <w:top w:val="single" w:sz="4" w:space="0" w:color="auto"/>
              <w:left w:val="nil"/>
              <w:bottom w:val="single" w:sz="4" w:space="0" w:color="auto"/>
              <w:right w:val="single" w:sz="4" w:space="0" w:color="auto"/>
            </w:tcBorders>
            <w:vAlign w:val="bottom"/>
          </w:tcPr>
          <w:p w14:paraId="3CAF1E30"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=1 if K0110C = 1; else = 0</w:t>
            </w:r>
          </w:p>
        </w:tc>
        <w:tc>
          <w:tcPr>
            <w:tcW w:w="2340" w:type="dxa"/>
            <w:tcBorders>
              <w:top w:val="single" w:sz="4" w:space="0" w:color="auto"/>
              <w:left w:val="nil"/>
              <w:bottom w:val="single" w:sz="4" w:space="0" w:color="auto"/>
              <w:right w:val="single" w:sz="4" w:space="0" w:color="auto"/>
            </w:tcBorders>
            <w:vAlign w:val="bottom"/>
          </w:tcPr>
          <w:p w14:paraId="2525EB0F" w14:textId="4DF358E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-1.2839</w:t>
            </w:r>
          </w:p>
        </w:tc>
      </w:tr>
      <w:tr w:rsidR="00F50A37" w:rsidRPr="004C7C89" w14:paraId="26B9FB5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9E513B2"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Body Mass Index (BMI)</w:t>
            </w:r>
          </w:p>
        </w:tc>
        <w:tc>
          <w:tcPr>
            <w:tcW w:w="2160" w:type="dxa"/>
            <w:tcBorders>
              <w:top w:val="single" w:sz="4" w:space="0" w:color="auto"/>
              <w:left w:val="nil"/>
              <w:bottom w:val="single" w:sz="4" w:space="0" w:color="auto"/>
              <w:right w:val="single" w:sz="4" w:space="0" w:color="auto"/>
            </w:tcBorders>
            <w:vAlign w:val="bottom"/>
          </w:tcPr>
          <w:p w14:paraId="54316928"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Low BMI</w:t>
            </w:r>
          </w:p>
        </w:tc>
        <w:tc>
          <w:tcPr>
            <w:tcW w:w="3420" w:type="dxa"/>
            <w:tcBorders>
              <w:top w:val="single" w:sz="4" w:space="0" w:color="auto"/>
              <w:left w:val="nil"/>
              <w:bottom w:val="single" w:sz="4" w:space="0" w:color="auto"/>
              <w:right w:val="single" w:sz="4" w:space="0" w:color="auto"/>
            </w:tcBorders>
            <w:vAlign w:val="bottom"/>
          </w:tcPr>
          <w:p w14:paraId="069C070A" w14:textId="77777777" w:rsidR="00F50A37" w:rsidRPr="004C7C89" w:rsidRDefault="00F50A37" w:rsidP="00F50A37">
            <w:pPr>
              <w:pStyle w:val="TableText"/>
              <w:rPr>
                <w:rFonts w:asciiTheme="minorHAnsi" w:hAnsiTheme="minorHAnsi" w:cstheme="minorHAnsi"/>
                <w:color w:val="0000FF"/>
                <w:sz w:val="20"/>
                <w:szCs w:val="22"/>
              </w:rPr>
            </w:pPr>
            <w:r w:rsidRPr="004C7C89">
              <w:rPr>
                <w:rFonts w:asciiTheme="minorHAnsi" w:hAnsiTheme="minorHAnsi" w:cstheme="minorHAnsi"/>
                <w:color w:val="0000FF"/>
                <w:sz w:val="20"/>
                <w:szCs w:val="22"/>
              </w:rPr>
              <w:t xml:space="preserve">= 1 if BMI ≥ [12.0] AND ≤ [19.0]; = 0 if BMI &lt; [12.0] OR BMI &gt; [19.0]; = 0 if Item 25A = [0, 00, -] OR Item 26A = [-]; else = 0. Where: BMI = </w:t>
            </w:r>
            <w:r>
              <w:rPr>
                <w:rFonts w:asciiTheme="minorHAnsi" w:hAnsiTheme="minorHAnsi" w:cstheme="minorHAnsi"/>
                <w:color w:val="0000FF"/>
                <w:sz w:val="20"/>
                <w:szCs w:val="22"/>
              </w:rPr>
              <w:t>(</w:t>
            </w:r>
            <w:r w:rsidRPr="004C7C89">
              <w:rPr>
                <w:rFonts w:asciiTheme="minorHAnsi" w:hAnsiTheme="minorHAnsi" w:cstheme="minorHAnsi"/>
                <w:color w:val="0000FF"/>
                <w:sz w:val="20"/>
                <w:szCs w:val="22"/>
              </w:rPr>
              <w:t xml:space="preserve">([Item 26A] * 703) / Item 25A2) and the resulting value is rounded to one decimal place. </w:t>
            </w:r>
          </w:p>
        </w:tc>
        <w:tc>
          <w:tcPr>
            <w:tcW w:w="2340" w:type="dxa"/>
            <w:tcBorders>
              <w:top w:val="single" w:sz="4" w:space="0" w:color="auto"/>
              <w:left w:val="nil"/>
              <w:bottom w:val="single" w:sz="4" w:space="0" w:color="auto"/>
              <w:right w:val="single" w:sz="4" w:space="0" w:color="auto"/>
            </w:tcBorders>
            <w:vAlign w:val="bottom"/>
          </w:tcPr>
          <w:p w14:paraId="2AC6C681" w14:textId="0BA5D5B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-1.0548</w:t>
            </w:r>
          </w:p>
        </w:tc>
      </w:tr>
      <w:tr w:rsidR="00F50A37" w:rsidRPr="004C7C89" w14:paraId="41526A4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7ECD09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w:t>
            </w:r>
          </w:p>
        </w:tc>
        <w:tc>
          <w:tcPr>
            <w:tcW w:w="2160" w:type="dxa"/>
            <w:tcBorders>
              <w:top w:val="single" w:sz="4" w:space="0" w:color="auto"/>
              <w:left w:val="nil"/>
              <w:bottom w:val="single" w:sz="4" w:space="0" w:color="auto"/>
              <w:right w:val="single" w:sz="4" w:space="0" w:color="auto"/>
            </w:tcBorders>
            <w:vAlign w:val="bottom"/>
          </w:tcPr>
          <w:p w14:paraId="630BE8D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Viral and Late Effects Central Nervous System Infections (HCC4)</w:t>
            </w:r>
          </w:p>
        </w:tc>
        <w:tc>
          <w:tcPr>
            <w:tcW w:w="3420" w:type="dxa"/>
            <w:tcBorders>
              <w:top w:val="single" w:sz="4" w:space="0" w:color="auto"/>
              <w:left w:val="nil"/>
              <w:bottom w:val="single" w:sz="4" w:space="0" w:color="auto"/>
              <w:right w:val="single" w:sz="4" w:space="0" w:color="auto"/>
            </w:tcBorders>
            <w:vAlign w:val="bottom"/>
          </w:tcPr>
          <w:p w14:paraId="5AF100E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#4; =0 if Item 21A = 0017.1 or 0002.1 or 0002.9 or 0004.11 thru 0004.13; else = 0</w:t>
            </w:r>
          </w:p>
        </w:tc>
        <w:tc>
          <w:tcPr>
            <w:tcW w:w="2340" w:type="dxa"/>
            <w:tcBorders>
              <w:top w:val="single" w:sz="4" w:space="0" w:color="auto"/>
              <w:left w:val="nil"/>
              <w:bottom w:val="single" w:sz="4" w:space="0" w:color="auto"/>
              <w:right w:val="single" w:sz="4" w:space="0" w:color="auto"/>
            </w:tcBorders>
            <w:vAlign w:val="bottom"/>
          </w:tcPr>
          <w:p w14:paraId="6ABBCA72" w14:textId="7404410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-1.2959</w:t>
            </w:r>
          </w:p>
        </w:tc>
      </w:tr>
      <w:tr w:rsidR="00F50A37" w:rsidRPr="004C7C89" w14:paraId="7AD634E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1C4111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w:t>
            </w:r>
          </w:p>
        </w:tc>
        <w:tc>
          <w:tcPr>
            <w:tcW w:w="2160" w:type="dxa"/>
            <w:tcBorders>
              <w:top w:val="single" w:sz="4" w:space="0" w:color="auto"/>
              <w:left w:val="nil"/>
              <w:bottom w:val="single" w:sz="4" w:space="0" w:color="auto"/>
              <w:right w:val="single" w:sz="4" w:space="0" w:color="auto"/>
            </w:tcBorders>
            <w:vAlign w:val="bottom"/>
          </w:tcPr>
          <w:p w14:paraId="29D07D6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Tuberculosis (HCC5)</w:t>
            </w:r>
          </w:p>
        </w:tc>
        <w:tc>
          <w:tcPr>
            <w:tcW w:w="3420" w:type="dxa"/>
            <w:tcBorders>
              <w:top w:val="single" w:sz="4" w:space="0" w:color="auto"/>
              <w:left w:val="nil"/>
              <w:bottom w:val="single" w:sz="4" w:space="0" w:color="auto"/>
              <w:right w:val="single" w:sz="4" w:space="0" w:color="auto"/>
            </w:tcBorders>
            <w:vAlign w:val="bottom"/>
          </w:tcPr>
          <w:p w14:paraId="3E673D9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 =0 if Item 21A = 0017.1; else = 0</w:t>
            </w:r>
          </w:p>
        </w:tc>
        <w:tc>
          <w:tcPr>
            <w:tcW w:w="2340" w:type="dxa"/>
            <w:tcBorders>
              <w:top w:val="single" w:sz="4" w:space="0" w:color="auto"/>
              <w:left w:val="nil"/>
              <w:bottom w:val="single" w:sz="4" w:space="0" w:color="auto"/>
              <w:right w:val="single" w:sz="4" w:space="0" w:color="auto"/>
            </w:tcBorders>
            <w:vAlign w:val="bottom"/>
          </w:tcPr>
          <w:p w14:paraId="19B2C903" w14:textId="624016FD"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-1.0397</w:t>
            </w:r>
          </w:p>
        </w:tc>
      </w:tr>
      <w:tr w:rsidR="00F50A37" w:rsidRPr="004C7C89" w14:paraId="2869C1C1"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6B97B3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w:t>
            </w:r>
          </w:p>
        </w:tc>
        <w:tc>
          <w:tcPr>
            <w:tcW w:w="2160" w:type="dxa"/>
            <w:tcBorders>
              <w:top w:val="single" w:sz="4" w:space="0" w:color="auto"/>
              <w:left w:val="nil"/>
              <w:bottom w:val="single" w:sz="4" w:space="0" w:color="auto"/>
              <w:right w:val="single" w:sz="4" w:space="0" w:color="auto"/>
            </w:tcBorders>
            <w:vAlign w:val="bottom"/>
          </w:tcPr>
          <w:p w14:paraId="14B7832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Opportunistic Infections (HCC6)</w:t>
            </w:r>
          </w:p>
        </w:tc>
        <w:tc>
          <w:tcPr>
            <w:tcW w:w="3420" w:type="dxa"/>
            <w:tcBorders>
              <w:top w:val="single" w:sz="4" w:space="0" w:color="auto"/>
              <w:left w:val="nil"/>
              <w:bottom w:val="single" w:sz="4" w:space="0" w:color="auto"/>
              <w:right w:val="single" w:sz="4" w:space="0" w:color="auto"/>
            </w:tcBorders>
            <w:vAlign w:val="bottom"/>
          </w:tcPr>
          <w:p w14:paraId="5F2E66A6"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#6; =0 if Item 21A = 0017.1; else = 0</w:t>
            </w:r>
          </w:p>
        </w:tc>
        <w:tc>
          <w:tcPr>
            <w:tcW w:w="2340" w:type="dxa"/>
            <w:tcBorders>
              <w:top w:val="single" w:sz="4" w:space="0" w:color="auto"/>
              <w:left w:val="nil"/>
              <w:bottom w:val="single" w:sz="4" w:space="0" w:color="auto"/>
              <w:right w:val="single" w:sz="4" w:space="0" w:color="auto"/>
            </w:tcBorders>
            <w:vAlign w:val="bottom"/>
          </w:tcPr>
          <w:p w14:paraId="1224CA18" w14:textId="4FBED993"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-1.4703</w:t>
            </w:r>
          </w:p>
        </w:tc>
      </w:tr>
      <w:tr w:rsidR="00F50A37" w:rsidRPr="004C7C89" w14:paraId="27ECDB9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C3AC41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w:t>
            </w:r>
          </w:p>
        </w:tc>
        <w:tc>
          <w:tcPr>
            <w:tcW w:w="2160" w:type="dxa"/>
            <w:tcBorders>
              <w:top w:val="single" w:sz="4" w:space="0" w:color="auto"/>
              <w:left w:val="nil"/>
              <w:bottom w:val="single" w:sz="4" w:space="0" w:color="auto"/>
              <w:right w:val="single" w:sz="4" w:space="0" w:color="auto"/>
            </w:tcBorders>
            <w:vAlign w:val="bottom"/>
          </w:tcPr>
          <w:p w14:paraId="7581319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Infectious Diseases (HCC7) Only</w:t>
            </w:r>
          </w:p>
        </w:tc>
        <w:tc>
          <w:tcPr>
            <w:tcW w:w="3420" w:type="dxa"/>
            <w:tcBorders>
              <w:top w:val="single" w:sz="4" w:space="0" w:color="auto"/>
              <w:left w:val="nil"/>
              <w:bottom w:val="single" w:sz="4" w:space="0" w:color="auto"/>
              <w:right w:val="single" w:sz="4" w:space="0" w:color="auto"/>
            </w:tcBorders>
            <w:vAlign w:val="bottom"/>
          </w:tcPr>
          <w:p w14:paraId="785877A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 =0 if Item 21A = 0017.1; else = 0</w:t>
            </w:r>
          </w:p>
        </w:tc>
        <w:tc>
          <w:tcPr>
            <w:tcW w:w="2340" w:type="dxa"/>
            <w:tcBorders>
              <w:top w:val="single" w:sz="4" w:space="0" w:color="auto"/>
              <w:left w:val="nil"/>
              <w:bottom w:val="single" w:sz="4" w:space="0" w:color="auto"/>
              <w:right w:val="single" w:sz="4" w:space="0" w:color="auto"/>
            </w:tcBorders>
            <w:vAlign w:val="bottom"/>
          </w:tcPr>
          <w:p w14:paraId="74F2F6A4" w14:textId="67ADCB4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-1.1173</w:t>
            </w:r>
          </w:p>
        </w:tc>
      </w:tr>
      <w:tr w:rsidR="00F50A37" w:rsidRPr="004C7C89" w14:paraId="439A263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4B17DA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5</w:t>
            </w:r>
          </w:p>
        </w:tc>
        <w:tc>
          <w:tcPr>
            <w:tcW w:w="2160" w:type="dxa"/>
            <w:tcBorders>
              <w:top w:val="single" w:sz="4" w:space="0" w:color="auto"/>
              <w:left w:val="nil"/>
              <w:bottom w:val="single" w:sz="4" w:space="0" w:color="auto"/>
              <w:right w:val="single" w:sz="4" w:space="0" w:color="auto"/>
            </w:tcBorders>
            <w:vAlign w:val="bottom"/>
          </w:tcPr>
          <w:p w14:paraId="682F7B2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Metastatic Cancer and Acute Leukemia (HCC8)</w:t>
            </w:r>
          </w:p>
        </w:tc>
        <w:tc>
          <w:tcPr>
            <w:tcW w:w="3420" w:type="dxa"/>
            <w:tcBorders>
              <w:top w:val="single" w:sz="4" w:space="0" w:color="auto"/>
              <w:left w:val="nil"/>
              <w:bottom w:val="single" w:sz="4" w:space="0" w:color="auto"/>
              <w:right w:val="single" w:sz="4" w:space="0" w:color="auto"/>
            </w:tcBorders>
            <w:vAlign w:val="bottom"/>
          </w:tcPr>
          <w:p w14:paraId="0093E26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#8; =0 if Item 21A = 0017.2; else = 0</w:t>
            </w:r>
          </w:p>
        </w:tc>
        <w:tc>
          <w:tcPr>
            <w:tcW w:w="2340" w:type="dxa"/>
            <w:tcBorders>
              <w:top w:val="single" w:sz="4" w:space="0" w:color="auto"/>
              <w:left w:val="nil"/>
              <w:bottom w:val="single" w:sz="4" w:space="0" w:color="auto"/>
              <w:right w:val="single" w:sz="4" w:space="0" w:color="auto"/>
            </w:tcBorders>
            <w:vAlign w:val="bottom"/>
          </w:tcPr>
          <w:p w14:paraId="446075F6" w14:textId="115CF5DC"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-3.4864</w:t>
            </w:r>
          </w:p>
        </w:tc>
      </w:tr>
      <w:tr w:rsidR="00F50A37" w:rsidRPr="004C7C89" w14:paraId="73B0E7FB"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BB9456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6</w:t>
            </w:r>
          </w:p>
        </w:tc>
        <w:tc>
          <w:tcPr>
            <w:tcW w:w="2160" w:type="dxa"/>
            <w:tcBorders>
              <w:top w:val="single" w:sz="4" w:space="0" w:color="auto"/>
              <w:left w:val="nil"/>
              <w:bottom w:val="single" w:sz="4" w:space="0" w:color="auto"/>
              <w:right w:val="single" w:sz="4" w:space="0" w:color="auto"/>
            </w:tcBorders>
            <w:vAlign w:val="bottom"/>
          </w:tcPr>
          <w:p w14:paraId="5DA955F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Lung and Other Severe Cancers (HCC9)</w:t>
            </w:r>
          </w:p>
        </w:tc>
        <w:tc>
          <w:tcPr>
            <w:tcW w:w="3420" w:type="dxa"/>
            <w:tcBorders>
              <w:top w:val="single" w:sz="4" w:space="0" w:color="auto"/>
              <w:left w:val="nil"/>
              <w:bottom w:val="single" w:sz="4" w:space="0" w:color="auto"/>
              <w:right w:val="single" w:sz="4" w:space="0" w:color="auto"/>
            </w:tcBorders>
            <w:vAlign w:val="bottom"/>
          </w:tcPr>
          <w:p w14:paraId="4452D53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#9; =0 if Item 21A = 0017.2; else = 0</w:t>
            </w:r>
          </w:p>
        </w:tc>
        <w:tc>
          <w:tcPr>
            <w:tcW w:w="2340" w:type="dxa"/>
            <w:tcBorders>
              <w:top w:val="single" w:sz="4" w:space="0" w:color="auto"/>
              <w:left w:val="nil"/>
              <w:bottom w:val="single" w:sz="4" w:space="0" w:color="auto"/>
              <w:right w:val="single" w:sz="4" w:space="0" w:color="auto"/>
            </w:tcBorders>
            <w:vAlign w:val="bottom"/>
          </w:tcPr>
          <w:p w14:paraId="38CB8B6F" w14:textId="3650A4D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-1.7947</w:t>
            </w:r>
          </w:p>
        </w:tc>
      </w:tr>
      <w:tr w:rsidR="00F50A37" w:rsidRPr="004C7C89" w14:paraId="71890B3E"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C06D0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7</w:t>
            </w:r>
          </w:p>
        </w:tc>
        <w:tc>
          <w:tcPr>
            <w:tcW w:w="2160" w:type="dxa"/>
            <w:tcBorders>
              <w:top w:val="single" w:sz="4" w:space="0" w:color="auto"/>
              <w:left w:val="nil"/>
              <w:bottom w:val="single" w:sz="4" w:space="0" w:color="auto"/>
              <w:right w:val="single" w:sz="4" w:space="0" w:color="auto"/>
            </w:tcBorders>
            <w:vAlign w:val="bottom"/>
          </w:tcPr>
          <w:p w14:paraId="4523DEF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Lymphoma  and Other Cancers (HCC10)</w:t>
            </w:r>
          </w:p>
        </w:tc>
        <w:tc>
          <w:tcPr>
            <w:tcW w:w="3420" w:type="dxa"/>
            <w:tcBorders>
              <w:top w:val="single" w:sz="4" w:space="0" w:color="auto"/>
              <w:left w:val="nil"/>
              <w:bottom w:val="single" w:sz="4" w:space="0" w:color="auto"/>
              <w:right w:val="single" w:sz="4" w:space="0" w:color="auto"/>
            </w:tcBorders>
            <w:vAlign w:val="bottom"/>
          </w:tcPr>
          <w:p w14:paraId="0C2E7F4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#10; =0 if Item 21A = 0017.2; else = 0</w:t>
            </w:r>
          </w:p>
        </w:tc>
        <w:tc>
          <w:tcPr>
            <w:tcW w:w="2340" w:type="dxa"/>
            <w:tcBorders>
              <w:top w:val="single" w:sz="4" w:space="0" w:color="auto"/>
              <w:left w:val="nil"/>
              <w:bottom w:val="single" w:sz="4" w:space="0" w:color="auto"/>
              <w:right w:val="single" w:sz="4" w:space="0" w:color="auto"/>
            </w:tcBorders>
            <w:vAlign w:val="bottom"/>
          </w:tcPr>
          <w:p w14:paraId="6ED4B74E" w14:textId="4ED043C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-1.2882</w:t>
            </w:r>
          </w:p>
        </w:tc>
      </w:tr>
      <w:tr w:rsidR="00F50A37" w:rsidRPr="004C7C89" w14:paraId="7640474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181368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8</w:t>
            </w:r>
          </w:p>
        </w:tc>
        <w:tc>
          <w:tcPr>
            <w:tcW w:w="2160" w:type="dxa"/>
            <w:tcBorders>
              <w:top w:val="single" w:sz="4" w:space="0" w:color="auto"/>
              <w:left w:val="nil"/>
              <w:bottom w:val="single" w:sz="4" w:space="0" w:color="auto"/>
              <w:right w:val="single" w:sz="4" w:space="0" w:color="auto"/>
            </w:tcBorders>
            <w:vAlign w:val="bottom"/>
          </w:tcPr>
          <w:p w14:paraId="4516576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Digestive and Urinary Neoplasms (HCC14)</w:t>
            </w:r>
          </w:p>
        </w:tc>
        <w:tc>
          <w:tcPr>
            <w:tcW w:w="3420" w:type="dxa"/>
            <w:tcBorders>
              <w:top w:val="single" w:sz="4" w:space="0" w:color="auto"/>
              <w:left w:val="nil"/>
              <w:bottom w:val="single" w:sz="4" w:space="0" w:color="auto"/>
              <w:right w:val="single" w:sz="4" w:space="0" w:color="auto"/>
            </w:tcBorders>
            <w:vAlign w:val="bottom"/>
          </w:tcPr>
          <w:p w14:paraId="0524BDC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#14; =0 if Item 21A = 0017.2; else = 0</w:t>
            </w:r>
          </w:p>
        </w:tc>
        <w:tc>
          <w:tcPr>
            <w:tcW w:w="2340" w:type="dxa"/>
            <w:tcBorders>
              <w:top w:val="single" w:sz="4" w:space="0" w:color="auto"/>
              <w:left w:val="nil"/>
              <w:bottom w:val="single" w:sz="4" w:space="0" w:color="auto"/>
              <w:right w:val="single" w:sz="4" w:space="0" w:color="auto"/>
            </w:tcBorders>
            <w:vAlign w:val="bottom"/>
          </w:tcPr>
          <w:p w14:paraId="6D913237" w14:textId="26C5700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-0.4166</w:t>
            </w:r>
          </w:p>
        </w:tc>
      </w:tr>
      <w:tr w:rsidR="00F50A37" w:rsidRPr="004C7C89" w14:paraId="3E6080CB"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AFBBD86"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9</w:t>
            </w:r>
          </w:p>
        </w:tc>
        <w:tc>
          <w:tcPr>
            <w:tcW w:w="2160" w:type="dxa"/>
            <w:tcBorders>
              <w:top w:val="single" w:sz="4" w:space="0" w:color="auto"/>
              <w:left w:val="nil"/>
              <w:bottom w:val="single" w:sz="4" w:space="0" w:color="auto"/>
              <w:right w:val="single" w:sz="4" w:space="0" w:color="auto"/>
            </w:tcBorders>
            <w:vAlign w:val="bottom"/>
          </w:tcPr>
          <w:p w14:paraId="46A276DA"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Neoplasms (HCC15)</w:t>
            </w:r>
          </w:p>
        </w:tc>
        <w:tc>
          <w:tcPr>
            <w:tcW w:w="3420" w:type="dxa"/>
            <w:tcBorders>
              <w:top w:val="single" w:sz="4" w:space="0" w:color="auto"/>
              <w:left w:val="nil"/>
              <w:bottom w:val="single" w:sz="4" w:space="0" w:color="auto"/>
              <w:right w:val="single" w:sz="4" w:space="0" w:color="auto"/>
            </w:tcBorders>
            <w:vAlign w:val="bottom"/>
          </w:tcPr>
          <w:p w14:paraId="61B6535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#15; =0 if Item 21A = 0017.2; else = 0</w:t>
            </w:r>
          </w:p>
        </w:tc>
        <w:tc>
          <w:tcPr>
            <w:tcW w:w="2340" w:type="dxa"/>
            <w:tcBorders>
              <w:top w:val="single" w:sz="4" w:space="0" w:color="auto"/>
              <w:left w:val="nil"/>
              <w:bottom w:val="single" w:sz="4" w:space="0" w:color="auto"/>
              <w:right w:val="single" w:sz="4" w:space="0" w:color="auto"/>
            </w:tcBorders>
            <w:vAlign w:val="bottom"/>
          </w:tcPr>
          <w:p w14:paraId="2AA95CF9" w14:textId="7F66A51C"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-0.3027</w:t>
            </w:r>
          </w:p>
        </w:tc>
      </w:tr>
      <w:tr w:rsidR="00F50A37" w:rsidRPr="004C7C89" w14:paraId="5429E737"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739B86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10</w:t>
            </w:r>
          </w:p>
        </w:tc>
        <w:tc>
          <w:tcPr>
            <w:tcW w:w="2160" w:type="dxa"/>
            <w:tcBorders>
              <w:top w:val="single" w:sz="4" w:space="0" w:color="auto"/>
              <w:left w:val="nil"/>
              <w:bottom w:val="single" w:sz="4" w:space="0" w:color="auto"/>
              <w:right w:val="single" w:sz="4" w:space="0" w:color="auto"/>
            </w:tcBorders>
            <w:vAlign w:val="bottom"/>
          </w:tcPr>
          <w:p w14:paraId="1C63F3E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Diabetes: Diabetes with Chronic Complications (HCC18)</w:t>
            </w:r>
          </w:p>
        </w:tc>
        <w:tc>
          <w:tcPr>
            <w:tcW w:w="3420" w:type="dxa"/>
            <w:tcBorders>
              <w:top w:val="single" w:sz="4" w:space="0" w:color="auto"/>
              <w:left w:val="nil"/>
              <w:bottom w:val="single" w:sz="4" w:space="0" w:color="auto"/>
              <w:right w:val="single" w:sz="4" w:space="0" w:color="auto"/>
            </w:tcBorders>
            <w:vAlign w:val="bottom"/>
          </w:tcPr>
          <w:p w14:paraId="4191A0E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 =0 if Item 21A = 0017.31, 0017.32; else = 0</w:t>
            </w:r>
          </w:p>
        </w:tc>
        <w:tc>
          <w:tcPr>
            <w:tcW w:w="2340" w:type="dxa"/>
            <w:tcBorders>
              <w:top w:val="single" w:sz="4" w:space="0" w:color="auto"/>
              <w:left w:val="nil"/>
              <w:bottom w:val="single" w:sz="4" w:space="0" w:color="auto"/>
              <w:right w:val="single" w:sz="4" w:space="0" w:color="auto"/>
            </w:tcBorders>
            <w:vAlign w:val="bottom"/>
          </w:tcPr>
          <w:p w14:paraId="0AD623D9" w14:textId="1FD91FB4"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-0.4738</w:t>
            </w:r>
          </w:p>
        </w:tc>
      </w:tr>
      <w:tr w:rsidR="00F50A37" w:rsidRPr="004C7C89" w14:paraId="3F7A4B3F"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6980956"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11</w:t>
            </w:r>
          </w:p>
        </w:tc>
        <w:tc>
          <w:tcPr>
            <w:tcW w:w="2160" w:type="dxa"/>
            <w:tcBorders>
              <w:top w:val="single" w:sz="4" w:space="0" w:color="auto"/>
              <w:left w:val="nil"/>
              <w:bottom w:val="single" w:sz="4" w:space="0" w:color="auto"/>
              <w:right w:val="single" w:sz="4" w:space="0" w:color="auto"/>
            </w:tcBorders>
            <w:vAlign w:val="bottom"/>
          </w:tcPr>
          <w:p w14:paraId="71AB18B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Diabetes without Complication (HCC19)</w:t>
            </w:r>
          </w:p>
        </w:tc>
        <w:tc>
          <w:tcPr>
            <w:tcW w:w="3420" w:type="dxa"/>
            <w:tcBorders>
              <w:top w:val="single" w:sz="4" w:space="0" w:color="auto"/>
              <w:left w:val="nil"/>
              <w:bottom w:val="single" w:sz="4" w:space="0" w:color="auto"/>
              <w:right w:val="single" w:sz="4" w:space="0" w:color="auto"/>
            </w:tcBorders>
            <w:vAlign w:val="bottom"/>
          </w:tcPr>
          <w:p w14:paraId="4BDFCA3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#19; =0 if Item 21A = 0017.31, 0017.32; else = 0</w:t>
            </w:r>
          </w:p>
        </w:tc>
        <w:tc>
          <w:tcPr>
            <w:tcW w:w="2340" w:type="dxa"/>
            <w:tcBorders>
              <w:top w:val="single" w:sz="4" w:space="0" w:color="auto"/>
              <w:left w:val="nil"/>
              <w:bottom w:val="single" w:sz="4" w:space="0" w:color="auto"/>
              <w:right w:val="single" w:sz="4" w:space="0" w:color="auto"/>
            </w:tcBorders>
            <w:vAlign w:val="bottom"/>
          </w:tcPr>
          <w:p w14:paraId="635E9B57" w14:textId="67A21208"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-0.2139</w:t>
            </w:r>
          </w:p>
        </w:tc>
      </w:tr>
      <w:tr w:rsidR="00F50A37" w:rsidRPr="004C7C89" w14:paraId="363CE29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1A5864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12</w:t>
            </w:r>
          </w:p>
        </w:tc>
        <w:tc>
          <w:tcPr>
            <w:tcW w:w="2160" w:type="dxa"/>
            <w:tcBorders>
              <w:top w:val="single" w:sz="4" w:space="0" w:color="auto"/>
              <w:left w:val="nil"/>
              <w:bottom w:val="single" w:sz="4" w:space="0" w:color="auto"/>
              <w:right w:val="single" w:sz="4" w:space="0" w:color="auto"/>
            </w:tcBorders>
            <w:vAlign w:val="bottom"/>
          </w:tcPr>
          <w:p w14:paraId="561D3C3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Bone/Joint/Muscle Infections/Necrosis (HCC39)</w:t>
            </w:r>
          </w:p>
        </w:tc>
        <w:tc>
          <w:tcPr>
            <w:tcW w:w="3420" w:type="dxa"/>
            <w:tcBorders>
              <w:top w:val="single" w:sz="4" w:space="0" w:color="auto"/>
              <w:left w:val="nil"/>
              <w:bottom w:val="single" w:sz="4" w:space="0" w:color="auto"/>
              <w:right w:val="single" w:sz="4" w:space="0" w:color="auto"/>
            </w:tcBorders>
            <w:vAlign w:val="bottom"/>
          </w:tcPr>
          <w:p w14:paraId="3A9AFAF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#39; =0 if Item 21A = 0017.1, 0017.7; else = 0</w:t>
            </w:r>
          </w:p>
        </w:tc>
        <w:tc>
          <w:tcPr>
            <w:tcW w:w="2340" w:type="dxa"/>
            <w:tcBorders>
              <w:top w:val="single" w:sz="4" w:space="0" w:color="auto"/>
              <w:left w:val="nil"/>
              <w:bottom w:val="single" w:sz="4" w:space="0" w:color="auto"/>
              <w:right w:val="single" w:sz="4" w:space="0" w:color="auto"/>
            </w:tcBorders>
            <w:vAlign w:val="bottom"/>
          </w:tcPr>
          <w:p w14:paraId="6699D2E7" w14:textId="4F9AAE59"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-1.9662</w:t>
            </w:r>
          </w:p>
        </w:tc>
      </w:tr>
      <w:tr w:rsidR="00F50A37" w:rsidRPr="004C7C89" w14:paraId="04B846A2"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8CD088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13</w:t>
            </w:r>
          </w:p>
        </w:tc>
        <w:tc>
          <w:tcPr>
            <w:tcW w:w="2160" w:type="dxa"/>
            <w:tcBorders>
              <w:top w:val="single" w:sz="4" w:space="0" w:color="auto"/>
              <w:left w:val="nil"/>
              <w:bottom w:val="single" w:sz="4" w:space="0" w:color="auto"/>
              <w:right w:val="single" w:sz="4" w:space="0" w:color="auto"/>
            </w:tcBorders>
            <w:vAlign w:val="bottom"/>
          </w:tcPr>
          <w:p w14:paraId="4CCC144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Severe Hematological Disorders (HCC46)</w:t>
            </w:r>
          </w:p>
        </w:tc>
        <w:tc>
          <w:tcPr>
            <w:tcW w:w="3420" w:type="dxa"/>
            <w:tcBorders>
              <w:top w:val="single" w:sz="4" w:space="0" w:color="auto"/>
              <w:left w:val="nil"/>
              <w:bottom w:val="single" w:sz="4" w:space="0" w:color="auto"/>
              <w:right w:val="single" w:sz="4" w:space="0" w:color="auto"/>
            </w:tcBorders>
            <w:vAlign w:val="bottom"/>
          </w:tcPr>
          <w:p w14:paraId="4C33CD3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#46; else = 0</w:t>
            </w:r>
          </w:p>
        </w:tc>
        <w:tc>
          <w:tcPr>
            <w:tcW w:w="2340" w:type="dxa"/>
            <w:tcBorders>
              <w:top w:val="single" w:sz="4" w:space="0" w:color="auto"/>
              <w:left w:val="nil"/>
              <w:bottom w:val="single" w:sz="4" w:space="0" w:color="auto"/>
              <w:right w:val="single" w:sz="4" w:space="0" w:color="auto"/>
            </w:tcBorders>
            <w:vAlign w:val="bottom"/>
          </w:tcPr>
          <w:p w14:paraId="7A5407B3" w14:textId="7C1F6651"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-0.7094</w:t>
            </w:r>
          </w:p>
        </w:tc>
      </w:tr>
      <w:tr w:rsidR="00F50A37" w:rsidRPr="004C7C89" w14:paraId="128711F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C7A57D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14</w:t>
            </w:r>
          </w:p>
        </w:tc>
        <w:tc>
          <w:tcPr>
            <w:tcW w:w="2160" w:type="dxa"/>
            <w:tcBorders>
              <w:top w:val="single" w:sz="4" w:space="0" w:color="auto"/>
              <w:left w:val="nil"/>
              <w:bottom w:val="single" w:sz="4" w:space="0" w:color="auto"/>
              <w:right w:val="single" w:sz="4" w:space="0" w:color="auto"/>
            </w:tcBorders>
            <w:vAlign w:val="bottom"/>
          </w:tcPr>
          <w:p w14:paraId="6C88CCA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Delirium and Encephalopathy (HCC50 )</w:t>
            </w:r>
          </w:p>
        </w:tc>
        <w:tc>
          <w:tcPr>
            <w:tcW w:w="3420" w:type="dxa"/>
            <w:tcBorders>
              <w:top w:val="single" w:sz="4" w:space="0" w:color="auto"/>
              <w:left w:val="nil"/>
              <w:bottom w:val="single" w:sz="4" w:space="0" w:color="auto"/>
              <w:right w:val="single" w:sz="4" w:space="0" w:color="auto"/>
            </w:tcBorders>
            <w:vAlign w:val="bottom"/>
          </w:tcPr>
          <w:p w14:paraId="571F7AE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#50; else = 0</w:t>
            </w:r>
          </w:p>
        </w:tc>
        <w:tc>
          <w:tcPr>
            <w:tcW w:w="2340" w:type="dxa"/>
            <w:tcBorders>
              <w:top w:val="single" w:sz="4" w:space="0" w:color="auto"/>
              <w:left w:val="nil"/>
              <w:bottom w:val="single" w:sz="4" w:space="0" w:color="auto"/>
              <w:right w:val="single" w:sz="4" w:space="0" w:color="auto"/>
            </w:tcBorders>
            <w:vAlign w:val="bottom"/>
          </w:tcPr>
          <w:p w14:paraId="6DB9F8B4" w14:textId="5BA53765"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-0.8601</w:t>
            </w:r>
          </w:p>
        </w:tc>
      </w:tr>
      <w:tr w:rsidR="00F50A37" w:rsidRPr="004C7C89" w14:paraId="2CA22D42"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2C9253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15</w:t>
            </w:r>
          </w:p>
        </w:tc>
        <w:tc>
          <w:tcPr>
            <w:tcW w:w="2160" w:type="dxa"/>
            <w:tcBorders>
              <w:top w:val="single" w:sz="4" w:space="0" w:color="auto"/>
              <w:left w:val="nil"/>
              <w:bottom w:val="single" w:sz="4" w:space="0" w:color="auto"/>
              <w:right w:val="single" w:sz="4" w:space="0" w:color="auto"/>
            </w:tcBorders>
            <w:vAlign w:val="bottom"/>
          </w:tcPr>
          <w:p w14:paraId="59A6A6A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Dementia: Dementia With Complications (HCC51)</w:t>
            </w:r>
          </w:p>
        </w:tc>
        <w:tc>
          <w:tcPr>
            <w:tcW w:w="3420" w:type="dxa"/>
            <w:tcBorders>
              <w:top w:val="single" w:sz="4" w:space="0" w:color="auto"/>
              <w:left w:val="nil"/>
              <w:bottom w:val="single" w:sz="4" w:space="0" w:color="auto"/>
              <w:right w:val="single" w:sz="4" w:space="0" w:color="auto"/>
            </w:tcBorders>
            <w:vAlign w:val="bottom"/>
          </w:tcPr>
          <w:p w14:paraId="6954E49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#51; =0 if Item 21A = 0002.1, 0002.9; else = 0</w:t>
            </w:r>
          </w:p>
        </w:tc>
        <w:tc>
          <w:tcPr>
            <w:tcW w:w="2340" w:type="dxa"/>
            <w:tcBorders>
              <w:top w:val="single" w:sz="4" w:space="0" w:color="auto"/>
              <w:left w:val="nil"/>
              <w:bottom w:val="single" w:sz="4" w:space="0" w:color="auto"/>
              <w:right w:val="single" w:sz="4" w:space="0" w:color="auto"/>
            </w:tcBorders>
            <w:vAlign w:val="bottom"/>
          </w:tcPr>
          <w:p w14:paraId="78D208A2" w14:textId="6C4B1533"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-2.2539</w:t>
            </w:r>
          </w:p>
        </w:tc>
      </w:tr>
      <w:tr w:rsidR="00F50A37" w:rsidRPr="004C7C89" w14:paraId="109E5E9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4AF00E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16</w:t>
            </w:r>
          </w:p>
        </w:tc>
        <w:tc>
          <w:tcPr>
            <w:tcW w:w="2160" w:type="dxa"/>
            <w:tcBorders>
              <w:top w:val="single" w:sz="4" w:space="0" w:color="auto"/>
              <w:left w:val="nil"/>
              <w:bottom w:val="single" w:sz="4" w:space="0" w:color="auto"/>
              <w:right w:val="single" w:sz="4" w:space="0" w:color="auto"/>
            </w:tcBorders>
            <w:vAlign w:val="bottom"/>
          </w:tcPr>
          <w:p w14:paraId="28C3C75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Dementia Without Complications (HCC52)</w:t>
            </w:r>
          </w:p>
        </w:tc>
        <w:tc>
          <w:tcPr>
            <w:tcW w:w="3420" w:type="dxa"/>
            <w:tcBorders>
              <w:top w:val="single" w:sz="4" w:space="0" w:color="auto"/>
              <w:left w:val="nil"/>
              <w:bottom w:val="single" w:sz="4" w:space="0" w:color="auto"/>
              <w:right w:val="single" w:sz="4" w:space="0" w:color="auto"/>
            </w:tcBorders>
            <w:vAlign w:val="bottom"/>
          </w:tcPr>
          <w:p w14:paraId="79C3FBE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#52; =0 if Item 21A = 0002.1, 0002.9; else = 0</w:t>
            </w:r>
          </w:p>
        </w:tc>
        <w:tc>
          <w:tcPr>
            <w:tcW w:w="2340" w:type="dxa"/>
            <w:tcBorders>
              <w:top w:val="single" w:sz="4" w:space="0" w:color="auto"/>
              <w:left w:val="nil"/>
              <w:bottom w:val="single" w:sz="4" w:space="0" w:color="auto"/>
              <w:right w:val="single" w:sz="4" w:space="0" w:color="auto"/>
            </w:tcBorders>
            <w:vAlign w:val="bottom"/>
          </w:tcPr>
          <w:p w14:paraId="6EA37A79" w14:textId="17793ADE"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-2.3939</w:t>
            </w:r>
          </w:p>
        </w:tc>
      </w:tr>
      <w:tr w:rsidR="00F50A37" w:rsidRPr="004C7C89" w14:paraId="0DCF2D47"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69F3FE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17</w:t>
            </w:r>
          </w:p>
        </w:tc>
        <w:tc>
          <w:tcPr>
            <w:tcW w:w="2160" w:type="dxa"/>
            <w:tcBorders>
              <w:top w:val="single" w:sz="4" w:space="0" w:color="auto"/>
              <w:left w:val="nil"/>
              <w:bottom w:val="single" w:sz="4" w:space="0" w:color="auto"/>
              <w:right w:val="single" w:sz="4" w:space="0" w:color="auto"/>
            </w:tcBorders>
            <w:vAlign w:val="bottom"/>
          </w:tcPr>
          <w:p w14:paraId="4662C56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Nonpsychotic Organic Brain Syndromes/Conditions (HCC53)</w:t>
            </w:r>
          </w:p>
        </w:tc>
        <w:tc>
          <w:tcPr>
            <w:tcW w:w="3420" w:type="dxa"/>
            <w:tcBorders>
              <w:top w:val="single" w:sz="4" w:space="0" w:color="auto"/>
              <w:left w:val="nil"/>
              <w:bottom w:val="single" w:sz="4" w:space="0" w:color="auto"/>
              <w:right w:val="single" w:sz="4" w:space="0" w:color="auto"/>
            </w:tcBorders>
            <w:vAlign w:val="bottom"/>
          </w:tcPr>
          <w:p w14:paraId="563CB7E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#53; else = 0</w:t>
            </w:r>
          </w:p>
        </w:tc>
        <w:tc>
          <w:tcPr>
            <w:tcW w:w="2340" w:type="dxa"/>
            <w:tcBorders>
              <w:top w:val="single" w:sz="4" w:space="0" w:color="auto"/>
              <w:left w:val="nil"/>
              <w:bottom w:val="single" w:sz="4" w:space="0" w:color="auto"/>
              <w:right w:val="single" w:sz="4" w:space="0" w:color="auto"/>
            </w:tcBorders>
            <w:vAlign w:val="bottom"/>
          </w:tcPr>
          <w:p w14:paraId="7267A91A" w14:textId="20D41B83"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-0.6172</w:t>
            </w:r>
          </w:p>
        </w:tc>
      </w:tr>
      <w:tr w:rsidR="00F50A37" w:rsidRPr="004C7C89" w14:paraId="6DF45CB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008C6B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18</w:t>
            </w:r>
          </w:p>
        </w:tc>
        <w:tc>
          <w:tcPr>
            <w:tcW w:w="2160" w:type="dxa"/>
            <w:tcBorders>
              <w:top w:val="single" w:sz="4" w:space="0" w:color="auto"/>
              <w:left w:val="nil"/>
              <w:bottom w:val="single" w:sz="4" w:space="0" w:color="auto"/>
              <w:right w:val="single" w:sz="4" w:space="0" w:color="auto"/>
            </w:tcBorders>
            <w:vAlign w:val="bottom"/>
          </w:tcPr>
          <w:p w14:paraId="4BBD71F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Mental Health Disorders: Schizophrenia (HCC57)</w:t>
            </w:r>
          </w:p>
        </w:tc>
        <w:tc>
          <w:tcPr>
            <w:tcW w:w="3420" w:type="dxa"/>
            <w:tcBorders>
              <w:top w:val="single" w:sz="4" w:space="0" w:color="auto"/>
              <w:left w:val="nil"/>
              <w:bottom w:val="single" w:sz="4" w:space="0" w:color="auto"/>
              <w:right w:val="single" w:sz="4" w:space="0" w:color="auto"/>
            </w:tcBorders>
            <w:vAlign w:val="bottom"/>
          </w:tcPr>
          <w:p w14:paraId="3DC8FB4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#57; else = 0</w:t>
            </w:r>
          </w:p>
        </w:tc>
        <w:tc>
          <w:tcPr>
            <w:tcW w:w="2340" w:type="dxa"/>
            <w:tcBorders>
              <w:top w:val="single" w:sz="4" w:space="0" w:color="auto"/>
              <w:left w:val="nil"/>
              <w:bottom w:val="single" w:sz="4" w:space="0" w:color="auto"/>
              <w:right w:val="single" w:sz="4" w:space="0" w:color="auto"/>
            </w:tcBorders>
            <w:vAlign w:val="bottom"/>
          </w:tcPr>
          <w:p w14:paraId="625B91C7" w14:textId="0430214C"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-0.8184</w:t>
            </w:r>
          </w:p>
        </w:tc>
      </w:tr>
      <w:tr w:rsidR="00F50A37" w:rsidRPr="004C7C89" w14:paraId="6AE89D6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29638D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19</w:t>
            </w:r>
          </w:p>
        </w:tc>
        <w:tc>
          <w:tcPr>
            <w:tcW w:w="2160" w:type="dxa"/>
            <w:tcBorders>
              <w:top w:val="single" w:sz="4" w:space="0" w:color="auto"/>
              <w:left w:val="nil"/>
              <w:bottom w:val="single" w:sz="4" w:space="0" w:color="auto"/>
              <w:right w:val="single" w:sz="4" w:space="0" w:color="auto"/>
            </w:tcBorders>
            <w:vAlign w:val="bottom"/>
          </w:tcPr>
          <w:p w14:paraId="680E7D7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Depressive, Bipolar, and Paranoid Disorders (HCC58)</w:t>
            </w:r>
          </w:p>
        </w:tc>
        <w:tc>
          <w:tcPr>
            <w:tcW w:w="3420" w:type="dxa"/>
            <w:tcBorders>
              <w:top w:val="single" w:sz="4" w:space="0" w:color="auto"/>
              <w:left w:val="nil"/>
              <w:bottom w:val="single" w:sz="4" w:space="0" w:color="auto"/>
              <w:right w:val="single" w:sz="4" w:space="0" w:color="auto"/>
            </w:tcBorders>
            <w:vAlign w:val="bottom"/>
          </w:tcPr>
          <w:p w14:paraId="0EF052B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#58; else = 0</w:t>
            </w:r>
          </w:p>
        </w:tc>
        <w:tc>
          <w:tcPr>
            <w:tcW w:w="2340" w:type="dxa"/>
            <w:tcBorders>
              <w:top w:val="single" w:sz="4" w:space="0" w:color="auto"/>
              <w:left w:val="nil"/>
              <w:bottom w:val="single" w:sz="4" w:space="0" w:color="auto"/>
              <w:right w:val="single" w:sz="4" w:space="0" w:color="auto"/>
            </w:tcBorders>
            <w:vAlign w:val="bottom"/>
          </w:tcPr>
          <w:p w14:paraId="34A2F6F3" w14:textId="457A16A2"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-0.2632</w:t>
            </w:r>
          </w:p>
        </w:tc>
      </w:tr>
      <w:tr w:rsidR="00F50A37" w:rsidRPr="004C7C89" w14:paraId="1C9735A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8EB12B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20</w:t>
            </w:r>
          </w:p>
        </w:tc>
        <w:tc>
          <w:tcPr>
            <w:tcW w:w="2160" w:type="dxa"/>
            <w:tcBorders>
              <w:top w:val="single" w:sz="4" w:space="0" w:color="auto"/>
              <w:left w:val="nil"/>
              <w:bottom w:val="single" w:sz="4" w:space="0" w:color="auto"/>
              <w:right w:val="single" w:sz="4" w:space="0" w:color="auto"/>
            </w:tcBorders>
            <w:vAlign w:val="bottom"/>
          </w:tcPr>
          <w:p w14:paraId="6D39ED6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Reactive and Unspecified Psychosis (HCC59)</w:t>
            </w:r>
          </w:p>
        </w:tc>
        <w:tc>
          <w:tcPr>
            <w:tcW w:w="3420" w:type="dxa"/>
            <w:tcBorders>
              <w:top w:val="single" w:sz="4" w:space="0" w:color="auto"/>
              <w:left w:val="nil"/>
              <w:bottom w:val="single" w:sz="4" w:space="0" w:color="auto"/>
              <w:right w:val="single" w:sz="4" w:space="0" w:color="auto"/>
            </w:tcBorders>
            <w:vAlign w:val="bottom"/>
          </w:tcPr>
          <w:p w14:paraId="6254F95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#59; else = 0</w:t>
            </w:r>
          </w:p>
        </w:tc>
        <w:tc>
          <w:tcPr>
            <w:tcW w:w="2340" w:type="dxa"/>
            <w:tcBorders>
              <w:top w:val="single" w:sz="4" w:space="0" w:color="auto"/>
              <w:left w:val="nil"/>
              <w:bottom w:val="single" w:sz="4" w:space="0" w:color="auto"/>
              <w:right w:val="single" w:sz="4" w:space="0" w:color="auto"/>
            </w:tcBorders>
            <w:vAlign w:val="bottom"/>
          </w:tcPr>
          <w:p w14:paraId="70EF04C7" w14:textId="77C31D44"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-0.8747</w:t>
            </w:r>
          </w:p>
        </w:tc>
      </w:tr>
      <w:tr w:rsidR="00F50A37" w:rsidRPr="004C7C89" w14:paraId="5E6D3126"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6FF1850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21</w:t>
            </w:r>
          </w:p>
        </w:tc>
        <w:tc>
          <w:tcPr>
            <w:tcW w:w="2160" w:type="dxa"/>
            <w:tcBorders>
              <w:top w:val="single" w:sz="4" w:space="0" w:color="auto"/>
              <w:left w:val="nil"/>
              <w:bottom w:val="single" w:sz="4" w:space="0" w:color="auto"/>
              <w:right w:val="single" w:sz="4" w:space="0" w:color="auto"/>
            </w:tcBorders>
            <w:vAlign w:val="bottom"/>
          </w:tcPr>
          <w:p w14:paraId="1F8A57E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Personality Disorders (HCC60 )</w:t>
            </w:r>
          </w:p>
        </w:tc>
        <w:tc>
          <w:tcPr>
            <w:tcW w:w="3420" w:type="dxa"/>
            <w:tcBorders>
              <w:top w:val="single" w:sz="4" w:space="0" w:color="auto"/>
              <w:left w:val="nil"/>
              <w:bottom w:val="single" w:sz="4" w:space="0" w:color="auto"/>
              <w:right w:val="single" w:sz="4" w:space="0" w:color="auto"/>
            </w:tcBorders>
            <w:vAlign w:val="bottom"/>
          </w:tcPr>
          <w:p w14:paraId="195C2A6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#60; else = 0</w:t>
            </w:r>
          </w:p>
        </w:tc>
        <w:tc>
          <w:tcPr>
            <w:tcW w:w="2340" w:type="dxa"/>
            <w:tcBorders>
              <w:top w:val="single" w:sz="4" w:space="0" w:color="auto"/>
              <w:left w:val="nil"/>
              <w:bottom w:val="single" w:sz="4" w:space="0" w:color="auto"/>
              <w:right w:val="single" w:sz="4" w:space="0" w:color="auto"/>
            </w:tcBorders>
            <w:vAlign w:val="bottom"/>
          </w:tcPr>
          <w:p w14:paraId="7FD30B80" w14:textId="1346A06F"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-0.7401</w:t>
            </w:r>
          </w:p>
        </w:tc>
      </w:tr>
      <w:tr w:rsidR="00F50A37" w:rsidRPr="004C7C89" w14:paraId="435868B7"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E035E3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22</w:t>
            </w:r>
          </w:p>
        </w:tc>
        <w:tc>
          <w:tcPr>
            <w:tcW w:w="2160" w:type="dxa"/>
            <w:tcBorders>
              <w:top w:val="single" w:sz="4" w:space="0" w:color="auto"/>
              <w:left w:val="nil"/>
              <w:bottom w:val="single" w:sz="4" w:space="0" w:color="auto"/>
              <w:right w:val="single" w:sz="4" w:space="0" w:color="auto"/>
            </w:tcBorders>
            <w:vAlign w:val="bottom"/>
          </w:tcPr>
          <w:p w14:paraId="02413A0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Tetraplegia (HCC70)*</w:t>
            </w:r>
          </w:p>
        </w:tc>
        <w:tc>
          <w:tcPr>
            <w:tcW w:w="3420" w:type="dxa"/>
            <w:tcBorders>
              <w:top w:val="single" w:sz="4" w:space="0" w:color="auto"/>
              <w:left w:val="nil"/>
              <w:bottom w:val="single" w:sz="4" w:space="0" w:color="auto"/>
              <w:right w:val="single" w:sz="4" w:space="0" w:color="auto"/>
            </w:tcBorders>
            <w:vAlign w:val="bottom"/>
          </w:tcPr>
          <w:p w14:paraId="1B5C9356"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#70;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bottom"/>
          </w:tcPr>
          <w:p w14:paraId="498D0DD4" w14:textId="17857700"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-4.2895</w:t>
            </w:r>
          </w:p>
        </w:tc>
      </w:tr>
      <w:tr w:rsidR="00F50A37" w:rsidRPr="004C7C89" w14:paraId="0A64ECB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1B6012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23</w:t>
            </w:r>
          </w:p>
        </w:tc>
        <w:tc>
          <w:tcPr>
            <w:tcW w:w="2160" w:type="dxa"/>
            <w:tcBorders>
              <w:top w:val="single" w:sz="4" w:space="0" w:color="auto"/>
              <w:left w:val="nil"/>
              <w:bottom w:val="single" w:sz="4" w:space="0" w:color="auto"/>
              <w:right w:val="single" w:sz="4" w:space="0" w:color="auto"/>
            </w:tcBorders>
            <w:vAlign w:val="bottom"/>
          </w:tcPr>
          <w:p w14:paraId="2E56483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Paraplegia (HCC71)</w:t>
            </w:r>
          </w:p>
        </w:tc>
        <w:tc>
          <w:tcPr>
            <w:tcW w:w="3420" w:type="dxa"/>
            <w:tcBorders>
              <w:top w:val="single" w:sz="4" w:space="0" w:color="auto"/>
              <w:left w:val="nil"/>
              <w:bottom w:val="single" w:sz="4" w:space="0" w:color="auto"/>
              <w:right w:val="single" w:sz="4" w:space="0" w:color="auto"/>
            </w:tcBorders>
            <w:vAlign w:val="bottom"/>
          </w:tcPr>
          <w:p w14:paraId="3F1D888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#71;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bottom"/>
          </w:tcPr>
          <w:p w14:paraId="6B0A6F83" w14:textId="76330913" w:rsidR="00F50A37" w:rsidRPr="004C7C89" w:rsidRDefault="00F50A37" w:rsidP="0009127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-4.0884</w:t>
            </w:r>
          </w:p>
        </w:tc>
      </w:tr>
      <w:tr w:rsidR="00F50A37" w:rsidRPr="004C7C89" w14:paraId="090E466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CD96F7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24</w:t>
            </w:r>
          </w:p>
        </w:tc>
        <w:tc>
          <w:tcPr>
            <w:tcW w:w="2160" w:type="dxa"/>
            <w:tcBorders>
              <w:top w:val="single" w:sz="4" w:space="0" w:color="auto"/>
              <w:left w:val="nil"/>
              <w:bottom w:val="single" w:sz="4" w:space="0" w:color="auto"/>
              <w:right w:val="single" w:sz="4" w:space="0" w:color="auto"/>
            </w:tcBorders>
            <w:vAlign w:val="bottom"/>
          </w:tcPr>
          <w:p w14:paraId="1C95D2F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Spinal Cord Disorders/Injuries (HCC72)</w:t>
            </w:r>
          </w:p>
        </w:tc>
        <w:tc>
          <w:tcPr>
            <w:tcW w:w="3420" w:type="dxa"/>
            <w:tcBorders>
              <w:top w:val="single" w:sz="4" w:space="0" w:color="auto"/>
              <w:left w:val="nil"/>
              <w:bottom w:val="single" w:sz="4" w:space="0" w:color="auto"/>
              <w:right w:val="single" w:sz="4" w:space="0" w:color="auto"/>
            </w:tcBorders>
            <w:vAlign w:val="bottom"/>
          </w:tcPr>
          <w:p w14:paraId="3ACA2F8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#72; =0 if Primary Diagnosis Group = Non-traumatic spinal cord dysfunction or Traumatic spinal cord dysfunction; else = 0</w:t>
            </w:r>
          </w:p>
        </w:tc>
        <w:tc>
          <w:tcPr>
            <w:tcW w:w="2340" w:type="dxa"/>
            <w:tcBorders>
              <w:top w:val="single" w:sz="4" w:space="0" w:color="auto"/>
              <w:left w:val="nil"/>
              <w:bottom w:val="single" w:sz="4" w:space="0" w:color="auto"/>
              <w:right w:val="single" w:sz="4" w:space="0" w:color="auto"/>
            </w:tcBorders>
            <w:vAlign w:val="bottom"/>
          </w:tcPr>
          <w:p w14:paraId="798F49C7" w14:textId="1EF0021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-1.3005</w:t>
            </w:r>
          </w:p>
        </w:tc>
      </w:tr>
      <w:tr w:rsidR="00F50A37" w:rsidRPr="004C7C89" w14:paraId="0AC37A4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3B0126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25</w:t>
            </w:r>
          </w:p>
        </w:tc>
        <w:tc>
          <w:tcPr>
            <w:tcW w:w="2160" w:type="dxa"/>
            <w:tcBorders>
              <w:top w:val="single" w:sz="4" w:space="0" w:color="auto"/>
              <w:left w:val="nil"/>
              <w:bottom w:val="single" w:sz="4" w:space="0" w:color="auto"/>
              <w:right w:val="single" w:sz="4" w:space="0" w:color="auto"/>
            </w:tcBorders>
            <w:vAlign w:val="bottom"/>
          </w:tcPr>
          <w:p w14:paraId="14BD936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Amyotrophic Lateral Sclerosis and Other Motor Neuron Disease</w:t>
            </w:r>
            <w:r w:rsidRPr="0044180F">
              <w:rPr>
                <w:rFonts w:asciiTheme="minorHAnsi" w:hAnsiTheme="minorHAnsi" w:cstheme="minorHAnsi"/>
                <w:color w:val="0000FF"/>
                <w:sz w:val="20"/>
                <w:szCs w:val="22"/>
              </w:rPr>
              <w:br/>
              <w:t>(HCC73)</w:t>
            </w:r>
          </w:p>
        </w:tc>
        <w:tc>
          <w:tcPr>
            <w:tcW w:w="3420" w:type="dxa"/>
            <w:tcBorders>
              <w:top w:val="single" w:sz="4" w:space="0" w:color="auto"/>
              <w:left w:val="nil"/>
              <w:bottom w:val="single" w:sz="4" w:space="0" w:color="auto"/>
              <w:right w:val="single" w:sz="4" w:space="0" w:color="auto"/>
            </w:tcBorders>
            <w:vAlign w:val="bottom"/>
          </w:tcPr>
          <w:p w14:paraId="47CC24B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#73; =0 if Item 21A = 0003.8, 0003.9; else = 0</w:t>
            </w:r>
          </w:p>
        </w:tc>
        <w:tc>
          <w:tcPr>
            <w:tcW w:w="2340" w:type="dxa"/>
            <w:tcBorders>
              <w:top w:val="single" w:sz="4" w:space="0" w:color="auto"/>
              <w:left w:val="nil"/>
              <w:bottom w:val="single" w:sz="4" w:space="0" w:color="auto"/>
              <w:right w:val="single" w:sz="4" w:space="0" w:color="auto"/>
            </w:tcBorders>
            <w:vAlign w:val="bottom"/>
          </w:tcPr>
          <w:p w14:paraId="7DAA5673" w14:textId="788CB3EC"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-2.7526</w:t>
            </w:r>
          </w:p>
        </w:tc>
      </w:tr>
      <w:tr w:rsidR="00F50A37" w:rsidRPr="004C7C89" w14:paraId="2DBC195F"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836E36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26</w:t>
            </w:r>
          </w:p>
        </w:tc>
        <w:tc>
          <w:tcPr>
            <w:tcW w:w="2160" w:type="dxa"/>
            <w:tcBorders>
              <w:top w:val="single" w:sz="4" w:space="0" w:color="auto"/>
              <w:left w:val="nil"/>
              <w:bottom w:val="single" w:sz="4" w:space="0" w:color="auto"/>
              <w:right w:val="single" w:sz="4" w:space="0" w:color="auto"/>
            </w:tcBorders>
            <w:vAlign w:val="bottom"/>
          </w:tcPr>
          <w:p w14:paraId="3CBF296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Cerebral Palsy (HCC74)</w:t>
            </w:r>
          </w:p>
        </w:tc>
        <w:tc>
          <w:tcPr>
            <w:tcW w:w="3420" w:type="dxa"/>
            <w:tcBorders>
              <w:top w:val="single" w:sz="4" w:space="0" w:color="auto"/>
              <w:left w:val="nil"/>
              <w:bottom w:val="single" w:sz="4" w:space="0" w:color="auto"/>
              <w:right w:val="single" w:sz="4" w:space="0" w:color="auto"/>
            </w:tcBorders>
            <w:vAlign w:val="bottom"/>
          </w:tcPr>
          <w:p w14:paraId="0CA3603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#74; =0 if Item 21A = 0003.5; else = 0</w:t>
            </w:r>
          </w:p>
        </w:tc>
        <w:tc>
          <w:tcPr>
            <w:tcW w:w="2340" w:type="dxa"/>
            <w:tcBorders>
              <w:top w:val="single" w:sz="4" w:space="0" w:color="auto"/>
              <w:left w:val="nil"/>
              <w:bottom w:val="single" w:sz="4" w:space="0" w:color="auto"/>
              <w:right w:val="single" w:sz="4" w:space="0" w:color="auto"/>
            </w:tcBorders>
            <w:vAlign w:val="bottom"/>
          </w:tcPr>
          <w:p w14:paraId="72AE8F4B" w14:textId="48DF4BD6"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-4.5800</w:t>
            </w:r>
          </w:p>
        </w:tc>
      </w:tr>
      <w:tr w:rsidR="00F50A37" w:rsidRPr="004C7C89" w14:paraId="74EB9BA7"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426255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27</w:t>
            </w:r>
          </w:p>
        </w:tc>
        <w:tc>
          <w:tcPr>
            <w:tcW w:w="2160" w:type="dxa"/>
            <w:tcBorders>
              <w:top w:val="single" w:sz="4" w:space="0" w:color="auto"/>
              <w:left w:val="nil"/>
              <w:bottom w:val="single" w:sz="4" w:space="0" w:color="auto"/>
              <w:right w:val="single" w:sz="4" w:space="0" w:color="auto"/>
            </w:tcBorders>
            <w:vAlign w:val="bottom"/>
          </w:tcPr>
          <w:p w14:paraId="6673F7B6"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Muscular Dystrophy (HCC76)</w:t>
            </w:r>
          </w:p>
        </w:tc>
        <w:tc>
          <w:tcPr>
            <w:tcW w:w="3420" w:type="dxa"/>
            <w:tcBorders>
              <w:top w:val="single" w:sz="4" w:space="0" w:color="auto"/>
              <w:left w:val="nil"/>
              <w:bottom w:val="single" w:sz="4" w:space="0" w:color="auto"/>
              <w:right w:val="single" w:sz="4" w:space="0" w:color="auto"/>
            </w:tcBorders>
            <w:vAlign w:val="bottom"/>
          </w:tcPr>
          <w:p w14:paraId="09F2F14A"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#76; =0 if Item 21A = 0003.8; else = 0</w:t>
            </w:r>
          </w:p>
        </w:tc>
        <w:tc>
          <w:tcPr>
            <w:tcW w:w="2340" w:type="dxa"/>
            <w:tcBorders>
              <w:top w:val="single" w:sz="4" w:space="0" w:color="auto"/>
              <w:left w:val="nil"/>
              <w:bottom w:val="single" w:sz="4" w:space="0" w:color="auto"/>
              <w:right w:val="single" w:sz="4" w:space="0" w:color="auto"/>
            </w:tcBorders>
            <w:vAlign w:val="bottom"/>
          </w:tcPr>
          <w:p w14:paraId="481F5423" w14:textId="396D282F"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-4.2318</w:t>
            </w:r>
          </w:p>
        </w:tc>
      </w:tr>
      <w:tr w:rsidR="00F50A37" w:rsidRPr="004C7C89" w14:paraId="3ACB69BC"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DBF46D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28</w:t>
            </w:r>
          </w:p>
        </w:tc>
        <w:tc>
          <w:tcPr>
            <w:tcW w:w="2160" w:type="dxa"/>
            <w:tcBorders>
              <w:top w:val="single" w:sz="4" w:space="0" w:color="auto"/>
              <w:left w:val="nil"/>
              <w:bottom w:val="single" w:sz="4" w:space="0" w:color="auto"/>
              <w:right w:val="single" w:sz="4" w:space="0" w:color="auto"/>
            </w:tcBorders>
            <w:vAlign w:val="bottom"/>
          </w:tcPr>
          <w:p w14:paraId="7E0C57D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Multiple Sclerosis (HCC77)</w:t>
            </w:r>
          </w:p>
        </w:tc>
        <w:tc>
          <w:tcPr>
            <w:tcW w:w="3420" w:type="dxa"/>
            <w:tcBorders>
              <w:top w:val="single" w:sz="4" w:space="0" w:color="auto"/>
              <w:left w:val="nil"/>
              <w:bottom w:val="single" w:sz="4" w:space="0" w:color="auto"/>
              <w:right w:val="single" w:sz="4" w:space="0" w:color="auto"/>
            </w:tcBorders>
            <w:vAlign w:val="bottom"/>
          </w:tcPr>
          <w:p w14:paraId="3A9237A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#77; =0 if Item 21A = 0003.1; else = 0</w:t>
            </w:r>
          </w:p>
        </w:tc>
        <w:tc>
          <w:tcPr>
            <w:tcW w:w="2340" w:type="dxa"/>
            <w:tcBorders>
              <w:top w:val="single" w:sz="4" w:space="0" w:color="auto"/>
              <w:left w:val="nil"/>
              <w:bottom w:val="single" w:sz="4" w:space="0" w:color="auto"/>
              <w:right w:val="single" w:sz="4" w:space="0" w:color="auto"/>
            </w:tcBorders>
            <w:vAlign w:val="bottom"/>
          </w:tcPr>
          <w:p w14:paraId="166EFC22" w14:textId="2BAB6BF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-2.2982</w:t>
            </w:r>
          </w:p>
        </w:tc>
      </w:tr>
      <w:tr w:rsidR="00F50A37" w:rsidRPr="004C7C89" w14:paraId="3DAC6AE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8A432C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29</w:t>
            </w:r>
          </w:p>
        </w:tc>
        <w:tc>
          <w:tcPr>
            <w:tcW w:w="2160" w:type="dxa"/>
            <w:tcBorders>
              <w:top w:val="single" w:sz="4" w:space="0" w:color="auto"/>
              <w:left w:val="nil"/>
              <w:bottom w:val="single" w:sz="4" w:space="0" w:color="auto"/>
              <w:right w:val="single" w:sz="4" w:space="0" w:color="auto"/>
            </w:tcBorders>
            <w:vAlign w:val="bottom"/>
          </w:tcPr>
          <w:p w14:paraId="3E3CE23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Parkinson's and Huntington's Diseases (HCC78)</w:t>
            </w:r>
          </w:p>
        </w:tc>
        <w:tc>
          <w:tcPr>
            <w:tcW w:w="3420" w:type="dxa"/>
            <w:tcBorders>
              <w:top w:val="single" w:sz="4" w:space="0" w:color="auto"/>
              <w:left w:val="nil"/>
              <w:bottom w:val="single" w:sz="4" w:space="0" w:color="auto"/>
              <w:right w:val="single" w:sz="4" w:space="0" w:color="auto"/>
            </w:tcBorders>
            <w:vAlign w:val="bottom"/>
          </w:tcPr>
          <w:p w14:paraId="40BE733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#78; =0 if Item 21A = 0003.2 or 22A, 22B or 22C = G10; else = 0</w:t>
            </w:r>
          </w:p>
        </w:tc>
        <w:tc>
          <w:tcPr>
            <w:tcW w:w="2340" w:type="dxa"/>
            <w:tcBorders>
              <w:top w:val="single" w:sz="4" w:space="0" w:color="auto"/>
              <w:left w:val="nil"/>
              <w:bottom w:val="single" w:sz="4" w:space="0" w:color="auto"/>
              <w:right w:val="single" w:sz="4" w:space="0" w:color="auto"/>
            </w:tcBorders>
            <w:vAlign w:val="bottom"/>
          </w:tcPr>
          <w:p w14:paraId="65565FF7" w14:textId="6A58C05C"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-1.8034</w:t>
            </w:r>
          </w:p>
        </w:tc>
      </w:tr>
      <w:tr w:rsidR="00F50A37" w:rsidRPr="004C7C89" w14:paraId="4938A55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A8E40D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30</w:t>
            </w:r>
          </w:p>
        </w:tc>
        <w:tc>
          <w:tcPr>
            <w:tcW w:w="2160" w:type="dxa"/>
            <w:tcBorders>
              <w:top w:val="single" w:sz="4" w:space="0" w:color="auto"/>
              <w:left w:val="nil"/>
              <w:bottom w:val="single" w:sz="4" w:space="0" w:color="auto"/>
              <w:right w:val="single" w:sz="4" w:space="0" w:color="auto"/>
            </w:tcBorders>
            <w:vAlign w:val="bottom"/>
          </w:tcPr>
          <w:p w14:paraId="5E5B3E6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Seizure Disorders and Convulsions (HCC79)</w:t>
            </w:r>
          </w:p>
        </w:tc>
        <w:tc>
          <w:tcPr>
            <w:tcW w:w="3420" w:type="dxa"/>
            <w:tcBorders>
              <w:top w:val="single" w:sz="4" w:space="0" w:color="auto"/>
              <w:left w:val="nil"/>
              <w:bottom w:val="single" w:sz="4" w:space="0" w:color="auto"/>
              <w:right w:val="single" w:sz="4" w:space="0" w:color="auto"/>
            </w:tcBorders>
            <w:vAlign w:val="bottom"/>
          </w:tcPr>
          <w:p w14:paraId="6D766A6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#79; else = 0</w:t>
            </w:r>
          </w:p>
        </w:tc>
        <w:tc>
          <w:tcPr>
            <w:tcW w:w="2340" w:type="dxa"/>
            <w:tcBorders>
              <w:top w:val="single" w:sz="4" w:space="0" w:color="auto"/>
              <w:left w:val="nil"/>
              <w:bottom w:val="single" w:sz="4" w:space="0" w:color="auto"/>
              <w:right w:val="single" w:sz="4" w:space="0" w:color="auto"/>
            </w:tcBorders>
            <w:vAlign w:val="bottom"/>
          </w:tcPr>
          <w:p w14:paraId="72DDFCD0" w14:textId="69D8720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-0.7711</w:t>
            </w:r>
          </w:p>
        </w:tc>
      </w:tr>
      <w:tr w:rsidR="00F50A37" w:rsidRPr="004C7C89" w14:paraId="6D6691FD"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D2B8BC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31</w:t>
            </w:r>
          </w:p>
        </w:tc>
        <w:tc>
          <w:tcPr>
            <w:tcW w:w="2160" w:type="dxa"/>
            <w:tcBorders>
              <w:top w:val="single" w:sz="4" w:space="0" w:color="auto"/>
              <w:left w:val="nil"/>
              <w:bottom w:val="single" w:sz="4" w:space="0" w:color="auto"/>
              <w:right w:val="single" w:sz="4" w:space="0" w:color="auto"/>
            </w:tcBorders>
            <w:vAlign w:val="bottom"/>
          </w:tcPr>
          <w:p w14:paraId="2A9DA88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Angina Pectoris (HCC88)</w:t>
            </w:r>
          </w:p>
        </w:tc>
        <w:tc>
          <w:tcPr>
            <w:tcW w:w="3420" w:type="dxa"/>
            <w:tcBorders>
              <w:top w:val="single" w:sz="4" w:space="0" w:color="auto"/>
              <w:left w:val="nil"/>
              <w:bottom w:val="single" w:sz="4" w:space="0" w:color="auto"/>
              <w:right w:val="single" w:sz="4" w:space="0" w:color="auto"/>
            </w:tcBorders>
            <w:vAlign w:val="bottom"/>
          </w:tcPr>
          <w:p w14:paraId="7D574A6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#88; =0 if Item 21A = 0009; else = 0</w:t>
            </w:r>
          </w:p>
        </w:tc>
        <w:tc>
          <w:tcPr>
            <w:tcW w:w="2340" w:type="dxa"/>
            <w:tcBorders>
              <w:top w:val="single" w:sz="4" w:space="0" w:color="auto"/>
              <w:left w:val="nil"/>
              <w:bottom w:val="single" w:sz="4" w:space="0" w:color="auto"/>
              <w:right w:val="single" w:sz="4" w:space="0" w:color="auto"/>
            </w:tcBorders>
            <w:vAlign w:val="bottom"/>
          </w:tcPr>
          <w:p w14:paraId="18CF8D25" w14:textId="2F9B1989"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-0.3272</w:t>
            </w:r>
          </w:p>
        </w:tc>
      </w:tr>
      <w:tr w:rsidR="00F50A37" w:rsidRPr="004C7C89" w14:paraId="039F216A"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2FB970A"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32</w:t>
            </w:r>
          </w:p>
        </w:tc>
        <w:tc>
          <w:tcPr>
            <w:tcW w:w="2160" w:type="dxa"/>
            <w:tcBorders>
              <w:top w:val="single" w:sz="4" w:space="0" w:color="auto"/>
              <w:left w:val="nil"/>
              <w:bottom w:val="single" w:sz="4" w:space="0" w:color="auto"/>
              <w:right w:val="single" w:sz="4" w:space="0" w:color="auto"/>
            </w:tcBorders>
            <w:vAlign w:val="bottom"/>
          </w:tcPr>
          <w:p w14:paraId="58DE257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Cerebral Hemorrhage (HCC99); Ischemic or Unspecified Stroke</w:t>
            </w:r>
            <w:r w:rsidRPr="0044180F">
              <w:rPr>
                <w:rFonts w:asciiTheme="minorHAnsi" w:hAnsiTheme="minorHAnsi" w:cstheme="minorHAnsi"/>
                <w:color w:val="0000FF"/>
                <w:sz w:val="20"/>
                <w:szCs w:val="22"/>
              </w:rPr>
              <w:br/>
              <w:t>(HCC100); Cerebrovascular Atherosclerosis, Aneurysm, and Other</w:t>
            </w:r>
            <w:r w:rsidRPr="0044180F">
              <w:rPr>
                <w:rFonts w:asciiTheme="minorHAnsi" w:hAnsiTheme="minorHAnsi" w:cstheme="minorHAnsi"/>
                <w:color w:val="0000FF"/>
                <w:sz w:val="20"/>
                <w:szCs w:val="22"/>
              </w:rPr>
              <w:br/>
              <w:t>Disease(HCC102); Hemiplegia/Other Late Effects of CVA:</w:t>
            </w:r>
            <w:r w:rsidRPr="0044180F">
              <w:rPr>
                <w:rFonts w:asciiTheme="minorHAnsi" w:hAnsiTheme="minorHAnsi" w:cstheme="minorHAnsi"/>
                <w:color w:val="0000FF"/>
                <w:sz w:val="20"/>
                <w:szCs w:val="22"/>
              </w:rPr>
              <w:br/>
              <w:t>Hemiplegia/Hemiparesis (HCC103); Late Effects of Cerebrovascular</w:t>
            </w:r>
            <w:r w:rsidRPr="0044180F">
              <w:rPr>
                <w:rFonts w:asciiTheme="minorHAnsi" w:hAnsiTheme="minorHAnsi" w:cstheme="minorHAnsi"/>
                <w:color w:val="0000FF"/>
                <w:sz w:val="20"/>
                <w:szCs w:val="22"/>
              </w:rPr>
              <w:br/>
              <w:t>Disease Except Paralysis (HCC105)</w:t>
            </w:r>
          </w:p>
        </w:tc>
        <w:tc>
          <w:tcPr>
            <w:tcW w:w="3420" w:type="dxa"/>
            <w:tcBorders>
              <w:top w:val="single" w:sz="4" w:space="0" w:color="auto"/>
              <w:left w:val="nil"/>
              <w:bottom w:val="single" w:sz="4" w:space="0" w:color="auto"/>
              <w:right w:val="single" w:sz="4" w:space="0" w:color="auto"/>
            </w:tcBorders>
            <w:vAlign w:val="bottom"/>
          </w:tcPr>
          <w:p w14:paraId="5D50F17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#99; HCC #100; HCC #102; HCC #103; HCC #105; =0 if Primary Diagnosis Group = Stroke; else = 0</w:t>
            </w:r>
          </w:p>
        </w:tc>
        <w:tc>
          <w:tcPr>
            <w:tcW w:w="2340" w:type="dxa"/>
            <w:tcBorders>
              <w:top w:val="single" w:sz="4" w:space="0" w:color="auto"/>
              <w:left w:val="nil"/>
              <w:bottom w:val="single" w:sz="4" w:space="0" w:color="auto"/>
              <w:right w:val="single" w:sz="4" w:space="0" w:color="auto"/>
            </w:tcBorders>
            <w:vAlign w:val="bottom"/>
          </w:tcPr>
          <w:p w14:paraId="054D5AC0" w14:textId="6C2F6FF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-2.2688</w:t>
            </w:r>
          </w:p>
        </w:tc>
      </w:tr>
      <w:tr w:rsidR="00F50A37" w:rsidRPr="004C7C89" w14:paraId="2A8D54F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AD192B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33</w:t>
            </w:r>
          </w:p>
        </w:tc>
        <w:tc>
          <w:tcPr>
            <w:tcW w:w="2160" w:type="dxa"/>
            <w:tcBorders>
              <w:top w:val="single" w:sz="4" w:space="0" w:color="auto"/>
              <w:left w:val="nil"/>
              <w:bottom w:val="single" w:sz="4" w:space="0" w:color="auto"/>
              <w:right w:val="single" w:sz="4" w:space="0" w:color="auto"/>
            </w:tcBorders>
            <w:vAlign w:val="bottom"/>
          </w:tcPr>
          <w:p w14:paraId="24F51FB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Atherosclerosis of the Extremities with Ulceration or Gangrene</w:t>
            </w:r>
            <w:r w:rsidRPr="0044180F">
              <w:rPr>
                <w:rFonts w:asciiTheme="minorHAnsi" w:hAnsiTheme="minorHAnsi" w:cstheme="minorHAnsi"/>
                <w:color w:val="0000FF"/>
                <w:sz w:val="20"/>
                <w:szCs w:val="22"/>
              </w:rPr>
              <w:br/>
              <w:t>(HCC106)</w:t>
            </w:r>
          </w:p>
        </w:tc>
        <w:tc>
          <w:tcPr>
            <w:tcW w:w="3420" w:type="dxa"/>
            <w:tcBorders>
              <w:top w:val="single" w:sz="4" w:space="0" w:color="auto"/>
              <w:left w:val="nil"/>
              <w:bottom w:val="single" w:sz="4" w:space="0" w:color="auto"/>
              <w:right w:val="single" w:sz="4" w:space="0" w:color="auto"/>
            </w:tcBorders>
            <w:vAlign w:val="bottom"/>
          </w:tcPr>
          <w:p w14:paraId="6ACF592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#106; =0 if Item 21A = 0017.4; else = 0</w:t>
            </w:r>
          </w:p>
        </w:tc>
        <w:tc>
          <w:tcPr>
            <w:tcW w:w="2340" w:type="dxa"/>
            <w:tcBorders>
              <w:top w:val="single" w:sz="4" w:space="0" w:color="auto"/>
              <w:left w:val="nil"/>
              <w:bottom w:val="single" w:sz="4" w:space="0" w:color="auto"/>
              <w:right w:val="single" w:sz="4" w:space="0" w:color="auto"/>
            </w:tcBorders>
            <w:vAlign w:val="bottom"/>
          </w:tcPr>
          <w:p w14:paraId="2F9CB9B6" w14:textId="72E63BD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-1.3037</w:t>
            </w:r>
          </w:p>
        </w:tc>
      </w:tr>
      <w:tr w:rsidR="00F50A37" w:rsidRPr="004C7C89" w14:paraId="001D87D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B010CA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34</w:t>
            </w:r>
          </w:p>
        </w:tc>
        <w:tc>
          <w:tcPr>
            <w:tcW w:w="2160" w:type="dxa"/>
            <w:tcBorders>
              <w:top w:val="single" w:sz="4" w:space="0" w:color="auto"/>
              <w:left w:val="nil"/>
              <w:bottom w:val="single" w:sz="4" w:space="0" w:color="auto"/>
              <w:right w:val="single" w:sz="4" w:space="0" w:color="auto"/>
            </w:tcBorders>
            <w:vAlign w:val="bottom"/>
          </w:tcPr>
          <w:p w14:paraId="4250223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Aspiration, Bacterial, and Other Pneumonias: Aspiration and Specified</w:t>
            </w:r>
            <w:r w:rsidRPr="0044180F">
              <w:rPr>
                <w:rFonts w:asciiTheme="minorHAnsi" w:hAnsiTheme="minorHAnsi" w:cstheme="minorHAnsi"/>
                <w:color w:val="0000FF"/>
                <w:sz w:val="20"/>
                <w:szCs w:val="22"/>
              </w:rPr>
              <w:br/>
              <w:t>Bacterial Pneumonias (HCC114)</w:t>
            </w:r>
          </w:p>
        </w:tc>
        <w:tc>
          <w:tcPr>
            <w:tcW w:w="3420" w:type="dxa"/>
            <w:tcBorders>
              <w:top w:val="single" w:sz="4" w:space="0" w:color="auto"/>
              <w:left w:val="nil"/>
              <w:bottom w:val="single" w:sz="4" w:space="0" w:color="auto"/>
              <w:right w:val="single" w:sz="4" w:space="0" w:color="auto"/>
            </w:tcBorders>
            <w:vAlign w:val="bottom"/>
          </w:tcPr>
          <w:p w14:paraId="173E4C6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in Item 24 = see Crosswalk ICD-10 codes to HCC #114; =0 if Item 21A = 17.51 or 17.52; else = 0</w:t>
            </w:r>
          </w:p>
        </w:tc>
        <w:tc>
          <w:tcPr>
            <w:tcW w:w="2340" w:type="dxa"/>
            <w:tcBorders>
              <w:top w:val="single" w:sz="4" w:space="0" w:color="auto"/>
              <w:left w:val="nil"/>
              <w:bottom w:val="single" w:sz="4" w:space="0" w:color="auto"/>
              <w:right w:val="single" w:sz="4" w:space="0" w:color="auto"/>
            </w:tcBorders>
            <w:vAlign w:val="bottom"/>
          </w:tcPr>
          <w:p w14:paraId="4C053DB8" w14:textId="0593092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-0.2599</w:t>
            </w:r>
          </w:p>
        </w:tc>
      </w:tr>
      <w:tr w:rsidR="00F50A37" w:rsidRPr="004C7C89" w14:paraId="33BEAC1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7F0642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35</w:t>
            </w:r>
          </w:p>
        </w:tc>
        <w:tc>
          <w:tcPr>
            <w:tcW w:w="2160" w:type="dxa"/>
            <w:tcBorders>
              <w:top w:val="single" w:sz="4" w:space="0" w:color="auto"/>
              <w:left w:val="nil"/>
              <w:bottom w:val="single" w:sz="4" w:space="0" w:color="auto"/>
              <w:right w:val="single" w:sz="4" w:space="0" w:color="auto"/>
            </w:tcBorders>
            <w:vAlign w:val="bottom"/>
          </w:tcPr>
          <w:p w14:paraId="2C3FC08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Pneumococcal Pneumonia, Empyema, Lung Abscess (HCC115)</w:t>
            </w:r>
          </w:p>
        </w:tc>
        <w:tc>
          <w:tcPr>
            <w:tcW w:w="3420" w:type="dxa"/>
            <w:tcBorders>
              <w:top w:val="single" w:sz="4" w:space="0" w:color="auto"/>
              <w:left w:val="nil"/>
              <w:bottom w:val="single" w:sz="4" w:space="0" w:color="auto"/>
              <w:right w:val="single" w:sz="4" w:space="0" w:color="auto"/>
            </w:tcBorders>
            <w:vAlign w:val="bottom"/>
          </w:tcPr>
          <w:p w14:paraId="24C8F8E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in Item 24 = see Crosswalk ICD-10 codes to HCC #115; =0 if Item 21A = 17.51 or 17.52; else = 0</w:t>
            </w:r>
          </w:p>
        </w:tc>
        <w:tc>
          <w:tcPr>
            <w:tcW w:w="2340" w:type="dxa"/>
            <w:tcBorders>
              <w:top w:val="single" w:sz="4" w:space="0" w:color="auto"/>
              <w:left w:val="nil"/>
              <w:bottom w:val="single" w:sz="4" w:space="0" w:color="auto"/>
              <w:right w:val="single" w:sz="4" w:space="0" w:color="auto"/>
            </w:tcBorders>
            <w:vAlign w:val="bottom"/>
          </w:tcPr>
          <w:p w14:paraId="4D00D380" w14:textId="74D36A8B"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-0.2686</w:t>
            </w:r>
          </w:p>
        </w:tc>
      </w:tr>
      <w:tr w:rsidR="00F50A37" w:rsidRPr="004C7C89" w14:paraId="4119626F"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4DC63D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36</w:t>
            </w:r>
          </w:p>
        </w:tc>
        <w:tc>
          <w:tcPr>
            <w:tcW w:w="2160" w:type="dxa"/>
            <w:tcBorders>
              <w:top w:val="single" w:sz="4" w:space="0" w:color="auto"/>
              <w:left w:val="nil"/>
              <w:bottom w:val="single" w:sz="4" w:space="0" w:color="auto"/>
              <w:right w:val="single" w:sz="4" w:space="0" w:color="auto"/>
            </w:tcBorders>
            <w:vAlign w:val="bottom"/>
          </w:tcPr>
          <w:p w14:paraId="05F0050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Legally Blind (HCC119 )</w:t>
            </w:r>
          </w:p>
        </w:tc>
        <w:tc>
          <w:tcPr>
            <w:tcW w:w="3420" w:type="dxa"/>
            <w:tcBorders>
              <w:top w:val="single" w:sz="4" w:space="0" w:color="auto"/>
              <w:left w:val="nil"/>
              <w:bottom w:val="single" w:sz="4" w:space="0" w:color="auto"/>
              <w:right w:val="single" w:sz="4" w:space="0" w:color="auto"/>
            </w:tcBorders>
            <w:vAlign w:val="bottom"/>
          </w:tcPr>
          <w:p w14:paraId="63FCCA88"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#119; else = 0</w:t>
            </w:r>
          </w:p>
        </w:tc>
        <w:tc>
          <w:tcPr>
            <w:tcW w:w="2340" w:type="dxa"/>
            <w:tcBorders>
              <w:top w:val="single" w:sz="4" w:space="0" w:color="auto"/>
              <w:left w:val="nil"/>
              <w:bottom w:val="single" w:sz="4" w:space="0" w:color="auto"/>
              <w:right w:val="single" w:sz="4" w:space="0" w:color="auto"/>
            </w:tcBorders>
            <w:vAlign w:val="bottom"/>
          </w:tcPr>
          <w:p w14:paraId="73F2B512" w14:textId="6DAB51FA"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-3.6968</w:t>
            </w:r>
          </w:p>
        </w:tc>
      </w:tr>
      <w:tr w:rsidR="00F50A37" w:rsidRPr="004C7C89" w14:paraId="67C9448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05E20F9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37</w:t>
            </w:r>
          </w:p>
        </w:tc>
        <w:tc>
          <w:tcPr>
            <w:tcW w:w="2160" w:type="dxa"/>
            <w:tcBorders>
              <w:top w:val="single" w:sz="4" w:space="0" w:color="auto"/>
              <w:left w:val="nil"/>
              <w:bottom w:val="single" w:sz="4" w:space="0" w:color="auto"/>
              <w:right w:val="single" w:sz="4" w:space="0" w:color="auto"/>
            </w:tcBorders>
            <w:vAlign w:val="bottom"/>
          </w:tcPr>
          <w:p w14:paraId="4C7C264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Proliferative Diabetic Retinopathy and Vitreous Hemorrhage</w:t>
            </w:r>
            <w:r w:rsidRPr="0044180F">
              <w:rPr>
                <w:rFonts w:asciiTheme="minorHAnsi" w:hAnsiTheme="minorHAnsi" w:cstheme="minorHAnsi"/>
                <w:color w:val="0000FF"/>
                <w:sz w:val="20"/>
                <w:szCs w:val="22"/>
              </w:rPr>
              <w:br/>
              <w:t>(HCC122); Diabetic and Other Vascular Retinopathies (HCC123)</w:t>
            </w:r>
          </w:p>
        </w:tc>
        <w:tc>
          <w:tcPr>
            <w:tcW w:w="3420" w:type="dxa"/>
            <w:tcBorders>
              <w:top w:val="single" w:sz="4" w:space="0" w:color="auto"/>
              <w:left w:val="nil"/>
              <w:bottom w:val="single" w:sz="4" w:space="0" w:color="auto"/>
              <w:right w:val="single" w:sz="4" w:space="0" w:color="auto"/>
            </w:tcBorders>
            <w:vAlign w:val="bottom"/>
          </w:tcPr>
          <w:p w14:paraId="51D68F79"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#122; HCC #123; else = 0</w:t>
            </w:r>
          </w:p>
        </w:tc>
        <w:tc>
          <w:tcPr>
            <w:tcW w:w="2340" w:type="dxa"/>
            <w:tcBorders>
              <w:top w:val="single" w:sz="4" w:space="0" w:color="auto"/>
              <w:left w:val="nil"/>
              <w:bottom w:val="single" w:sz="4" w:space="0" w:color="auto"/>
              <w:right w:val="single" w:sz="4" w:space="0" w:color="auto"/>
            </w:tcBorders>
            <w:vAlign w:val="bottom"/>
          </w:tcPr>
          <w:p w14:paraId="2F4AE894" w14:textId="6074CAD8"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-1.7997</w:t>
            </w:r>
          </w:p>
        </w:tc>
      </w:tr>
      <w:tr w:rsidR="00F50A37" w:rsidRPr="004C7C89" w14:paraId="646BCD5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2F56521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38</w:t>
            </w:r>
          </w:p>
        </w:tc>
        <w:tc>
          <w:tcPr>
            <w:tcW w:w="2160" w:type="dxa"/>
            <w:tcBorders>
              <w:top w:val="single" w:sz="4" w:space="0" w:color="auto"/>
              <w:left w:val="nil"/>
              <w:bottom w:val="single" w:sz="4" w:space="0" w:color="auto"/>
              <w:right w:val="single" w:sz="4" w:space="0" w:color="auto"/>
            </w:tcBorders>
            <w:vAlign w:val="bottom"/>
          </w:tcPr>
          <w:p w14:paraId="1D9944C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Dialysis and Chronic Kidney Disease - Stage 5: Dialysis Status</w:t>
            </w:r>
            <w:r w:rsidRPr="0044180F">
              <w:rPr>
                <w:rFonts w:asciiTheme="minorHAnsi" w:hAnsiTheme="minorHAnsi" w:cstheme="minorHAnsi"/>
                <w:color w:val="0000FF"/>
                <w:sz w:val="20"/>
                <w:szCs w:val="22"/>
              </w:rPr>
              <w:br/>
              <w:t>(HCC134); Chronic Kidney Disease, Stage 5 (HCC136)</w:t>
            </w:r>
          </w:p>
        </w:tc>
        <w:tc>
          <w:tcPr>
            <w:tcW w:w="3420" w:type="dxa"/>
            <w:tcBorders>
              <w:top w:val="single" w:sz="4" w:space="0" w:color="auto"/>
              <w:left w:val="nil"/>
              <w:bottom w:val="single" w:sz="4" w:space="0" w:color="auto"/>
              <w:right w:val="single" w:sz="4" w:space="0" w:color="auto"/>
            </w:tcBorders>
            <w:vAlign w:val="bottom"/>
          </w:tcPr>
          <w:p w14:paraId="1BEF839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#134; HCC #136; =0 if Item 21A = 0017.9 or 22A, 22B or 22C = N18.5; else = 0</w:t>
            </w:r>
          </w:p>
        </w:tc>
        <w:tc>
          <w:tcPr>
            <w:tcW w:w="2340" w:type="dxa"/>
            <w:tcBorders>
              <w:top w:val="single" w:sz="4" w:space="0" w:color="auto"/>
              <w:left w:val="nil"/>
              <w:bottom w:val="single" w:sz="4" w:space="0" w:color="auto"/>
              <w:right w:val="single" w:sz="4" w:space="0" w:color="auto"/>
            </w:tcBorders>
            <w:vAlign w:val="bottom"/>
          </w:tcPr>
          <w:p w14:paraId="4E9926A1" w14:textId="7B96B76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-2.8110</w:t>
            </w:r>
          </w:p>
        </w:tc>
      </w:tr>
      <w:tr w:rsidR="00F50A37" w:rsidRPr="004C7C89" w14:paraId="6C1D9DA6"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6B1A78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39</w:t>
            </w:r>
          </w:p>
        </w:tc>
        <w:tc>
          <w:tcPr>
            <w:tcW w:w="2160" w:type="dxa"/>
            <w:tcBorders>
              <w:top w:val="single" w:sz="4" w:space="0" w:color="auto"/>
              <w:left w:val="nil"/>
              <w:bottom w:val="single" w:sz="4" w:space="0" w:color="auto"/>
              <w:right w:val="single" w:sz="4" w:space="0" w:color="auto"/>
            </w:tcBorders>
            <w:vAlign w:val="bottom"/>
          </w:tcPr>
          <w:p w14:paraId="3874918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Acute Renal Failure (HCC135)</w:t>
            </w:r>
          </w:p>
        </w:tc>
        <w:tc>
          <w:tcPr>
            <w:tcW w:w="3420" w:type="dxa"/>
            <w:tcBorders>
              <w:top w:val="single" w:sz="4" w:space="0" w:color="auto"/>
              <w:left w:val="nil"/>
              <w:bottom w:val="single" w:sz="4" w:space="0" w:color="auto"/>
              <w:right w:val="single" w:sz="4" w:space="0" w:color="auto"/>
            </w:tcBorders>
            <w:vAlign w:val="bottom"/>
          </w:tcPr>
          <w:p w14:paraId="6AFEC2D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#135; =0 if Item 21A = 0017.9; else = 0</w:t>
            </w:r>
          </w:p>
        </w:tc>
        <w:tc>
          <w:tcPr>
            <w:tcW w:w="2340" w:type="dxa"/>
            <w:tcBorders>
              <w:top w:val="single" w:sz="4" w:space="0" w:color="auto"/>
              <w:left w:val="nil"/>
              <w:bottom w:val="single" w:sz="4" w:space="0" w:color="auto"/>
              <w:right w:val="single" w:sz="4" w:space="0" w:color="auto"/>
            </w:tcBorders>
            <w:vAlign w:val="bottom"/>
          </w:tcPr>
          <w:p w14:paraId="4A850500" w14:textId="6005E83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-0.5551</w:t>
            </w:r>
          </w:p>
        </w:tc>
      </w:tr>
      <w:tr w:rsidR="00F50A37" w:rsidRPr="004C7C89" w14:paraId="33BB62A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735E28A"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40</w:t>
            </w:r>
          </w:p>
        </w:tc>
        <w:tc>
          <w:tcPr>
            <w:tcW w:w="2160" w:type="dxa"/>
            <w:tcBorders>
              <w:top w:val="single" w:sz="4" w:space="0" w:color="auto"/>
              <w:left w:val="nil"/>
              <w:bottom w:val="single" w:sz="4" w:space="0" w:color="auto"/>
              <w:right w:val="single" w:sz="4" w:space="0" w:color="auto"/>
            </w:tcBorders>
            <w:vAlign w:val="bottom"/>
          </w:tcPr>
          <w:p w14:paraId="79409E1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Kidney Disease, Severe (Stage 4) (HCC137)</w:t>
            </w:r>
          </w:p>
        </w:tc>
        <w:tc>
          <w:tcPr>
            <w:tcW w:w="3420" w:type="dxa"/>
            <w:tcBorders>
              <w:top w:val="single" w:sz="4" w:space="0" w:color="auto"/>
              <w:left w:val="nil"/>
              <w:bottom w:val="single" w:sz="4" w:space="0" w:color="auto"/>
              <w:right w:val="single" w:sz="4" w:space="0" w:color="auto"/>
            </w:tcBorders>
            <w:vAlign w:val="bottom"/>
          </w:tcPr>
          <w:p w14:paraId="3EFD25D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#137; =0 if 22A, 22B or 22C = N18.1 or N18.2 or N18.3 or N18.4 or N18.9; else = 0</w:t>
            </w:r>
          </w:p>
        </w:tc>
        <w:tc>
          <w:tcPr>
            <w:tcW w:w="2340" w:type="dxa"/>
            <w:tcBorders>
              <w:top w:val="single" w:sz="4" w:space="0" w:color="auto"/>
              <w:left w:val="nil"/>
              <w:bottom w:val="single" w:sz="4" w:space="0" w:color="auto"/>
              <w:right w:val="single" w:sz="4" w:space="0" w:color="auto"/>
            </w:tcBorders>
            <w:vAlign w:val="bottom"/>
          </w:tcPr>
          <w:p w14:paraId="10A20C37" w14:textId="5DA985A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-1.0977</w:t>
            </w:r>
          </w:p>
        </w:tc>
      </w:tr>
      <w:tr w:rsidR="00F50A37" w:rsidRPr="004C7C89" w14:paraId="32368CD8"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36C4CE9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41</w:t>
            </w:r>
          </w:p>
        </w:tc>
        <w:tc>
          <w:tcPr>
            <w:tcW w:w="2160" w:type="dxa"/>
            <w:tcBorders>
              <w:top w:val="single" w:sz="4" w:space="0" w:color="auto"/>
              <w:left w:val="nil"/>
              <w:bottom w:val="single" w:sz="4" w:space="0" w:color="auto"/>
              <w:right w:val="single" w:sz="4" w:space="0" w:color="auto"/>
            </w:tcBorders>
            <w:vAlign w:val="bottom"/>
          </w:tcPr>
          <w:p w14:paraId="3735CDC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Kidney Disease, Moderate (Stage 3) (HCC138)</w:t>
            </w:r>
          </w:p>
        </w:tc>
        <w:tc>
          <w:tcPr>
            <w:tcW w:w="3420" w:type="dxa"/>
            <w:tcBorders>
              <w:top w:val="single" w:sz="4" w:space="0" w:color="auto"/>
              <w:left w:val="nil"/>
              <w:bottom w:val="single" w:sz="4" w:space="0" w:color="auto"/>
              <w:right w:val="single" w:sz="4" w:space="0" w:color="auto"/>
            </w:tcBorders>
            <w:vAlign w:val="bottom"/>
          </w:tcPr>
          <w:p w14:paraId="2624D04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#138; =0 if 22A, 22B or 22C = N18.1 or N18.2 or N18.3 or N18.4 or N18.9; else = 0</w:t>
            </w:r>
          </w:p>
        </w:tc>
        <w:tc>
          <w:tcPr>
            <w:tcW w:w="2340" w:type="dxa"/>
            <w:tcBorders>
              <w:top w:val="single" w:sz="4" w:space="0" w:color="auto"/>
              <w:left w:val="nil"/>
              <w:bottom w:val="single" w:sz="4" w:space="0" w:color="auto"/>
              <w:right w:val="single" w:sz="4" w:space="0" w:color="auto"/>
            </w:tcBorders>
            <w:vAlign w:val="bottom"/>
          </w:tcPr>
          <w:p w14:paraId="6D56B3A4" w14:textId="4B78458F"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-0.3368</w:t>
            </w:r>
          </w:p>
        </w:tc>
      </w:tr>
      <w:tr w:rsidR="00F50A37" w:rsidRPr="004C7C89" w14:paraId="5BD85B15"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71C6147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42</w:t>
            </w:r>
          </w:p>
        </w:tc>
        <w:tc>
          <w:tcPr>
            <w:tcW w:w="2160" w:type="dxa"/>
            <w:tcBorders>
              <w:top w:val="single" w:sz="4" w:space="0" w:color="auto"/>
              <w:left w:val="nil"/>
              <w:bottom w:val="single" w:sz="4" w:space="0" w:color="auto"/>
              <w:right w:val="single" w:sz="4" w:space="0" w:color="auto"/>
            </w:tcBorders>
            <w:vAlign w:val="bottom"/>
          </w:tcPr>
          <w:p w14:paraId="570BAC1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Urinary Obstruction and Retention (HCC142 )</w:t>
            </w:r>
          </w:p>
        </w:tc>
        <w:tc>
          <w:tcPr>
            <w:tcW w:w="3420" w:type="dxa"/>
            <w:tcBorders>
              <w:top w:val="single" w:sz="4" w:space="0" w:color="auto"/>
              <w:left w:val="nil"/>
              <w:bottom w:val="single" w:sz="4" w:space="0" w:color="auto"/>
              <w:right w:val="single" w:sz="4" w:space="0" w:color="auto"/>
            </w:tcBorders>
            <w:vAlign w:val="bottom"/>
          </w:tcPr>
          <w:p w14:paraId="75D6A5A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 xml:space="preserve">=1 if Item 24 = see Crosswalk ICD-10 codes to HCC #142; else = 0 </w:t>
            </w:r>
          </w:p>
        </w:tc>
        <w:tc>
          <w:tcPr>
            <w:tcW w:w="2340" w:type="dxa"/>
            <w:tcBorders>
              <w:top w:val="single" w:sz="4" w:space="0" w:color="auto"/>
              <w:left w:val="nil"/>
              <w:bottom w:val="single" w:sz="4" w:space="0" w:color="auto"/>
              <w:right w:val="single" w:sz="4" w:space="0" w:color="auto"/>
            </w:tcBorders>
            <w:vAlign w:val="bottom"/>
          </w:tcPr>
          <w:p w14:paraId="469EF98C" w14:textId="60115125"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-1.4022</w:t>
            </w:r>
          </w:p>
        </w:tc>
      </w:tr>
      <w:tr w:rsidR="00F50A37" w:rsidRPr="004C7C89" w14:paraId="620E460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62B0BB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43</w:t>
            </w:r>
          </w:p>
        </w:tc>
        <w:tc>
          <w:tcPr>
            <w:tcW w:w="2160" w:type="dxa"/>
            <w:tcBorders>
              <w:top w:val="single" w:sz="4" w:space="0" w:color="auto"/>
              <w:left w:val="nil"/>
              <w:bottom w:val="single" w:sz="4" w:space="0" w:color="auto"/>
              <w:right w:val="single" w:sz="4" w:space="0" w:color="auto"/>
            </w:tcBorders>
            <w:vAlign w:val="bottom"/>
          </w:tcPr>
          <w:p w14:paraId="0C6C880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Chronic Ulcer of Skin, Excluding Pressure Ulcer (HCC161)</w:t>
            </w:r>
          </w:p>
        </w:tc>
        <w:tc>
          <w:tcPr>
            <w:tcW w:w="3420" w:type="dxa"/>
            <w:tcBorders>
              <w:top w:val="single" w:sz="4" w:space="0" w:color="auto"/>
              <w:left w:val="nil"/>
              <w:bottom w:val="single" w:sz="4" w:space="0" w:color="auto"/>
              <w:right w:val="single" w:sz="4" w:space="0" w:color="auto"/>
            </w:tcBorders>
            <w:vAlign w:val="bottom"/>
          </w:tcPr>
          <w:p w14:paraId="3AAC332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#161; =0 if Item 21A = 0017.7; else = 0</w:t>
            </w:r>
          </w:p>
        </w:tc>
        <w:tc>
          <w:tcPr>
            <w:tcW w:w="2340" w:type="dxa"/>
            <w:tcBorders>
              <w:top w:val="single" w:sz="4" w:space="0" w:color="auto"/>
              <w:left w:val="nil"/>
              <w:bottom w:val="single" w:sz="4" w:space="0" w:color="auto"/>
              <w:right w:val="single" w:sz="4" w:space="0" w:color="auto"/>
            </w:tcBorders>
            <w:vAlign w:val="bottom"/>
          </w:tcPr>
          <w:p w14:paraId="7B32AC70" w14:textId="1362DC4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-1.3206</w:t>
            </w:r>
          </w:p>
        </w:tc>
      </w:tr>
      <w:tr w:rsidR="00F50A37" w:rsidRPr="004C7C89" w14:paraId="2160C66B"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8A0CEB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44</w:t>
            </w:r>
          </w:p>
        </w:tc>
        <w:tc>
          <w:tcPr>
            <w:tcW w:w="2160" w:type="dxa"/>
            <w:tcBorders>
              <w:top w:val="single" w:sz="4" w:space="0" w:color="auto"/>
              <w:left w:val="nil"/>
              <w:bottom w:val="single" w:sz="4" w:space="0" w:color="auto"/>
              <w:right w:val="single" w:sz="4" w:space="0" w:color="auto"/>
            </w:tcBorders>
            <w:vAlign w:val="bottom"/>
          </w:tcPr>
          <w:p w14:paraId="2C26EBFE"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Severe Skin Burn or Condition (HCC162)</w:t>
            </w:r>
          </w:p>
        </w:tc>
        <w:tc>
          <w:tcPr>
            <w:tcW w:w="3420" w:type="dxa"/>
            <w:tcBorders>
              <w:top w:val="single" w:sz="4" w:space="0" w:color="auto"/>
              <w:left w:val="nil"/>
              <w:bottom w:val="single" w:sz="4" w:space="0" w:color="auto"/>
              <w:right w:val="single" w:sz="4" w:space="0" w:color="auto"/>
            </w:tcBorders>
            <w:vAlign w:val="bottom"/>
          </w:tcPr>
          <w:p w14:paraId="6C383AE0"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#162; =0 if Item 21A = 0011; else = 0</w:t>
            </w:r>
          </w:p>
        </w:tc>
        <w:tc>
          <w:tcPr>
            <w:tcW w:w="2340" w:type="dxa"/>
            <w:tcBorders>
              <w:top w:val="single" w:sz="4" w:space="0" w:color="auto"/>
              <w:left w:val="nil"/>
              <w:bottom w:val="single" w:sz="4" w:space="0" w:color="auto"/>
              <w:right w:val="single" w:sz="4" w:space="0" w:color="auto"/>
            </w:tcBorders>
            <w:vAlign w:val="bottom"/>
          </w:tcPr>
          <w:p w14:paraId="443787C7" w14:textId="52A834A0"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-1.0960</w:t>
            </w:r>
          </w:p>
        </w:tc>
      </w:tr>
      <w:tr w:rsidR="00F50A37" w:rsidRPr="004C7C89" w14:paraId="16FBC866"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18A8CAA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45</w:t>
            </w:r>
          </w:p>
        </w:tc>
        <w:tc>
          <w:tcPr>
            <w:tcW w:w="2160" w:type="dxa"/>
            <w:tcBorders>
              <w:top w:val="single" w:sz="4" w:space="0" w:color="auto"/>
              <w:left w:val="nil"/>
              <w:bottom w:val="single" w:sz="4" w:space="0" w:color="auto"/>
              <w:right w:val="single" w:sz="4" w:space="0" w:color="auto"/>
            </w:tcBorders>
            <w:vAlign w:val="bottom"/>
          </w:tcPr>
          <w:p w14:paraId="1E72D244"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Hip Fracture/Dislocation (HCC170)</w:t>
            </w:r>
          </w:p>
        </w:tc>
        <w:tc>
          <w:tcPr>
            <w:tcW w:w="3420" w:type="dxa"/>
            <w:tcBorders>
              <w:top w:val="single" w:sz="4" w:space="0" w:color="auto"/>
              <w:left w:val="nil"/>
              <w:bottom w:val="single" w:sz="4" w:space="0" w:color="auto"/>
              <w:right w:val="single" w:sz="4" w:space="0" w:color="auto"/>
            </w:tcBorders>
            <w:vAlign w:val="bottom"/>
          </w:tcPr>
          <w:p w14:paraId="35F948A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#170; =0 if Item 21A = 0008.51 or 0008.52 or 0008.11 or 0008.12 or 0008.3; else = 0</w:t>
            </w:r>
          </w:p>
        </w:tc>
        <w:tc>
          <w:tcPr>
            <w:tcW w:w="2340" w:type="dxa"/>
            <w:tcBorders>
              <w:top w:val="single" w:sz="4" w:space="0" w:color="auto"/>
              <w:left w:val="nil"/>
              <w:bottom w:val="single" w:sz="4" w:space="0" w:color="auto"/>
              <w:right w:val="single" w:sz="4" w:space="0" w:color="auto"/>
            </w:tcBorders>
            <w:vAlign w:val="bottom"/>
          </w:tcPr>
          <w:p w14:paraId="37641EBB" w14:textId="19F7D2DE"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-2.1596</w:t>
            </w:r>
          </w:p>
        </w:tc>
      </w:tr>
      <w:tr w:rsidR="00F50A37" w:rsidRPr="004C7C89" w14:paraId="223E9B09"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443AA1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46</w:t>
            </w:r>
          </w:p>
        </w:tc>
        <w:tc>
          <w:tcPr>
            <w:tcW w:w="2160" w:type="dxa"/>
            <w:tcBorders>
              <w:top w:val="single" w:sz="4" w:space="0" w:color="auto"/>
              <w:left w:val="nil"/>
              <w:bottom w:val="single" w:sz="4" w:space="0" w:color="auto"/>
              <w:right w:val="single" w:sz="4" w:space="0" w:color="auto"/>
            </w:tcBorders>
            <w:vAlign w:val="bottom"/>
          </w:tcPr>
          <w:p w14:paraId="42E07D8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Fracture, Except of Skull, Vertebrae, or Hip (HCC171 )</w:t>
            </w:r>
          </w:p>
        </w:tc>
        <w:tc>
          <w:tcPr>
            <w:tcW w:w="3420" w:type="dxa"/>
            <w:tcBorders>
              <w:top w:val="single" w:sz="4" w:space="0" w:color="auto"/>
              <w:left w:val="nil"/>
              <w:bottom w:val="single" w:sz="4" w:space="0" w:color="auto"/>
              <w:right w:val="single" w:sz="4" w:space="0" w:color="auto"/>
            </w:tcBorders>
            <w:vAlign w:val="bottom"/>
          </w:tcPr>
          <w:p w14:paraId="393BBF91"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#171; =0 if Item 21A = 0008.2 or 0008.4 or 0008.9 or 0014.9; else = 0</w:t>
            </w:r>
          </w:p>
        </w:tc>
        <w:tc>
          <w:tcPr>
            <w:tcW w:w="2340" w:type="dxa"/>
            <w:tcBorders>
              <w:top w:val="single" w:sz="4" w:space="0" w:color="auto"/>
              <w:left w:val="nil"/>
              <w:bottom w:val="single" w:sz="4" w:space="0" w:color="auto"/>
              <w:right w:val="single" w:sz="4" w:space="0" w:color="auto"/>
            </w:tcBorders>
            <w:vAlign w:val="bottom"/>
          </w:tcPr>
          <w:p w14:paraId="4430E143" w14:textId="536141F9"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-3.5896</w:t>
            </w:r>
          </w:p>
        </w:tc>
      </w:tr>
      <w:tr w:rsidR="00F50A37" w:rsidRPr="004C7C89" w14:paraId="1A37864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6CE7DFD"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47</w:t>
            </w:r>
          </w:p>
        </w:tc>
        <w:tc>
          <w:tcPr>
            <w:tcW w:w="2160" w:type="dxa"/>
            <w:tcBorders>
              <w:top w:val="single" w:sz="4" w:space="0" w:color="auto"/>
              <w:left w:val="nil"/>
              <w:bottom w:val="single" w:sz="4" w:space="0" w:color="auto"/>
              <w:right w:val="single" w:sz="4" w:space="0" w:color="auto"/>
            </w:tcBorders>
            <w:vAlign w:val="bottom"/>
          </w:tcPr>
          <w:p w14:paraId="4AC424F5"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Complication of Specified Implanted Device or Graft (HCC176)</w:t>
            </w:r>
          </w:p>
        </w:tc>
        <w:tc>
          <w:tcPr>
            <w:tcW w:w="3420" w:type="dxa"/>
            <w:tcBorders>
              <w:top w:val="single" w:sz="4" w:space="0" w:color="auto"/>
              <w:left w:val="nil"/>
              <w:bottom w:val="single" w:sz="4" w:space="0" w:color="auto"/>
              <w:right w:val="single" w:sz="4" w:space="0" w:color="auto"/>
            </w:tcBorders>
            <w:vAlign w:val="bottom"/>
          </w:tcPr>
          <w:p w14:paraId="61CAA0D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#176; =0 if Primary Diagnosis Code = Hip and Knee Replacements; =0 if Item 21A = 0017.8; else = 0</w:t>
            </w:r>
          </w:p>
        </w:tc>
        <w:tc>
          <w:tcPr>
            <w:tcW w:w="2340" w:type="dxa"/>
            <w:tcBorders>
              <w:top w:val="single" w:sz="4" w:space="0" w:color="auto"/>
              <w:left w:val="nil"/>
              <w:bottom w:val="single" w:sz="4" w:space="0" w:color="auto"/>
              <w:right w:val="single" w:sz="4" w:space="0" w:color="auto"/>
            </w:tcBorders>
            <w:vAlign w:val="bottom"/>
          </w:tcPr>
          <w:p w14:paraId="358A6AFF" w14:textId="552CD78E"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-2.1571</w:t>
            </w:r>
          </w:p>
        </w:tc>
      </w:tr>
      <w:tr w:rsidR="00F50A37" w:rsidRPr="004C7C89" w14:paraId="622F8E33"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F26991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48</w:t>
            </w:r>
          </w:p>
        </w:tc>
        <w:tc>
          <w:tcPr>
            <w:tcW w:w="2160" w:type="dxa"/>
            <w:tcBorders>
              <w:top w:val="single" w:sz="4" w:space="0" w:color="auto"/>
              <w:left w:val="nil"/>
              <w:bottom w:val="single" w:sz="4" w:space="0" w:color="auto"/>
              <w:right w:val="single" w:sz="4" w:space="0" w:color="auto"/>
            </w:tcBorders>
            <w:vAlign w:val="bottom"/>
          </w:tcPr>
          <w:p w14:paraId="66CB347C"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Amputation Status, Lower Limb/Amputation Complications (HCC189)</w:t>
            </w:r>
          </w:p>
        </w:tc>
        <w:tc>
          <w:tcPr>
            <w:tcW w:w="3420" w:type="dxa"/>
            <w:tcBorders>
              <w:top w:val="single" w:sz="4" w:space="0" w:color="auto"/>
              <w:left w:val="nil"/>
              <w:bottom w:val="single" w:sz="4" w:space="0" w:color="auto"/>
              <w:right w:val="single" w:sz="4" w:space="0" w:color="auto"/>
            </w:tcBorders>
            <w:vAlign w:val="bottom"/>
          </w:tcPr>
          <w:p w14:paraId="1CA956E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#189; =0 if Primary Diagnosis Group (calculated above) = Amputation; else = 0</w:t>
            </w:r>
          </w:p>
        </w:tc>
        <w:tc>
          <w:tcPr>
            <w:tcW w:w="2340" w:type="dxa"/>
            <w:tcBorders>
              <w:top w:val="single" w:sz="4" w:space="0" w:color="auto"/>
              <w:left w:val="nil"/>
              <w:bottom w:val="single" w:sz="4" w:space="0" w:color="auto"/>
              <w:right w:val="single" w:sz="4" w:space="0" w:color="auto"/>
            </w:tcBorders>
            <w:vAlign w:val="bottom"/>
          </w:tcPr>
          <w:p w14:paraId="2778D928" w14:textId="34564438"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-2.8671</w:t>
            </w:r>
          </w:p>
        </w:tc>
      </w:tr>
      <w:tr w:rsidR="00F50A37" w:rsidRPr="004C7C89" w14:paraId="163680F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556F1CFB"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Comorbidity Condition Group 49</w:t>
            </w:r>
          </w:p>
        </w:tc>
        <w:tc>
          <w:tcPr>
            <w:tcW w:w="2160" w:type="dxa"/>
            <w:tcBorders>
              <w:top w:val="single" w:sz="4" w:space="0" w:color="auto"/>
              <w:left w:val="nil"/>
              <w:bottom w:val="single" w:sz="4" w:space="0" w:color="auto"/>
              <w:right w:val="single" w:sz="4" w:space="0" w:color="auto"/>
            </w:tcBorders>
            <w:vAlign w:val="bottom"/>
          </w:tcPr>
          <w:p w14:paraId="22B7BCF3"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Major Organ Transplant or Replacement Status (HCC186)</w:t>
            </w:r>
          </w:p>
        </w:tc>
        <w:tc>
          <w:tcPr>
            <w:tcW w:w="3420" w:type="dxa"/>
            <w:tcBorders>
              <w:top w:val="single" w:sz="4" w:space="0" w:color="auto"/>
              <w:left w:val="nil"/>
              <w:bottom w:val="single" w:sz="4" w:space="0" w:color="auto"/>
              <w:right w:val="single" w:sz="4" w:space="0" w:color="auto"/>
            </w:tcBorders>
            <w:vAlign w:val="bottom"/>
          </w:tcPr>
          <w:p w14:paraId="7DD8821A"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#186; =0 if Item 21A = 0017.8 or 0017.9; else = 0</w:t>
            </w:r>
          </w:p>
        </w:tc>
        <w:tc>
          <w:tcPr>
            <w:tcW w:w="2340" w:type="dxa"/>
            <w:tcBorders>
              <w:top w:val="single" w:sz="4" w:space="0" w:color="auto"/>
              <w:left w:val="nil"/>
              <w:bottom w:val="single" w:sz="4" w:space="0" w:color="auto"/>
              <w:right w:val="single" w:sz="4" w:space="0" w:color="auto"/>
            </w:tcBorders>
            <w:vAlign w:val="bottom"/>
          </w:tcPr>
          <w:p w14:paraId="760418C0" w14:textId="6C83E5D1"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-1.7947</w:t>
            </w:r>
          </w:p>
        </w:tc>
      </w:tr>
      <w:tr w:rsidR="00F50A37" w:rsidRPr="004C7C89" w14:paraId="58C3EB64" w14:textId="77777777" w:rsidTr="00E94725">
        <w:trPr>
          <w:cantSplit/>
        </w:trPr>
        <w:tc>
          <w:tcPr>
            <w:tcW w:w="1975" w:type="dxa"/>
            <w:tcBorders>
              <w:top w:val="single" w:sz="4" w:space="0" w:color="auto"/>
              <w:left w:val="single" w:sz="4" w:space="0" w:color="auto"/>
              <w:bottom w:val="single" w:sz="4" w:space="0" w:color="auto"/>
              <w:right w:val="single" w:sz="4" w:space="0" w:color="auto"/>
            </w:tcBorders>
            <w:shd w:val="clear" w:color="auto" w:fill="FFFFFF"/>
            <w:vAlign w:val="bottom"/>
          </w:tcPr>
          <w:p w14:paraId="43FDC637"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lastRenderedPageBreak/>
              <w:t>Comorbidity Condition Group 50</w:t>
            </w:r>
          </w:p>
        </w:tc>
        <w:tc>
          <w:tcPr>
            <w:tcW w:w="2160" w:type="dxa"/>
            <w:tcBorders>
              <w:top w:val="single" w:sz="4" w:space="0" w:color="auto"/>
              <w:left w:val="nil"/>
              <w:bottom w:val="single" w:sz="4" w:space="0" w:color="auto"/>
              <w:right w:val="single" w:sz="4" w:space="0" w:color="auto"/>
            </w:tcBorders>
            <w:vAlign w:val="bottom"/>
          </w:tcPr>
          <w:p w14:paraId="79AA00F2"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Other Organ Transplant Status/Replacement (HCC187)</w:t>
            </w:r>
          </w:p>
        </w:tc>
        <w:tc>
          <w:tcPr>
            <w:tcW w:w="3420" w:type="dxa"/>
            <w:tcBorders>
              <w:top w:val="single" w:sz="4" w:space="0" w:color="auto"/>
              <w:left w:val="nil"/>
              <w:bottom w:val="single" w:sz="4" w:space="0" w:color="auto"/>
              <w:right w:val="single" w:sz="4" w:space="0" w:color="auto"/>
            </w:tcBorders>
            <w:vAlign w:val="bottom"/>
          </w:tcPr>
          <w:p w14:paraId="09F3435F" w14:textId="77777777" w:rsidR="00F50A37" w:rsidRPr="004C7C89" w:rsidRDefault="00F50A37" w:rsidP="00F50A37">
            <w:pPr>
              <w:pStyle w:val="TableText"/>
              <w:rPr>
                <w:rFonts w:asciiTheme="minorHAnsi" w:hAnsiTheme="minorHAnsi" w:cstheme="minorHAnsi"/>
                <w:color w:val="0000FF"/>
                <w:sz w:val="20"/>
                <w:szCs w:val="22"/>
              </w:rPr>
            </w:pPr>
            <w:r w:rsidRPr="0044180F">
              <w:rPr>
                <w:rFonts w:asciiTheme="minorHAnsi" w:hAnsiTheme="minorHAnsi" w:cstheme="minorHAnsi"/>
                <w:color w:val="0000FF"/>
                <w:sz w:val="20"/>
                <w:szCs w:val="22"/>
              </w:rPr>
              <w:t>=1 if Item 24 = see Crosswalk ICD-10 codes to HCC #187; =0 if Item 21A = 0017.8; else = 0</w:t>
            </w:r>
          </w:p>
        </w:tc>
        <w:tc>
          <w:tcPr>
            <w:tcW w:w="2340" w:type="dxa"/>
            <w:tcBorders>
              <w:top w:val="single" w:sz="4" w:space="0" w:color="auto"/>
              <w:left w:val="nil"/>
              <w:bottom w:val="single" w:sz="4" w:space="0" w:color="auto"/>
              <w:right w:val="single" w:sz="4" w:space="0" w:color="auto"/>
            </w:tcBorders>
            <w:vAlign w:val="bottom"/>
          </w:tcPr>
          <w:p w14:paraId="546C45F0" w14:textId="1B147C16" w:rsidR="00F50A37" w:rsidRPr="004C7C89" w:rsidRDefault="00F50A37" w:rsidP="00360220">
            <w:pPr>
              <w:pStyle w:val="TableText"/>
              <w:tabs>
                <w:tab w:val="decimal" w:pos="874"/>
              </w:tabs>
              <w:rPr>
                <w:rFonts w:asciiTheme="minorHAnsi" w:hAnsiTheme="minorHAnsi" w:cstheme="minorHAnsi"/>
                <w:color w:val="0000FF"/>
                <w:sz w:val="20"/>
                <w:szCs w:val="22"/>
              </w:rPr>
            </w:pPr>
            <w:r w:rsidRPr="00F50A37">
              <w:rPr>
                <w:rFonts w:asciiTheme="minorHAnsi" w:hAnsiTheme="minorHAnsi" w:cstheme="minorHAnsi"/>
                <w:color w:val="0000FF"/>
                <w:sz w:val="20"/>
                <w:szCs w:val="22"/>
              </w:rPr>
              <w:t>-0.7205</w:t>
            </w:r>
          </w:p>
        </w:tc>
      </w:tr>
    </w:tbl>
    <w:p w14:paraId="6FE3C5D0" w14:textId="36D4900D" w:rsidR="00F50A37" w:rsidRDefault="00F50A37">
      <w:pPr>
        <w:autoSpaceDE w:val="0"/>
        <w:autoSpaceDN w:val="0"/>
        <w:adjustRightInd w:val="0"/>
        <w:spacing w:after="0" w:line="240" w:lineRule="auto"/>
        <w:rPr>
          <w:rFonts w:cstheme="minorHAnsi"/>
          <w:bCs/>
        </w:rPr>
      </w:pPr>
    </w:p>
    <w:p w14:paraId="2E98FADF" w14:textId="77777777" w:rsidR="00D14AD1" w:rsidRDefault="00D14AD1" w:rsidP="00D14AD1">
      <w:pPr>
        <w:spacing w:after="0" w:line="240" w:lineRule="auto"/>
        <w:contextualSpacing/>
        <w:jc w:val="center"/>
        <w:rPr>
          <w:rFonts w:ascii="Calibri" w:eastAsia="Calibri" w:hAnsi="Calibri" w:cstheme="minorHAnsi"/>
          <w:b/>
          <w:color w:val="0000FF"/>
        </w:rPr>
        <w:sectPr w:rsidR="00D14AD1" w:rsidSect="009F69E3">
          <w:headerReference w:type="default" r:id="rId122"/>
          <w:footerReference w:type="default" r:id="rId123"/>
          <w:pgSz w:w="12240" w:h="15840"/>
          <w:pgMar w:top="1440" w:right="1440" w:bottom="1440" w:left="1440" w:header="720" w:footer="720" w:gutter="0"/>
          <w:cols w:space="720"/>
          <w:docGrid w:linePitch="360"/>
        </w:sectPr>
      </w:pPr>
    </w:p>
    <w:p w14:paraId="31C21540" w14:textId="77777777" w:rsidR="00D14AD1" w:rsidRDefault="00D14AD1" w:rsidP="00D14AD1">
      <w:pPr>
        <w:spacing w:after="0" w:line="240" w:lineRule="auto"/>
        <w:contextualSpacing/>
        <w:jc w:val="center"/>
        <w:rPr>
          <w:rFonts w:ascii="Calibri" w:eastAsia="Calibri" w:hAnsi="Calibri" w:cstheme="minorHAnsi"/>
          <w:b/>
          <w:color w:val="0000FF"/>
        </w:rPr>
      </w:pPr>
    </w:p>
    <w:p w14:paraId="4B6DFEB6" w14:textId="77777777" w:rsidR="00D14AD1" w:rsidRDefault="00D14AD1" w:rsidP="00D14AD1">
      <w:pPr>
        <w:spacing w:after="0" w:line="240" w:lineRule="auto"/>
        <w:contextualSpacing/>
        <w:jc w:val="center"/>
        <w:rPr>
          <w:rFonts w:ascii="Calibri" w:eastAsia="Calibri" w:hAnsi="Calibri" w:cstheme="minorHAnsi"/>
          <w:b/>
          <w:color w:val="0000FF"/>
        </w:rPr>
      </w:pPr>
    </w:p>
    <w:p w14:paraId="5C6103C3" w14:textId="77777777" w:rsidR="00D14AD1" w:rsidRDefault="00D14AD1" w:rsidP="00D14AD1">
      <w:pPr>
        <w:spacing w:after="0" w:line="240" w:lineRule="auto"/>
        <w:contextualSpacing/>
        <w:jc w:val="center"/>
        <w:rPr>
          <w:rFonts w:ascii="Calibri" w:eastAsia="Calibri" w:hAnsi="Calibri" w:cstheme="minorHAnsi"/>
          <w:b/>
          <w:color w:val="0000FF"/>
        </w:rPr>
      </w:pPr>
    </w:p>
    <w:p w14:paraId="1E9A3192" w14:textId="77777777" w:rsidR="00D14AD1" w:rsidRDefault="00D14AD1" w:rsidP="00D14AD1">
      <w:pPr>
        <w:spacing w:after="0" w:line="240" w:lineRule="auto"/>
        <w:contextualSpacing/>
        <w:jc w:val="center"/>
        <w:rPr>
          <w:rFonts w:ascii="Calibri" w:eastAsia="Calibri" w:hAnsi="Calibri" w:cstheme="minorHAnsi"/>
          <w:b/>
          <w:color w:val="0000FF"/>
        </w:rPr>
      </w:pPr>
    </w:p>
    <w:p w14:paraId="0974E21F" w14:textId="77777777" w:rsidR="00D14AD1" w:rsidRDefault="00D14AD1" w:rsidP="00D14AD1">
      <w:pPr>
        <w:spacing w:after="0" w:line="240" w:lineRule="auto"/>
        <w:contextualSpacing/>
        <w:jc w:val="center"/>
        <w:rPr>
          <w:rFonts w:ascii="Calibri" w:eastAsia="Calibri" w:hAnsi="Calibri" w:cstheme="minorHAnsi"/>
          <w:b/>
          <w:color w:val="0000FF"/>
        </w:rPr>
      </w:pPr>
    </w:p>
    <w:p w14:paraId="5B4D7580" w14:textId="77777777" w:rsidR="00D14AD1" w:rsidRDefault="00D14AD1" w:rsidP="00D14AD1">
      <w:pPr>
        <w:spacing w:after="0" w:line="240" w:lineRule="auto"/>
        <w:contextualSpacing/>
        <w:jc w:val="center"/>
        <w:rPr>
          <w:rFonts w:ascii="Calibri" w:eastAsia="Calibri" w:hAnsi="Calibri" w:cstheme="minorHAnsi"/>
          <w:b/>
          <w:color w:val="0000FF"/>
        </w:rPr>
      </w:pPr>
    </w:p>
    <w:p w14:paraId="63354839" w14:textId="77777777" w:rsidR="00D14AD1" w:rsidRDefault="00D14AD1" w:rsidP="00D14AD1">
      <w:pPr>
        <w:spacing w:after="0" w:line="240" w:lineRule="auto"/>
        <w:contextualSpacing/>
        <w:jc w:val="center"/>
        <w:rPr>
          <w:rFonts w:ascii="Calibri" w:eastAsia="Calibri" w:hAnsi="Calibri" w:cstheme="minorHAnsi"/>
          <w:b/>
          <w:color w:val="0000FF"/>
        </w:rPr>
      </w:pPr>
    </w:p>
    <w:p w14:paraId="11C82804" w14:textId="77777777" w:rsidR="00D14AD1" w:rsidRDefault="00D14AD1" w:rsidP="00D14AD1">
      <w:pPr>
        <w:spacing w:after="0" w:line="240" w:lineRule="auto"/>
        <w:contextualSpacing/>
        <w:jc w:val="center"/>
        <w:rPr>
          <w:rFonts w:ascii="Calibri" w:eastAsia="Calibri" w:hAnsi="Calibri" w:cstheme="minorHAnsi"/>
          <w:b/>
          <w:color w:val="0000FF"/>
        </w:rPr>
      </w:pPr>
    </w:p>
    <w:p w14:paraId="7F329B24" w14:textId="77777777" w:rsidR="00D14AD1" w:rsidRDefault="00D14AD1" w:rsidP="00D14AD1">
      <w:pPr>
        <w:spacing w:after="0" w:line="240" w:lineRule="auto"/>
        <w:contextualSpacing/>
        <w:jc w:val="center"/>
        <w:rPr>
          <w:rFonts w:ascii="Calibri" w:eastAsia="Calibri" w:hAnsi="Calibri" w:cstheme="minorHAnsi"/>
          <w:b/>
          <w:color w:val="0000FF"/>
        </w:rPr>
      </w:pPr>
    </w:p>
    <w:p w14:paraId="0D75EE51" w14:textId="77777777" w:rsidR="00D14AD1" w:rsidRDefault="00D14AD1" w:rsidP="00D14AD1">
      <w:pPr>
        <w:spacing w:after="0" w:line="240" w:lineRule="auto"/>
        <w:contextualSpacing/>
        <w:jc w:val="center"/>
        <w:rPr>
          <w:rFonts w:ascii="Calibri" w:eastAsia="Calibri" w:hAnsi="Calibri" w:cstheme="minorHAnsi"/>
          <w:b/>
          <w:color w:val="0000FF"/>
        </w:rPr>
      </w:pPr>
    </w:p>
    <w:p w14:paraId="5A800679" w14:textId="77777777" w:rsidR="00D14AD1" w:rsidRDefault="00D14AD1" w:rsidP="00D14AD1">
      <w:pPr>
        <w:spacing w:after="0" w:line="240" w:lineRule="auto"/>
        <w:contextualSpacing/>
        <w:jc w:val="center"/>
        <w:rPr>
          <w:rFonts w:ascii="Calibri" w:eastAsia="Calibri" w:hAnsi="Calibri" w:cstheme="minorHAnsi"/>
          <w:b/>
          <w:color w:val="0000FF"/>
        </w:rPr>
      </w:pPr>
    </w:p>
    <w:p w14:paraId="1C8A2CB2" w14:textId="77777777" w:rsidR="00D14AD1" w:rsidRDefault="00D14AD1" w:rsidP="00D14AD1">
      <w:pPr>
        <w:spacing w:after="0" w:line="240" w:lineRule="auto"/>
        <w:contextualSpacing/>
        <w:jc w:val="center"/>
        <w:rPr>
          <w:rFonts w:ascii="Calibri" w:eastAsia="Calibri" w:hAnsi="Calibri" w:cstheme="minorHAnsi"/>
          <w:b/>
          <w:color w:val="0000FF"/>
        </w:rPr>
      </w:pPr>
    </w:p>
    <w:p w14:paraId="108A17E4" w14:textId="77777777" w:rsidR="00D14AD1" w:rsidRDefault="00D14AD1" w:rsidP="00D14AD1">
      <w:pPr>
        <w:spacing w:after="0" w:line="240" w:lineRule="auto"/>
        <w:contextualSpacing/>
        <w:jc w:val="center"/>
        <w:rPr>
          <w:rFonts w:ascii="Calibri" w:eastAsia="Calibri" w:hAnsi="Calibri" w:cstheme="minorHAnsi"/>
          <w:b/>
          <w:color w:val="0000FF"/>
        </w:rPr>
      </w:pPr>
    </w:p>
    <w:p w14:paraId="084C3915" w14:textId="77777777" w:rsidR="00D14AD1" w:rsidRDefault="00D14AD1" w:rsidP="00D14AD1">
      <w:pPr>
        <w:spacing w:after="0" w:line="240" w:lineRule="auto"/>
        <w:contextualSpacing/>
        <w:jc w:val="center"/>
        <w:rPr>
          <w:rFonts w:ascii="Calibri" w:eastAsia="Calibri" w:hAnsi="Calibri" w:cstheme="minorHAnsi"/>
          <w:b/>
          <w:color w:val="0000FF"/>
        </w:rPr>
      </w:pPr>
    </w:p>
    <w:p w14:paraId="194746E2" w14:textId="77777777" w:rsidR="00D14AD1" w:rsidRDefault="00D14AD1" w:rsidP="00D14AD1">
      <w:pPr>
        <w:spacing w:after="0" w:line="240" w:lineRule="auto"/>
        <w:contextualSpacing/>
        <w:jc w:val="center"/>
        <w:rPr>
          <w:rFonts w:ascii="Calibri" w:eastAsia="Calibri" w:hAnsi="Calibri" w:cstheme="minorHAnsi"/>
          <w:b/>
          <w:color w:val="0000FF"/>
        </w:rPr>
      </w:pPr>
    </w:p>
    <w:p w14:paraId="16CD1BB7" w14:textId="77777777" w:rsidR="00D14AD1" w:rsidRDefault="00D14AD1" w:rsidP="00D14AD1">
      <w:pPr>
        <w:spacing w:after="0" w:line="240" w:lineRule="auto"/>
        <w:contextualSpacing/>
        <w:jc w:val="center"/>
        <w:rPr>
          <w:rFonts w:ascii="Calibri" w:eastAsia="Calibri" w:hAnsi="Calibri" w:cstheme="minorHAnsi"/>
          <w:b/>
          <w:color w:val="0000FF"/>
        </w:rPr>
      </w:pPr>
    </w:p>
    <w:p w14:paraId="68A82408" w14:textId="77777777" w:rsidR="00D14AD1" w:rsidRDefault="00D14AD1" w:rsidP="00D14AD1">
      <w:pPr>
        <w:spacing w:after="0" w:line="240" w:lineRule="auto"/>
        <w:contextualSpacing/>
        <w:jc w:val="center"/>
        <w:rPr>
          <w:rFonts w:ascii="Calibri" w:eastAsia="Calibri" w:hAnsi="Calibri" w:cstheme="minorHAnsi"/>
          <w:b/>
          <w:color w:val="0000FF"/>
        </w:rPr>
      </w:pPr>
    </w:p>
    <w:p w14:paraId="3494D828" w14:textId="77777777" w:rsidR="00D14AD1" w:rsidRDefault="00D14AD1" w:rsidP="00D14AD1">
      <w:pPr>
        <w:spacing w:after="0" w:line="240" w:lineRule="auto"/>
        <w:contextualSpacing/>
        <w:jc w:val="center"/>
        <w:rPr>
          <w:rFonts w:ascii="Calibri" w:eastAsia="Calibri" w:hAnsi="Calibri" w:cstheme="minorHAnsi"/>
          <w:b/>
          <w:color w:val="0000FF"/>
        </w:rPr>
      </w:pPr>
    </w:p>
    <w:p w14:paraId="0FC0F08D" w14:textId="77777777" w:rsidR="00D14AD1" w:rsidRDefault="00D14AD1" w:rsidP="00D14AD1">
      <w:pPr>
        <w:spacing w:after="0" w:line="240" w:lineRule="auto"/>
        <w:contextualSpacing/>
        <w:jc w:val="center"/>
        <w:rPr>
          <w:rFonts w:ascii="Calibri" w:eastAsia="Calibri" w:hAnsi="Calibri" w:cstheme="minorHAnsi"/>
          <w:b/>
          <w:color w:val="0000FF"/>
        </w:rPr>
      </w:pPr>
    </w:p>
    <w:p w14:paraId="5CFA88A9" w14:textId="77777777" w:rsidR="00D14AD1" w:rsidRDefault="00D14AD1" w:rsidP="00D14AD1">
      <w:pPr>
        <w:spacing w:after="0" w:line="240" w:lineRule="auto"/>
        <w:contextualSpacing/>
        <w:jc w:val="center"/>
        <w:rPr>
          <w:rFonts w:ascii="Calibri" w:eastAsia="Calibri" w:hAnsi="Calibri" w:cstheme="minorHAnsi"/>
          <w:b/>
          <w:color w:val="0000FF"/>
        </w:rPr>
      </w:pPr>
    </w:p>
    <w:p w14:paraId="159BC3FC" w14:textId="77777777" w:rsidR="00D14AD1" w:rsidRDefault="00D14AD1" w:rsidP="00D14AD1">
      <w:pPr>
        <w:spacing w:after="0" w:line="240" w:lineRule="auto"/>
        <w:contextualSpacing/>
        <w:jc w:val="center"/>
        <w:rPr>
          <w:rFonts w:ascii="Calibri" w:eastAsia="Calibri" w:hAnsi="Calibri" w:cstheme="minorHAnsi"/>
          <w:b/>
          <w:color w:val="0000FF"/>
        </w:rPr>
      </w:pPr>
    </w:p>
    <w:p w14:paraId="6D83CB85" w14:textId="77777777" w:rsidR="00D14AD1" w:rsidRDefault="00D14AD1" w:rsidP="00D14AD1">
      <w:pPr>
        <w:spacing w:after="0" w:line="240" w:lineRule="auto"/>
        <w:contextualSpacing/>
        <w:jc w:val="center"/>
        <w:rPr>
          <w:rFonts w:ascii="Calibri" w:eastAsia="Calibri" w:hAnsi="Calibri" w:cstheme="minorHAnsi"/>
          <w:b/>
          <w:color w:val="0000FF"/>
        </w:rPr>
      </w:pPr>
    </w:p>
    <w:p w14:paraId="18151572" w14:textId="77777777" w:rsidR="00D14AD1" w:rsidRDefault="00D14AD1" w:rsidP="00D14AD1">
      <w:pPr>
        <w:spacing w:after="0" w:line="240" w:lineRule="auto"/>
        <w:contextualSpacing/>
        <w:jc w:val="center"/>
        <w:rPr>
          <w:rFonts w:ascii="Calibri" w:eastAsia="Calibri" w:hAnsi="Calibri" w:cstheme="minorHAnsi"/>
          <w:b/>
          <w:color w:val="0000FF"/>
        </w:rPr>
      </w:pPr>
    </w:p>
    <w:p w14:paraId="05B096A4" w14:textId="77777777" w:rsidR="00D14AD1" w:rsidRDefault="00D14AD1" w:rsidP="00D14AD1">
      <w:pPr>
        <w:spacing w:after="0" w:line="240" w:lineRule="auto"/>
        <w:contextualSpacing/>
        <w:jc w:val="center"/>
        <w:rPr>
          <w:rFonts w:ascii="Calibri" w:eastAsia="Calibri" w:hAnsi="Calibri" w:cstheme="minorHAnsi"/>
          <w:b/>
          <w:color w:val="0000FF"/>
        </w:rPr>
      </w:pPr>
    </w:p>
    <w:p w14:paraId="40597DD4" w14:textId="77777777" w:rsidR="00D14AD1" w:rsidRDefault="00D14AD1" w:rsidP="00D14AD1">
      <w:pPr>
        <w:spacing w:after="0" w:line="240" w:lineRule="auto"/>
        <w:contextualSpacing/>
        <w:jc w:val="center"/>
        <w:rPr>
          <w:rFonts w:ascii="Calibri" w:eastAsia="Calibri" w:hAnsi="Calibri" w:cstheme="minorHAnsi"/>
          <w:b/>
          <w:color w:val="0000FF"/>
        </w:rPr>
      </w:pPr>
    </w:p>
    <w:p w14:paraId="72B401A0" w14:textId="77777777" w:rsidR="00D14AD1" w:rsidRDefault="00D14AD1" w:rsidP="00D14AD1">
      <w:pPr>
        <w:spacing w:after="0" w:line="240" w:lineRule="auto"/>
        <w:contextualSpacing/>
        <w:jc w:val="center"/>
        <w:rPr>
          <w:rFonts w:ascii="Calibri" w:eastAsia="Calibri" w:hAnsi="Calibri" w:cstheme="minorHAnsi"/>
          <w:b/>
          <w:color w:val="0000FF"/>
        </w:rPr>
      </w:pPr>
    </w:p>
    <w:p w14:paraId="284B7C8A" w14:textId="77777777" w:rsidR="00D14AD1" w:rsidRDefault="00D14AD1" w:rsidP="00D14AD1">
      <w:pPr>
        <w:spacing w:after="0" w:line="240" w:lineRule="auto"/>
        <w:contextualSpacing/>
        <w:jc w:val="center"/>
        <w:rPr>
          <w:rFonts w:ascii="Calibri" w:eastAsia="Calibri" w:hAnsi="Calibri" w:cstheme="minorHAnsi"/>
          <w:b/>
          <w:color w:val="0000FF"/>
        </w:rPr>
      </w:pPr>
    </w:p>
    <w:p w14:paraId="4FD9248C" w14:textId="77777777" w:rsidR="00D14AD1" w:rsidRDefault="00D14AD1" w:rsidP="00D14AD1">
      <w:pPr>
        <w:spacing w:after="0" w:line="240" w:lineRule="auto"/>
        <w:contextualSpacing/>
        <w:jc w:val="center"/>
        <w:rPr>
          <w:rFonts w:ascii="Calibri" w:eastAsia="Calibri" w:hAnsi="Calibri" w:cstheme="minorHAnsi"/>
          <w:b/>
          <w:color w:val="0000FF"/>
        </w:rPr>
      </w:pPr>
    </w:p>
    <w:p w14:paraId="57A1FC38" w14:textId="77777777" w:rsidR="00D14AD1" w:rsidRDefault="00D14AD1" w:rsidP="00D14AD1">
      <w:pPr>
        <w:spacing w:after="0" w:line="240" w:lineRule="auto"/>
        <w:contextualSpacing/>
        <w:jc w:val="center"/>
        <w:rPr>
          <w:rFonts w:ascii="Calibri" w:eastAsia="Calibri" w:hAnsi="Calibri" w:cstheme="minorHAnsi"/>
          <w:b/>
          <w:color w:val="0000FF"/>
        </w:rPr>
      </w:pPr>
    </w:p>
    <w:p w14:paraId="018806C5" w14:textId="77777777" w:rsidR="00D14AD1" w:rsidRDefault="00D14AD1" w:rsidP="00D14AD1">
      <w:pPr>
        <w:spacing w:after="0" w:line="240" w:lineRule="auto"/>
        <w:contextualSpacing/>
        <w:jc w:val="center"/>
        <w:rPr>
          <w:rFonts w:ascii="Calibri" w:eastAsia="Calibri" w:hAnsi="Calibri" w:cstheme="minorHAnsi"/>
          <w:b/>
          <w:color w:val="0000FF"/>
        </w:rPr>
      </w:pPr>
    </w:p>
    <w:p w14:paraId="561079F2" w14:textId="77777777" w:rsidR="00D14AD1" w:rsidRDefault="00D14AD1" w:rsidP="00D14AD1">
      <w:pPr>
        <w:spacing w:after="0" w:line="240" w:lineRule="auto"/>
        <w:contextualSpacing/>
        <w:jc w:val="center"/>
        <w:rPr>
          <w:rFonts w:ascii="Calibri" w:eastAsia="Calibri" w:hAnsi="Calibri" w:cstheme="minorHAnsi"/>
          <w:b/>
          <w:color w:val="0000FF"/>
        </w:rPr>
      </w:pPr>
    </w:p>
    <w:p w14:paraId="4D283E88" w14:textId="77777777" w:rsidR="00D14AD1" w:rsidRDefault="00D14AD1" w:rsidP="00D14AD1">
      <w:pPr>
        <w:spacing w:after="0" w:line="240" w:lineRule="auto"/>
        <w:contextualSpacing/>
        <w:jc w:val="center"/>
        <w:rPr>
          <w:rFonts w:ascii="Calibri" w:eastAsia="Calibri" w:hAnsi="Calibri" w:cstheme="minorHAnsi"/>
          <w:b/>
          <w:color w:val="0000FF"/>
        </w:rPr>
      </w:pPr>
    </w:p>
    <w:p w14:paraId="6FAE520D" w14:textId="77777777" w:rsidR="00D14AD1" w:rsidRDefault="00D14AD1" w:rsidP="00D14AD1">
      <w:pPr>
        <w:spacing w:after="0" w:line="240" w:lineRule="auto"/>
        <w:contextualSpacing/>
        <w:jc w:val="center"/>
        <w:rPr>
          <w:rFonts w:ascii="Calibri" w:eastAsia="Calibri" w:hAnsi="Calibri" w:cstheme="minorHAnsi"/>
          <w:b/>
          <w:color w:val="0000FF"/>
        </w:rPr>
      </w:pPr>
    </w:p>
    <w:p w14:paraId="34356CFC" w14:textId="77777777" w:rsidR="00D14AD1" w:rsidRDefault="00D14AD1" w:rsidP="00D14AD1">
      <w:pPr>
        <w:spacing w:after="0" w:line="240" w:lineRule="auto"/>
        <w:contextualSpacing/>
        <w:jc w:val="center"/>
        <w:rPr>
          <w:rFonts w:ascii="Calibri" w:eastAsia="Calibri" w:hAnsi="Calibri" w:cstheme="minorHAnsi"/>
          <w:b/>
          <w:color w:val="0000FF"/>
        </w:rPr>
      </w:pPr>
    </w:p>
    <w:p w14:paraId="032F947E" w14:textId="77777777" w:rsidR="00D14AD1" w:rsidRDefault="00D14AD1" w:rsidP="00D14AD1">
      <w:pPr>
        <w:spacing w:after="0" w:line="240" w:lineRule="auto"/>
        <w:contextualSpacing/>
        <w:jc w:val="center"/>
        <w:rPr>
          <w:rFonts w:ascii="Calibri" w:eastAsia="Calibri" w:hAnsi="Calibri" w:cstheme="minorHAnsi"/>
          <w:b/>
          <w:color w:val="0000FF"/>
        </w:rPr>
      </w:pPr>
    </w:p>
    <w:p w14:paraId="33919ACF" w14:textId="77777777" w:rsidR="00D14AD1" w:rsidRDefault="00D14AD1" w:rsidP="00D14AD1">
      <w:pPr>
        <w:spacing w:after="0" w:line="240" w:lineRule="auto"/>
        <w:contextualSpacing/>
        <w:jc w:val="center"/>
        <w:rPr>
          <w:rFonts w:ascii="Calibri" w:eastAsia="Calibri" w:hAnsi="Calibri" w:cstheme="minorHAnsi"/>
          <w:b/>
          <w:color w:val="0000FF"/>
        </w:rPr>
      </w:pPr>
    </w:p>
    <w:p w14:paraId="5CFFD69E" w14:textId="77777777" w:rsidR="00D14AD1" w:rsidRDefault="00D14AD1" w:rsidP="00D14AD1">
      <w:pPr>
        <w:spacing w:after="0" w:line="240" w:lineRule="auto"/>
        <w:contextualSpacing/>
        <w:jc w:val="center"/>
        <w:rPr>
          <w:rFonts w:ascii="Calibri" w:eastAsia="Calibri" w:hAnsi="Calibri" w:cstheme="minorHAnsi"/>
          <w:b/>
          <w:color w:val="0000FF"/>
        </w:rPr>
      </w:pPr>
    </w:p>
    <w:p w14:paraId="5C821C7B" w14:textId="14368B85" w:rsidR="00D14AD1" w:rsidRDefault="00D14AD1" w:rsidP="00D14AD1">
      <w:pPr>
        <w:spacing w:after="0" w:line="240" w:lineRule="auto"/>
        <w:contextualSpacing/>
        <w:jc w:val="center"/>
        <w:rPr>
          <w:rFonts w:ascii="Calibri" w:eastAsia="Calibri" w:hAnsi="Calibri" w:cstheme="minorHAnsi"/>
          <w:b/>
          <w:color w:val="0000FF"/>
        </w:rPr>
      </w:pPr>
      <w:r w:rsidRPr="00D14AD1">
        <w:rPr>
          <w:rFonts w:ascii="Calibri" w:eastAsia="Calibri" w:hAnsi="Calibri" w:cstheme="minorHAnsi"/>
          <w:b/>
          <w:color w:val="0000FF"/>
        </w:rPr>
        <w:lastRenderedPageBreak/>
        <w:t>Appendix B:</w:t>
      </w:r>
      <w:r w:rsidRPr="00D14AD1">
        <w:rPr>
          <w:rFonts w:ascii="Calibri" w:eastAsia="Calibri" w:hAnsi="Calibri" w:cstheme="minorHAnsi"/>
          <w:b/>
          <w:color w:val="0000FF"/>
        </w:rPr>
        <w:br/>
        <w:t>Reliability and Validity Testing</w:t>
      </w:r>
    </w:p>
    <w:p w14:paraId="0B933879" w14:textId="77777777" w:rsidR="00AD227C" w:rsidRPr="00D14AD1" w:rsidRDefault="00AD227C" w:rsidP="00D14AD1">
      <w:pPr>
        <w:spacing w:after="0" w:line="240" w:lineRule="auto"/>
        <w:contextualSpacing/>
        <w:jc w:val="center"/>
        <w:rPr>
          <w:rFonts w:ascii="Calibri" w:eastAsia="Calibri" w:hAnsi="Calibri" w:cstheme="minorHAnsi"/>
          <w:b/>
          <w:color w:val="0000FF"/>
        </w:rPr>
      </w:pPr>
    </w:p>
    <w:p w14:paraId="068B841D" w14:textId="77777777" w:rsidR="00D14AD1" w:rsidRPr="00D14AD1" w:rsidRDefault="00D14AD1" w:rsidP="00D14AD1">
      <w:pPr>
        <w:spacing w:after="0" w:line="240" w:lineRule="auto"/>
        <w:contextualSpacing/>
        <w:rPr>
          <w:rFonts w:ascii="Calibri" w:eastAsia="Calibri" w:hAnsi="Calibri" w:cstheme="minorHAnsi"/>
          <w:b/>
          <w:color w:val="0000FF"/>
        </w:rPr>
      </w:pPr>
      <w:r w:rsidRPr="00D14AD1">
        <w:rPr>
          <w:rFonts w:ascii="Calibri" w:eastAsia="Calibri" w:hAnsi="Calibri" w:cstheme="minorHAnsi"/>
          <w:b/>
          <w:color w:val="0000FF"/>
        </w:rPr>
        <w:t>B.1</w:t>
      </w:r>
      <w:r w:rsidRPr="00D14AD1">
        <w:rPr>
          <w:rFonts w:ascii="Calibri" w:eastAsia="Calibri" w:hAnsi="Calibri" w:cstheme="minorHAnsi"/>
          <w:b/>
          <w:color w:val="0000FF"/>
        </w:rPr>
        <w:tab/>
        <w:t>Overview of Reliability and Validity Testing</w:t>
      </w:r>
    </w:p>
    <w:p w14:paraId="3157EF74" w14:textId="77777777" w:rsidR="00D14AD1" w:rsidRPr="00D14AD1" w:rsidRDefault="00D14AD1" w:rsidP="00D14AD1">
      <w:pPr>
        <w:spacing w:after="0" w:line="240" w:lineRule="auto"/>
        <w:contextualSpacing/>
        <w:rPr>
          <w:rFonts w:ascii="Calibri" w:eastAsia="Calibri" w:hAnsi="Calibri" w:cstheme="minorHAnsi"/>
          <w:color w:val="0000FF"/>
        </w:rPr>
      </w:pPr>
    </w:p>
    <w:p w14:paraId="5A7F56D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 xml:space="preserve">The goal of reliability testing is to ensure that items on an assessment obtain consistent results when administered or used by different clinicians.  Validity testing examines whether an item or scale measures what it is intended to measure.  The functional status items underwent reliability testing at the item- and scale-level in multiple types of providers in conjunction with the Post-Acute Care Payment Reform Demonstration.  Item-level testing included inter-rater reliability testing within facilities and the use of videotaped standardized patients for inter-rater reliability testing across facilities/care settings.  Additional testing focused on the items and scales and included internal consistency, factor analysis, and Rasch analysis.  A brief summary of this testing is provided below; full reports describing the testing are available at </w:t>
      </w:r>
      <w:hyperlink r:id="rId124" w:history="1">
        <w:r w:rsidRPr="00D14AD1">
          <w:rPr>
            <w:rFonts w:ascii="Calibri" w:eastAsia="Calibri" w:hAnsi="Calibri" w:cstheme="minorHAnsi"/>
            <w:color w:val="0000FF" w:themeColor="hyperlink"/>
            <w:u w:val="single"/>
          </w:rPr>
          <w:t>http://www.cms.gov/Medicare/Quality-Initiatives-Patient-Assessment-Instruments/Post-Acute-Care-Quality-Initiatives/CARE-Item-Set-and-B-CARE.html</w:t>
        </w:r>
      </w:hyperlink>
      <w:r w:rsidRPr="00D14AD1">
        <w:rPr>
          <w:rFonts w:ascii="Calibri" w:eastAsia="Calibri" w:hAnsi="Calibri" w:cstheme="minorHAnsi"/>
          <w:color w:val="0000FF"/>
          <w:u w:val="single"/>
        </w:rPr>
        <w:t> </w:t>
      </w:r>
      <w:r w:rsidRPr="00D14AD1">
        <w:rPr>
          <w:rFonts w:ascii="Calibri" w:eastAsia="Calibri" w:hAnsi="Calibri" w:cstheme="minorHAnsi"/>
          <w:noProof/>
          <w:color w:val="0000FF"/>
        </w:rPr>
        <w:drawing>
          <wp:inline distT="0" distB="0" distL="0" distR="0" wp14:anchorId="5F5F5673" wp14:editId="678456D6">
            <wp:extent cx="104762" cy="95238"/>
            <wp:effectExtent l="0" t="0" r="0" b="635"/>
            <wp:docPr id="21" name="Picture 21" descr="exi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iticon.png"/>
                    <pic:cNvPicPr/>
                  </pic:nvPicPr>
                  <pic:blipFill>
                    <a:blip r:embed="rId125">
                      <a:extLst>
                        <a:ext uri="{28A0092B-C50C-407E-A947-70E740481C1C}">
                          <a14:useLocalDpi xmlns:a14="http://schemas.microsoft.com/office/drawing/2010/main" val="0"/>
                        </a:ext>
                      </a:extLst>
                    </a:blip>
                    <a:stretch>
                      <a:fillRect/>
                    </a:stretch>
                  </pic:blipFill>
                  <pic:spPr>
                    <a:xfrm>
                      <a:off x="0" y="0"/>
                      <a:ext cx="104762" cy="95238"/>
                    </a:xfrm>
                    <a:prstGeom prst="rect">
                      <a:avLst/>
                    </a:prstGeom>
                  </pic:spPr>
                </pic:pic>
              </a:graphicData>
            </a:graphic>
          </wp:inline>
        </w:drawing>
      </w:r>
      <w:r w:rsidRPr="00D14AD1">
        <w:rPr>
          <w:rFonts w:ascii="Calibri" w:eastAsia="Calibri" w:hAnsi="Calibri" w:cstheme="minorHAnsi"/>
          <w:color w:val="0000FF"/>
        </w:rPr>
        <w:t>.</w:t>
      </w:r>
    </w:p>
    <w:p w14:paraId="62339999" w14:textId="77777777" w:rsidR="00D14AD1" w:rsidRPr="00D14AD1" w:rsidRDefault="00D14AD1" w:rsidP="00D14AD1">
      <w:pPr>
        <w:spacing w:after="0" w:line="240" w:lineRule="auto"/>
        <w:contextualSpacing/>
        <w:rPr>
          <w:rFonts w:ascii="Calibri" w:eastAsia="Calibri" w:hAnsi="Calibri" w:cstheme="minorHAnsi"/>
          <w:b/>
          <w:color w:val="0000FF"/>
        </w:rPr>
      </w:pPr>
    </w:p>
    <w:p w14:paraId="70986975" w14:textId="77777777" w:rsidR="00D14AD1" w:rsidRPr="00D14AD1" w:rsidRDefault="00D14AD1" w:rsidP="00D14AD1">
      <w:pPr>
        <w:spacing w:after="0" w:line="240" w:lineRule="auto"/>
        <w:contextualSpacing/>
        <w:rPr>
          <w:rFonts w:ascii="Calibri" w:eastAsia="Calibri" w:hAnsi="Calibri" w:cstheme="minorHAnsi"/>
          <w:b/>
          <w:color w:val="0000FF"/>
        </w:rPr>
      </w:pPr>
      <w:r w:rsidRPr="00D14AD1">
        <w:rPr>
          <w:rFonts w:ascii="Calibri" w:eastAsia="Calibri" w:hAnsi="Calibri" w:cstheme="minorHAnsi"/>
          <w:b/>
          <w:color w:val="0000FF"/>
        </w:rPr>
        <w:t>B.2</w:t>
      </w:r>
      <w:r w:rsidRPr="00D14AD1">
        <w:rPr>
          <w:rFonts w:ascii="Calibri" w:eastAsia="Calibri" w:hAnsi="Calibri" w:cstheme="minorHAnsi"/>
          <w:b/>
          <w:color w:val="0000FF"/>
        </w:rPr>
        <w:tab/>
        <w:t>Traditional Inter-rater Reliability Study</w:t>
      </w:r>
    </w:p>
    <w:p w14:paraId="22129668" w14:textId="77777777" w:rsidR="00D14AD1" w:rsidRPr="00D14AD1" w:rsidRDefault="00D14AD1" w:rsidP="00D14AD1">
      <w:pPr>
        <w:spacing w:after="0" w:line="240" w:lineRule="auto"/>
        <w:contextualSpacing/>
        <w:rPr>
          <w:rFonts w:ascii="Calibri" w:eastAsia="Calibri" w:hAnsi="Calibri" w:cstheme="minorHAnsi"/>
          <w:color w:val="0000FF"/>
        </w:rPr>
      </w:pPr>
    </w:p>
    <w:p w14:paraId="3E20D2A6"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The reliability of the functional items was tested in a subset of 34 providers from each of the five levels of care (acute hospitals, HHAs,</w:t>
      </w:r>
      <w:r w:rsidRPr="00D14AD1" w:rsidDel="00073DFD">
        <w:rPr>
          <w:rFonts w:ascii="Calibri" w:eastAsia="Calibri" w:hAnsi="Calibri" w:cstheme="minorHAnsi"/>
          <w:color w:val="0000FF"/>
        </w:rPr>
        <w:t xml:space="preserve"> </w:t>
      </w:r>
      <w:r w:rsidRPr="00D14AD1">
        <w:rPr>
          <w:rFonts w:ascii="Calibri" w:eastAsia="Calibri" w:hAnsi="Calibri" w:cstheme="minorHAnsi"/>
          <w:color w:val="0000FF"/>
        </w:rPr>
        <w:t>IRFs, LTCHs, and SNFs) distributed across 11 geographic areas.  Each provider completed a duplicate CARE Item Set (admission or discharge assessment) on 15–20 patients included in the Post-Acute Care Payment Reform Demonstration (10–15 patients in the home health setting), in accordance with the guidelines and protocols.</w:t>
      </w:r>
    </w:p>
    <w:p w14:paraId="0C3DECFF" w14:textId="77777777" w:rsidR="00D14AD1" w:rsidRPr="00D14AD1" w:rsidRDefault="00D14AD1" w:rsidP="00D14AD1">
      <w:pPr>
        <w:spacing w:after="0" w:line="240" w:lineRule="auto"/>
        <w:contextualSpacing/>
        <w:rPr>
          <w:rFonts w:ascii="Calibri" w:eastAsia="Calibri" w:hAnsi="Calibri" w:cstheme="minorHAnsi"/>
          <w:color w:val="0000FF"/>
        </w:rPr>
      </w:pPr>
    </w:p>
    <w:p w14:paraId="3EB99913"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Providers were asked to enroll a convenience sample of a set number of Medicare patients each month, representing a range of function and acuity.  The overall patient sample size for each of the functional items was 450 for self-care items and 449 for mobility items (448 for transfers).  After exclusions for missing data (unknown/not attempted/inapplicable), the effective sample sizes for the reliability testing were as follows:</w:t>
      </w:r>
    </w:p>
    <w:p w14:paraId="71324EB5"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Eating: 401</w:t>
      </w:r>
    </w:p>
    <w:p w14:paraId="320269AB"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Oral hygiene: 414</w:t>
      </w:r>
    </w:p>
    <w:p w14:paraId="219C9EF6"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Toilet hygiene: 416</w:t>
      </w:r>
    </w:p>
    <w:p w14:paraId="108B150B"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Upper body dressing: 420</w:t>
      </w:r>
    </w:p>
    <w:p w14:paraId="42B2FA06"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Lower body dressing: 413</w:t>
      </w:r>
    </w:p>
    <w:p w14:paraId="672E8667"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Lying to sitting on the side of the bed: 412</w:t>
      </w:r>
    </w:p>
    <w:p w14:paraId="7EE70F88"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Sitting to standing: 387</w:t>
      </w:r>
    </w:p>
    <w:p w14:paraId="014BC6C0"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Chair/bed to chair transfer: 392</w:t>
      </w:r>
    </w:p>
    <w:p w14:paraId="53146E6B"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Toilet transfer: 361</w:t>
      </w:r>
    </w:p>
    <w:p w14:paraId="51DCE154"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Walk 150 feet: 68</w:t>
      </w:r>
    </w:p>
    <w:p w14:paraId="21BD2C62"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Walk once standing: 52</w:t>
      </w:r>
    </w:p>
    <w:p w14:paraId="715C6F69" w14:textId="77777777" w:rsidR="00D14AD1" w:rsidRPr="00D14AD1" w:rsidRDefault="00D14AD1" w:rsidP="00D14AD1">
      <w:pPr>
        <w:numPr>
          <w:ilvl w:val="0"/>
          <w:numId w:val="37"/>
        </w:num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Wheel in room: 46</w:t>
      </w:r>
    </w:p>
    <w:p w14:paraId="022AF7C0" w14:textId="77777777" w:rsidR="00D14AD1" w:rsidRPr="00D14AD1" w:rsidRDefault="00D14AD1" w:rsidP="00D14AD1">
      <w:pPr>
        <w:spacing w:after="0" w:line="240" w:lineRule="auto"/>
        <w:contextualSpacing/>
        <w:rPr>
          <w:rFonts w:ascii="Calibri" w:eastAsia="Calibri" w:hAnsi="Calibri" w:cstheme="minorHAnsi"/>
          <w:color w:val="0000FF"/>
        </w:rPr>
      </w:pPr>
    </w:p>
    <w:p w14:paraId="456F23BE"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 xml:space="preserve">The inter-rater reliability study included patients who were assessed by two different clinicians (raters), and the agreement of the clinicians’ rating was calculated.  Clinicians were instructed to have pairs of raters complete both patient assessments at the same time.  Responses to items were obtained by direct observation of the patient by the clinician, and occasionally, supplemented by one or more of the following predetermined, matched methods: patient interviews (with each team member taking turns </w:t>
      </w:r>
      <w:r w:rsidRPr="00D14AD1">
        <w:rPr>
          <w:rFonts w:ascii="Calibri" w:eastAsia="Calibri" w:hAnsi="Calibri" w:cstheme="minorHAnsi"/>
          <w:color w:val="0000FF"/>
        </w:rPr>
        <w:lastRenderedPageBreak/>
        <w:t>conducting and observing patient interviews); interviews with relatives/caregivers of the patient for certain items; and/or interviews with staff caring for the patient and/or chart review.  Rater pairs were instructed to determine in advance which methods would be used to score the particular CARE items and to have both raters use the same methods.  Raters were encouraged to divide hands-on assistance to the patient as evenly as possible for items that required hands-on assistance.  Raters were instructed not to discuss item scoring during the assessment, nor to share item scores until the data were entered into the study database and finalized.  Providers submitted data via the online CARE application for both assessments in each pair.</w:t>
      </w:r>
    </w:p>
    <w:p w14:paraId="53BB0332" w14:textId="77777777" w:rsidR="00D14AD1" w:rsidRPr="00D14AD1" w:rsidRDefault="00D14AD1" w:rsidP="00D14AD1">
      <w:pPr>
        <w:spacing w:after="0" w:line="240" w:lineRule="auto"/>
        <w:contextualSpacing/>
        <w:rPr>
          <w:rFonts w:ascii="Calibri" w:eastAsia="Calibri" w:hAnsi="Calibri" w:cstheme="minorHAnsi"/>
          <w:color w:val="0000FF"/>
        </w:rPr>
      </w:pPr>
    </w:p>
    <w:p w14:paraId="48767778"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For categorical items, kappa statistics (kappa) indicate the level of agreement between raters using ordinal data, taking into account the role of chance agreement.  The ranges commonly used to judge reliability based on kappa are as follows: ≤ 0 = poor; 0.01–0.20 = slight; 0.21–0.40 = fair; 0.41–0.60 = moderate; 0.61–0.80 = substantial; and 0.81–1.00 = almost perfect.</w:t>
      </w:r>
    </w:p>
    <w:p w14:paraId="03D21C6D" w14:textId="77777777" w:rsidR="00D14AD1" w:rsidRPr="00D14AD1" w:rsidRDefault="00D14AD1" w:rsidP="00D14AD1">
      <w:pPr>
        <w:spacing w:after="0" w:line="240" w:lineRule="auto"/>
        <w:contextualSpacing/>
        <w:rPr>
          <w:rFonts w:ascii="Calibri" w:eastAsia="Calibri" w:hAnsi="Calibri" w:cstheme="minorHAnsi"/>
          <w:color w:val="0000FF"/>
        </w:rPr>
      </w:pPr>
    </w:p>
    <w:p w14:paraId="2E992F4E"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For categorical items with only two responses available, RTI International calculated only unweighted kappas.  For items with more than two responses, RTI calculated both weighted and unweighted kappas.  Unweighted kappa assumes the same “distance” between every one-unit difference in response across an ordinal scale.  RTI used Fleiss-Cohen weights, or quadratic weights, which approximate the intra-class correlation coefficient and are commonly used for calculating weighted kappas.  This choice of weighting is consistent with prior analyses of assessment reliability, where the method for developing weights was specified.</w:t>
      </w:r>
      <w:r w:rsidRPr="00D14AD1">
        <w:rPr>
          <w:rFonts w:ascii="Calibri" w:eastAsia="Calibri" w:hAnsi="Calibri" w:cstheme="minorHAnsi"/>
          <w:color w:val="0000FF"/>
        </w:rPr>
        <w:footnoteReference w:id="7"/>
      </w:r>
      <w:r w:rsidRPr="00D14AD1">
        <w:rPr>
          <w:rFonts w:ascii="Calibri" w:eastAsia="Calibri" w:hAnsi="Calibri" w:cstheme="minorHAnsi"/>
          <w:color w:val="0000FF"/>
        </w:rPr>
        <w:t>,</w:t>
      </w:r>
      <w:r w:rsidRPr="00D14AD1">
        <w:rPr>
          <w:rFonts w:ascii="Calibri" w:eastAsia="Calibri" w:hAnsi="Calibri" w:cstheme="minorHAnsi"/>
          <w:color w:val="0000FF"/>
        </w:rPr>
        <w:footnoteReference w:id="8"/>
      </w:r>
      <w:r w:rsidRPr="00D14AD1">
        <w:rPr>
          <w:rFonts w:ascii="Calibri" w:eastAsia="Calibri" w:hAnsi="Calibri" w:cstheme="minorHAnsi"/>
          <w:color w:val="0000FF"/>
        </w:rPr>
        <w:t xml:space="preserve">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play a role in the results.  Hence, we report both weighted and unweighted kappas to give the range of agreement found under the two sets of assumptions.</w:t>
      </w:r>
    </w:p>
    <w:p w14:paraId="45B89588" w14:textId="77777777" w:rsidR="00D14AD1" w:rsidRPr="00D14AD1" w:rsidRDefault="00D14AD1" w:rsidP="00D14AD1">
      <w:pPr>
        <w:spacing w:after="0" w:line="240" w:lineRule="auto"/>
        <w:contextualSpacing/>
        <w:rPr>
          <w:rFonts w:ascii="Calibri" w:eastAsia="Calibri" w:hAnsi="Calibri" w:cstheme="minorHAnsi"/>
          <w:color w:val="0000FF"/>
        </w:rPr>
      </w:pPr>
    </w:p>
    <w:p w14:paraId="554D6636"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Additionally, RTI calculated a separate set of kappa statistics (unweighted and weighted, where applicable) for items where additional responses outside of an ordinal scale were available (letter codes) and were set to missing.</w:t>
      </w:r>
    </w:p>
    <w:p w14:paraId="1556FD5C" w14:textId="77777777" w:rsidR="00D14AD1" w:rsidRPr="00D14AD1" w:rsidRDefault="00D14AD1" w:rsidP="00D14AD1">
      <w:pPr>
        <w:spacing w:after="0" w:line="240" w:lineRule="auto"/>
        <w:contextualSpacing/>
        <w:rPr>
          <w:rFonts w:ascii="Calibri" w:eastAsia="Calibri" w:hAnsi="Calibri" w:cstheme="minorHAnsi"/>
          <w:color w:val="0000FF"/>
        </w:rPr>
      </w:pPr>
    </w:p>
    <w:p w14:paraId="454280CC"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For the traditional reliability study, kappa statistics indicated substantial agreement among raters.  The weighted kappa values for the self-care items range between 0.798 for eating to 0.869 for upper-body dressing.  Unweighted kappas ranged from 0.598 for oral hygiene to 0.634 for upper-body dressing.  Provider-specific analyses of core self-care items show similar agreement to the overall estimates.  The lower-body dressing item had the highest overall weighted kappa (0.855), whereas the eating item had the lowest (0.798).  Unweighted overall kappas ranged from 0.636 (toileting) to 0.598 (oral hygiene).  Acute hospitals had the highest weighted kappas across all self-care items.</w:t>
      </w:r>
    </w:p>
    <w:p w14:paraId="2353EBCD" w14:textId="77777777" w:rsidR="00D14AD1" w:rsidRPr="00D14AD1" w:rsidRDefault="00D14AD1" w:rsidP="00D14AD1">
      <w:pPr>
        <w:spacing w:after="0" w:line="240" w:lineRule="auto"/>
        <w:contextualSpacing/>
        <w:rPr>
          <w:rFonts w:ascii="Calibri" w:eastAsia="Calibri" w:hAnsi="Calibri" w:cstheme="minorHAnsi"/>
          <w:color w:val="0000FF"/>
        </w:rPr>
      </w:pPr>
    </w:p>
    <w:p w14:paraId="6589DB35"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 xml:space="preserve">The weighted kappa values for the mobility items ranged between 0.558 for walk 150 feet to 0.901 for sitting to standing and chair/bed to chair transfer.  Unweighted kappas ranged from 0.667 for walk once standing to 0.762 for sit to stand.  Provider-specific analyses of core mobility items show similar </w:t>
      </w:r>
      <w:r w:rsidRPr="00D14AD1">
        <w:rPr>
          <w:rFonts w:ascii="Calibri" w:eastAsia="Calibri" w:hAnsi="Calibri" w:cstheme="minorHAnsi"/>
          <w:color w:val="0000FF"/>
        </w:rPr>
        <w:lastRenderedPageBreak/>
        <w:t>agreement to the overall estimates.  The sit-to-stand and chair transfer items both had a weighted kappa of 0.901, whereas the lying to sitting item had a weighted kappa of 0.855.  Unweighted overall kappas ranged from 0.693 (lying to sitting) to 0.762 (sitting to standing).</w:t>
      </w:r>
    </w:p>
    <w:p w14:paraId="74AB61E2" w14:textId="77777777" w:rsidR="00D14AD1" w:rsidRPr="00D14AD1" w:rsidRDefault="00D14AD1" w:rsidP="00D14AD1">
      <w:pPr>
        <w:spacing w:after="0" w:line="240" w:lineRule="auto"/>
        <w:contextualSpacing/>
        <w:rPr>
          <w:rFonts w:ascii="Calibri" w:eastAsia="Calibri" w:hAnsi="Calibri" w:cstheme="minorHAnsi"/>
          <w:b/>
          <w:color w:val="0000FF"/>
        </w:rPr>
      </w:pPr>
    </w:p>
    <w:p w14:paraId="6DD70EF0" w14:textId="77777777" w:rsidR="00D14AD1" w:rsidRPr="00D14AD1" w:rsidRDefault="00D14AD1" w:rsidP="00D14AD1">
      <w:pPr>
        <w:spacing w:after="0" w:line="240" w:lineRule="auto"/>
        <w:contextualSpacing/>
        <w:rPr>
          <w:rFonts w:ascii="Calibri" w:eastAsia="Calibri" w:hAnsi="Calibri" w:cstheme="minorHAnsi"/>
          <w:b/>
          <w:color w:val="0000FF"/>
        </w:rPr>
      </w:pPr>
      <w:r w:rsidRPr="00D14AD1">
        <w:rPr>
          <w:rFonts w:ascii="Calibri" w:eastAsia="Calibri" w:hAnsi="Calibri" w:cstheme="minorHAnsi"/>
          <w:b/>
          <w:color w:val="0000FF"/>
        </w:rPr>
        <w:t>B.3</w:t>
      </w:r>
      <w:r w:rsidRPr="00D14AD1">
        <w:rPr>
          <w:rFonts w:ascii="Calibri" w:eastAsia="Calibri" w:hAnsi="Calibri" w:cstheme="minorHAnsi"/>
          <w:b/>
          <w:color w:val="0000FF"/>
        </w:rPr>
        <w:tab/>
        <w:t>Videotaped Standardized Patients Reliability Study</w:t>
      </w:r>
    </w:p>
    <w:p w14:paraId="6E65067E" w14:textId="77777777" w:rsidR="00D14AD1" w:rsidRPr="00D14AD1" w:rsidRDefault="00D14AD1" w:rsidP="00D14AD1">
      <w:pPr>
        <w:spacing w:after="0" w:line="240" w:lineRule="auto"/>
        <w:contextualSpacing/>
        <w:rPr>
          <w:rFonts w:ascii="Calibri" w:eastAsia="Calibri" w:hAnsi="Calibri" w:cstheme="minorHAnsi"/>
          <w:color w:val="0000FF"/>
        </w:rPr>
      </w:pPr>
    </w:p>
    <w:p w14:paraId="34B712F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For the video reliability study, which was designed to examine the level of clinician agreement across care settings, clinicians in each setting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w:t>
      </w:r>
    </w:p>
    <w:p w14:paraId="6E5FB664" w14:textId="77777777" w:rsidR="00D14AD1" w:rsidRPr="00D14AD1" w:rsidRDefault="00D14AD1" w:rsidP="00D14AD1">
      <w:pPr>
        <w:spacing w:after="0" w:line="240" w:lineRule="auto"/>
        <w:contextualSpacing/>
        <w:rPr>
          <w:rFonts w:ascii="Calibri" w:eastAsia="Calibri" w:hAnsi="Calibri" w:cstheme="minorHAnsi"/>
          <w:color w:val="0000FF"/>
        </w:rPr>
      </w:pPr>
    </w:p>
    <w:p w14:paraId="68E515A8"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The mid-level functional activities were considered to be the most challenging for clinicians to score and are thus of particular interest in establishing reliability.  Each clinician involved in the video study watched three videos and assessed the patients according to the study guidelines and protocols.  Each video was approximately 20 minutes long and had a corresponding item set arranged in the sequence in which the items appeared in the video.</w:t>
      </w:r>
    </w:p>
    <w:p w14:paraId="377CCDA3" w14:textId="77777777" w:rsidR="00D14AD1" w:rsidRPr="00D14AD1" w:rsidRDefault="00D14AD1" w:rsidP="00D14AD1">
      <w:pPr>
        <w:spacing w:after="0" w:line="240" w:lineRule="auto"/>
        <w:contextualSpacing/>
        <w:rPr>
          <w:rFonts w:ascii="Calibri" w:eastAsia="Calibri" w:hAnsi="Calibri" w:cstheme="minorHAnsi"/>
          <w:color w:val="0000FF"/>
        </w:rPr>
      </w:pPr>
    </w:p>
    <w:p w14:paraId="49E9A681"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The sample included 28 providers (550 assessments), which included 3 acute hospitals (15 assessments [3%]); 9 HHAs (118 assessments [22%]); 8 IRFs (237 assessments [43%]); 3 LTCHs (114 assessments [21%]); and 5 SNFs (66 assessments [12%]).  Participating providers included case managers (6% of assessments), occupational therapists (14% of assessments), physical therapists (21% of assessments), registered nurses (47% of assessments), speech therapists (5% of assessments), and others, mostly licensed practical nurses (LPNs; 8% of assessments).</w:t>
      </w:r>
    </w:p>
    <w:p w14:paraId="23A576DC" w14:textId="77777777" w:rsidR="00D14AD1" w:rsidRPr="00D14AD1" w:rsidRDefault="00D14AD1" w:rsidP="00D14AD1">
      <w:pPr>
        <w:spacing w:after="0" w:line="240" w:lineRule="auto"/>
        <w:contextualSpacing/>
        <w:rPr>
          <w:rFonts w:ascii="Calibri" w:eastAsia="Calibri" w:hAnsi="Calibri" w:cstheme="minorHAnsi"/>
          <w:color w:val="0000FF"/>
        </w:rPr>
      </w:pPr>
    </w:p>
    <w:p w14:paraId="1DCDA127"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Two main analytic approaches were used for assessing the video reliability of the CARE items, adhering closely to the methods used by Fricke et al.</w:t>
      </w:r>
      <w:r w:rsidRPr="00D14AD1">
        <w:rPr>
          <w:rFonts w:ascii="Calibri" w:eastAsia="Calibri" w:hAnsi="Calibri" w:cstheme="minorHAnsi"/>
          <w:color w:val="0000FF"/>
        </w:rPr>
        <w:footnoteReference w:id="9"/>
      </w:r>
      <w:r w:rsidRPr="00D14AD1">
        <w:rPr>
          <w:rFonts w:ascii="Calibri" w:eastAsia="Calibri" w:hAnsi="Calibri" w:cstheme="minorHAnsi"/>
          <w:color w:val="0000FF"/>
        </w:rPr>
        <w:t xml:space="preserve"> in their video reliability study of the FIM</w:t>
      </w:r>
      <w:r w:rsidRPr="00D14AD1">
        <w:rPr>
          <w:rFonts w:ascii="Calibri" w:eastAsia="Calibri" w:hAnsi="Calibri" w:cstheme="minorHAnsi"/>
          <w:color w:val="0000FF"/>
          <w:vertAlign w:val="superscript"/>
        </w:rPr>
        <w:t>®</w:t>
      </w:r>
      <w:r w:rsidRPr="00D14AD1">
        <w:rPr>
          <w:rFonts w:ascii="Calibri" w:eastAsia="Calibri" w:hAnsi="Calibri" w:cstheme="minorHAnsi"/>
          <w:color w:val="0000FF"/>
        </w:rPr>
        <w:footnoteReference w:id="10"/>
      </w:r>
      <w:r w:rsidRPr="00D14AD1">
        <w:rPr>
          <w:rFonts w:ascii="Calibri" w:eastAsia="Calibri" w:hAnsi="Calibri" w:cstheme="minorHAnsi"/>
          <w:color w:val="0000FF"/>
        </w:rPr>
        <w:t xml:space="preserve"> instrument.  First, percent agreement with the mode response was calculated for each CARE item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74AC16BA" w14:textId="77777777" w:rsidR="00D14AD1" w:rsidRPr="00D14AD1" w:rsidRDefault="00D14AD1" w:rsidP="00D14AD1">
      <w:pPr>
        <w:spacing w:after="0" w:line="240" w:lineRule="auto"/>
        <w:contextualSpacing/>
        <w:rPr>
          <w:rFonts w:ascii="Calibri" w:eastAsia="Calibri" w:hAnsi="Calibri" w:cstheme="minorHAnsi"/>
          <w:color w:val="0000FF"/>
        </w:rPr>
      </w:pPr>
    </w:p>
    <w:p w14:paraId="08F0DB4E"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 xml:space="preserve">The video reliability study indicated substantial agreement with the mode and clinical team among all items, typically upwards of 70%.  The notable exception to this trend exists among the clinicians in the “Other” category (mostly LPNs); they consistently had the lowest levels of agreement among all core self-care items, ranging from 50 to 72%.  For the toileting and dressing items, the agreement with the </w:t>
      </w:r>
      <w:r w:rsidRPr="00D14AD1">
        <w:rPr>
          <w:rFonts w:ascii="Calibri" w:eastAsia="Calibri" w:hAnsi="Calibri" w:cstheme="minorHAnsi"/>
          <w:color w:val="0000FF"/>
        </w:rPr>
        <w:lastRenderedPageBreak/>
        <w:t>clinical team was lower than with the mode.  This occurred because the clinical team response differed from the mode for these three items in either one or two videos.  Nonetheless, because the clinical team response and mode were identical on most of the videos, agreement was still quite high for these items.  In general, study clinicians had responses on average that agreed with the expert clinical team or were slightly lower.</w:t>
      </w:r>
    </w:p>
    <w:p w14:paraId="1B19EB06" w14:textId="77777777" w:rsidR="00D14AD1" w:rsidRPr="00D14AD1" w:rsidRDefault="00D14AD1" w:rsidP="00D14AD1">
      <w:pPr>
        <w:spacing w:after="0" w:line="240" w:lineRule="auto"/>
        <w:contextualSpacing/>
        <w:rPr>
          <w:rFonts w:ascii="Calibri" w:eastAsia="Calibri" w:hAnsi="Calibri" w:cstheme="minorHAnsi"/>
          <w:color w:val="0000FF"/>
        </w:rPr>
      </w:pPr>
    </w:p>
    <w:p w14:paraId="4C59F4AF"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The video reliability study indicated substantial agreement with the mode and clinical team for the lying-to-sitting, sit-to-stand, chair/bed to chair transfer, and toilet transfer items (greater than 76</w:t>
      </w:r>
      <w:r w:rsidRPr="00D14AD1">
        <w:rPr>
          <w:rFonts w:ascii="Calibri" w:eastAsia="Calibri" w:hAnsi="Calibri" w:cstheme="minorHAnsi"/>
          <w:bCs/>
          <w:color w:val="0000FF"/>
        </w:rPr>
        <w:t>%</w:t>
      </w:r>
      <w:r w:rsidRPr="00D14AD1">
        <w:rPr>
          <w:rFonts w:ascii="Calibri" w:eastAsia="Calibri" w:hAnsi="Calibri" w:cstheme="minorHAnsi"/>
          <w:color w:val="0000FF"/>
        </w:rPr>
        <w:t>).  Although rates of agreement with the mode and clinical team response were generally identical, for the 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mode.</w:t>
      </w:r>
    </w:p>
    <w:p w14:paraId="320CBD8F" w14:textId="77777777" w:rsidR="00D14AD1" w:rsidRPr="00D14AD1" w:rsidRDefault="00D14AD1" w:rsidP="00D14AD1">
      <w:pPr>
        <w:spacing w:after="0" w:line="240" w:lineRule="auto"/>
        <w:contextualSpacing/>
        <w:rPr>
          <w:rFonts w:ascii="Calibri" w:eastAsia="Calibri" w:hAnsi="Calibri" w:cstheme="minorHAnsi"/>
          <w:b/>
          <w:color w:val="0000FF"/>
        </w:rPr>
      </w:pPr>
    </w:p>
    <w:p w14:paraId="2DD0E494" w14:textId="77777777" w:rsidR="00D14AD1" w:rsidRPr="00D14AD1" w:rsidRDefault="00D14AD1" w:rsidP="00D14AD1">
      <w:pPr>
        <w:spacing w:after="0" w:line="240" w:lineRule="auto"/>
        <w:contextualSpacing/>
        <w:rPr>
          <w:rFonts w:ascii="Calibri" w:eastAsia="Calibri" w:hAnsi="Calibri" w:cstheme="minorHAnsi"/>
          <w:b/>
          <w:color w:val="0000FF"/>
        </w:rPr>
      </w:pPr>
      <w:r w:rsidRPr="00D14AD1">
        <w:rPr>
          <w:rFonts w:ascii="Calibri" w:eastAsia="Calibri" w:hAnsi="Calibri" w:cstheme="minorHAnsi"/>
          <w:b/>
          <w:color w:val="0000FF"/>
        </w:rPr>
        <w:t>B.4</w:t>
      </w:r>
      <w:r w:rsidRPr="00D14AD1">
        <w:rPr>
          <w:rFonts w:ascii="Calibri" w:eastAsia="Calibri" w:hAnsi="Calibri" w:cstheme="minorHAnsi"/>
          <w:b/>
          <w:color w:val="0000FF"/>
        </w:rPr>
        <w:tab/>
        <w:t>Scale-level Reliability Results: Internal Consistency</w:t>
      </w:r>
    </w:p>
    <w:p w14:paraId="41DDBC23" w14:textId="77777777" w:rsidR="00D14AD1" w:rsidRPr="00D14AD1" w:rsidRDefault="00D14AD1" w:rsidP="00D14AD1">
      <w:pPr>
        <w:spacing w:after="0" w:line="240" w:lineRule="auto"/>
        <w:contextualSpacing/>
        <w:rPr>
          <w:rFonts w:ascii="Calibri" w:eastAsia="Calibri" w:hAnsi="Calibri" w:cstheme="minorHAnsi"/>
          <w:color w:val="0000FF"/>
        </w:rPr>
      </w:pPr>
    </w:p>
    <w:p w14:paraId="7287514B"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 xml:space="preserve">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w:t>
      </w:r>
      <w:r w:rsidRPr="00D14AD1">
        <w:rPr>
          <w:rFonts w:ascii="Calibri" w:eastAsia="Calibri" w:hAnsi="Calibri" w:cstheme="minorHAnsi"/>
          <w:iCs/>
          <w:color w:val="0000FF"/>
        </w:rPr>
        <w:t>General consensus is that Cronbach’s alpha should be at least 0.70 for an adequate scale</w:t>
      </w:r>
      <w:r w:rsidRPr="00D14AD1">
        <w:rPr>
          <w:rFonts w:ascii="Calibri" w:eastAsia="Calibri" w:hAnsi="Calibri" w:cstheme="minorHAnsi"/>
          <w:color w:val="0000FF"/>
        </w:rPr>
        <w:t xml:space="preserve"> for group-level decisions</w:t>
      </w:r>
      <w:r w:rsidRPr="00D14AD1">
        <w:rPr>
          <w:rFonts w:ascii="Calibri" w:eastAsia="Calibri" w:hAnsi="Calibri" w:cstheme="minorHAnsi"/>
          <w:iCs/>
          <w:color w:val="0000FF"/>
        </w:rPr>
        <w:t>, and alphas closer to 1 indicate a good scale.</w:t>
      </w:r>
      <w:r w:rsidRPr="00D14AD1">
        <w:rPr>
          <w:rFonts w:ascii="Calibri" w:eastAsia="Calibri" w:hAnsi="Calibri" w:cstheme="minorHAnsi"/>
          <w:color w:val="0000FF"/>
        </w:rPr>
        <w:footnoteReference w:id="11"/>
      </w:r>
    </w:p>
    <w:p w14:paraId="4C46AE7E" w14:textId="77777777" w:rsidR="00D14AD1" w:rsidRPr="00D14AD1" w:rsidRDefault="00D14AD1" w:rsidP="00D14AD1">
      <w:pPr>
        <w:spacing w:after="0" w:line="240" w:lineRule="auto"/>
        <w:contextualSpacing/>
        <w:rPr>
          <w:rFonts w:ascii="Calibri" w:eastAsia="Calibri" w:hAnsi="Calibri" w:cstheme="minorHAnsi"/>
          <w:color w:val="0000FF"/>
        </w:rPr>
      </w:pPr>
    </w:p>
    <w:p w14:paraId="4EA1088A" w14:textId="77777777" w:rsidR="00D14AD1" w:rsidRPr="00D14AD1" w:rsidRDefault="00D14AD1" w:rsidP="00D14AD1">
      <w:pPr>
        <w:spacing w:after="0" w:line="240" w:lineRule="auto"/>
        <w:contextualSpacing/>
        <w:rPr>
          <w:rFonts w:ascii="Calibri" w:eastAsia="Calibri" w:hAnsi="Calibri" w:cstheme="minorHAnsi"/>
          <w:iCs/>
          <w:color w:val="0000FF"/>
        </w:rPr>
      </w:pPr>
      <w:r w:rsidRPr="00D14AD1">
        <w:rPr>
          <w:rFonts w:ascii="Calibri" w:eastAsia="Calibri" w:hAnsi="Calibri" w:cstheme="minorHAnsi"/>
          <w:color w:val="0000FF"/>
        </w:rPr>
        <w:t xml:space="preserve">Assessments of individual self-care and mobility subscales at both admission and discharge tend to show good reliability statistics (Cronbach’s Alpha of at least 0.80) within their specified subscales.  Reliability estimates by provider type show that the functional status items maintain a very high internal consistency.  </w:t>
      </w:r>
      <w:r w:rsidRPr="00D14AD1">
        <w:rPr>
          <w:rFonts w:ascii="Calibri" w:eastAsia="Calibri" w:hAnsi="Calibri" w:cstheme="minorHAnsi"/>
          <w:iCs/>
          <w:color w:val="0000FF"/>
        </w:rPr>
        <w:t>In addition, no one provider type appears to have reliability estimates higher or lower than the rest, indicating similarity of CARE usage with respect to internal consistency.</w:t>
      </w:r>
    </w:p>
    <w:p w14:paraId="12D17E23" w14:textId="77777777" w:rsidR="00D14AD1" w:rsidRPr="00D14AD1" w:rsidRDefault="00D14AD1" w:rsidP="00D14AD1">
      <w:pPr>
        <w:spacing w:after="0" w:line="240" w:lineRule="auto"/>
        <w:contextualSpacing/>
        <w:rPr>
          <w:rFonts w:ascii="Calibri" w:eastAsia="Calibri" w:hAnsi="Calibri" w:cstheme="minorHAnsi"/>
          <w:color w:val="0000FF"/>
        </w:rPr>
      </w:pPr>
    </w:p>
    <w:p w14:paraId="09E0BCB1"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The following table shows the findings from the Cronbach’s alpha internal consistency evaluation mentioned above.</w:t>
      </w:r>
    </w:p>
    <w:p w14:paraId="2E4FE66F" w14:textId="77777777" w:rsidR="00EA43FF" w:rsidRDefault="00EA43FF" w:rsidP="00D14AD1">
      <w:pPr>
        <w:spacing w:after="0" w:line="240" w:lineRule="auto"/>
        <w:contextualSpacing/>
        <w:jc w:val="center"/>
        <w:rPr>
          <w:rFonts w:ascii="Calibri" w:eastAsia="Calibri" w:hAnsi="Calibri" w:cstheme="minorHAnsi"/>
          <w:b/>
          <w:bCs/>
          <w:color w:val="0000FF"/>
        </w:rPr>
      </w:pPr>
    </w:p>
    <w:p w14:paraId="0DB379B7" w14:textId="440927FD" w:rsidR="00D14AD1" w:rsidRPr="00D14AD1" w:rsidRDefault="00D14AD1" w:rsidP="00D14AD1">
      <w:pPr>
        <w:spacing w:after="0" w:line="240" w:lineRule="auto"/>
        <w:contextualSpacing/>
        <w:jc w:val="center"/>
        <w:rPr>
          <w:rFonts w:ascii="Calibri" w:eastAsia="Calibri" w:hAnsi="Calibri" w:cstheme="minorHAnsi"/>
          <w:b/>
          <w:bCs/>
          <w:color w:val="0000FF"/>
        </w:rPr>
      </w:pPr>
      <w:r w:rsidRPr="00D14AD1">
        <w:rPr>
          <w:rFonts w:ascii="Calibri" w:eastAsia="Calibri" w:hAnsi="Calibri" w:cstheme="minorHAnsi"/>
          <w:b/>
          <w:bCs/>
          <w:color w:val="0000FF"/>
        </w:rPr>
        <w:t>Table B-1</w:t>
      </w:r>
      <w:r w:rsidRPr="00D14AD1">
        <w:rPr>
          <w:rFonts w:ascii="Calibri" w:eastAsia="Calibri" w:hAnsi="Calibri" w:cstheme="minorHAnsi"/>
          <w:b/>
          <w:bCs/>
          <w:color w:val="0000FF"/>
        </w:rPr>
        <w:br/>
        <w:t>CARE functional status internal consistency reliability summary by provider type</w:t>
      </w:r>
    </w:p>
    <w:tbl>
      <w:tblPr>
        <w:tblW w:w="8870"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7"/>
        <w:gridCol w:w="1487"/>
        <w:gridCol w:w="1487"/>
        <w:gridCol w:w="1487"/>
        <w:gridCol w:w="1487"/>
      </w:tblGrid>
      <w:tr w:rsidR="00D14AD1" w:rsidRPr="00D14AD1" w14:paraId="70E31F4F" w14:textId="77777777" w:rsidTr="0010481D">
        <w:trPr>
          <w:cantSplit/>
          <w:trHeight w:val="20"/>
          <w:tblHeader/>
          <w:jc w:val="center"/>
        </w:trPr>
        <w:tc>
          <w:tcPr>
            <w:tcW w:w="1435" w:type="dxa"/>
            <w:tcBorders>
              <w:top w:val="single" w:sz="12" w:space="0" w:color="auto"/>
              <w:left w:val="nil"/>
              <w:bottom w:val="single" w:sz="4" w:space="0" w:color="auto"/>
              <w:right w:val="nil"/>
            </w:tcBorders>
            <w:vAlign w:val="bottom"/>
          </w:tcPr>
          <w:p w14:paraId="395129C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CARE analytic set</w:t>
            </w:r>
          </w:p>
        </w:tc>
        <w:tc>
          <w:tcPr>
            <w:tcW w:w="1487" w:type="dxa"/>
            <w:tcBorders>
              <w:top w:val="single" w:sz="12" w:space="0" w:color="auto"/>
              <w:left w:val="nil"/>
              <w:bottom w:val="single" w:sz="4" w:space="0" w:color="auto"/>
              <w:right w:val="nil"/>
            </w:tcBorders>
            <w:vAlign w:val="bottom"/>
          </w:tcPr>
          <w:p w14:paraId="79BCE8B8"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Overall</w:t>
            </w:r>
            <w:r w:rsidRPr="00D14AD1">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5F38DFD7"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HHA</w:t>
            </w:r>
            <w:r w:rsidRPr="00D14AD1">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23F024D5"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SNF</w:t>
            </w:r>
            <w:r w:rsidRPr="00D14AD1">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4EC1BE2B"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IRF</w:t>
            </w:r>
            <w:r w:rsidRPr="00D14AD1">
              <w:rPr>
                <w:rFonts w:ascii="Calibri" w:eastAsia="Calibri" w:hAnsi="Calibri" w:cstheme="minorHAnsi"/>
                <w:color w:val="0000FF"/>
              </w:rPr>
              <w:br/>
              <w:t>alpha</w:t>
            </w:r>
          </w:p>
        </w:tc>
        <w:tc>
          <w:tcPr>
            <w:tcW w:w="1487" w:type="dxa"/>
            <w:tcBorders>
              <w:top w:val="single" w:sz="12" w:space="0" w:color="auto"/>
              <w:left w:val="nil"/>
              <w:bottom w:val="single" w:sz="4" w:space="0" w:color="auto"/>
              <w:right w:val="nil"/>
            </w:tcBorders>
            <w:vAlign w:val="bottom"/>
          </w:tcPr>
          <w:p w14:paraId="79A959B3"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LTCH</w:t>
            </w:r>
            <w:r w:rsidRPr="00D14AD1">
              <w:rPr>
                <w:rFonts w:ascii="Calibri" w:eastAsia="Calibri" w:hAnsi="Calibri" w:cstheme="minorHAnsi"/>
                <w:color w:val="0000FF"/>
              </w:rPr>
              <w:br/>
              <w:t>alpha</w:t>
            </w:r>
          </w:p>
        </w:tc>
      </w:tr>
      <w:tr w:rsidR="00D14AD1" w:rsidRPr="00D14AD1" w14:paraId="2A99904E" w14:textId="77777777" w:rsidTr="0010481D">
        <w:trPr>
          <w:cantSplit/>
          <w:trHeight w:val="20"/>
          <w:jc w:val="center"/>
        </w:trPr>
        <w:tc>
          <w:tcPr>
            <w:tcW w:w="1435" w:type="dxa"/>
            <w:tcBorders>
              <w:top w:val="nil"/>
              <w:left w:val="nil"/>
              <w:bottom w:val="nil"/>
              <w:right w:val="nil"/>
            </w:tcBorders>
            <w:tcMar>
              <w:top w:w="0" w:type="dxa"/>
              <w:left w:w="0" w:type="dxa"/>
              <w:bottom w:w="0" w:type="dxa"/>
              <w:right w:w="115" w:type="dxa"/>
            </w:tcMar>
          </w:tcPr>
          <w:p w14:paraId="5435207F"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Self-Care</w:t>
            </w:r>
          </w:p>
        </w:tc>
        <w:tc>
          <w:tcPr>
            <w:tcW w:w="1487" w:type="dxa"/>
            <w:tcBorders>
              <w:top w:val="nil"/>
              <w:left w:val="nil"/>
              <w:bottom w:val="nil"/>
              <w:right w:val="nil"/>
            </w:tcBorders>
            <w:vAlign w:val="bottom"/>
          </w:tcPr>
          <w:p w14:paraId="152C794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0.96</w:t>
            </w:r>
          </w:p>
        </w:tc>
        <w:tc>
          <w:tcPr>
            <w:tcW w:w="1487" w:type="dxa"/>
            <w:tcBorders>
              <w:top w:val="nil"/>
              <w:left w:val="nil"/>
              <w:bottom w:val="nil"/>
              <w:right w:val="nil"/>
            </w:tcBorders>
            <w:vAlign w:val="bottom"/>
          </w:tcPr>
          <w:p w14:paraId="6635B47E"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0.94</w:t>
            </w:r>
          </w:p>
        </w:tc>
        <w:tc>
          <w:tcPr>
            <w:tcW w:w="1487" w:type="dxa"/>
            <w:tcBorders>
              <w:top w:val="nil"/>
              <w:left w:val="nil"/>
              <w:bottom w:val="nil"/>
              <w:right w:val="nil"/>
            </w:tcBorders>
            <w:vAlign w:val="bottom"/>
          </w:tcPr>
          <w:p w14:paraId="355A30D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0.95</w:t>
            </w:r>
          </w:p>
        </w:tc>
        <w:tc>
          <w:tcPr>
            <w:tcW w:w="1487" w:type="dxa"/>
            <w:tcBorders>
              <w:top w:val="nil"/>
              <w:left w:val="nil"/>
              <w:bottom w:val="nil"/>
              <w:right w:val="nil"/>
            </w:tcBorders>
            <w:vAlign w:val="bottom"/>
          </w:tcPr>
          <w:p w14:paraId="6010BDF6"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0.95</w:t>
            </w:r>
          </w:p>
        </w:tc>
        <w:tc>
          <w:tcPr>
            <w:tcW w:w="1487" w:type="dxa"/>
            <w:tcBorders>
              <w:top w:val="nil"/>
              <w:left w:val="nil"/>
              <w:bottom w:val="nil"/>
              <w:right w:val="nil"/>
            </w:tcBorders>
            <w:vAlign w:val="bottom"/>
          </w:tcPr>
          <w:p w14:paraId="7D546AFE"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0.96</w:t>
            </w:r>
          </w:p>
        </w:tc>
      </w:tr>
      <w:tr w:rsidR="00D14AD1" w:rsidRPr="00D14AD1" w14:paraId="7922A0E5" w14:textId="77777777" w:rsidTr="0010481D">
        <w:trPr>
          <w:cantSplit/>
          <w:trHeight w:val="20"/>
          <w:jc w:val="center"/>
        </w:trPr>
        <w:tc>
          <w:tcPr>
            <w:tcW w:w="1435" w:type="dxa"/>
            <w:tcBorders>
              <w:top w:val="nil"/>
              <w:left w:val="nil"/>
              <w:bottom w:val="single" w:sz="12" w:space="0" w:color="auto"/>
              <w:right w:val="nil"/>
            </w:tcBorders>
            <w:tcMar>
              <w:top w:w="0" w:type="dxa"/>
              <w:left w:w="0" w:type="dxa"/>
              <w:bottom w:w="0" w:type="dxa"/>
              <w:right w:w="115" w:type="dxa"/>
            </w:tcMar>
          </w:tcPr>
          <w:p w14:paraId="6041C7E4"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Mobility</w:t>
            </w:r>
          </w:p>
        </w:tc>
        <w:tc>
          <w:tcPr>
            <w:tcW w:w="1487" w:type="dxa"/>
            <w:tcBorders>
              <w:top w:val="nil"/>
              <w:left w:val="nil"/>
              <w:bottom w:val="single" w:sz="12" w:space="0" w:color="auto"/>
              <w:right w:val="nil"/>
            </w:tcBorders>
            <w:vAlign w:val="bottom"/>
          </w:tcPr>
          <w:p w14:paraId="569E6193"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0.96</w:t>
            </w:r>
          </w:p>
        </w:tc>
        <w:tc>
          <w:tcPr>
            <w:tcW w:w="1487" w:type="dxa"/>
            <w:tcBorders>
              <w:top w:val="nil"/>
              <w:left w:val="nil"/>
              <w:bottom w:val="single" w:sz="12" w:space="0" w:color="auto"/>
              <w:right w:val="nil"/>
            </w:tcBorders>
            <w:vAlign w:val="bottom"/>
          </w:tcPr>
          <w:p w14:paraId="151225E3"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0.94</w:t>
            </w:r>
          </w:p>
        </w:tc>
        <w:tc>
          <w:tcPr>
            <w:tcW w:w="1487" w:type="dxa"/>
            <w:tcBorders>
              <w:top w:val="nil"/>
              <w:left w:val="nil"/>
              <w:bottom w:val="single" w:sz="12" w:space="0" w:color="auto"/>
              <w:right w:val="nil"/>
            </w:tcBorders>
            <w:vAlign w:val="bottom"/>
          </w:tcPr>
          <w:p w14:paraId="74443500"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0.95</w:t>
            </w:r>
          </w:p>
        </w:tc>
        <w:tc>
          <w:tcPr>
            <w:tcW w:w="1487" w:type="dxa"/>
            <w:tcBorders>
              <w:top w:val="nil"/>
              <w:left w:val="nil"/>
              <w:bottom w:val="single" w:sz="12" w:space="0" w:color="auto"/>
              <w:right w:val="nil"/>
            </w:tcBorders>
            <w:vAlign w:val="bottom"/>
          </w:tcPr>
          <w:p w14:paraId="77B24266"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0.96</w:t>
            </w:r>
          </w:p>
        </w:tc>
        <w:tc>
          <w:tcPr>
            <w:tcW w:w="1487" w:type="dxa"/>
            <w:tcBorders>
              <w:top w:val="nil"/>
              <w:left w:val="nil"/>
              <w:bottom w:val="single" w:sz="12" w:space="0" w:color="auto"/>
              <w:right w:val="nil"/>
            </w:tcBorders>
            <w:vAlign w:val="bottom"/>
          </w:tcPr>
          <w:p w14:paraId="0CAA3792"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0.97</w:t>
            </w:r>
          </w:p>
        </w:tc>
      </w:tr>
    </w:tbl>
    <w:p w14:paraId="40836E9F" w14:textId="77777777" w:rsidR="00D14AD1" w:rsidRPr="00D14AD1" w:rsidRDefault="00D14AD1" w:rsidP="00D14AD1">
      <w:pPr>
        <w:spacing w:after="0" w:line="240" w:lineRule="auto"/>
        <w:contextualSpacing/>
        <w:rPr>
          <w:rFonts w:ascii="Calibri" w:eastAsia="Calibri" w:hAnsi="Calibri" w:cstheme="minorHAnsi"/>
          <w:b/>
          <w:color w:val="0000FF"/>
        </w:rPr>
      </w:pPr>
    </w:p>
    <w:p w14:paraId="6403150B" w14:textId="77777777" w:rsidR="005345A9" w:rsidRDefault="005345A9" w:rsidP="00D14AD1">
      <w:pPr>
        <w:spacing w:after="0" w:line="240" w:lineRule="auto"/>
        <w:contextualSpacing/>
        <w:rPr>
          <w:rFonts w:ascii="Calibri" w:eastAsia="Calibri" w:hAnsi="Calibri" w:cstheme="minorHAnsi"/>
          <w:b/>
          <w:color w:val="0000FF"/>
        </w:rPr>
      </w:pPr>
    </w:p>
    <w:p w14:paraId="10F203FE" w14:textId="77777777" w:rsidR="005345A9" w:rsidRDefault="005345A9" w:rsidP="00D14AD1">
      <w:pPr>
        <w:spacing w:after="0" w:line="240" w:lineRule="auto"/>
        <w:contextualSpacing/>
        <w:rPr>
          <w:rFonts w:ascii="Calibri" w:eastAsia="Calibri" w:hAnsi="Calibri" w:cstheme="minorHAnsi"/>
          <w:b/>
          <w:color w:val="0000FF"/>
        </w:rPr>
      </w:pPr>
    </w:p>
    <w:p w14:paraId="0D37A64D" w14:textId="654B330A" w:rsidR="00D14AD1" w:rsidRPr="00D14AD1" w:rsidRDefault="00D14AD1" w:rsidP="00D14AD1">
      <w:pPr>
        <w:spacing w:after="0" w:line="240" w:lineRule="auto"/>
        <w:contextualSpacing/>
        <w:rPr>
          <w:rFonts w:ascii="Calibri" w:eastAsia="Calibri" w:hAnsi="Calibri" w:cstheme="minorHAnsi"/>
          <w:b/>
          <w:color w:val="0000FF"/>
        </w:rPr>
      </w:pPr>
      <w:r w:rsidRPr="00D14AD1">
        <w:rPr>
          <w:rFonts w:ascii="Calibri" w:eastAsia="Calibri" w:hAnsi="Calibri" w:cstheme="minorHAnsi"/>
          <w:b/>
          <w:color w:val="0000FF"/>
        </w:rPr>
        <w:lastRenderedPageBreak/>
        <w:t>B.5</w:t>
      </w:r>
      <w:r w:rsidRPr="00D14AD1">
        <w:rPr>
          <w:rFonts w:ascii="Calibri" w:eastAsia="Calibri" w:hAnsi="Calibri" w:cstheme="minorHAnsi"/>
          <w:b/>
          <w:color w:val="0000FF"/>
        </w:rPr>
        <w:tab/>
        <w:t>Scale-level Reliability and Validity Testing: Rasch Analysis</w:t>
      </w:r>
    </w:p>
    <w:p w14:paraId="2AF397F7" w14:textId="77777777" w:rsidR="00D14AD1" w:rsidRPr="00D14AD1" w:rsidRDefault="00D14AD1" w:rsidP="00D14AD1">
      <w:pPr>
        <w:spacing w:after="0" w:line="240" w:lineRule="auto"/>
        <w:contextualSpacing/>
        <w:rPr>
          <w:rFonts w:ascii="Calibri" w:eastAsia="Calibri" w:hAnsi="Calibri" w:cstheme="minorHAnsi"/>
          <w:color w:val="0000FF"/>
        </w:rPr>
      </w:pPr>
    </w:p>
    <w:p w14:paraId="5E1996DA"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Because we are measuring a latent trait—a concept that is not measured directly, but that relies on activities that can be directly observed—we used the one-parameter Rasch model to gain a better understanding of the functional status activities.  More specifically, we examined the order of functional status items (from least challenging to most challenging) that characterize the concepts of the self-care and mobility.</w:t>
      </w:r>
    </w:p>
    <w:p w14:paraId="16BD04E9" w14:textId="77777777" w:rsidR="00D14AD1" w:rsidRPr="00D14AD1" w:rsidRDefault="00D14AD1" w:rsidP="00D14AD1">
      <w:pPr>
        <w:spacing w:after="0" w:line="240" w:lineRule="auto"/>
        <w:contextualSpacing/>
        <w:rPr>
          <w:rFonts w:ascii="Calibri" w:eastAsia="Calibri" w:hAnsi="Calibri" w:cstheme="minorHAnsi"/>
          <w:color w:val="0000FF"/>
        </w:rPr>
      </w:pPr>
    </w:p>
    <w:p w14:paraId="6C721EB5"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Rasch analysis uses the scores from the functional assessment items to create the equivalent of a functional status “ruler” (i.e., scale).  Rasch analysis uses the available data to estimate a person’s location along the “ruler;” therefore, analyses can be conducted if some data are missing.  Rasch analysis can also inform the optimal selection of key items in order to construct functional status scales that sufficiently span an entire range of patient functioning, so that both the least able and most able (lowest- and highest-functioning) patients are adequately measured.  In addition, Rasch analysis can indicate where items overlap or are redundant in terms of the level of function they capture.</w:t>
      </w:r>
    </w:p>
    <w:p w14:paraId="7110EB34" w14:textId="77777777" w:rsidR="00D14AD1" w:rsidRPr="00D14AD1" w:rsidRDefault="00D14AD1" w:rsidP="00D14AD1">
      <w:pPr>
        <w:spacing w:after="0" w:line="240" w:lineRule="auto"/>
        <w:contextualSpacing/>
        <w:rPr>
          <w:rFonts w:ascii="Calibri" w:eastAsia="Calibri" w:hAnsi="Calibri" w:cstheme="minorHAnsi"/>
          <w:color w:val="0000FF"/>
        </w:rPr>
      </w:pPr>
    </w:p>
    <w:p w14:paraId="311C27FF"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Rasch analysis has been used to examine the FIM</w:t>
      </w:r>
      <w:r w:rsidRPr="00D14AD1">
        <w:rPr>
          <w:rFonts w:ascii="Calibri" w:eastAsia="Calibri" w:hAnsi="Calibri" w:cstheme="minorHAnsi"/>
          <w:color w:val="0000FF"/>
          <w:vertAlign w:val="superscript"/>
        </w:rPr>
        <w:t>®</w:t>
      </w:r>
      <w:r w:rsidRPr="00D14AD1">
        <w:rPr>
          <w:rFonts w:ascii="Calibri" w:eastAsia="Calibri" w:hAnsi="Calibri" w:cstheme="minorHAnsi"/>
          <w:color w:val="0000FF"/>
        </w:rPr>
        <w:t xml:space="preserve"> instrument,</w:t>
      </w:r>
      <w:r w:rsidRPr="00D14AD1">
        <w:rPr>
          <w:rFonts w:ascii="Calibri" w:eastAsia="Calibri" w:hAnsi="Calibri" w:cstheme="minorHAnsi"/>
          <w:color w:val="0000FF"/>
        </w:rPr>
        <w:footnoteReference w:id="12"/>
      </w:r>
      <w:r w:rsidRPr="00D14AD1">
        <w:rPr>
          <w:rFonts w:ascii="Calibri" w:eastAsia="Calibri" w:hAnsi="Calibri" w:cstheme="minorHAnsi"/>
          <w:color w:val="0000FF"/>
        </w:rPr>
        <w:t>,</w:t>
      </w:r>
      <w:r w:rsidRPr="00D14AD1">
        <w:rPr>
          <w:rFonts w:ascii="Calibri" w:eastAsia="Calibri" w:hAnsi="Calibri" w:cstheme="minorHAnsi"/>
          <w:color w:val="0000FF"/>
        </w:rPr>
        <w:footnoteReference w:id="13"/>
      </w:r>
      <w:r w:rsidRPr="00D14AD1">
        <w:rPr>
          <w:rFonts w:ascii="Calibri" w:eastAsia="Calibri" w:hAnsi="Calibri" w:cstheme="minorHAnsi"/>
          <w:color w:val="0000FF"/>
        </w:rPr>
        <w:t>,</w:t>
      </w:r>
      <w:r w:rsidRPr="00D14AD1">
        <w:rPr>
          <w:rFonts w:ascii="Calibri" w:eastAsia="Calibri" w:hAnsi="Calibri" w:cstheme="minorHAnsi"/>
          <w:color w:val="0000FF"/>
        </w:rPr>
        <w:footnoteReference w:id="14"/>
      </w:r>
      <w:r w:rsidRPr="00D14AD1">
        <w:rPr>
          <w:rFonts w:ascii="Calibri" w:eastAsia="Calibri" w:hAnsi="Calibri" w:cstheme="minorHAnsi"/>
          <w:color w:val="0000FF"/>
        </w:rPr>
        <w:t>,</w:t>
      </w:r>
      <w:r w:rsidRPr="00D14AD1">
        <w:rPr>
          <w:rFonts w:ascii="Calibri" w:eastAsia="Calibri" w:hAnsi="Calibri" w:cstheme="minorHAnsi"/>
          <w:color w:val="0000FF"/>
        </w:rPr>
        <w:footnoteReference w:id="15"/>
      </w:r>
      <w:r w:rsidRPr="00D14AD1">
        <w:rPr>
          <w:rFonts w:ascii="Calibri" w:eastAsia="Calibri" w:hAnsi="Calibri" w:cstheme="minorHAnsi"/>
          <w:color w:val="0000FF"/>
        </w:rPr>
        <w:t xml:space="preserve"> the Minimum Data Set (MDS),</w:t>
      </w:r>
      <w:r w:rsidRPr="00D14AD1">
        <w:rPr>
          <w:rFonts w:ascii="Calibri" w:eastAsia="Calibri" w:hAnsi="Calibri" w:cstheme="minorHAnsi"/>
          <w:color w:val="0000FF"/>
        </w:rPr>
        <w:footnoteReference w:id="16"/>
      </w:r>
      <w:r w:rsidRPr="00D14AD1">
        <w:rPr>
          <w:rFonts w:ascii="Calibri" w:eastAsia="Calibri" w:hAnsi="Calibri" w:cstheme="minorHAnsi"/>
          <w:color w:val="0000FF"/>
        </w:rPr>
        <w:t xml:space="preserve"> and the Outcome and Assessment Information Set (OASIS).</w:t>
      </w:r>
      <w:r w:rsidRPr="00D14AD1">
        <w:rPr>
          <w:rFonts w:ascii="Calibri" w:eastAsia="Calibri" w:hAnsi="Calibri" w:cstheme="minorHAnsi"/>
          <w:color w:val="0000FF"/>
        </w:rPr>
        <w:footnoteReference w:id="17"/>
      </w:r>
      <w:r w:rsidRPr="00D14AD1">
        <w:rPr>
          <w:rFonts w:ascii="Calibri" w:eastAsia="Calibri" w:hAnsi="Calibri" w:cstheme="minorHAnsi"/>
          <w:color w:val="0000FF"/>
        </w:rPr>
        <w:t xml:space="preserve">  Rasch analysis has also been used to examine the extent to which existing functional assessment instruments (e.g., the FIM</w:t>
      </w:r>
      <w:r w:rsidRPr="00D14AD1">
        <w:rPr>
          <w:rFonts w:ascii="Calibri" w:eastAsia="Calibri" w:hAnsi="Calibri" w:cstheme="minorHAnsi"/>
          <w:color w:val="0000FF"/>
          <w:vertAlign w:val="superscript"/>
        </w:rPr>
        <w:t>®</w:t>
      </w:r>
      <w:r w:rsidRPr="00D14AD1">
        <w:rPr>
          <w:rFonts w:ascii="Calibri" w:eastAsia="Calibri" w:hAnsi="Calibri" w:cstheme="minorHAnsi"/>
          <w:color w:val="0000FF"/>
        </w:rPr>
        <w:t xml:space="preserve"> instrument, MDS 2.0) capture the same construct.</w:t>
      </w:r>
      <w:r w:rsidRPr="00D14AD1">
        <w:rPr>
          <w:rFonts w:ascii="Calibri" w:eastAsia="Calibri" w:hAnsi="Calibri" w:cstheme="minorHAnsi"/>
          <w:color w:val="0000FF"/>
        </w:rPr>
        <w:footnoteReference w:id="18"/>
      </w:r>
    </w:p>
    <w:p w14:paraId="20373017" w14:textId="77777777" w:rsidR="00D14AD1" w:rsidRPr="00D14AD1" w:rsidRDefault="00D14AD1" w:rsidP="00D14AD1">
      <w:pPr>
        <w:spacing w:after="0" w:line="240" w:lineRule="auto"/>
        <w:contextualSpacing/>
        <w:rPr>
          <w:rFonts w:ascii="Calibri" w:eastAsia="Calibri" w:hAnsi="Calibri" w:cstheme="minorHAnsi"/>
          <w:color w:val="0000FF"/>
        </w:rPr>
      </w:pPr>
    </w:p>
    <w:p w14:paraId="003C9CA7"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Rasch measurement is based on a probabilistic model that describes the association between a person’s underlying ability level and probability of a particular item response, and summarizes a patient’s position along a “ruler” that represents a latent trait or concept (e.g., self-care or mobility).</w:t>
      </w:r>
      <w:r w:rsidRPr="00D14AD1">
        <w:rPr>
          <w:rFonts w:ascii="Calibri" w:eastAsia="Calibri" w:hAnsi="Calibri" w:cstheme="minorHAnsi"/>
          <w:color w:val="0000FF"/>
        </w:rPr>
        <w:footnoteReference w:id="19"/>
      </w:r>
      <w:r w:rsidRPr="00D14AD1">
        <w:rPr>
          <w:rFonts w:ascii="Calibri" w:eastAsia="Calibri" w:hAnsi="Calibri" w:cstheme="minorHAnsi"/>
          <w:color w:val="0000FF"/>
        </w:rPr>
        <w:t xml:space="preserve">  In essence, the Rasch analysis creates a ruler based on the domain measured (e.g., mobility) that can be used to assess the abilities of the patients.  The analysis also provides information on the hierarchy of item difficulty (from easy to hard) that can be used to evaluate the construct validity of a set of items.  In addition, the Rasch analysis provides information about the level of challenge associated with each item rating scale (“dependent” through “independent”).  For example, an item with a low difficulty estimate (e.g., eating) would be more likely to be completed with little or no help by patient’s items that are more challenging (e.g., 12 steps), where most patients would find completing this activity challenging. Finally, the Rasch analysis can provide information on items that do not fit into the single theorized concept through “item misfit” statistics, which may indicate that the item needs further evaluation </w:t>
      </w:r>
      <w:r w:rsidRPr="00D14AD1">
        <w:rPr>
          <w:rFonts w:ascii="Calibri" w:eastAsia="Calibri" w:hAnsi="Calibri" w:cstheme="minorHAnsi"/>
          <w:color w:val="0000FF"/>
        </w:rPr>
        <w:lastRenderedPageBreak/>
        <w:t>before it is included on future administrations of the subscale.  The infit mean square is an indicator of the degree to which patient responses are similar to what would be expected (i.e., predicted) by the measurement model.  The acceptable range is generally 0.6 to 1.4.  If the item values are above this range, it reflects that person response patterns are erratic, generally suggesting that the item is not measuring the same construct as other items.  Infit mean squares above 1.4 are considered to be unacceptably unexpected</w:t>
      </w:r>
      <w:r w:rsidRPr="00D14AD1">
        <w:rPr>
          <w:rFonts w:ascii="Calibri" w:eastAsia="Calibri" w:hAnsi="Calibri" w:cstheme="minorHAnsi"/>
          <w:color w:val="0000FF"/>
        </w:rPr>
        <w:footnoteReference w:id="20"/>
      </w:r>
      <w:hyperlink w:anchor="_ENREF_38" w:tooltip="Wright, 1994 #82" w:history="1"/>
      <w:r w:rsidRPr="00D14AD1">
        <w:rPr>
          <w:rFonts w:ascii="Calibri" w:eastAsia="Calibri" w:hAnsi="Calibri" w:cstheme="minorHAnsi"/>
          <w:color w:val="0000FF"/>
        </w:rPr>
        <w:t xml:space="preserve"> and indicate that the item most likely does not reflect the same construct as the other items included in the scale; for example, a need for assistance with self-care.</w:t>
      </w:r>
    </w:p>
    <w:p w14:paraId="30527249" w14:textId="77777777" w:rsidR="00D14AD1" w:rsidRPr="00D14AD1" w:rsidRDefault="00D14AD1" w:rsidP="00D14AD1">
      <w:pPr>
        <w:spacing w:after="0" w:line="240" w:lineRule="auto"/>
        <w:contextualSpacing/>
        <w:rPr>
          <w:rFonts w:ascii="Calibri" w:eastAsia="Calibri" w:hAnsi="Calibri" w:cstheme="minorHAnsi"/>
          <w:color w:val="0000FF"/>
        </w:rPr>
      </w:pPr>
    </w:p>
    <w:p w14:paraId="65F7162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RTI used Rasch analysis to examine the extent to which the items worked together to define a coherent concept.  This was conducted separately for the self-care and mobility items.  Item fit statistics were examined as an indication of how well all items work together to describe the overall construct (self-care or mobility).  The Rasch analysis provides insight into how the items work together as a subscale, including the hierarchy of item difficulty (ordering from easy to difficult) and item fit to the model.</w:t>
      </w:r>
    </w:p>
    <w:p w14:paraId="531A2199" w14:textId="77777777" w:rsidR="00D14AD1" w:rsidRPr="00D14AD1" w:rsidRDefault="00D14AD1" w:rsidP="00D14AD1">
      <w:pPr>
        <w:spacing w:after="0" w:line="240" w:lineRule="auto"/>
        <w:contextualSpacing/>
        <w:rPr>
          <w:rFonts w:ascii="Calibri" w:eastAsia="Calibri" w:hAnsi="Calibri" w:cstheme="minorHAnsi"/>
          <w:color w:val="0000FF"/>
        </w:rPr>
      </w:pPr>
    </w:p>
    <w:p w14:paraId="2C87CA58"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Examinations of these Rasch analysis results reveal that the mobility and self-care item hierarchies make sense clinically and that the operational definitions of the constructs maintain general stability from admission to discharge.  Some items have fit statistics outside the acceptable range (e.g., pick up object from floor), but members of the Technical Expert Panel noted that this is an important assessment given the risk of falls.</w:t>
      </w:r>
    </w:p>
    <w:p w14:paraId="706A4AB0" w14:textId="77777777" w:rsidR="00D14AD1" w:rsidRPr="00D14AD1" w:rsidRDefault="00D14AD1" w:rsidP="00D14AD1">
      <w:pPr>
        <w:spacing w:after="0" w:line="240" w:lineRule="auto"/>
        <w:contextualSpacing/>
        <w:rPr>
          <w:rFonts w:ascii="Calibri" w:eastAsia="Calibri" w:hAnsi="Calibri" w:cstheme="minorHAnsi"/>
          <w:color w:val="0000FF"/>
        </w:rPr>
      </w:pPr>
    </w:p>
    <w:p w14:paraId="38C02F09"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RTI examined how well the items selected measure the persons in the data set for both self-care and mobility items.  RTI examined the extent to which person response patterns fit the assumptions of the measurement model using the same range of infit statistics identified above.  RTI examined the extent to which persons are effectively measured (ceiling and floor effects) in each setting overall and for admission and discharge time points.  The mobility and self-care items were found to be well targeted to the range of patient ability sampled within this post-acute care population.</w:t>
      </w:r>
    </w:p>
    <w:p w14:paraId="3FD931BA" w14:textId="77777777" w:rsidR="00D14AD1" w:rsidRPr="00D14AD1" w:rsidRDefault="00D14AD1" w:rsidP="00D14AD1">
      <w:pPr>
        <w:spacing w:after="0" w:line="240" w:lineRule="auto"/>
        <w:contextualSpacing/>
        <w:rPr>
          <w:rFonts w:ascii="Calibri" w:eastAsia="Calibri" w:hAnsi="Calibri" w:cstheme="minorHAnsi"/>
          <w:color w:val="0000FF"/>
        </w:rPr>
      </w:pPr>
    </w:p>
    <w:p w14:paraId="0A559506" w14:textId="77777777" w:rsidR="00D14AD1" w:rsidRPr="00D14AD1" w:rsidRDefault="00D14AD1" w:rsidP="00D14AD1">
      <w:pPr>
        <w:spacing w:after="0" w:line="240" w:lineRule="auto"/>
        <w:contextualSpacing/>
        <w:rPr>
          <w:rFonts w:ascii="Calibri" w:eastAsia="Calibri" w:hAnsi="Calibri" w:cstheme="minorHAnsi"/>
          <w:color w:val="0000FF"/>
        </w:rPr>
      </w:pPr>
      <w:r w:rsidRPr="00D14AD1">
        <w:rPr>
          <w:rFonts w:ascii="Calibri" w:eastAsia="Calibri" w:hAnsi="Calibri" w:cstheme="minorHAnsi"/>
          <w:color w:val="0000FF"/>
        </w:rPr>
        <w:t>RTI established that the six steps of the CARE rating scale are operating as intended, both overall and for individual items on the self-care and mobility subscales.  The probability that a person will be scored on a particular rating scale step varies depending on the functional ability of the person.  That is, very able people will be more likely to be scored as ‘5’ and ‘6’ than as ‘1’ and ‘2.’ Looking empirically at these distributions, one should see the transitions from one step to the next (called thresholds) proceed monotonically and distinctly across the range of person abilities.  In other words, there should always be some point along the range at which each rating-scale step is more probable than another step.  When a rating-scale step is not more probable at any point, it suggests that raters are not able to use that step to consistently distinguish patient ability at that level.</w:t>
      </w:r>
    </w:p>
    <w:p w14:paraId="60DA5362" w14:textId="77777777" w:rsidR="00D14AD1" w:rsidRDefault="00D14AD1" w:rsidP="00D14AD1">
      <w:pPr>
        <w:spacing w:after="0" w:line="240" w:lineRule="auto"/>
        <w:contextualSpacing/>
        <w:rPr>
          <w:rFonts w:ascii="Calibri" w:eastAsia="Calibri" w:hAnsi="Calibri" w:cstheme="minorHAnsi"/>
          <w:color w:val="0000FF"/>
          <w:sz w:val="20"/>
          <w:szCs w:val="20"/>
        </w:rPr>
        <w:sectPr w:rsidR="00D14AD1" w:rsidSect="00D14AD1">
          <w:footnotePr>
            <w:numRestart w:val="eachSect"/>
          </w:footnotePr>
          <w:type w:val="continuous"/>
          <w:pgSz w:w="12240" w:h="15840"/>
          <w:pgMar w:top="1440" w:right="1440" w:bottom="1440" w:left="1440" w:header="720" w:footer="720" w:gutter="0"/>
          <w:cols w:space="720"/>
          <w:docGrid w:linePitch="360"/>
        </w:sectPr>
      </w:pPr>
    </w:p>
    <w:p w14:paraId="1042C29A" w14:textId="3DDCF61C" w:rsidR="00D14AD1" w:rsidRPr="00D14AD1" w:rsidRDefault="00D14AD1" w:rsidP="00D14AD1">
      <w:pPr>
        <w:spacing w:after="0" w:line="240" w:lineRule="auto"/>
        <w:contextualSpacing/>
        <w:rPr>
          <w:rFonts w:ascii="Calibri" w:eastAsia="Calibri" w:hAnsi="Calibri" w:cstheme="minorHAnsi"/>
          <w:color w:val="0000FF"/>
          <w:sz w:val="20"/>
          <w:szCs w:val="20"/>
        </w:rPr>
      </w:pPr>
    </w:p>
    <w:p w14:paraId="6C3042FE" w14:textId="77777777" w:rsidR="00D14AD1" w:rsidRPr="00D14AD1" w:rsidRDefault="00D14AD1" w:rsidP="00D14AD1">
      <w:pPr>
        <w:spacing w:after="0" w:line="240" w:lineRule="auto"/>
        <w:contextualSpacing/>
        <w:rPr>
          <w:rFonts w:eastAsia="Calibri" w:cstheme="minorHAnsi"/>
          <w:color w:val="0000FF"/>
          <w:sz w:val="20"/>
          <w:szCs w:val="20"/>
        </w:rPr>
      </w:pPr>
    </w:p>
    <w:p w14:paraId="1286FB32" w14:textId="77777777" w:rsidR="00D14AD1" w:rsidRPr="00D14AD1" w:rsidRDefault="00D14AD1" w:rsidP="00D14AD1">
      <w:pPr>
        <w:spacing w:line="259" w:lineRule="auto"/>
        <w:rPr>
          <w:rFonts w:cstheme="minorHAnsi"/>
          <w:bCs/>
          <w:color w:val="0000FF"/>
        </w:rPr>
      </w:pPr>
    </w:p>
    <w:sectPr w:rsidR="00D14AD1" w:rsidRPr="00D14AD1" w:rsidSect="00D14AD1">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DDE227" w16cid:durableId="2064162D"/>
  <w16cid:commentId w16cid:paraId="5DCE5DB8" w16cid:durableId="206416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50AFE" w14:textId="77777777" w:rsidR="00865807" w:rsidRDefault="00865807" w:rsidP="005C73CA">
      <w:pPr>
        <w:spacing w:after="0" w:line="240" w:lineRule="auto"/>
      </w:pPr>
      <w:r>
        <w:separator/>
      </w:r>
    </w:p>
  </w:endnote>
  <w:endnote w:type="continuationSeparator" w:id="0">
    <w:p w14:paraId="54D3EA29" w14:textId="77777777" w:rsidR="00865807" w:rsidRDefault="00865807"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5AB899F3" w:rsidR="00865807" w:rsidRDefault="00865807">
    <w:pPr>
      <w:pStyle w:val="Footer"/>
    </w:pPr>
    <w:r>
      <w:t>Version 7.1 1/7/</w:t>
    </w:r>
    <w:r w:rsidRPr="00837708">
      <w:t>201</w:t>
    </w:r>
    <w:r>
      <w:t>9</w:t>
    </w:r>
    <w:r>
      <w:ptab w:relativeTo="margin" w:alignment="right" w:leader="none"/>
    </w:r>
    <w:r>
      <w:fldChar w:fldCharType="begin"/>
    </w:r>
    <w:r>
      <w:instrText xml:space="preserve"> PAGE   \* MERGEFORMAT </w:instrText>
    </w:r>
    <w:r>
      <w:fldChar w:fldCharType="separate"/>
    </w:r>
    <w:r w:rsidR="00DF56A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69AB1B" w14:textId="77777777" w:rsidR="00865807" w:rsidRDefault="00865807" w:rsidP="005C73CA">
      <w:pPr>
        <w:spacing w:after="0" w:line="240" w:lineRule="auto"/>
      </w:pPr>
      <w:r>
        <w:separator/>
      </w:r>
    </w:p>
  </w:footnote>
  <w:footnote w:type="continuationSeparator" w:id="0">
    <w:p w14:paraId="67B64C5E" w14:textId="77777777" w:rsidR="00865807" w:rsidRDefault="00865807" w:rsidP="005C73CA">
      <w:pPr>
        <w:spacing w:after="0" w:line="240" w:lineRule="auto"/>
      </w:pPr>
      <w:r>
        <w:continuationSeparator/>
      </w:r>
    </w:p>
  </w:footnote>
  <w:footnote w:id="1">
    <w:p w14:paraId="5F3360CD" w14:textId="77777777" w:rsidR="00865807" w:rsidRPr="00E92F71" w:rsidRDefault="00865807" w:rsidP="0055031C">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1" w:history="1">
        <w:r w:rsidRPr="00E92F71">
          <w:rPr>
            <w:rStyle w:val="Hyperlink"/>
            <w:rFonts w:asciiTheme="minorHAnsi" w:hAnsiTheme="minorHAnsi" w:cstheme="minorHAnsi"/>
            <w:sz w:val="18"/>
          </w:rPr>
          <w:t>https://www.huduser.gov/portal/datasets/usps_crosswalk.html</w:t>
        </w:r>
      </w:hyperlink>
      <w:r w:rsidRPr="00E92F71">
        <w:rPr>
          <w:rFonts w:asciiTheme="minorHAnsi" w:hAnsiTheme="minorHAnsi" w:cstheme="minorHAnsi"/>
          <w:sz w:val="18"/>
        </w:rPr>
        <w:t xml:space="preserve"> </w:t>
      </w:r>
    </w:p>
  </w:footnote>
  <w:footnote w:id="2">
    <w:p w14:paraId="511583C5" w14:textId="77777777" w:rsidR="00865807" w:rsidRPr="00E92F71" w:rsidRDefault="00865807" w:rsidP="0055031C">
      <w:pPr>
        <w:pStyle w:val="FootnoteText"/>
        <w:rPr>
          <w:rFonts w:asciiTheme="minorHAnsi" w:hAnsiTheme="minorHAnsi" w:cstheme="minorHAnsi"/>
          <w:sz w:val="22"/>
        </w:rPr>
      </w:pPr>
      <w:r w:rsidRPr="00E92F71">
        <w:rPr>
          <w:rStyle w:val="FootnoteReference"/>
          <w:rFonts w:asciiTheme="minorHAnsi" w:hAnsiTheme="minorHAnsi" w:cstheme="minorHAnsi"/>
          <w:sz w:val="18"/>
        </w:rPr>
        <w:footnoteRef/>
      </w:r>
      <w:r w:rsidRPr="00E92F71">
        <w:rPr>
          <w:rFonts w:asciiTheme="minorHAnsi" w:hAnsiTheme="minorHAnsi" w:cstheme="minorHAnsi"/>
          <w:sz w:val="18"/>
        </w:rPr>
        <w:t xml:space="preserve"> </w:t>
      </w:r>
      <w:hyperlink r:id="rId2" w:history="1">
        <w:r w:rsidRPr="00E92F71">
          <w:rPr>
            <w:rStyle w:val="Hyperlink"/>
            <w:rFonts w:asciiTheme="minorHAnsi" w:hAnsiTheme="minorHAnsi" w:cstheme="minorHAnsi"/>
            <w:sz w:val="18"/>
          </w:rPr>
          <w:t>https://www.ers.usda.gov/data-products/rural-urban-commuting-area-codes.aspx</w:t>
        </w:r>
      </w:hyperlink>
      <w:r w:rsidRPr="00E92F71">
        <w:rPr>
          <w:rFonts w:asciiTheme="minorHAnsi" w:hAnsiTheme="minorHAnsi" w:cstheme="minorHAnsi"/>
          <w:sz w:val="18"/>
        </w:rPr>
        <w:t xml:space="preserve">  </w:t>
      </w:r>
    </w:p>
  </w:footnote>
  <w:footnote w:id="3">
    <w:p w14:paraId="416CFA9A" w14:textId="2F03D7EA" w:rsidR="00865807" w:rsidRPr="00423371" w:rsidRDefault="00865807" w:rsidP="0055031C">
      <w:pPr>
        <w:pStyle w:val="FootnoteText"/>
        <w:rPr>
          <w:rFonts w:asciiTheme="minorHAnsi" w:hAnsiTheme="minorHAnsi" w:cstheme="minorHAnsi"/>
        </w:rPr>
      </w:pPr>
    </w:p>
  </w:footnote>
  <w:footnote w:id="4">
    <w:p w14:paraId="41DAD71F" w14:textId="77777777" w:rsidR="00865807" w:rsidRDefault="00865807" w:rsidP="00C63FB5">
      <w:pPr>
        <w:pStyle w:val="FootnoteText"/>
        <w:rPr>
          <w:rFonts w:asciiTheme="minorHAnsi" w:hAnsiTheme="minorHAnsi" w:cstheme="minorHAnsi"/>
          <w:sz w:val="22"/>
        </w:rPr>
      </w:pPr>
      <w:r>
        <w:rPr>
          <w:rStyle w:val="FootnoteReference"/>
          <w:rFonts w:asciiTheme="minorHAnsi" w:hAnsiTheme="minorHAnsi" w:cstheme="minorHAnsi"/>
          <w:sz w:val="18"/>
        </w:rPr>
        <w:footnoteRef/>
      </w:r>
      <w:r>
        <w:rPr>
          <w:rFonts w:asciiTheme="minorHAnsi" w:hAnsiTheme="minorHAnsi" w:cstheme="minorHAnsi"/>
          <w:sz w:val="18"/>
        </w:rPr>
        <w:t xml:space="preserve"> </w:t>
      </w:r>
      <w:hyperlink r:id="rId3" w:history="1">
        <w:r>
          <w:rPr>
            <w:rStyle w:val="Hyperlink"/>
            <w:rFonts w:asciiTheme="minorHAnsi" w:hAnsiTheme="minorHAnsi" w:cstheme="minorHAnsi"/>
            <w:sz w:val="18"/>
          </w:rPr>
          <w:t>https://www.huduser.gov/portal/datasets/usps_crosswalk.html</w:t>
        </w:r>
      </w:hyperlink>
      <w:r>
        <w:rPr>
          <w:rFonts w:asciiTheme="minorHAnsi" w:hAnsiTheme="minorHAnsi" w:cstheme="minorHAnsi"/>
          <w:sz w:val="18"/>
        </w:rPr>
        <w:t xml:space="preserve"> </w:t>
      </w:r>
    </w:p>
  </w:footnote>
  <w:footnote w:id="5">
    <w:p w14:paraId="037B880C" w14:textId="77777777" w:rsidR="00865807" w:rsidRDefault="00865807" w:rsidP="00C63FB5">
      <w:pPr>
        <w:pStyle w:val="FootnoteText"/>
        <w:rPr>
          <w:rFonts w:asciiTheme="minorHAnsi" w:hAnsiTheme="minorHAnsi" w:cstheme="minorHAnsi"/>
          <w:sz w:val="22"/>
        </w:rPr>
      </w:pPr>
      <w:r>
        <w:rPr>
          <w:rStyle w:val="FootnoteReference"/>
          <w:rFonts w:asciiTheme="minorHAnsi" w:hAnsiTheme="minorHAnsi" w:cstheme="minorHAnsi"/>
          <w:sz w:val="18"/>
        </w:rPr>
        <w:footnoteRef/>
      </w:r>
      <w:r>
        <w:rPr>
          <w:rFonts w:asciiTheme="minorHAnsi" w:hAnsiTheme="minorHAnsi" w:cstheme="minorHAnsi"/>
          <w:sz w:val="18"/>
        </w:rPr>
        <w:t xml:space="preserve"> </w:t>
      </w:r>
      <w:hyperlink r:id="rId4" w:history="1">
        <w:r>
          <w:rPr>
            <w:rStyle w:val="Hyperlink"/>
            <w:rFonts w:asciiTheme="minorHAnsi" w:hAnsiTheme="minorHAnsi" w:cstheme="minorHAnsi"/>
            <w:sz w:val="18"/>
          </w:rPr>
          <w:t>https://www.ers.usda.gov/data-products/rural-urban-commuting-area-codes.aspx</w:t>
        </w:r>
      </w:hyperlink>
      <w:r>
        <w:rPr>
          <w:rFonts w:asciiTheme="minorHAnsi" w:hAnsiTheme="minorHAnsi" w:cstheme="minorHAnsi"/>
          <w:sz w:val="18"/>
        </w:rPr>
        <w:t xml:space="preserve">  </w:t>
      </w:r>
    </w:p>
  </w:footnote>
  <w:footnote w:id="6">
    <w:p w14:paraId="351EE849" w14:textId="417F07A5" w:rsidR="00865807" w:rsidRDefault="00865807" w:rsidP="00C63FB5">
      <w:pPr>
        <w:pStyle w:val="FootnoteText"/>
        <w:rPr>
          <w:rFonts w:asciiTheme="minorHAnsi" w:hAnsiTheme="minorHAnsi" w:cstheme="minorHAnsi"/>
        </w:rPr>
      </w:pPr>
    </w:p>
  </w:footnote>
  <w:footnote w:id="7">
    <w:p w14:paraId="5B044082" w14:textId="77777777" w:rsidR="00865807" w:rsidRPr="00EE3DF5" w:rsidRDefault="00865807" w:rsidP="00D14AD1">
      <w:pPr>
        <w:pStyle w:val="FootnoteText"/>
        <w:rPr>
          <w:color w:val="0000FF"/>
        </w:rPr>
      </w:pPr>
      <w:r w:rsidRPr="00EE3DF5">
        <w:rPr>
          <w:rStyle w:val="FootnoteReference"/>
          <w:color w:val="0000FF"/>
        </w:rPr>
        <w:footnoteRef/>
      </w:r>
      <w:r w:rsidRPr="00EE3DF5">
        <w:rPr>
          <w:color w:val="0000FF"/>
        </w:rPr>
        <w:t xml:space="preserve"> </w:t>
      </w:r>
      <w:r w:rsidRPr="00EE3DF5">
        <w:rPr>
          <w:noProof/>
          <w:color w:val="0000FF"/>
        </w:rPr>
        <w:t xml:space="preserve">Hirdes JP, Smith TF, Rabinowitz T, et al.  The Resident Assessment Instrument-Mental Health (RAI-MH): inter-rater reliability and convergent validity.  </w:t>
      </w:r>
      <w:r w:rsidRPr="00EE3DF5">
        <w:rPr>
          <w:i/>
          <w:noProof/>
          <w:color w:val="0000FF"/>
        </w:rPr>
        <w:t xml:space="preserve">J Behav Health Serv Res.  </w:t>
      </w:r>
      <w:r w:rsidRPr="00EE3DF5">
        <w:rPr>
          <w:noProof/>
          <w:color w:val="0000FF"/>
        </w:rPr>
        <w:t>29(4):419-432, 2002</w:t>
      </w:r>
    </w:p>
  </w:footnote>
  <w:footnote w:id="8">
    <w:p w14:paraId="4D2BA33A" w14:textId="77777777" w:rsidR="00865807" w:rsidRDefault="00865807" w:rsidP="00D14AD1">
      <w:pPr>
        <w:pStyle w:val="FootnoteText"/>
      </w:pPr>
      <w:r w:rsidRPr="00EE3DF5">
        <w:rPr>
          <w:rStyle w:val="FootnoteReference"/>
          <w:color w:val="0000FF"/>
        </w:rPr>
        <w:footnoteRef/>
      </w:r>
      <w:r w:rsidRPr="00EE3DF5">
        <w:rPr>
          <w:color w:val="0000FF"/>
        </w:rPr>
        <w:t xml:space="preserve"> </w:t>
      </w:r>
      <w:r w:rsidRPr="00EE3DF5">
        <w:rPr>
          <w:noProof/>
          <w:color w:val="0000FF"/>
        </w:rPr>
        <w:t xml:space="preserve">Streiner DL, Norman GR.  Health measurement scales: a practical guide to their development and use.  </w:t>
      </w:r>
      <w:r w:rsidRPr="00EE3DF5">
        <w:rPr>
          <w:i/>
          <w:noProof/>
          <w:color w:val="0000FF"/>
        </w:rPr>
        <w:t>Oxford University Press</w:t>
      </w:r>
      <w:r w:rsidRPr="00EE3DF5">
        <w:rPr>
          <w:noProof/>
          <w:color w:val="0000FF"/>
        </w:rPr>
        <w:t>, 1995.</w:t>
      </w:r>
    </w:p>
  </w:footnote>
  <w:footnote w:id="9">
    <w:p w14:paraId="1E21C668" w14:textId="77777777" w:rsidR="00865807" w:rsidRPr="00EE3DF5" w:rsidRDefault="00865807" w:rsidP="00D14AD1">
      <w:pPr>
        <w:pStyle w:val="FootnoteText"/>
        <w:rPr>
          <w:noProof/>
          <w:color w:val="0000FF"/>
        </w:rPr>
      </w:pPr>
      <w:r w:rsidRPr="00EE3DF5">
        <w:rPr>
          <w:rStyle w:val="FootnoteReference"/>
          <w:color w:val="0000FF"/>
        </w:rPr>
        <w:footnoteRef/>
      </w:r>
      <w:r w:rsidRPr="00EE3DF5">
        <w:rPr>
          <w:color w:val="0000FF"/>
        </w:rPr>
        <w:t xml:space="preserve"> </w:t>
      </w:r>
      <w:r w:rsidRPr="00EE3DF5">
        <w:rPr>
          <w:noProof/>
          <w:color w:val="0000FF"/>
        </w:rPr>
        <w:t xml:space="preserve">Fricke J, Unsworth C, Worrell D.  Reliability of the Functional Independence Measure with Occupational Therapists.  </w:t>
      </w:r>
      <w:r w:rsidRPr="00EE3DF5">
        <w:rPr>
          <w:i/>
          <w:noProof/>
          <w:color w:val="0000FF"/>
        </w:rPr>
        <w:t>Australian Occupational Therapy Journal</w:t>
      </w:r>
      <w:r w:rsidRPr="00EE3DF5">
        <w:rPr>
          <w:noProof/>
          <w:color w:val="0000FF"/>
        </w:rPr>
        <w:t xml:space="preserve"> 40(1):7-15, 1993.</w:t>
      </w:r>
    </w:p>
  </w:footnote>
  <w:footnote w:id="10">
    <w:p w14:paraId="10C5518F" w14:textId="77777777" w:rsidR="00865807" w:rsidRDefault="00865807" w:rsidP="00D14AD1">
      <w:pPr>
        <w:pStyle w:val="FootnoteText"/>
      </w:pPr>
      <w:r w:rsidRPr="00EE3DF5">
        <w:rPr>
          <w:rStyle w:val="FootnoteReference"/>
          <w:color w:val="0000FF"/>
        </w:rPr>
        <w:footnoteRef/>
      </w:r>
      <w:r w:rsidRPr="00EE3DF5">
        <w:rPr>
          <w:color w:val="0000FF"/>
        </w:rPr>
        <w:t xml:space="preserve"> FIM® is a trademark of Uniform Data System for Medical Rehabilitation, a division of UB Foundation Activities, Inc.</w:t>
      </w:r>
    </w:p>
  </w:footnote>
  <w:footnote w:id="11">
    <w:p w14:paraId="7CD6A340" w14:textId="77777777" w:rsidR="00865807" w:rsidRPr="00EE3DF5" w:rsidRDefault="00865807" w:rsidP="00D14AD1">
      <w:pPr>
        <w:pStyle w:val="FootnoteText"/>
        <w:rPr>
          <w:noProof/>
          <w:color w:val="0000FF"/>
        </w:rPr>
      </w:pPr>
      <w:r w:rsidRPr="00EE3DF5">
        <w:rPr>
          <w:rStyle w:val="FootnoteReference"/>
          <w:color w:val="0000FF"/>
        </w:rPr>
        <w:footnoteRef/>
      </w:r>
      <w:r w:rsidRPr="00EE3DF5">
        <w:rPr>
          <w:color w:val="0000FF"/>
        </w:rPr>
        <w:t xml:space="preserve"> </w:t>
      </w:r>
      <w:r w:rsidRPr="00EE3DF5">
        <w:rPr>
          <w:noProof/>
          <w:color w:val="0000FF"/>
        </w:rPr>
        <w:t xml:space="preserve">Aron A, Aron EN </w:t>
      </w:r>
      <w:r w:rsidRPr="00EE3DF5">
        <w:rPr>
          <w:i/>
          <w:noProof/>
          <w:color w:val="0000FF"/>
        </w:rPr>
        <w:t>Statistics for Psychology</w:t>
      </w:r>
      <w:r w:rsidRPr="00EE3DF5">
        <w:rPr>
          <w:noProof/>
          <w:color w:val="0000FF"/>
        </w:rPr>
        <w:t>.  2nd ed.  Upper Saddle River, NJ: Prentice Hall, 1999.</w:t>
      </w:r>
    </w:p>
  </w:footnote>
  <w:footnote w:id="12">
    <w:p w14:paraId="5141D951" w14:textId="77777777" w:rsidR="00865807" w:rsidRPr="00EE3DF5" w:rsidRDefault="00865807" w:rsidP="00D14AD1">
      <w:pPr>
        <w:pStyle w:val="FootnoteText"/>
        <w:rPr>
          <w:color w:val="0000FF"/>
        </w:rPr>
      </w:pPr>
      <w:r w:rsidRPr="00EE3DF5">
        <w:rPr>
          <w:rStyle w:val="FootnoteReference"/>
          <w:color w:val="0000FF"/>
        </w:rPr>
        <w:footnoteRef/>
      </w:r>
      <w:r w:rsidRPr="00EE3DF5">
        <w:rPr>
          <w:color w:val="0000FF"/>
        </w:rPr>
        <w:t xml:space="preserve"> </w:t>
      </w:r>
      <w:r w:rsidRPr="00EE3DF5">
        <w:rPr>
          <w:noProof/>
          <w:color w:val="0000FF"/>
        </w:rPr>
        <w:t xml:space="preserve">Granger CV, Hamilton BB, Linacre JM, et al.  Performance profiles of the functional independence measure.  </w:t>
      </w:r>
      <w:r w:rsidRPr="00EE3DF5">
        <w:rPr>
          <w:i/>
          <w:noProof/>
          <w:color w:val="0000FF"/>
        </w:rPr>
        <w:t xml:space="preserve">Am J Phys Med Rehabil.  </w:t>
      </w:r>
      <w:r w:rsidRPr="00EE3DF5">
        <w:rPr>
          <w:noProof/>
          <w:color w:val="0000FF"/>
        </w:rPr>
        <w:t>72(2):84-89, 1993.</w:t>
      </w:r>
    </w:p>
  </w:footnote>
  <w:footnote w:id="13">
    <w:p w14:paraId="663AD70F" w14:textId="77777777" w:rsidR="00865807" w:rsidRPr="00EE3DF5" w:rsidRDefault="00865807" w:rsidP="00D14AD1">
      <w:pPr>
        <w:pStyle w:val="FootnoteText"/>
        <w:rPr>
          <w:noProof/>
          <w:color w:val="0000FF"/>
        </w:rPr>
      </w:pPr>
      <w:r w:rsidRPr="00EE3DF5">
        <w:rPr>
          <w:rStyle w:val="FootnoteReference"/>
          <w:color w:val="0000FF"/>
        </w:rPr>
        <w:footnoteRef/>
      </w:r>
      <w:r w:rsidRPr="00EE3DF5">
        <w:rPr>
          <w:color w:val="0000FF"/>
        </w:rPr>
        <w:t xml:space="preserve"> </w:t>
      </w:r>
      <w:r w:rsidRPr="00EE3DF5">
        <w:rPr>
          <w:noProof/>
          <w:color w:val="0000FF"/>
        </w:rPr>
        <w:t>Linacre JM, Heinemann AW, Wright BD, et al.  The structure and stability of the Functional Independence Measure.  Archives of Physical Medicine &amp; Rehabilitation.75(2):127-132, 1994</w:t>
      </w:r>
    </w:p>
  </w:footnote>
  <w:footnote w:id="14">
    <w:p w14:paraId="7A594418" w14:textId="77777777" w:rsidR="00865807" w:rsidRPr="00EE3DF5" w:rsidRDefault="00865807" w:rsidP="00D14AD1">
      <w:pPr>
        <w:pStyle w:val="FootnoteText"/>
        <w:rPr>
          <w:noProof/>
          <w:color w:val="0000FF"/>
        </w:rPr>
      </w:pPr>
      <w:r w:rsidRPr="00EE3DF5">
        <w:rPr>
          <w:noProof/>
          <w:color w:val="0000FF"/>
          <w:vertAlign w:val="superscript"/>
        </w:rPr>
        <w:footnoteRef/>
      </w:r>
      <w:r w:rsidRPr="00EE3DF5">
        <w:rPr>
          <w:noProof/>
          <w:color w:val="0000FF"/>
          <w:vertAlign w:val="superscript"/>
        </w:rPr>
        <w:t xml:space="preserve"> </w:t>
      </w:r>
      <w:bookmarkStart w:id="110" w:name="_ENREF_32"/>
      <w:r w:rsidRPr="00EE3DF5">
        <w:rPr>
          <w:noProof/>
          <w:color w:val="0000FF"/>
        </w:rPr>
        <w:t>Wright BD, Linacre JM, Smith RM, et al.  FIM measurement properties and Rasch model details.  Scandinavian Journal of Rehabilitation Medicine, 29(4):267-272, Dec. 1997.</w:t>
      </w:r>
      <w:bookmarkEnd w:id="110"/>
    </w:p>
  </w:footnote>
  <w:footnote w:id="15">
    <w:p w14:paraId="4D965144" w14:textId="77777777" w:rsidR="00865807" w:rsidRPr="00EE3DF5" w:rsidRDefault="00865807" w:rsidP="00D14AD1">
      <w:pPr>
        <w:pStyle w:val="FootnoteText"/>
        <w:rPr>
          <w:color w:val="0000FF"/>
        </w:rPr>
      </w:pPr>
      <w:r w:rsidRPr="00EE3DF5">
        <w:rPr>
          <w:noProof/>
          <w:color w:val="0000FF"/>
          <w:vertAlign w:val="superscript"/>
        </w:rPr>
        <w:footnoteRef/>
      </w:r>
      <w:r w:rsidRPr="00EE3DF5">
        <w:rPr>
          <w:noProof/>
          <w:color w:val="0000FF"/>
        </w:rPr>
        <w:t xml:space="preserve"> </w:t>
      </w:r>
      <w:bookmarkStart w:id="111" w:name="_ENREF_33"/>
      <w:r w:rsidRPr="00EE3DF5">
        <w:rPr>
          <w:noProof/>
          <w:color w:val="0000FF"/>
        </w:rPr>
        <w:t>Heinemann AW, Linacre JM, Wright BD, et al.  Relationships between impairment and physical disability as measured by the functional independence measure.  Arch Phys Med Rehabil.  74(6):566-573, 1993.</w:t>
      </w:r>
      <w:bookmarkEnd w:id="111"/>
    </w:p>
  </w:footnote>
  <w:footnote w:id="16">
    <w:p w14:paraId="1AB883FC" w14:textId="77777777" w:rsidR="00865807" w:rsidRPr="00EE3DF5" w:rsidRDefault="00865807" w:rsidP="00D14AD1">
      <w:pPr>
        <w:pStyle w:val="FootnoteText"/>
        <w:rPr>
          <w:noProof/>
          <w:color w:val="0000FF"/>
        </w:rPr>
      </w:pPr>
      <w:r w:rsidRPr="00EE3DF5">
        <w:rPr>
          <w:noProof/>
          <w:color w:val="0000FF"/>
          <w:vertAlign w:val="superscript"/>
        </w:rPr>
        <w:footnoteRef/>
      </w:r>
      <w:r w:rsidRPr="00EE3DF5">
        <w:rPr>
          <w:noProof/>
          <w:color w:val="0000FF"/>
        </w:rPr>
        <w:t xml:space="preserve"> </w:t>
      </w:r>
      <w:bookmarkStart w:id="112" w:name="_ENREF_34"/>
      <w:r w:rsidRPr="00EE3DF5">
        <w:rPr>
          <w:noProof/>
          <w:color w:val="0000FF"/>
        </w:rPr>
        <w:t>Wang YC, Byers KL, Velozo CA.  Rasch analysis of Minimum Data Set mandated in skilled nursing facilities.  J Rehabil Res Dev.  45(9):1385-1399, 2008.</w:t>
      </w:r>
      <w:bookmarkEnd w:id="112"/>
    </w:p>
  </w:footnote>
  <w:footnote w:id="17">
    <w:p w14:paraId="33AC0BB3" w14:textId="77777777" w:rsidR="00865807" w:rsidRPr="00EE3DF5" w:rsidRDefault="00865807" w:rsidP="00D14AD1">
      <w:pPr>
        <w:pStyle w:val="FootnoteText"/>
        <w:rPr>
          <w:noProof/>
          <w:color w:val="0000FF"/>
        </w:rPr>
      </w:pPr>
      <w:r w:rsidRPr="00EE3DF5">
        <w:rPr>
          <w:noProof/>
          <w:color w:val="0000FF"/>
          <w:vertAlign w:val="superscript"/>
        </w:rPr>
        <w:footnoteRef/>
      </w:r>
      <w:r w:rsidRPr="00EE3DF5">
        <w:rPr>
          <w:noProof/>
          <w:color w:val="0000FF"/>
          <w:vertAlign w:val="superscript"/>
        </w:rPr>
        <w:t xml:space="preserve"> </w:t>
      </w:r>
      <w:bookmarkStart w:id="113" w:name="_ENREF_35"/>
      <w:r w:rsidRPr="00EE3DF5">
        <w:rPr>
          <w:noProof/>
          <w:color w:val="0000FF"/>
        </w:rPr>
        <w:t>Fortinsky RH, Garcia RI, Joseph Sheehan T, et al.  Measuring disability in Medicare home care patients: application of Rasch modeling to the outcome and assessment information set.  Med Care.  41(5):601-615, 2001.</w:t>
      </w:r>
      <w:bookmarkEnd w:id="113"/>
    </w:p>
  </w:footnote>
  <w:footnote w:id="18">
    <w:p w14:paraId="6A49B1DC" w14:textId="77777777" w:rsidR="00865807" w:rsidRPr="00EE3DF5" w:rsidRDefault="00865807" w:rsidP="00D14AD1">
      <w:pPr>
        <w:pStyle w:val="FootnoteText"/>
        <w:rPr>
          <w:noProof/>
          <w:color w:val="0000FF"/>
        </w:rPr>
      </w:pPr>
      <w:r w:rsidRPr="00EE3DF5">
        <w:rPr>
          <w:noProof/>
          <w:color w:val="0000FF"/>
          <w:vertAlign w:val="superscript"/>
        </w:rPr>
        <w:footnoteRef/>
      </w:r>
      <w:r w:rsidRPr="00EE3DF5">
        <w:rPr>
          <w:noProof/>
          <w:color w:val="0000FF"/>
          <w:vertAlign w:val="superscript"/>
        </w:rPr>
        <w:t xml:space="preserve"> </w:t>
      </w:r>
      <w:bookmarkStart w:id="114" w:name="_ENREF_36"/>
      <w:r w:rsidRPr="00EE3DF5">
        <w:rPr>
          <w:noProof/>
          <w:color w:val="0000FF"/>
        </w:rPr>
        <w:t>Velozo CA, Byers KL, Wang YC, et al.  Translating measures across the continuum of care: using Rasch analysis to create a crosswalk between the Functional Independence Measure and the Minimum Data Set.  J Rehabil Res Dev.  44(3):467-478, 2007.</w:t>
      </w:r>
      <w:bookmarkEnd w:id="114"/>
    </w:p>
  </w:footnote>
  <w:footnote w:id="19">
    <w:p w14:paraId="28392AFA" w14:textId="77777777" w:rsidR="00865807" w:rsidRDefault="00865807" w:rsidP="00D14AD1">
      <w:pPr>
        <w:pStyle w:val="FootnoteText"/>
        <w:rPr>
          <w:noProof/>
        </w:rPr>
      </w:pPr>
      <w:r w:rsidRPr="00EE3DF5">
        <w:rPr>
          <w:noProof/>
          <w:color w:val="0000FF"/>
          <w:vertAlign w:val="superscript"/>
        </w:rPr>
        <w:footnoteRef/>
      </w:r>
      <w:bookmarkStart w:id="115" w:name="_ENREF_37"/>
      <w:r w:rsidRPr="00EE3DF5">
        <w:rPr>
          <w:noProof/>
          <w:color w:val="0000FF"/>
        </w:rPr>
        <w:t xml:space="preserve"> Wright BD, Stone MH.  Best Test Design.  Rasch Measurement.  1979.</w:t>
      </w:r>
      <w:bookmarkEnd w:id="115"/>
    </w:p>
  </w:footnote>
  <w:footnote w:id="20">
    <w:p w14:paraId="34327B6F" w14:textId="77777777" w:rsidR="00865807" w:rsidRDefault="00865807" w:rsidP="00D14AD1">
      <w:pPr>
        <w:pStyle w:val="FootnoteText"/>
      </w:pPr>
      <w:r w:rsidRPr="00EE3DF5">
        <w:rPr>
          <w:noProof/>
          <w:color w:val="0000FF"/>
          <w:vertAlign w:val="superscript"/>
        </w:rPr>
        <w:footnoteRef/>
      </w:r>
      <w:r w:rsidRPr="00EE3DF5">
        <w:rPr>
          <w:noProof/>
          <w:color w:val="0000FF"/>
        </w:rPr>
        <w:t xml:space="preserve"> </w:t>
      </w:r>
      <w:bookmarkStart w:id="116" w:name="_ENREF_38"/>
      <w:r w:rsidRPr="00EE3DF5">
        <w:rPr>
          <w:noProof/>
          <w:color w:val="0000FF"/>
        </w:rPr>
        <w:t>Wright BD, Linacre JM, Gustafson J, et al.  Reasonable mean-square fit values.  Rasch Measurement Transactions.  8(3):370, 1994</w:t>
      </w:r>
      <w:bookmarkEnd w:id="116"/>
      <w:r w:rsidRPr="00EE3DF5">
        <w:rPr>
          <w:noProof/>
          <w:color w:val="0000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865807" w:rsidRPr="00105D8B" w:rsidRDefault="00865807"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117515"/>
    <w:multiLevelType w:val="hybridMultilevel"/>
    <w:tmpl w:val="E1AE59C4"/>
    <w:lvl w:ilvl="0" w:tplc="4740D76C">
      <w:start w:val="263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55F29"/>
    <w:multiLevelType w:val="hybridMultilevel"/>
    <w:tmpl w:val="767A8F2A"/>
    <w:lvl w:ilvl="0" w:tplc="2A8A45C8">
      <w:start w:val="1"/>
      <w:numFmt w:val="bullet"/>
      <w:lvlText w:val=""/>
      <w:lvlJc w:val="left"/>
      <w:pPr>
        <w:ind w:left="720" w:hanging="360"/>
      </w:pPr>
      <w:rPr>
        <w:rFonts w:ascii="Symbol" w:hAnsi="Symbol" w:hint="default"/>
      </w:rPr>
    </w:lvl>
    <w:lvl w:ilvl="1" w:tplc="637E3E0C">
      <w:start w:val="1"/>
      <w:numFmt w:val="bullet"/>
      <w:lvlText w:val="o"/>
      <w:lvlJc w:val="left"/>
      <w:pPr>
        <w:ind w:left="1440" w:hanging="360"/>
      </w:pPr>
      <w:rPr>
        <w:rFonts w:ascii="Courier New" w:hAnsi="Courier New" w:hint="default"/>
      </w:rPr>
    </w:lvl>
    <w:lvl w:ilvl="2" w:tplc="A33CE3C8">
      <w:start w:val="1"/>
      <w:numFmt w:val="bullet"/>
      <w:lvlText w:val=""/>
      <w:lvlJc w:val="left"/>
      <w:pPr>
        <w:ind w:left="2160" w:hanging="360"/>
      </w:pPr>
      <w:rPr>
        <w:rFonts w:ascii="Wingdings" w:hAnsi="Wingdings" w:hint="default"/>
      </w:rPr>
    </w:lvl>
    <w:lvl w:ilvl="3" w:tplc="FE8E1D0A">
      <w:start w:val="1"/>
      <w:numFmt w:val="bullet"/>
      <w:lvlText w:val=""/>
      <w:lvlJc w:val="left"/>
      <w:pPr>
        <w:ind w:left="2880" w:hanging="360"/>
      </w:pPr>
      <w:rPr>
        <w:rFonts w:ascii="Symbol" w:hAnsi="Symbol" w:hint="default"/>
      </w:rPr>
    </w:lvl>
    <w:lvl w:ilvl="4" w:tplc="86DE8B18">
      <w:start w:val="1"/>
      <w:numFmt w:val="bullet"/>
      <w:lvlText w:val="o"/>
      <w:lvlJc w:val="left"/>
      <w:pPr>
        <w:ind w:left="3600" w:hanging="360"/>
      </w:pPr>
      <w:rPr>
        <w:rFonts w:ascii="Courier New" w:hAnsi="Courier New" w:hint="default"/>
      </w:rPr>
    </w:lvl>
    <w:lvl w:ilvl="5" w:tplc="B074E386">
      <w:start w:val="1"/>
      <w:numFmt w:val="bullet"/>
      <w:lvlText w:val=""/>
      <w:lvlJc w:val="left"/>
      <w:pPr>
        <w:ind w:left="4320" w:hanging="360"/>
      </w:pPr>
      <w:rPr>
        <w:rFonts w:ascii="Wingdings" w:hAnsi="Wingdings" w:hint="default"/>
      </w:rPr>
    </w:lvl>
    <w:lvl w:ilvl="6" w:tplc="3DF2D60E">
      <w:start w:val="1"/>
      <w:numFmt w:val="bullet"/>
      <w:lvlText w:val=""/>
      <w:lvlJc w:val="left"/>
      <w:pPr>
        <w:ind w:left="5040" w:hanging="360"/>
      </w:pPr>
      <w:rPr>
        <w:rFonts w:ascii="Symbol" w:hAnsi="Symbol" w:hint="default"/>
      </w:rPr>
    </w:lvl>
    <w:lvl w:ilvl="7" w:tplc="913E6476">
      <w:start w:val="1"/>
      <w:numFmt w:val="bullet"/>
      <w:lvlText w:val="o"/>
      <w:lvlJc w:val="left"/>
      <w:pPr>
        <w:ind w:left="5760" w:hanging="360"/>
      </w:pPr>
      <w:rPr>
        <w:rFonts w:ascii="Courier New" w:hAnsi="Courier New" w:hint="default"/>
      </w:rPr>
    </w:lvl>
    <w:lvl w:ilvl="8" w:tplc="5FCA2330">
      <w:start w:val="1"/>
      <w:numFmt w:val="bullet"/>
      <w:lvlText w:val=""/>
      <w:lvlJc w:val="left"/>
      <w:pPr>
        <w:ind w:left="6480" w:hanging="360"/>
      </w:pPr>
      <w:rPr>
        <w:rFonts w:ascii="Wingdings" w:hAnsi="Wingdings" w:hint="default"/>
      </w:r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2B1954"/>
    <w:multiLevelType w:val="hybridMultilevel"/>
    <w:tmpl w:val="CA465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DBC4CDD"/>
    <w:multiLevelType w:val="hybridMultilevel"/>
    <w:tmpl w:val="80640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BA97142"/>
    <w:multiLevelType w:val="hybridMultilevel"/>
    <w:tmpl w:val="CA52229E"/>
    <w:lvl w:ilvl="0" w:tplc="94CA898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A3351F"/>
    <w:multiLevelType w:val="hybridMultilevel"/>
    <w:tmpl w:val="41E0BB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662722"/>
    <w:multiLevelType w:val="multilevel"/>
    <w:tmpl w:val="FD764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931A45"/>
    <w:multiLevelType w:val="hybridMultilevel"/>
    <w:tmpl w:val="1C567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B93E32"/>
    <w:multiLevelType w:val="hybridMultilevel"/>
    <w:tmpl w:val="6C4E8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BDF253F"/>
    <w:multiLevelType w:val="hybridMultilevel"/>
    <w:tmpl w:val="A8BC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5"/>
  </w:num>
  <w:num w:numId="3">
    <w:abstractNumId w:val="3"/>
  </w:num>
  <w:num w:numId="4">
    <w:abstractNumId w:val="7"/>
  </w:num>
  <w:num w:numId="5">
    <w:abstractNumId w:val="2"/>
  </w:num>
  <w:num w:numId="6">
    <w:abstractNumId w:val="1"/>
  </w:num>
  <w:num w:numId="7">
    <w:abstractNumId w:val="4"/>
  </w:num>
  <w:num w:numId="8">
    <w:abstractNumId w:val="26"/>
  </w:num>
  <w:num w:numId="9">
    <w:abstractNumId w:val="13"/>
  </w:num>
  <w:num w:numId="10">
    <w:abstractNumId w:val="35"/>
  </w:num>
  <w:num w:numId="11">
    <w:abstractNumId w:val="16"/>
  </w:num>
  <w:num w:numId="12">
    <w:abstractNumId w:val="30"/>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1"/>
  </w:num>
  <w:num w:numId="17">
    <w:abstractNumId w:val="32"/>
  </w:num>
  <w:num w:numId="18">
    <w:abstractNumId w:val="28"/>
  </w:num>
  <w:num w:numId="19">
    <w:abstractNumId w:val="27"/>
  </w:num>
  <w:num w:numId="20">
    <w:abstractNumId w:val="20"/>
  </w:num>
  <w:num w:numId="21">
    <w:abstractNumId w:val="25"/>
  </w:num>
  <w:num w:numId="22">
    <w:abstractNumId w:val="19"/>
  </w:num>
  <w:num w:numId="23">
    <w:abstractNumId w:val="9"/>
  </w:num>
  <w:num w:numId="24">
    <w:abstractNumId w:val="18"/>
  </w:num>
  <w:num w:numId="25">
    <w:abstractNumId w:val="17"/>
  </w:num>
  <w:num w:numId="26">
    <w:abstractNumId w:val="37"/>
  </w:num>
  <w:num w:numId="27">
    <w:abstractNumId w:val="0"/>
  </w:num>
  <w:num w:numId="28">
    <w:abstractNumId w:val="12"/>
  </w:num>
  <w:num w:numId="29">
    <w:abstractNumId w:val="22"/>
  </w:num>
  <w:num w:numId="30">
    <w:abstractNumId w:val="36"/>
  </w:num>
  <w:num w:numId="31">
    <w:abstractNumId w:val="10"/>
  </w:num>
  <w:num w:numId="32">
    <w:abstractNumId w:val="34"/>
  </w:num>
  <w:num w:numId="33">
    <w:abstractNumId w:val="31"/>
  </w:num>
  <w:num w:numId="34">
    <w:abstractNumId w:val="14"/>
  </w:num>
  <w:num w:numId="35">
    <w:abstractNumId w:val="8"/>
  </w:num>
  <w:num w:numId="36">
    <w:abstractNumId w:val="6"/>
  </w:num>
  <w:num w:numId="37">
    <w:abstractNumId w:val="33"/>
  </w:num>
  <w:num w:numId="38">
    <w:abstractNumId w:val="2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52E2"/>
    <w:rsid w:val="00021170"/>
    <w:rsid w:val="0002128B"/>
    <w:rsid w:val="00024DFD"/>
    <w:rsid w:val="00025236"/>
    <w:rsid w:val="00027AB8"/>
    <w:rsid w:val="000309DD"/>
    <w:rsid w:val="00031414"/>
    <w:rsid w:val="0003180A"/>
    <w:rsid w:val="00033038"/>
    <w:rsid w:val="00033D63"/>
    <w:rsid w:val="0003436F"/>
    <w:rsid w:val="00037CD1"/>
    <w:rsid w:val="000414E8"/>
    <w:rsid w:val="0004312E"/>
    <w:rsid w:val="0004593A"/>
    <w:rsid w:val="00050A3E"/>
    <w:rsid w:val="00052A6F"/>
    <w:rsid w:val="00053730"/>
    <w:rsid w:val="00053F02"/>
    <w:rsid w:val="0005612B"/>
    <w:rsid w:val="000574AB"/>
    <w:rsid w:val="0006147A"/>
    <w:rsid w:val="0006234F"/>
    <w:rsid w:val="000677C5"/>
    <w:rsid w:val="00073016"/>
    <w:rsid w:val="000775F8"/>
    <w:rsid w:val="00080CF7"/>
    <w:rsid w:val="000830E6"/>
    <w:rsid w:val="00083F51"/>
    <w:rsid w:val="000851B2"/>
    <w:rsid w:val="00091270"/>
    <w:rsid w:val="00092566"/>
    <w:rsid w:val="00094653"/>
    <w:rsid w:val="000968F8"/>
    <w:rsid w:val="00097012"/>
    <w:rsid w:val="000A1684"/>
    <w:rsid w:val="000A7F27"/>
    <w:rsid w:val="000B032A"/>
    <w:rsid w:val="000B2DF7"/>
    <w:rsid w:val="000B3880"/>
    <w:rsid w:val="000B3B25"/>
    <w:rsid w:val="000B7D57"/>
    <w:rsid w:val="000C036D"/>
    <w:rsid w:val="000C0FF8"/>
    <w:rsid w:val="000C1F8E"/>
    <w:rsid w:val="000D2722"/>
    <w:rsid w:val="000D7948"/>
    <w:rsid w:val="000D7C84"/>
    <w:rsid w:val="000E4E13"/>
    <w:rsid w:val="000E5DCB"/>
    <w:rsid w:val="000E78F6"/>
    <w:rsid w:val="000F034A"/>
    <w:rsid w:val="000F06B5"/>
    <w:rsid w:val="000F1B7A"/>
    <w:rsid w:val="000F39E9"/>
    <w:rsid w:val="000F3F84"/>
    <w:rsid w:val="001007C5"/>
    <w:rsid w:val="00100EB4"/>
    <w:rsid w:val="0010481D"/>
    <w:rsid w:val="00104B45"/>
    <w:rsid w:val="001058CA"/>
    <w:rsid w:val="00105D8B"/>
    <w:rsid w:val="0011342F"/>
    <w:rsid w:val="001202E9"/>
    <w:rsid w:val="00121566"/>
    <w:rsid w:val="0012454F"/>
    <w:rsid w:val="00125273"/>
    <w:rsid w:val="0012575B"/>
    <w:rsid w:val="0012575E"/>
    <w:rsid w:val="00127C06"/>
    <w:rsid w:val="00130084"/>
    <w:rsid w:val="00131AC4"/>
    <w:rsid w:val="00135ACC"/>
    <w:rsid w:val="001402CC"/>
    <w:rsid w:val="00145149"/>
    <w:rsid w:val="00145D4F"/>
    <w:rsid w:val="0014773C"/>
    <w:rsid w:val="00147DCC"/>
    <w:rsid w:val="00155D7A"/>
    <w:rsid w:val="001679C6"/>
    <w:rsid w:val="00170616"/>
    <w:rsid w:val="00173820"/>
    <w:rsid w:val="00174EDF"/>
    <w:rsid w:val="0017696D"/>
    <w:rsid w:val="00177E0E"/>
    <w:rsid w:val="001848FC"/>
    <w:rsid w:val="00193F21"/>
    <w:rsid w:val="001951EC"/>
    <w:rsid w:val="001969C5"/>
    <w:rsid w:val="001A66F7"/>
    <w:rsid w:val="001A6CDD"/>
    <w:rsid w:val="001A6EB9"/>
    <w:rsid w:val="001A7EDC"/>
    <w:rsid w:val="001B5F13"/>
    <w:rsid w:val="001C12EE"/>
    <w:rsid w:val="001C7B02"/>
    <w:rsid w:val="001D06C6"/>
    <w:rsid w:val="001D1009"/>
    <w:rsid w:val="001E4DD4"/>
    <w:rsid w:val="001E69DC"/>
    <w:rsid w:val="001F169D"/>
    <w:rsid w:val="001F1DA1"/>
    <w:rsid w:val="001F6F93"/>
    <w:rsid w:val="001F7A20"/>
    <w:rsid w:val="00201695"/>
    <w:rsid w:val="0021054A"/>
    <w:rsid w:val="00210A4F"/>
    <w:rsid w:val="0021195A"/>
    <w:rsid w:val="002131E2"/>
    <w:rsid w:val="00213383"/>
    <w:rsid w:val="00220250"/>
    <w:rsid w:val="0022066B"/>
    <w:rsid w:val="00222444"/>
    <w:rsid w:val="0022691B"/>
    <w:rsid w:val="00226EDF"/>
    <w:rsid w:val="00227A9C"/>
    <w:rsid w:val="00232163"/>
    <w:rsid w:val="00233098"/>
    <w:rsid w:val="002376F8"/>
    <w:rsid w:val="002408E4"/>
    <w:rsid w:val="00241591"/>
    <w:rsid w:val="00246D05"/>
    <w:rsid w:val="00250B4F"/>
    <w:rsid w:val="0025762F"/>
    <w:rsid w:val="00257D98"/>
    <w:rsid w:val="002620F7"/>
    <w:rsid w:val="00266A2D"/>
    <w:rsid w:val="00267243"/>
    <w:rsid w:val="002675F6"/>
    <w:rsid w:val="00275563"/>
    <w:rsid w:val="0028114D"/>
    <w:rsid w:val="00286BD5"/>
    <w:rsid w:val="00287649"/>
    <w:rsid w:val="00287E84"/>
    <w:rsid w:val="0029286C"/>
    <w:rsid w:val="0029300E"/>
    <w:rsid w:val="00294D20"/>
    <w:rsid w:val="002B012F"/>
    <w:rsid w:val="002B0C3A"/>
    <w:rsid w:val="002B2116"/>
    <w:rsid w:val="002B2D9B"/>
    <w:rsid w:val="002B5016"/>
    <w:rsid w:val="002B742C"/>
    <w:rsid w:val="002B7F4D"/>
    <w:rsid w:val="002C285C"/>
    <w:rsid w:val="002C5517"/>
    <w:rsid w:val="002C7BE4"/>
    <w:rsid w:val="002D417D"/>
    <w:rsid w:val="002D5E5D"/>
    <w:rsid w:val="002D6249"/>
    <w:rsid w:val="002E27C5"/>
    <w:rsid w:val="002E78A0"/>
    <w:rsid w:val="002F2687"/>
    <w:rsid w:val="002F48E1"/>
    <w:rsid w:val="002F4F3B"/>
    <w:rsid w:val="002F5860"/>
    <w:rsid w:val="002F5B93"/>
    <w:rsid w:val="00301BB9"/>
    <w:rsid w:val="00302EF1"/>
    <w:rsid w:val="00304AEB"/>
    <w:rsid w:val="00304C86"/>
    <w:rsid w:val="003059EB"/>
    <w:rsid w:val="003116AC"/>
    <w:rsid w:val="00312FB8"/>
    <w:rsid w:val="00315567"/>
    <w:rsid w:val="0032197B"/>
    <w:rsid w:val="00322D2A"/>
    <w:rsid w:val="00324575"/>
    <w:rsid w:val="00324736"/>
    <w:rsid w:val="00327EDA"/>
    <w:rsid w:val="00330144"/>
    <w:rsid w:val="00334329"/>
    <w:rsid w:val="003451A0"/>
    <w:rsid w:val="00345CBA"/>
    <w:rsid w:val="00346245"/>
    <w:rsid w:val="00356267"/>
    <w:rsid w:val="00356BAD"/>
    <w:rsid w:val="00360220"/>
    <w:rsid w:val="003605B4"/>
    <w:rsid w:val="003613B5"/>
    <w:rsid w:val="003627AC"/>
    <w:rsid w:val="00366914"/>
    <w:rsid w:val="00367AFE"/>
    <w:rsid w:val="00370358"/>
    <w:rsid w:val="00372D22"/>
    <w:rsid w:val="00372FE3"/>
    <w:rsid w:val="003755CB"/>
    <w:rsid w:val="00383F85"/>
    <w:rsid w:val="00387BA1"/>
    <w:rsid w:val="003915B7"/>
    <w:rsid w:val="00391957"/>
    <w:rsid w:val="003A2FE5"/>
    <w:rsid w:val="003A306C"/>
    <w:rsid w:val="003A3D0F"/>
    <w:rsid w:val="003A7DE7"/>
    <w:rsid w:val="003B1006"/>
    <w:rsid w:val="003B1FC1"/>
    <w:rsid w:val="003C15EC"/>
    <w:rsid w:val="003C5F11"/>
    <w:rsid w:val="003D0AF4"/>
    <w:rsid w:val="003D294B"/>
    <w:rsid w:val="003D6401"/>
    <w:rsid w:val="003E1863"/>
    <w:rsid w:val="003E5800"/>
    <w:rsid w:val="003E72F6"/>
    <w:rsid w:val="003F64B8"/>
    <w:rsid w:val="004010E2"/>
    <w:rsid w:val="00402DE4"/>
    <w:rsid w:val="0041606D"/>
    <w:rsid w:val="00416962"/>
    <w:rsid w:val="004206A8"/>
    <w:rsid w:val="004348CC"/>
    <w:rsid w:val="0043722D"/>
    <w:rsid w:val="00437CA7"/>
    <w:rsid w:val="00444286"/>
    <w:rsid w:val="00450C58"/>
    <w:rsid w:val="004658FF"/>
    <w:rsid w:val="00474ED7"/>
    <w:rsid w:val="004756E1"/>
    <w:rsid w:val="0048008A"/>
    <w:rsid w:val="00483E94"/>
    <w:rsid w:val="00484120"/>
    <w:rsid w:val="004853A0"/>
    <w:rsid w:val="00493690"/>
    <w:rsid w:val="00496B5F"/>
    <w:rsid w:val="004A2E10"/>
    <w:rsid w:val="004A6709"/>
    <w:rsid w:val="004B17FF"/>
    <w:rsid w:val="004B1BA0"/>
    <w:rsid w:val="004B5E02"/>
    <w:rsid w:val="004B6CEE"/>
    <w:rsid w:val="004C2443"/>
    <w:rsid w:val="004C498F"/>
    <w:rsid w:val="004C5930"/>
    <w:rsid w:val="004C5D29"/>
    <w:rsid w:val="004C681A"/>
    <w:rsid w:val="004D3044"/>
    <w:rsid w:val="004D4D8A"/>
    <w:rsid w:val="004D5FAD"/>
    <w:rsid w:val="004E0579"/>
    <w:rsid w:val="004F1EF3"/>
    <w:rsid w:val="004F63BB"/>
    <w:rsid w:val="004F68EE"/>
    <w:rsid w:val="004F7A41"/>
    <w:rsid w:val="005038D5"/>
    <w:rsid w:val="0051041D"/>
    <w:rsid w:val="00511568"/>
    <w:rsid w:val="00511BA4"/>
    <w:rsid w:val="005149E7"/>
    <w:rsid w:val="005232D6"/>
    <w:rsid w:val="00530C3B"/>
    <w:rsid w:val="00531EE9"/>
    <w:rsid w:val="005326A1"/>
    <w:rsid w:val="005333CC"/>
    <w:rsid w:val="0053347F"/>
    <w:rsid w:val="005345A9"/>
    <w:rsid w:val="005363F1"/>
    <w:rsid w:val="00537C1B"/>
    <w:rsid w:val="005460E8"/>
    <w:rsid w:val="0055007C"/>
    <w:rsid w:val="0055031C"/>
    <w:rsid w:val="00554922"/>
    <w:rsid w:val="00555282"/>
    <w:rsid w:val="005560E7"/>
    <w:rsid w:val="00560FE7"/>
    <w:rsid w:val="005612CC"/>
    <w:rsid w:val="00563029"/>
    <w:rsid w:val="00565946"/>
    <w:rsid w:val="00567D12"/>
    <w:rsid w:val="005738FE"/>
    <w:rsid w:val="00576062"/>
    <w:rsid w:val="00577CD8"/>
    <w:rsid w:val="0058436B"/>
    <w:rsid w:val="0059559F"/>
    <w:rsid w:val="005A05D7"/>
    <w:rsid w:val="005A49FF"/>
    <w:rsid w:val="005A7634"/>
    <w:rsid w:val="005B0EA3"/>
    <w:rsid w:val="005B6E3A"/>
    <w:rsid w:val="005B6F04"/>
    <w:rsid w:val="005C0447"/>
    <w:rsid w:val="005C6843"/>
    <w:rsid w:val="005C739F"/>
    <w:rsid w:val="005C73CA"/>
    <w:rsid w:val="005D4768"/>
    <w:rsid w:val="005D5A1B"/>
    <w:rsid w:val="005E2CAB"/>
    <w:rsid w:val="005E429E"/>
    <w:rsid w:val="005F15B5"/>
    <w:rsid w:val="00601ED4"/>
    <w:rsid w:val="00603099"/>
    <w:rsid w:val="006030BC"/>
    <w:rsid w:val="006038EA"/>
    <w:rsid w:val="00612866"/>
    <w:rsid w:val="0061315F"/>
    <w:rsid w:val="0061639C"/>
    <w:rsid w:val="0061689B"/>
    <w:rsid w:val="00616EB5"/>
    <w:rsid w:val="00617339"/>
    <w:rsid w:val="00620F0E"/>
    <w:rsid w:val="006269D4"/>
    <w:rsid w:val="006327D8"/>
    <w:rsid w:val="00634B68"/>
    <w:rsid w:val="006357F1"/>
    <w:rsid w:val="0064070A"/>
    <w:rsid w:val="00643211"/>
    <w:rsid w:val="00643A01"/>
    <w:rsid w:val="0064525F"/>
    <w:rsid w:val="0064741F"/>
    <w:rsid w:val="00651D44"/>
    <w:rsid w:val="006550D6"/>
    <w:rsid w:val="006574D2"/>
    <w:rsid w:val="00663563"/>
    <w:rsid w:val="006676D4"/>
    <w:rsid w:val="00675535"/>
    <w:rsid w:val="00681359"/>
    <w:rsid w:val="00681B33"/>
    <w:rsid w:val="00683F52"/>
    <w:rsid w:val="0069157C"/>
    <w:rsid w:val="00694B99"/>
    <w:rsid w:val="006956EC"/>
    <w:rsid w:val="00696262"/>
    <w:rsid w:val="00696559"/>
    <w:rsid w:val="006968BE"/>
    <w:rsid w:val="006A2C16"/>
    <w:rsid w:val="006C3A4F"/>
    <w:rsid w:val="006C4845"/>
    <w:rsid w:val="006C5C5D"/>
    <w:rsid w:val="006D6BC1"/>
    <w:rsid w:val="006E2BFC"/>
    <w:rsid w:val="006E3FBA"/>
    <w:rsid w:val="006E5C57"/>
    <w:rsid w:val="006F0D25"/>
    <w:rsid w:val="006F22A5"/>
    <w:rsid w:val="006F43A1"/>
    <w:rsid w:val="00702C73"/>
    <w:rsid w:val="007060FB"/>
    <w:rsid w:val="00713394"/>
    <w:rsid w:val="00724677"/>
    <w:rsid w:val="0072547A"/>
    <w:rsid w:val="00725AC2"/>
    <w:rsid w:val="00732880"/>
    <w:rsid w:val="007416B9"/>
    <w:rsid w:val="007422FD"/>
    <w:rsid w:val="00743E46"/>
    <w:rsid w:val="00745539"/>
    <w:rsid w:val="0074640B"/>
    <w:rsid w:val="0074777D"/>
    <w:rsid w:val="00747C45"/>
    <w:rsid w:val="00753438"/>
    <w:rsid w:val="00756FDB"/>
    <w:rsid w:val="007629B6"/>
    <w:rsid w:val="007665BF"/>
    <w:rsid w:val="00771B2A"/>
    <w:rsid w:val="007757CE"/>
    <w:rsid w:val="00775800"/>
    <w:rsid w:val="007874F0"/>
    <w:rsid w:val="0079180E"/>
    <w:rsid w:val="007950CC"/>
    <w:rsid w:val="0079538B"/>
    <w:rsid w:val="007961B8"/>
    <w:rsid w:val="00797624"/>
    <w:rsid w:val="007A4828"/>
    <w:rsid w:val="007B0824"/>
    <w:rsid w:val="007B093D"/>
    <w:rsid w:val="007B1565"/>
    <w:rsid w:val="007B2069"/>
    <w:rsid w:val="007B454A"/>
    <w:rsid w:val="007B7753"/>
    <w:rsid w:val="007C04A1"/>
    <w:rsid w:val="007C1C2C"/>
    <w:rsid w:val="007C21FA"/>
    <w:rsid w:val="007C2BA7"/>
    <w:rsid w:val="007C31DB"/>
    <w:rsid w:val="007D13B1"/>
    <w:rsid w:val="007D4351"/>
    <w:rsid w:val="007D5A1F"/>
    <w:rsid w:val="007D7019"/>
    <w:rsid w:val="007E18DB"/>
    <w:rsid w:val="007E6F1C"/>
    <w:rsid w:val="007E7448"/>
    <w:rsid w:val="007E7667"/>
    <w:rsid w:val="007E7FEF"/>
    <w:rsid w:val="007F1383"/>
    <w:rsid w:val="007F19E1"/>
    <w:rsid w:val="007F4856"/>
    <w:rsid w:val="00800112"/>
    <w:rsid w:val="00804C69"/>
    <w:rsid w:val="0080711D"/>
    <w:rsid w:val="008155CD"/>
    <w:rsid w:val="0081784C"/>
    <w:rsid w:val="0082222C"/>
    <w:rsid w:val="00824FD9"/>
    <w:rsid w:val="0082530A"/>
    <w:rsid w:val="00833325"/>
    <w:rsid w:val="00837708"/>
    <w:rsid w:val="00840A41"/>
    <w:rsid w:val="00842F3C"/>
    <w:rsid w:val="00846AE4"/>
    <w:rsid w:val="008505D1"/>
    <w:rsid w:val="008532A9"/>
    <w:rsid w:val="00855158"/>
    <w:rsid w:val="00857EE8"/>
    <w:rsid w:val="0086464B"/>
    <w:rsid w:val="008647FC"/>
    <w:rsid w:val="00864CA8"/>
    <w:rsid w:val="00865807"/>
    <w:rsid w:val="00865E2D"/>
    <w:rsid w:val="00870E6C"/>
    <w:rsid w:val="00875846"/>
    <w:rsid w:val="008776EB"/>
    <w:rsid w:val="00882BFF"/>
    <w:rsid w:val="00884486"/>
    <w:rsid w:val="008871A9"/>
    <w:rsid w:val="008913D2"/>
    <w:rsid w:val="008916BA"/>
    <w:rsid w:val="00892176"/>
    <w:rsid w:val="00892DE7"/>
    <w:rsid w:val="00893704"/>
    <w:rsid w:val="008959CB"/>
    <w:rsid w:val="008974A1"/>
    <w:rsid w:val="008A1DB7"/>
    <w:rsid w:val="008A315F"/>
    <w:rsid w:val="008A403A"/>
    <w:rsid w:val="008A4C13"/>
    <w:rsid w:val="008B604D"/>
    <w:rsid w:val="008B7480"/>
    <w:rsid w:val="008C323D"/>
    <w:rsid w:val="008C54A9"/>
    <w:rsid w:val="008D1672"/>
    <w:rsid w:val="008E1D3C"/>
    <w:rsid w:val="008E48D9"/>
    <w:rsid w:val="008E67C3"/>
    <w:rsid w:val="008E799A"/>
    <w:rsid w:val="008F15F7"/>
    <w:rsid w:val="008F589F"/>
    <w:rsid w:val="008F76A9"/>
    <w:rsid w:val="008F7E67"/>
    <w:rsid w:val="00900DBF"/>
    <w:rsid w:val="009048B9"/>
    <w:rsid w:val="00904E91"/>
    <w:rsid w:val="00906AC8"/>
    <w:rsid w:val="00910350"/>
    <w:rsid w:val="00910627"/>
    <w:rsid w:val="00912BA6"/>
    <w:rsid w:val="00914CCC"/>
    <w:rsid w:val="00915886"/>
    <w:rsid w:val="009214DC"/>
    <w:rsid w:val="009259CC"/>
    <w:rsid w:val="00927027"/>
    <w:rsid w:val="009344BA"/>
    <w:rsid w:val="0093465D"/>
    <w:rsid w:val="0093624C"/>
    <w:rsid w:val="0094677C"/>
    <w:rsid w:val="00946E61"/>
    <w:rsid w:val="00947F78"/>
    <w:rsid w:val="00950515"/>
    <w:rsid w:val="00953234"/>
    <w:rsid w:val="0095416E"/>
    <w:rsid w:val="00960A98"/>
    <w:rsid w:val="00961EAF"/>
    <w:rsid w:val="0096278F"/>
    <w:rsid w:val="00966394"/>
    <w:rsid w:val="00966BAE"/>
    <w:rsid w:val="00967CDB"/>
    <w:rsid w:val="009726E1"/>
    <w:rsid w:val="00972A04"/>
    <w:rsid w:val="00977591"/>
    <w:rsid w:val="009803CA"/>
    <w:rsid w:val="00980E75"/>
    <w:rsid w:val="009872BA"/>
    <w:rsid w:val="00994BE0"/>
    <w:rsid w:val="009A25B1"/>
    <w:rsid w:val="009A4608"/>
    <w:rsid w:val="009A6A57"/>
    <w:rsid w:val="009A70BF"/>
    <w:rsid w:val="009B1A15"/>
    <w:rsid w:val="009B4116"/>
    <w:rsid w:val="009B6FE5"/>
    <w:rsid w:val="009C0852"/>
    <w:rsid w:val="009C13CA"/>
    <w:rsid w:val="009C32C6"/>
    <w:rsid w:val="009C39AB"/>
    <w:rsid w:val="009C571E"/>
    <w:rsid w:val="009C665F"/>
    <w:rsid w:val="009C746E"/>
    <w:rsid w:val="009C7513"/>
    <w:rsid w:val="009D2E8B"/>
    <w:rsid w:val="009D3882"/>
    <w:rsid w:val="009D4993"/>
    <w:rsid w:val="009D7E38"/>
    <w:rsid w:val="009E095B"/>
    <w:rsid w:val="009E1846"/>
    <w:rsid w:val="009E477D"/>
    <w:rsid w:val="009E4DF3"/>
    <w:rsid w:val="009E78FF"/>
    <w:rsid w:val="009F0B4D"/>
    <w:rsid w:val="009F69E3"/>
    <w:rsid w:val="009F7AEF"/>
    <w:rsid w:val="009F7E3E"/>
    <w:rsid w:val="00A01494"/>
    <w:rsid w:val="00A15C30"/>
    <w:rsid w:val="00A15C32"/>
    <w:rsid w:val="00A1783E"/>
    <w:rsid w:val="00A20956"/>
    <w:rsid w:val="00A22FA9"/>
    <w:rsid w:val="00A2367E"/>
    <w:rsid w:val="00A25024"/>
    <w:rsid w:val="00A33932"/>
    <w:rsid w:val="00A35F8F"/>
    <w:rsid w:val="00A41377"/>
    <w:rsid w:val="00A4263D"/>
    <w:rsid w:val="00A509B8"/>
    <w:rsid w:val="00A52541"/>
    <w:rsid w:val="00A52AB9"/>
    <w:rsid w:val="00A62099"/>
    <w:rsid w:val="00A6210B"/>
    <w:rsid w:val="00A64EBF"/>
    <w:rsid w:val="00A71200"/>
    <w:rsid w:val="00A7323A"/>
    <w:rsid w:val="00A831B4"/>
    <w:rsid w:val="00A8613A"/>
    <w:rsid w:val="00A86704"/>
    <w:rsid w:val="00A913E7"/>
    <w:rsid w:val="00A97798"/>
    <w:rsid w:val="00AA5213"/>
    <w:rsid w:val="00AA59B1"/>
    <w:rsid w:val="00AA65A6"/>
    <w:rsid w:val="00AA794A"/>
    <w:rsid w:val="00AB0D93"/>
    <w:rsid w:val="00AC1D8E"/>
    <w:rsid w:val="00AC48FA"/>
    <w:rsid w:val="00AD0240"/>
    <w:rsid w:val="00AD227C"/>
    <w:rsid w:val="00AD4137"/>
    <w:rsid w:val="00AF2D68"/>
    <w:rsid w:val="00AF314D"/>
    <w:rsid w:val="00AF4B00"/>
    <w:rsid w:val="00B037BA"/>
    <w:rsid w:val="00B07787"/>
    <w:rsid w:val="00B109D4"/>
    <w:rsid w:val="00B14F25"/>
    <w:rsid w:val="00B20139"/>
    <w:rsid w:val="00B218DA"/>
    <w:rsid w:val="00B237FD"/>
    <w:rsid w:val="00B342FA"/>
    <w:rsid w:val="00B34D3C"/>
    <w:rsid w:val="00B40F11"/>
    <w:rsid w:val="00B53E8B"/>
    <w:rsid w:val="00B66D4D"/>
    <w:rsid w:val="00B774D2"/>
    <w:rsid w:val="00B8015A"/>
    <w:rsid w:val="00B82A57"/>
    <w:rsid w:val="00B84DA9"/>
    <w:rsid w:val="00BA053B"/>
    <w:rsid w:val="00BA7A47"/>
    <w:rsid w:val="00BB20C0"/>
    <w:rsid w:val="00BB35AE"/>
    <w:rsid w:val="00BB7B36"/>
    <w:rsid w:val="00BC03A1"/>
    <w:rsid w:val="00BC0D25"/>
    <w:rsid w:val="00BC646B"/>
    <w:rsid w:val="00BD2505"/>
    <w:rsid w:val="00BD55B9"/>
    <w:rsid w:val="00BD7F9D"/>
    <w:rsid w:val="00BE592D"/>
    <w:rsid w:val="00BF162C"/>
    <w:rsid w:val="00BF23FC"/>
    <w:rsid w:val="00BF52B0"/>
    <w:rsid w:val="00BF5697"/>
    <w:rsid w:val="00C008C7"/>
    <w:rsid w:val="00C03309"/>
    <w:rsid w:val="00C1137E"/>
    <w:rsid w:val="00C14CCC"/>
    <w:rsid w:val="00C16056"/>
    <w:rsid w:val="00C1695E"/>
    <w:rsid w:val="00C210AB"/>
    <w:rsid w:val="00C22BBD"/>
    <w:rsid w:val="00C22C1C"/>
    <w:rsid w:val="00C33F2E"/>
    <w:rsid w:val="00C34936"/>
    <w:rsid w:val="00C34C14"/>
    <w:rsid w:val="00C355B9"/>
    <w:rsid w:val="00C37EF1"/>
    <w:rsid w:val="00C401C4"/>
    <w:rsid w:val="00C41680"/>
    <w:rsid w:val="00C46D56"/>
    <w:rsid w:val="00C60A25"/>
    <w:rsid w:val="00C63FB5"/>
    <w:rsid w:val="00C6476E"/>
    <w:rsid w:val="00C6494E"/>
    <w:rsid w:val="00C6669F"/>
    <w:rsid w:val="00C71257"/>
    <w:rsid w:val="00C7405E"/>
    <w:rsid w:val="00C765C5"/>
    <w:rsid w:val="00C775CE"/>
    <w:rsid w:val="00C82479"/>
    <w:rsid w:val="00C867F0"/>
    <w:rsid w:val="00C870E6"/>
    <w:rsid w:val="00C900BB"/>
    <w:rsid w:val="00C96E07"/>
    <w:rsid w:val="00CA06D8"/>
    <w:rsid w:val="00CA0B74"/>
    <w:rsid w:val="00CA1E38"/>
    <w:rsid w:val="00CA2184"/>
    <w:rsid w:val="00CA345A"/>
    <w:rsid w:val="00CB49FF"/>
    <w:rsid w:val="00CB6D4D"/>
    <w:rsid w:val="00CB76CD"/>
    <w:rsid w:val="00CB7CAC"/>
    <w:rsid w:val="00CC02CF"/>
    <w:rsid w:val="00CC086A"/>
    <w:rsid w:val="00CC7C8A"/>
    <w:rsid w:val="00CD0E24"/>
    <w:rsid w:val="00CD0F66"/>
    <w:rsid w:val="00CD32E5"/>
    <w:rsid w:val="00CD364B"/>
    <w:rsid w:val="00CD446F"/>
    <w:rsid w:val="00CE23B8"/>
    <w:rsid w:val="00CE284E"/>
    <w:rsid w:val="00CE50D7"/>
    <w:rsid w:val="00CE7B6A"/>
    <w:rsid w:val="00CF29AC"/>
    <w:rsid w:val="00CF4CBE"/>
    <w:rsid w:val="00D00344"/>
    <w:rsid w:val="00D015A4"/>
    <w:rsid w:val="00D037CE"/>
    <w:rsid w:val="00D06659"/>
    <w:rsid w:val="00D14A49"/>
    <w:rsid w:val="00D14AD1"/>
    <w:rsid w:val="00D1754D"/>
    <w:rsid w:val="00D21FAC"/>
    <w:rsid w:val="00D2223F"/>
    <w:rsid w:val="00D244A1"/>
    <w:rsid w:val="00D258A7"/>
    <w:rsid w:val="00D26058"/>
    <w:rsid w:val="00D269A9"/>
    <w:rsid w:val="00D274A4"/>
    <w:rsid w:val="00D277AF"/>
    <w:rsid w:val="00D31163"/>
    <w:rsid w:val="00D320B1"/>
    <w:rsid w:val="00D33AFD"/>
    <w:rsid w:val="00D36483"/>
    <w:rsid w:val="00D36489"/>
    <w:rsid w:val="00D369E9"/>
    <w:rsid w:val="00D40DE5"/>
    <w:rsid w:val="00D42195"/>
    <w:rsid w:val="00D50704"/>
    <w:rsid w:val="00D5760A"/>
    <w:rsid w:val="00D61410"/>
    <w:rsid w:val="00D623BB"/>
    <w:rsid w:val="00D71D22"/>
    <w:rsid w:val="00D724B7"/>
    <w:rsid w:val="00D7261C"/>
    <w:rsid w:val="00D77E49"/>
    <w:rsid w:val="00D8181D"/>
    <w:rsid w:val="00D87821"/>
    <w:rsid w:val="00D929D9"/>
    <w:rsid w:val="00D961C0"/>
    <w:rsid w:val="00D968D8"/>
    <w:rsid w:val="00DA563D"/>
    <w:rsid w:val="00DA7277"/>
    <w:rsid w:val="00DB04FC"/>
    <w:rsid w:val="00DB1526"/>
    <w:rsid w:val="00DB3627"/>
    <w:rsid w:val="00DB4724"/>
    <w:rsid w:val="00DB6944"/>
    <w:rsid w:val="00DC034F"/>
    <w:rsid w:val="00DC4746"/>
    <w:rsid w:val="00DC475A"/>
    <w:rsid w:val="00DD0C83"/>
    <w:rsid w:val="00DD208F"/>
    <w:rsid w:val="00DD3378"/>
    <w:rsid w:val="00DD3743"/>
    <w:rsid w:val="00DD426B"/>
    <w:rsid w:val="00DD5392"/>
    <w:rsid w:val="00DE2432"/>
    <w:rsid w:val="00DE7149"/>
    <w:rsid w:val="00DF0169"/>
    <w:rsid w:val="00DF51AD"/>
    <w:rsid w:val="00DF56AE"/>
    <w:rsid w:val="00E0314C"/>
    <w:rsid w:val="00E06BB2"/>
    <w:rsid w:val="00E1508F"/>
    <w:rsid w:val="00E261DF"/>
    <w:rsid w:val="00E27240"/>
    <w:rsid w:val="00E27EDD"/>
    <w:rsid w:val="00E3014D"/>
    <w:rsid w:val="00E30584"/>
    <w:rsid w:val="00E310B9"/>
    <w:rsid w:val="00E37E1B"/>
    <w:rsid w:val="00E41813"/>
    <w:rsid w:val="00E4219F"/>
    <w:rsid w:val="00E52376"/>
    <w:rsid w:val="00E562C0"/>
    <w:rsid w:val="00E57FAF"/>
    <w:rsid w:val="00E60F1E"/>
    <w:rsid w:val="00E63550"/>
    <w:rsid w:val="00E63C42"/>
    <w:rsid w:val="00E672D6"/>
    <w:rsid w:val="00E73B3B"/>
    <w:rsid w:val="00E740F3"/>
    <w:rsid w:val="00E76024"/>
    <w:rsid w:val="00E83349"/>
    <w:rsid w:val="00E856A2"/>
    <w:rsid w:val="00E87E34"/>
    <w:rsid w:val="00E94725"/>
    <w:rsid w:val="00E967AD"/>
    <w:rsid w:val="00E96884"/>
    <w:rsid w:val="00EA43FF"/>
    <w:rsid w:val="00EA5435"/>
    <w:rsid w:val="00EA5F47"/>
    <w:rsid w:val="00EB2567"/>
    <w:rsid w:val="00EB455E"/>
    <w:rsid w:val="00EC79DE"/>
    <w:rsid w:val="00ED3C78"/>
    <w:rsid w:val="00ED4ACE"/>
    <w:rsid w:val="00ED5E07"/>
    <w:rsid w:val="00ED7ED1"/>
    <w:rsid w:val="00EE3DF5"/>
    <w:rsid w:val="00EE4D35"/>
    <w:rsid w:val="00EE7277"/>
    <w:rsid w:val="00EF2DA7"/>
    <w:rsid w:val="00EF44F4"/>
    <w:rsid w:val="00EF4E28"/>
    <w:rsid w:val="00F02F5D"/>
    <w:rsid w:val="00F12743"/>
    <w:rsid w:val="00F1412B"/>
    <w:rsid w:val="00F15BFA"/>
    <w:rsid w:val="00F21176"/>
    <w:rsid w:val="00F34FAB"/>
    <w:rsid w:val="00F40534"/>
    <w:rsid w:val="00F435AA"/>
    <w:rsid w:val="00F4395D"/>
    <w:rsid w:val="00F50A37"/>
    <w:rsid w:val="00F50D11"/>
    <w:rsid w:val="00F540E7"/>
    <w:rsid w:val="00F54CE7"/>
    <w:rsid w:val="00F5738A"/>
    <w:rsid w:val="00F612D4"/>
    <w:rsid w:val="00F7389E"/>
    <w:rsid w:val="00F77F1D"/>
    <w:rsid w:val="00F8435F"/>
    <w:rsid w:val="00F87CCB"/>
    <w:rsid w:val="00F9391C"/>
    <w:rsid w:val="00F97CE2"/>
    <w:rsid w:val="00FA48C7"/>
    <w:rsid w:val="00FA50B8"/>
    <w:rsid w:val="00FB51FB"/>
    <w:rsid w:val="00FB6A6E"/>
    <w:rsid w:val="00FB73C1"/>
    <w:rsid w:val="00FC131D"/>
    <w:rsid w:val="00FD6236"/>
    <w:rsid w:val="00FD6963"/>
    <w:rsid w:val="00FF3FC4"/>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516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paragraph" w:styleId="Heading5">
    <w:name w:val="heading 5"/>
    <w:basedOn w:val="Normal"/>
    <w:next w:val="Normal"/>
    <w:link w:val="Heading5Char"/>
    <w:uiPriority w:val="9"/>
    <w:semiHidden/>
    <w:unhideWhenUsed/>
    <w:qFormat/>
    <w:rsid w:val="00AF314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3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aliases w:val="Char18"/>
    <w:basedOn w:val="Normal"/>
    <w:link w:val="FootnoteTextChar"/>
    <w:uiPriority w:val="99"/>
    <w:qFormat/>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aliases w:val="Char18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qFormat/>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F15BFA"/>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locked/>
    <w:rsid w:val="00696559"/>
    <w:rPr>
      <w:rFonts w:ascii="Calibri" w:eastAsia="Calibri" w:hAnsi="Calibri" w:cs="Times New Roman"/>
    </w:rPr>
  </w:style>
  <w:style w:type="paragraph" w:styleId="Caption">
    <w:name w:val="caption"/>
    <w:basedOn w:val="Normal"/>
    <w:next w:val="Normal"/>
    <w:uiPriority w:val="35"/>
    <w:unhideWhenUsed/>
    <w:qFormat/>
    <w:rsid w:val="00696559"/>
    <w:pPr>
      <w:spacing w:before="80" w:after="0" w:line="240" w:lineRule="auto"/>
    </w:pPr>
    <w:rPr>
      <w:rFonts w:ascii="Arial" w:eastAsia="Times New Roman" w:hAnsi="Arial" w:cs="Arial"/>
      <w:b/>
      <w:bCs/>
    </w:rPr>
  </w:style>
  <w:style w:type="paragraph" w:styleId="BodyText">
    <w:name w:val="Body Text"/>
    <w:basedOn w:val="Normal"/>
    <w:link w:val="BodyTextChar"/>
    <w:uiPriority w:val="99"/>
    <w:unhideWhenUsed/>
    <w:rsid w:val="00DC034F"/>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DC034F"/>
    <w:rPr>
      <w:rFonts w:ascii="Calibri" w:eastAsia="Calibri" w:hAnsi="Calibri" w:cs="Times New Roman"/>
      <w:sz w:val="24"/>
    </w:rPr>
  </w:style>
  <w:style w:type="character" w:customStyle="1" w:styleId="bodytextChar0">
    <w:name w:val="body text Char"/>
    <w:basedOn w:val="DefaultParagraphFont"/>
    <w:link w:val="BodyText1"/>
    <w:locked/>
    <w:rsid w:val="0081784C"/>
    <w:rPr>
      <w:rFonts w:ascii="Times New Roman" w:hAnsi="Times New Roman" w:cs="Times New Roman"/>
      <w:sz w:val="24"/>
    </w:rPr>
  </w:style>
  <w:style w:type="paragraph" w:customStyle="1" w:styleId="BodyText1">
    <w:name w:val="Body Text1"/>
    <w:basedOn w:val="Normal"/>
    <w:link w:val="bodytextChar0"/>
    <w:rsid w:val="0081784C"/>
    <w:pPr>
      <w:spacing w:after="240" w:line="240" w:lineRule="auto"/>
      <w:ind w:firstLine="720"/>
    </w:pPr>
    <w:rPr>
      <w:rFonts w:ascii="Times New Roman" w:hAnsi="Times New Roman" w:cs="Times New Roman"/>
      <w:sz w:val="24"/>
    </w:rPr>
  </w:style>
  <w:style w:type="character" w:customStyle="1" w:styleId="UnresolvedMention">
    <w:name w:val="Unresolved Mention"/>
    <w:basedOn w:val="DefaultParagraphFont"/>
    <w:uiPriority w:val="99"/>
    <w:semiHidden/>
    <w:unhideWhenUsed/>
    <w:rsid w:val="00F02F5D"/>
    <w:rPr>
      <w:color w:val="605E5C"/>
      <w:shd w:val="clear" w:color="auto" w:fill="E1DFDD"/>
    </w:rPr>
  </w:style>
  <w:style w:type="character" w:customStyle="1" w:styleId="st1">
    <w:name w:val="st1"/>
    <w:basedOn w:val="DefaultParagraphFont"/>
    <w:rsid w:val="0055031C"/>
  </w:style>
  <w:style w:type="paragraph" w:customStyle="1" w:styleId="TableHeaders">
    <w:name w:val="Table Headers"/>
    <w:basedOn w:val="Normal"/>
    <w:qFormat/>
    <w:rsid w:val="00BB7B36"/>
    <w:pPr>
      <w:keepNext/>
      <w:snapToGrid w:val="0"/>
      <w:spacing w:before="80" w:after="80" w:line="240" w:lineRule="auto"/>
      <w:jc w:val="center"/>
    </w:pPr>
    <w:rPr>
      <w:rFonts w:ascii="Times New Roman" w:eastAsia="Times New Roman" w:hAnsi="Times New Roman" w:cs="Times New Roman"/>
      <w:sz w:val="24"/>
      <w:szCs w:val="20"/>
    </w:rPr>
  </w:style>
  <w:style w:type="paragraph" w:customStyle="1" w:styleId="TableText">
    <w:name w:val="Table Text"/>
    <w:qFormat/>
    <w:rsid w:val="00BB7B36"/>
    <w:pPr>
      <w:spacing w:before="40" w:after="40" w:line="240" w:lineRule="auto"/>
    </w:pPr>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
    <w:semiHidden/>
    <w:rsid w:val="00AF314D"/>
    <w:rPr>
      <w:rFonts w:asciiTheme="majorHAnsi" w:eastAsiaTheme="majorEastAsia" w:hAnsiTheme="majorHAnsi" w:cstheme="majorBidi"/>
      <w:color w:val="365F91" w:themeColor="accent1" w:themeShade="BF"/>
    </w:rPr>
  </w:style>
  <w:style w:type="paragraph" w:customStyle="1" w:styleId="paragraph">
    <w:name w:val="paragraph"/>
    <w:basedOn w:val="Normal"/>
    <w:rsid w:val="00C63FB5"/>
    <w:pPr>
      <w:spacing w:before="100" w:beforeAutospacing="1" w:after="100" w:afterAutospacing="1" w:line="240" w:lineRule="auto"/>
    </w:pPr>
    <w:rPr>
      <w:rFonts w:ascii="Calibri" w:eastAsiaTheme="minorHAnsi" w:hAnsi="Calibri" w:cs="Calibri"/>
    </w:rPr>
  </w:style>
  <w:style w:type="character" w:customStyle="1" w:styleId="normaltextrun">
    <w:name w:val="normaltextrun"/>
    <w:basedOn w:val="DefaultParagraphFont"/>
    <w:rsid w:val="00C63FB5"/>
  </w:style>
  <w:style w:type="character" w:customStyle="1" w:styleId="eop">
    <w:name w:val="eop"/>
    <w:basedOn w:val="DefaultParagraphFont"/>
    <w:rsid w:val="00C63FB5"/>
  </w:style>
  <w:style w:type="paragraph" w:customStyle="1" w:styleId="R-Pubs-Pres">
    <w:name w:val="R-Pubs-Pres"/>
    <w:basedOn w:val="Normal"/>
    <w:rsid w:val="00531EE9"/>
    <w:pPr>
      <w:spacing w:after="220" w:line="240" w:lineRule="auto"/>
      <w:ind w:left="446" w:hanging="446"/>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194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28440400">
      <w:bodyDiv w:val="1"/>
      <w:marLeft w:val="0"/>
      <w:marRight w:val="0"/>
      <w:marTop w:val="0"/>
      <w:marBottom w:val="0"/>
      <w:divBdr>
        <w:top w:val="none" w:sz="0" w:space="0" w:color="auto"/>
        <w:left w:val="none" w:sz="0" w:space="0" w:color="auto"/>
        <w:bottom w:val="none" w:sz="0" w:space="0" w:color="auto"/>
        <w:right w:val="none" w:sz="0" w:space="0" w:color="auto"/>
      </w:divBdr>
    </w:div>
    <w:div w:id="742261854">
      <w:bodyDiv w:val="1"/>
      <w:marLeft w:val="0"/>
      <w:marRight w:val="0"/>
      <w:marTop w:val="0"/>
      <w:marBottom w:val="0"/>
      <w:divBdr>
        <w:top w:val="none" w:sz="0" w:space="0" w:color="auto"/>
        <w:left w:val="none" w:sz="0" w:space="0" w:color="auto"/>
        <w:bottom w:val="none" w:sz="0" w:space="0" w:color="auto"/>
        <w:right w:val="none" w:sz="0" w:space="0" w:color="auto"/>
      </w:divBdr>
    </w:div>
    <w:div w:id="1034036995">
      <w:bodyDiv w:val="1"/>
      <w:marLeft w:val="0"/>
      <w:marRight w:val="0"/>
      <w:marTop w:val="0"/>
      <w:marBottom w:val="0"/>
      <w:divBdr>
        <w:top w:val="none" w:sz="0" w:space="0" w:color="auto"/>
        <w:left w:val="none" w:sz="0" w:space="0" w:color="auto"/>
        <w:bottom w:val="none" w:sz="0" w:space="0" w:color="auto"/>
        <w:right w:val="none" w:sz="0" w:space="0" w:color="auto"/>
      </w:divBdr>
    </w:div>
    <w:div w:id="1106659883">
      <w:bodyDiv w:val="1"/>
      <w:marLeft w:val="0"/>
      <w:marRight w:val="0"/>
      <w:marTop w:val="0"/>
      <w:marBottom w:val="0"/>
      <w:divBdr>
        <w:top w:val="none" w:sz="0" w:space="0" w:color="auto"/>
        <w:left w:val="none" w:sz="0" w:space="0" w:color="auto"/>
        <w:bottom w:val="none" w:sz="0" w:space="0" w:color="auto"/>
        <w:right w:val="none" w:sz="0" w:space="0" w:color="auto"/>
      </w:divBdr>
    </w:div>
    <w:div w:id="1197549156">
      <w:bodyDiv w:val="1"/>
      <w:marLeft w:val="0"/>
      <w:marRight w:val="0"/>
      <w:marTop w:val="0"/>
      <w:marBottom w:val="0"/>
      <w:divBdr>
        <w:top w:val="none" w:sz="0" w:space="0" w:color="auto"/>
        <w:left w:val="none" w:sz="0" w:space="0" w:color="auto"/>
        <w:bottom w:val="none" w:sz="0" w:space="0" w:color="auto"/>
        <w:right w:val="none" w:sz="0" w:space="0" w:color="auto"/>
      </w:divBdr>
    </w:div>
    <w:div w:id="1243565721">
      <w:bodyDiv w:val="1"/>
      <w:marLeft w:val="0"/>
      <w:marRight w:val="0"/>
      <w:marTop w:val="0"/>
      <w:marBottom w:val="0"/>
      <w:divBdr>
        <w:top w:val="none" w:sz="0" w:space="0" w:color="auto"/>
        <w:left w:val="none" w:sz="0" w:space="0" w:color="auto"/>
        <w:bottom w:val="none" w:sz="0" w:space="0" w:color="auto"/>
        <w:right w:val="none" w:sz="0" w:space="0" w:color="auto"/>
      </w:divBdr>
    </w:div>
    <w:div w:id="1298297513">
      <w:bodyDiv w:val="1"/>
      <w:marLeft w:val="0"/>
      <w:marRight w:val="0"/>
      <w:marTop w:val="0"/>
      <w:marBottom w:val="0"/>
      <w:divBdr>
        <w:top w:val="none" w:sz="0" w:space="0" w:color="auto"/>
        <w:left w:val="none" w:sz="0" w:space="0" w:color="auto"/>
        <w:bottom w:val="none" w:sz="0" w:space="0" w:color="auto"/>
        <w:right w:val="none" w:sz="0" w:space="0" w:color="auto"/>
      </w:divBdr>
    </w:div>
    <w:div w:id="132326724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93274310">
      <w:bodyDiv w:val="1"/>
      <w:marLeft w:val="0"/>
      <w:marRight w:val="0"/>
      <w:marTop w:val="0"/>
      <w:marBottom w:val="0"/>
      <w:divBdr>
        <w:top w:val="none" w:sz="0" w:space="0" w:color="auto"/>
        <w:left w:val="none" w:sz="0" w:space="0" w:color="auto"/>
        <w:bottom w:val="none" w:sz="0" w:space="0" w:color="auto"/>
        <w:right w:val="none" w:sz="0" w:space="0" w:color="auto"/>
      </w:divBdr>
    </w:div>
    <w:div w:id="1913084273">
      <w:bodyDiv w:val="1"/>
      <w:marLeft w:val="0"/>
      <w:marRight w:val="0"/>
      <w:marTop w:val="0"/>
      <w:marBottom w:val="0"/>
      <w:divBdr>
        <w:top w:val="none" w:sz="0" w:space="0" w:color="auto"/>
        <w:left w:val="none" w:sz="0" w:space="0" w:color="auto"/>
        <w:bottom w:val="none" w:sz="0" w:space="0" w:color="auto"/>
        <w:right w:val="none" w:sz="0" w:space="0" w:color="auto"/>
      </w:divBdr>
    </w:div>
    <w:div w:id="2061438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emf"/><Relationship Id="rId117" Type="http://schemas.openxmlformats.org/officeDocument/2006/relationships/image" Target="media/image93.emf"/><Relationship Id="rId21" Type="http://schemas.openxmlformats.org/officeDocument/2006/relationships/hyperlink" Target="https://www.cms.gov/Research-Statistics-Data-and-Systems/Statistics-Trends-and-Reports/Reports/Research-Reports-Items/PAC_Payment_Reform_Demo_Final.html" TargetMode="External"/><Relationship Id="rId42" Type="http://schemas.openxmlformats.org/officeDocument/2006/relationships/image" Target="media/image18.emf"/><Relationship Id="rId47" Type="http://schemas.openxmlformats.org/officeDocument/2006/relationships/image" Target="media/image23.emf"/><Relationship Id="rId63" Type="http://schemas.openxmlformats.org/officeDocument/2006/relationships/image" Target="media/image39.emf"/><Relationship Id="rId68" Type="http://schemas.openxmlformats.org/officeDocument/2006/relationships/image" Target="media/image44.emf"/><Relationship Id="rId84" Type="http://schemas.openxmlformats.org/officeDocument/2006/relationships/image" Target="media/image60.emf"/><Relationship Id="rId89" Type="http://schemas.openxmlformats.org/officeDocument/2006/relationships/image" Target="media/image65.emf"/><Relationship Id="rId112" Type="http://schemas.openxmlformats.org/officeDocument/2006/relationships/image" Target="media/image88.emf"/><Relationship Id="rId16"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Volume-1-of-3.pdf" TargetMode="External"/><Relationship Id="rId107" Type="http://schemas.openxmlformats.org/officeDocument/2006/relationships/image" Target="media/image83.emf"/><Relationship Id="rId11" Type="http://schemas.openxmlformats.org/officeDocument/2006/relationships/endnotes" Target="endnotes.xml"/><Relationship Id="rId32" Type="http://schemas.openxmlformats.org/officeDocument/2006/relationships/image" Target="media/image8.emf"/><Relationship Id="rId37" Type="http://schemas.openxmlformats.org/officeDocument/2006/relationships/image" Target="media/image13.emf"/><Relationship Id="rId53" Type="http://schemas.openxmlformats.org/officeDocument/2006/relationships/image" Target="media/image29.emf"/><Relationship Id="rId58" Type="http://schemas.openxmlformats.org/officeDocument/2006/relationships/image" Target="media/image34.emf"/><Relationship Id="rId74" Type="http://schemas.openxmlformats.org/officeDocument/2006/relationships/image" Target="media/image50.emf"/><Relationship Id="rId79" Type="http://schemas.openxmlformats.org/officeDocument/2006/relationships/image" Target="media/image55.emf"/><Relationship Id="rId102" Type="http://schemas.openxmlformats.org/officeDocument/2006/relationships/image" Target="media/image78.emf"/><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image" Target="media/image66.emf"/><Relationship Id="rId95" Type="http://schemas.openxmlformats.org/officeDocument/2006/relationships/image" Target="media/image71.emf"/><Relationship Id="rId19" Type="http://schemas.openxmlformats.org/officeDocument/2006/relationships/hyperlink" Target="https://www.cms.gov/Medicare/Quality-Initiatives-Patient-Assessment-Instruments/Post-Acute-Care-Quality-Initiatives/Downloads/Continuity-Assessment-Record-and-Evaluation-CARE-Item-Set-Additional-Provider-Type-Specific-Interrater-Reliability-Analyses.pdf" TargetMode="External"/><Relationship Id="rId14" Type="http://schemas.openxmlformats.org/officeDocument/2006/relationships/hyperlink" Target="https://www.cms.gov/Research-Statistics-Data-and-Systems/Downloadable-Public-Use-Files/Provider-of-Services/index.html" TargetMode="External"/><Relationship Id="rId22" Type="http://schemas.openxmlformats.org/officeDocument/2006/relationships/hyperlink" Target="https://www.cms.gov/Medicare/Quality-Initiatives-Patient-Assessment-Instruments/Post-Acute-Care-Quality-Initiatives/Functional-Measures-.html" TargetMode="External"/><Relationship Id="rId27" Type="http://schemas.openxmlformats.org/officeDocument/2006/relationships/image" Target="media/image3.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image" Target="media/image40.emf"/><Relationship Id="rId69" Type="http://schemas.openxmlformats.org/officeDocument/2006/relationships/image" Target="media/image45.emf"/><Relationship Id="rId77" Type="http://schemas.openxmlformats.org/officeDocument/2006/relationships/image" Target="media/image53.emf"/><Relationship Id="rId100" Type="http://schemas.openxmlformats.org/officeDocument/2006/relationships/image" Target="media/image76.emf"/><Relationship Id="rId105" Type="http://schemas.openxmlformats.org/officeDocument/2006/relationships/image" Target="media/image81.emf"/><Relationship Id="rId113" Type="http://schemas.openxmlformats.org/officeDocument/2006/relationships/image" Target="media/image89.emf"/><Relationship Id="rId118" Type="http://schemas.openxmlformats.org/officeDocument/2006/relationships/hyperlink" Target="https://www.cms.gov/Medicare/Quality-Initiatives-Patient-Assessment-Instruments/IRF-Quality-Reporting/IRF-Quality-Reporting-Program-Measures-Information-.html" TargetMode="External"/><Relationship Id="rId12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image" Target="media/image27.emf"/><Relationship Id="rId72" Type="http://schemas.openxmlformats.org/officeDocument/2006/relationships/image" Target="media/image48.emf"/><Relationship Id="rId80" Type="http://schemas.openxmlformats.org/officeDocument/2006/relationships/image" Target="media/image56.emf"/><Relationship Id="rId85" Type="http://schemas.openxmlformats.org/officeDocument/2006/relationships/image" Target="media/image61.emf"/><Relationship Id="rId93" Type="http://schemas.openxmlformats.org/officeDocument/2006/relationships/image" Target="media/image69.emf"/><Relationship Id="rId98" Type="http://schemas.openxmlformats.org/officeDocument/2006/relationships/image" Target="media/image74.emf"/><Relationship Id="rId121" Type="http://schemas.openxmlformats.org/officeDocument/2006/relationships/hyperlink" Target="https://aspe.hhs.gov/pdf-report/report-congress-social-risk-factors-and-performance-under-medicares-value-based-purchasing-programs" TargetMode="External"/><Relationship Id="rId3" Type="http://schemas.openxmlformats.org/officeDocument/2006/relationships/customXml" Target="../customXml/item3.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Reliability-Testing-Volume-2-of-3.pdf" TargetMode="External"/><Relationship Id="rId25" Type="http://schemas.openxmlformats.org/officeDocument/2006/relationships/image" Target="media/image1.emf"/><Relationship Id="rId33" Type="http://schemas.openxmlformats.org/officeDocument/2006/relationships/image" Target="media/image9.emf"/><Relationship Id="rId38" Type="http://schemas.openxmlformats.org/officeDocument/2006/relationships/image" Target="media/image14.emf"/><Relationship Id="rId46" Type="http://schemas.openxmlformats.org/officeDocument/2006/relationships/image" Target="media/image22.emf"/><Relationship Id="rId59" Type="http://schemas.openxmlformats.org/officeDocument/2006/relationships/image" Target="media/image35.emf"/><Relationship Id="rId67" Type="http://schemas.openxmlformats.org/officeDocument/2006/relationships/image" Target="media/image43.emf"/><Relationship Id="rId103" Type="http://schemas.openxmlformats.org/officeDocument/2006/relationships/image" Target="media/image79.emf"/><Relationship Id="rId108" Type="http://schemas.openxmlformats.org/officeDocument/2006/relationships/image" Target="media/image84.emf"/><Relationship Id="rId116" Type="http://schemas.openxmlformats.org/officeDocument/2006/relationships/image" Target="media/image92.emf"/><Relationship Id="rId124" Type="http://schemas.openxmlformats.org/officeDocument/2006/relationships/hyperlink" Target="http://www.cms.gov/Medicare/Quality-Initiatives-Patient-Assessment-Instruments/Post-Acute-Care-Quality-Initiatives/CARE-Item-Set-and-B-CARE.html" TargetMode="External"/><Relationship Id="rId129" Type="http://schemas.microsoft.com/office/2016/09/relationships/commentsIds" Target="commentsIds.xml"/><Relationship Id="rId20" Type="http://schemas.openxmlformats.org/officeDocument/2006/relationships/hyperlink" Target="https://www.cms.gov/Medicare/Quality-Initiatives-Patient-Assessment-Instruments/Post-Acute-Care-Quality-Initiatives/Downloads/Continuity-Assessment-Record-and-Evaluation-CARE-Item-Set-Video-Reliability-Testing.pdf" TargetMode="External"/><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image" Target="media/image38.emf"/><Relationship Id="rId70" Type="http://schemas.openxmlformats.org/officeDocument/2006/relationships/image" Target="media/image46.emf"/><Relationship Id="rId75" Type="http://schemas.openxmlformats.org/officeDocument/2006/relationships/image" Target="media/image51.emf"/><Relationship Id="rId83" Type="http://schemas.openxmlformats.org/officeDocument/2006/relationships/image" Target="media/image59.emf"/><Relationship Id="rId88" Type="http://schemas.openxmlformats.org/officeDocument/2006/relationships/image" Target="media/image64.emf"/><Relationship Id="rId91" Type="http://schemas.openxmlformats.org/officeDocument/2006/relationships/image" Target="media/image67.emf"/><Relationship Id="rId96" Type="http://schemas.openxmlformats.org/officeDocument/2006/relationships/image" Target="media/image72.emf"/><Relationship Id="rId111" Type="http://schemas.openxmlformats.org/officeDocument/2006/relationships/image" Target="media/image87.emf"/><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cms.gov/Research-Statistics-Data-and-Systems/Computer-Data-and-Systems/IDR/" TargetMode="External"/><Relationship Id="rId23" Type="http://schemas.openxmlformats.org/officeDocument/2006/relationships/hyperlink" Target="http://www.rasch.org/rmt/rmt83b.htm" TargetMode="Externa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5.emf"/><Relationship Id="rId57" Type="http://schemas.openxmlformats.org/officeDocument/2006/relationships/image" Target="media/image33.emf"/><Relationship Id="rId106" Type="http://schemas.openxmlformats.org/officeDocument/2006/relationships/image" Target="media/image82.emf"/><Relationship Id="rId114" Type="http://schemas.openxmlformats.org/officeDocument/2006/relationships/image" Target="media/image90.emf"/><Relationship Id="rId119" Type="http://schemas.openxmlformats.org/officeDocument/2006/relationships/image" Target="media/image94.png"/><Relationship Id="rId127" Type="http://schemas.openxmlformats.org/officeDocument/2006/relationships/glossaryDocument" Target="glossary/document.xml"/><Relationship Id="rId10" Type="http://schemas.openxmlformats.org/officeDocument/2006/relationships/footnotes" Target="footnotes.xml"/><Relationship Id="rId31" Type="http://schemas.openxmlformats.org/officeDocument/2006/relationships/image" Target="media/image7.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image" Target="media/image36.emf"/><Relationship Id="rId65" Type="http://schemas.openxmlformats.org/officeDocument/2006/relationships/image" Target="media/image41.emf"/><Relationship Id="rId73" Type="http://schemas.openxmlformats.org/officeDocument/2006/relationships/image" Target="media/image49.emf"/><Relationship Id="rId78" Type="http://schemas.openxmlformats.org/officeDocument/2006/relationships/image" Target="media/image54.emf"/><Relationship Id="rId81" Type="http://schemas.openxmlformats.org/officeDocument/2006/relationships/image" Target="media/image57.emf"/><Relationship Id="rId86" Type="http://schemas.openxmlformats.org/officeDocument/2006/relationships/image" Target="media/image62.emf"/><Relationship Id="rId94" Type="http://schemas.openxmlformats.org/officeDocument/2006/relationships/image" Target="media/image70.emf"/><Relationship Id="rId99" Type="http://schemas.openxmlformats.org/officeDocument/2006/relationships/image" Target="media/image75.emf"/><Relationship Id="rId101" Type="http://schemas.openxmlformats.org/officeDocument/2006/relationships/image" Target="media/image77.emf"/><Relationship Id="rId12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cms.gov/Medicare/Quality-Initiatives-Patient-Assessment-Instruments/IRF-Quality-Reporting/IRF-PAI-and-IRF-QRP-Manual.html" TargetMode="External"/><Relationship Id="rId18" Type="http://schemas.openxmlformats.org/officeDocument/2006/relationships/hyperlink" Target="https://www.cms.gov/Medicare/Quality-Initiatives-Patient-Assessment-Instruments/Post-Acute-Care-Quality-Initiatives/Downloads/The-Development-and-Testing-of-the-Continuity-Assessment-Record-and-Evaluation-CARE-Item-Set-Final-Report-on-the-Development-of-the-CARE-Item-Set-and-Current-Assessment-Comparisons-Volume-3-of-3.pdf" TargetMode="External"/><Relationship Id="rId39" Type="http://schemas.openxmlformats.org/officeDocument/2006/relationships/image" Target="media/image15.emf"/><Relationship Id="rId109" Type="http://schemas.openxmlformats.org/officeDocument/2006/relationships/image" Target="media/image85.emf"/><Relationship Id="rId34" Type="http://schemas.openxmlformats.org/officeDocument/2006/relationships/image" Target="media/image10.emf"/><Relationship Id="rId50" Type="http://schemas.openxmlformats.org/officeDocument/2006/relationships/image" Target="media/image26.emf"/><Relationship Id="rId55" Type="http://schemas.openxmlformats.org/officeDocument/2006/relationships/image" Target="media/image31.emf"/><Relationship Id="rId76" Type="http://schemas.openxmlformats.org/officeDocument/2006/relationships/image" Target="media/image52.emf"/><Relationship Id="rId97" Type="http://schemas.openxmlformats.org/officeDocument/2006/relationships/image" Target="media/image73.emf"/><Relationship Id="rId104" Type="http://schemas.openxmlformats.org/officeDocument/2006/relationships/image" Target="media/image80.emf"/><Relationship Id="rId120" Type="http://schemas.openxmlformats.org/officeDocument/2006/relationships/image" Target="media/image95.png"/><Relationship Id="rId125" Type="http://schemas.openxmlformats.org/officeDocument/2006/relationships/image" Target="media/image96.png"/><Relationship Id="rId7" Type="http://schemas.openxmlformats.org/officeDocument/2006/relationships/styles" Target="styles.xml"/><Relationship Id="rId71" Type="http://schemas.openxmlformats.org/officeDocument/2006/relationships/image" Target="media/image47.emf"/><Relationship Id="rId92" Type="http://schemas.openxmlformats.org/officeDocument/2006/relationships/image" Target="media/image68.emf"/><Relationship Id="rId2" Type="http://schemas.openxmlformats.org/officeDocument/2006/relationships/customXml" Target="../customXml/item2.xml"/><Relationship Id="rId29" Type="http://schemas.openxmlformats.org/officeDocument/2006/relationships/image" Target="media/image5.emf"/><Relationship Id="rId24" Type="http://schemas.openxmlformats.org/officeDocument/2006/relationships/hyperlink" Target="https://www.jointcommission.org/certification/dsc_physical_medicine_rehabilitation.aspx" TargetMode="External"/><Relationship Id="rId40" Type="http://schemas.openxmlformats.org/officeDocument/2006/relationships/image" Target="media/image16.emf"/><Relationship Id="rId45" Type="http://schemas.openxmlformats.org/officeDocument/2006/relationships/image" Target="media/image21.emf"/><Relationship Id="rId66" Type="http://schemas.openxmlformats.org/officeDocument/2006/relationships/image" Target="media/image42.emf"/><Relationship Id="rId87" Type="http://schemas.openxmlformats.org/officeDocument/2006/relationships/image" Target="media/image63.emf"/><Relationship Id="rId110" Type="http://schemas.openxmlformats.org/officeDocument/2006/relationships/image" Target="media/image86.emf"/><Relationship Id="rId115" Type="http://schemas.openxmlformats.org/officeDocument/2006/relationships/image" Target="media/image91.emf"/><Relationship Id="rId61" Type="http://schemas.openxmlformats.org/officeDocument/2006/relationships/image" Target="media/image37.emf"/><Relationship Id="rId82" Type="http://schemas.openxmlformats.org/officeDocument/2006/relationships/image" Target="media/image58.emf"/></Relationships>
</file>

<file path=word/_rels/footnotes.xml.rels><?xml version="1.0" encoding="UTF-8" standalone="yes"?>
<Relationships xmlns="http://schemas.openxmlformats.org/package/2006/relationships"><Relationship Id="rId3" Type="http://schemas.openxmlformats.org/officeDocument/2006/relationships/hyperlink" Target="https://www.huduser.gov/portal/datasets/usps_crosswalk.html" TargetMode="External"/><Relationship Id="rId2" Type="http://schemas.openxmlformats.org/officeDocument/2006/relationships/hyperlink" Target="https://www.ers.usda.gov/data-products/rural-urban-commuting-area-codes.aspx" TargetMode="External"/><Relationship Id="rId1" Type="http://schemas.openxmlformats.org/officeDocument/2006/relationships/hyperlink" Target="https://www.huduser.gov/portal/datasets/usps_crosswalk.html" TargetMode="External"/><Relationship Id="rId4" Type="http://schemas.openxmlformats.org/officeDocument/2006/relationships/hyperlink" Target="https://www.ers.usda.gov/data-products/rural-urban-commuting-area-codes.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BAD4651A73934A0DA7A3795D04725C31"/>
        <w:category>
          <w:name w:val="General"/>
          <w:gallery w:val="placeholder"/>
        </w:category>
        <w:types>
          <w:type w:val="bbPlcHdr"/>
        </w:types>
        <w:behaviors>
          <w:behavior w:val="content"/>
        </w:behaviors>
        <w:guid w:val="{5B169085-8C25-4C07-89EC-7898A3B40C19}"/>
      </w:docPartPr>
      <w:docPartBody>
        <w:p w:rsidR="00696643" w:rsidRDefault="00696643" w:rsidP="00696643">
          <w:pPr>
            <w:pStyle w:val="BAD4651A73934A0DA7A3795D04725C31"/>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lbany AMT">
    <w:altName w:val="Arial"/>
    <w:charset w:val="00"/>
    <w:family w:val="swiss"/>
    <w:pitch w:val="variable"/>
    <w:sig w:usb0="00000A87" w:usb1="40000000" w:usb2="00000000" w:usb3="00000000" w:csb0="000000B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9653C"/>
    <w:rsid w:val="000C1FE4"/>
    <w:rsid w:val="00127222"/>
    <w:rsid w:val="00140452"/>
    <w:rsid w:val="001736D7"/>
    <w:rsid w:val="00190AF4"/>
    <w:rsid w:val="001F4847"/>
    <w:rsid w:val="00211A3F"/>
    <w:rsid w:val="00223FA3"/>
    <w:rsid w:val="002461C8"/>
    <w:rsid w:val="0025147D"/>
    <w:rsid w:val="002A288F"/>
    <w:rsid w:val="002C65A7"/>
    <w:rsid w:val="002F052A"/>
    <w:rsid w:val="002F2670"/>
    <w:rsid w:val="002F74EF"/>
    <w:rsid w:val="002F7CF3"/>
    <w:rsid w:val="00350176"/>
    <w:rsid w:val="003655BF"/>
    <w:rsid w:val="003840F0"/>
    <w:rsid w:val="003C1ED6"/>
    <w:rsid w:val="00437537"/>
    <w:rsid w:val="004D785E"/>
    <w:rsid w:val="004E70F1"/>
    <w:rsid w:val="005034CA"/>
    <w:rsid w:val="005120D6"/>
    <w:rsid w:val="00513FC9"/>
    <w:rsid w:val="0053654E"/>
    <w:rsid w:val="00574A2A"/>
    <w:rsid w:val="005A73C2"/>
    <w:rsid w:val="005E0952"/>
    <w:rsid w:val="00610196"/>
    <w:rsid w:val="00632A7E"/>
    <w:rsid w:val="00632AB6"/>
    <w:rsid w:val="00696643"/>
    <w:rsid w:val="006A32CC"/>
    <w:rsid w:val="00717800"/>
    <w:rsid w:val="007230B1"/>
    <w:rsid w:val="00730B33"/>
    <w:rsid w:val="00772B2A"/>
    <w:rsid w:val="007C672A"/>
    <w:rsid w:val="007D4368"/>
    <w:rsid w:val="00820C30"/>
    <w:rsid w:val="00822666"/>
    <w:rsid w:val="00823ECC"/>
    <w:rsid w:val="00826796"/>
    <w:rsid w:val="00866C97"/>
    <w:rsid w:val="00882D7C"/>
    <w:rsid w:val="008F70FB"/>
    <w:rsid w:val="0090012B"/>
    <w:rsid w:val="009017AE"/>
    <w:rsid w:val="009A7815"/>
    <w:rsid w:val="009C542D"/>
    <w:rsid w:val="00A01A18"/>
    <w:rsid w:val="00A95183"/>
    <w:rsid w:val="00AB4AF7"/>
    <w:rsid w:val="00AD7C4F"/>
    <w:rsid w:val="00B445F5"/>
    <w:rsid w:val="00B513D1"/>
    <w:rsid w:val="00BB4483"/>
    <w:rsid w:val="00BD40CB"/>
    <w:rsid w:val="00C362A2"/>
    <w:rsid w:val="00C54E9C"/>
    <w:rsid w:val="00C90121"/>
    <w:rsid w:val="00C96E73"/>
    <w:rsid w:val="00CA1FE8"/>
    <w:rsid w:val="00CA344F"/>
    <w:rsid w:val="00CA660C"/>
    <w:rsid w:val="00D020B3"/>
    <w:rsid w:val="00D161B5"/>
    <w:rsid w:val="00D1676E"/>
    <w:rsid w:val="00D21668"/>
    <w:rsid w:val="00D57DA9"/>
    <w:rsid w:val="00D763F8"/>
    <w:rsid w:val="00DC0246"/>
    <w:rsid w:val="00E44D9A"/>
    <w:rsid w:val="00E6518A"/>
    <w:rsid w:val="00EE501C"/>
    <w:rsid w:val="00F540AB"/>
    <w:rsid w:val="00F829C1"/>
    <w:rsid w:val="00F915BA"/>
    <w:rsid w:val="00F96B25"/>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664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BAD4651A73934A0DA7A3795D04725C31">
    <w:name w:val="BAD4651A73934A0DA7A3795D04725C31"/>
    <w:rsid w:val="0069664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76776D-0CFC-409D-82DD-48B62F63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64</Pages>
  <Words>25985</Words>
  <Characters>148118</Characters>
  <Application>Microsoft Office Word</Application>
  <DocSecurity>0</DocSecurity>
  <Lines>1234</Lines>
  <Paragraphs>347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173756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Magda I</cp:lastModifiedBy>
  <cp:revision>5</cp:revision>
  <cp:lastPrinted>2018-12-28T16:21:00Z</cp:lastPrinted>
  <dcterms:created xsi:type="dcterms:W3CDTF">2019-04-19T14:30:00Z</dcterms:created>
  <dcterms:modified xsi:type="dcterms:W3CDTF">2019-04-22T18:40:00Z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