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B8DA2C" w14:textId="77777777" w:rsidR="00496AF8" w:rsidRPr="001A6D05" w:rsidRDefault="007C1887" w:rsidP="001A196B">
      <w:pPr>
        <w:jc w:val="center"/>
        <w:rPr>
          <w:b/>
          <w:noProof/>
          <w:sz w:val="24"/>
          <w:szCs w:val="24"/>
        </w:rPr>
      </w:pPr>
      <w:r>
        <w:rPr>
          <w:b/>
          <w:smallCaps/>
          <w:noProof/>
          <w:sz w:val="24"/>
          <w:szCs w:val="24"/>
        </w:rPr>
        <w:t>N</w:t>
      </w:r>
      <w:r w:rsidR="002F20A7" w:rsidRPr="001A6D05">
        <w:rPr>
          <w:b/>
          <w:smallCaps/>
          <w:noProof/>
          <w:sz w:val="24"/>
          <w:szCs w:val="24"/>
        </w:rPr>
        <w:t>ational Quality Forum</w:t>
      </w:r>
      <w:r w:rsidR="002F20A7" w:rsidRPr="001A6D05">
        <w:rPr>
          <w:b/>
          <w:noProof/>
          <w:sz w:val="24"/>
          <w:szCs w:val="24"/>
        </w:rPr>
        <w:t>—</w:t>
      </w:r>
      <w:r w:rsidR="00496AF8" w:rsidRPr="001A6D05">
        <w:rPr>
          <w:b/>
          <w:noProof/>
          <w:sz w:val="24"/>
          <w:szCs w:val="24"/>
        </w:rPr>
        <w:t>Evidence (</w:t>
      </w:r>
      <w:r w:rsidR="00BE2295">
        <w:rPr>
          <w:b/>
          <w:noProof/>
          <w:sz w:val="24"/>
          <w:szCs w:val="24"/>
        </w:rPr>
        <w:t>subcrite</w:t>
      </w:r>
      <w:r w:rsidR="00617390">
        <w:rPr>
          <w:b/>
          <w:noProof/>
          <w:sz w:val="24"/>
          <w:szCs w:val="24"/>
        </w:rPr>
        <w:t>r</w:t>
      </w:r>
      <w:r w:rsidR="00BE2295">
        <w:rPr>
          <w:b/>
          <w:noProof/>
          <w:sz w:val="24"/>
          <w:szCs w:val="24"/>
        </w:rPr>
        <w:t xml:space="preserve">ion </w:t>
      </w:r>
      <w:r w:rsidR="00496AF8" w:rsidRPr="001A6D05">
        <w:rPr>
          <w:b/>
          <w:noProof/>
          <w:sz w:val="24"/>
          <w:szCs w:val="24"/>
        </w:rPr>
        <w:t>1</w:t>
      </w:r>
      <w:r w:rsidR="00B117D0">
        <w:rPr>
          <w:b/>
          <w:noProof/>
          <w:sz w:val="24"/>
          <w:szCs w:val="24"/>
        </w:rPr>
        <w:t>a</w:t>
      </w:r>
      <w:r w:rsidR="00496AF8" w:rsidRPr="001A6D05">
        <w:rPr>
          <w:b/>
          <w:noProof/>
          <w:sz w:val="24"/>
          <w:szCs w:val="24"/>
        </w:rPr>
        <w:t>)</w:t>
      </w:r>
      <w:r w:rsidR="002717C7" w:rsidRPr="001A6D05">
        <w:rPr>
          <w:b/>
          <w:noProof/>
          <w:sz w:val="24"/>
          <w:szCs w:val="24"/>
        </w:rPr>
        <w:t xml:space="preserve"> </w:t>
      </w:r>
    </w:p>
    <w:p w14:paraId="55B8DA2D" w14:textId="77777777" w:rsidR="00496AF8" w:rsidRPr="00496AF8" w:rsidRDefault="00496AF8" w:rsidP="002E2177">
      <w:pPr>
        <w:ind w:left="0" w:firstLine="0"/>
        <w:rPr>
          <w:noProof/>
        </w:rPr>
      </w:pPr>
    </w:p>
    <w:p w14:paraId="55B8DA2E" w14:textId="38EC1F79" w:rsidR="004F7D7E" w:rsidRPr="003B1CC5" w:rsidRDefault="004F7D7E" w:rsidP="002E2177">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1103681744"/>
          <w:placeholder>
            <w:docPart w:val="AB1B0578B87C4E9EA043F449B0E6989F"/>
          </w:placeholder>
        </w:sdtPr>
        <w:sdtEndPr>
          <w:rPr>
            <w:rStyle w:val="DefaultParagraphFont"/>
            <w:rFonts w:cstheme="minorHAnsi"/>
            <w:b/>
            <w:noProof/>
            <w:color w:val="auto"/>
          </w:rPr>
        </w:sdtEndPr>
        <w:sdtContent>
          <w:r w:rsidR="00495839">
            <w:rPr>
              <w:rStyle w:val="Style1"/>
            </w:rPr>
            <w:t>NQF #2633</w:t>
          </w:r>
        </w:sdtContent>
      </w:sdt>
    </w:p>
    <w:p w14:paraId="55B8DA2F" w14:textId="70AE21A2" w:rsidR="00496AF8" w:rsidRPr="003B1CC5" w:rsidRDefault="00496AF8" w:rsidP="002E2177">
      <w:pPr>
        <w:ind w:left="0" w:firstLine="0"/>
        <w:rPr>
          <w:noProof/>
        </w:rPr>
      </w:pPr>
      <w:r w:rsidRPr="003B1CC5">
        <w:rPr>
          <w:b/>
          <w:noProof/>
        </w:rPr>
        <w:t>Measure Title</w:t>
      </w:r>
      <w:r w:rsidRPr="003B1CC5">
        <w:rPr>
          <w:noProof/>
        </w:rPr>
        <w:t xml:space="preserve">:  </w:t>
      </w:r>
      <w:sdt>
        <w:sdtPr>
          <w:rPr>
            <w:rStyle w:val="Style1"/>
          </w:rPr>
          <w:id w:val="-882640736"/>
          <w:placeholder>
            <w:docPart w:val="61E91D4220034A64A72268AE9C6EBC95"/>
          </w:placeholder>
        </w:sdtPr>
        <w:sdtEndPr>
          <w:rPr>
            <w:rStyle w:val="DefaultParagraphFont"/>
            <w:noProof/>
            <w:color w:val="auto"/>
          </w:rPr>
        </w:sdtEndPr>
        <w:sdtContent>
          <w:sdt>
            <w:sdtPr>
              <w:rPr>
                <w:rStyle w:val="Style1"/>
              </w:rPr>
              <w:id w:val="41403928"/>
              <w:placeholder>
                <w:docPart w:val="FE70CAAC3DF144259590A923A45CFA47"/>
              </w:placeholder>
            </w:sdtPr>
            <w:sdtEndPr>
              <w:rPr>
                <w:rStyle w:val="DefaultParagraphFont"/>
                <w:noProof/>
                <w:color w:val="auto"/>
              </w:rPr>
            </w:sdtEndPr>
            <w:sdtContent>
              <w:r w:rsidR="00495839">
                <w:rPr>
                  <w:color w:val="0000FF"/>
                </w:rPr>
                <w:t>Inpatient Rehabilitation Facility (</w:t>
              </w:r>
              <w:r w:rsidR="00495839" w:rsidRPr="008B324D">
                <w:rPr>
                  <w:color w:val="0000FF"/>
                </w:rPr>
                <w:t>IRF</w:t>
              </w:r>
              <w:r w:rsidR="00495839">
                <w:rPr>
                  <w:color w:val="0000FF"/>
                </w:rPr>
                <w:t>)</w:t>
              </w:r>
              <w:r w:rsidR="00495839" w:rsidRPr="00DB44B8">
                <w:rPr>
                  <w:color w:val="0000FF"/>
                </w:rPr>
                <w:t xml:space="preserve"> Functional Outcome Measure: Change in Self-Care Score for Medical Rehabilitation Patients</w:t>
              </w:r>
            </w:sdtContent>
          </w:sdt>
        </w:sdtContent>
      </w:sdt>
    </w:p>
    <w:p w14:paraId="55B8DA30" w14:textId="3ED535AD" w:rsidR="00114848" w:rsidRPr="003B1CC5" w:rsidRDefault="00E97E59" w:rsidP="002E2177">
      <w:pPr>
        <w:ind w:left="0" w:firstLine="0"/>
        <w:rPr>
          <w:b/>
          <w:noProof/>
        </w:rPr>
      </w:pPr>
      <w:r w:rsidRPr="003B1CC5">
        <w:rPr>
          <w:i/>
          <w:noProof/>
        </w:rPr>
        <w:t xml:space="preserve"> </w:t>
      </w:r>
      <w:r w:rsidR="00024526" w:rsidRPr="003B1CC5">
        <w:rPr>
          <w:b/>
          <w:noProof/>
        </w:rPr>
        <w:t xml:space="preserve">IF </w:t>
      </w:r>
      <w:r w:rsidR="00176E60" w:rsidRPr="003B1CC5">
        <w:rPr>
          <w:b/>
          <w:noProof/>
        </w:rPr>
        <w:t xml:space="preserve">the measure is </w:t>
      </w:r>
      <w:r w:rsidR="00024526" w:rsidRPr="003B1CC5">
        <w:rPr>
          <w:b/>
          <w:noProof/>
        </w:rPr>
        <w:t xml:space="preserve">a component in </w:t>
      </w:r>
      <w:r w:rsidR="00176E60" w:rsidRPr="003B1CC5">
        <w:rPr>
          <w:b/>
          <w:noProof/>
        </w:rPr>
        <w:t>a composite performance measure, provide the</w:t>
      </w:r>
      <w:r w:rsidR="008B652E" w:rsidRPr="003B1CC5">
        <w:rPr>
          <w:b/>
          <w:noProof/>
        </w:rPr>
        <w:t xml:space="preserve"> </w:t>
      </w:r>
      <w:r w:rsidR="00114848" w:rsidRPr="003B1CC5">
        <w:rPr>
          <w:b/>
          <w:noProof/>
        </w:rPr>
        <w:t xml:space="preserve">title of the </w:t>
      </w:r>
      <w:r w:rsidRPr="003B1CC5">
        <w:rPr>
          <w:b/>
          <w:noProof/>
        </w:rPr>
        <w:t>Compo</w:t>
      </w:r>
      <w:r w:rsidR="00736E0F" w:rsidRPr="003B1CC5">
        <w:rPr>
          <w:b/>
          <w:noProof/>
        </w:rPr>
        <w:t>site</w:t>
      </w:r>
      <w:r w:rsidRPr="003B1CC5">
        <w:rPr>
          <w:b/>
          <w:noProof/>
        </w:rPr>
        <w:t xml:space="preserve"> Measure </w:t>
      </w:r>
      <w:r w:rsidR="00114848" w:rsidRPr="003B1CC5">
        <w:rPr>
          <w:b/>
          <w:noProof/>
        </w:rPr>
        <w:t>here</w:t>
      </w:r>
      <w:r w:rsidRPr="003B1CC5">
        <w:rPr>
          <w:b/>
          <w:noProof/>
        </w:rPr>
        <w:t>:</w:t>
      </w:r>
      <w:r w:rsidRPr="003B1CC5">
        <w:rPr>
          <w:noProof/>
        </w:rPr>
        <w:t xml:space="preserve"> </w:t>
      </w:r>
      <w:sdt>
        <w:sdtPr>
          <w:rPr>
            <w:rStyle w:val="Style1"/>
          </w:rPr>
          <w:id w:val="474719354"/>
          <w:placeholder>
            <w:docPart w:val="8924E7CB4D5C4CC4905BEA5FE80343E5"/>
          </w:placeholder>
        </w:sdtPr>
        <w:sdtEndPr>
          <w:rPr>
            <w:rStyle w:val="DefaultParagraphFont"/>
            <w:noProof/>
            <w:color w:val="auto"/>
          </w:rPr>
        </w:sdtEndPr>
        <w:sdtContent>
          <w:r w:rsidR="00495839">
            <w:rPr>
              <w:rStyle w:val="Style1"/>
            </w:rPr>
            <w:t>Not applicable</w:t>
          </w:r>
        </w:sdtContent>
      </w:sdt>
    </w:p>
    <w:p w14:paraId="55B8DA31" w14:textId="27A45B89" w:rsidR="00496AF8" w:rsidRPr="003B1CC5" w:rsidRDefault="00496AF8" w:rsidP="002E2177">
      <w:pPr>
        <w:ind w:left="0" w:firstLine="0"/>
        <w:rPr>
          <w:rStyle w:val="Style2"/>
        </w:rPr>
      </w:pPr>
      <w:r w:rsidRPr="003B1CC5">
        <w:rPr>
          <w:b/>
          <w:noProof/>
        </w:rPr>
        <w:t>Date of Submission</w:t>
      </w:r>
      <w:r w:rsidRPr="003B1CC5">
        <w:rPr>
          <w:noProof/>
        </w:rPr>
        <w:t xml:space="preserve">:  </w:t>
      </w:r>
      <w:sdt>
        <w:sdtPr>
          <w:rPr>
            <w:rStyle w:val="Style2"/>
          </w:rPr>
          <w:id w:val="-1689821638"/>
          <w:placeholder>
            <w:docPart w:val="6A100845774148B09AFD987423307E3B"/>
          </w:placeholder>
          <w:date w:fullDate="2019-04-09T00:00:00Z">
            <w:dateFormat w:val="M/d/yyyy"/>
            <w:lid w:val="en-US"/>
            <w:storeMappedDataAs w:val="dateTime"/>
            <w:calendar w:val="gregorian"/>
          </w:date>
        </w:sdtPr>
        <w:sdtEndPr>
          <w:rPr>
            <w:rStyle w:val="DefaultParagraphFont"/>
            <w:noProof/>
            <w:color w:val="auto"/>
            <w:u w:val="none"/>
          </w:rPr>
        </w:sdtEndPr>
        <w:sdtContent>
          <w:r w:rsidR="002D2ADD">
            <w:rPr>
              <w:rStyle w:val="Style2"/>
            </w:rPr>
            <w:t>4/9/2019</w:t>
          </w:r>
        </w:sdtContent>
      </w:sdt>
    </w:p>
    <w:p w14:paraId="55B8DA32" w14:textId="77777777" w:rsidR="00176E60" w:rsidRPr="003B1CC5" w:rsidRDefault="00176E60" w:rsidP="002E2177">
      <w:pPr>
        <w:ind w:left="0" w:firstLine="0"/>
        <w:rPr>
          <w:rStyle w:val="Style2"/>
        </w:rPr>
      </w:pPr>
    </w:p>
    <w:tbl>
      <w:tblPr>
        <w:tblStyle w:val="TableGrid"/>
        <w:tblW w:w="5500" w:type="pct"/>
        <w:jc w:val="center"/>
        <w:tblLook w:val="04A0" w:firstRow="1" w:lastRow="0" w:firstColumn="1" w:lastColumn="0" w:noHBand="0" w:noVBand="1"/>
      </w:tblPr>
      <w:tblGrid>
        <w:gridCol w:w="10285"/>
      </w:tblGrid>
      <w:tr w:rsidR="00496AF8" w:rsidRPr="003B1CC5" w14:paraId="55B8DA3C" w14:textId="77777777" w:rsidTr="00176E60">
        <w:trPr>
          <w:jc w:val="center"/>
        </w:trPr>
        <w:tc>
          <w:tcPr>
            <w:tcW w:w="9576" w:type="dxa"/>
          </w:tcPr>
          <w:p w14:paraId="55B8DA33" w14:textId="77777777" w:rsidR="00114848" w:rsidRPr="003B1CC5" w:rsidRDefault="00114848" w:rsidP="00114848">
            <w:pPr>
              <w:pStyle w:val="CommentText"/>
              <w:ind w:left="0" w:firstLine="0"/>
              <w:rPr>
                <w:b/>
                <w:i/>
                <w:sz w:val="22"/>
                <w:szCs w:val="22"/>
              </w:rPr>
            </w:pPr>
            <w:r w:rsidRPr="003B1CC5">
              <w:rPr>
                <w:rFonts w:cstheme="minorHAnsi"/>
                <w:b/>
                <w:noProof/>
                <w:sz w:val="22"/>
                <w:szCs w:val="22"/>
              </w:rPr>
              <w:t>Instructions</w:t>
            </w:r>
          </w:p>
          <w:p w14:paraId="55B8DA34" w14:textId="7155EBC7" w:rsidR="000F4A7F" w:rsidRDefault="000F4A7F" w:rsidP="00024526">
            <w:pPr>
              <w:pStyle w:val="CommentText"/>
              <w:numPr>
                <w:ilvl w:val="0"/>
                <w:numId w:val="5"/>
              </w:numPr>
              <w:rPr>
                <w:i/>
                <w:sz w:val="22"/>
                <w:szCs w:val="22"/>
              </w:rPr>
            </w:pPr>
            <w:r>
              <w:rPr>
                <w:i/>
                <w:sz w:val="22"/>
                <w:szCs w:val="22"/>
              </w:rPr>
              <w:t xml:space="preserve">Complete 1a.1 </w:t>
            </w:r>
            <w:r w:rsidR="004922E4">
              <w:rPr>
                <w:i/>
                <w:sz w:val="22"/>
                <w:szCs w:val="22"/>
              </w:rPr>
              <w:t>and 1a.</w:t>
            </w:r>
            <w:r>
              <w:rPr>
                <w:i/>
                <w:sz w:val="22"/>
                <w:szCs w:val="22"/>
              </w:rPr>
              <w:t xml:space="preserve">2 for all measures. </w:t>
            </w:r>
            <w:r w:rsidR="004922E4">
              <w:rPr>
                <w:i/>
                <w:sz w:val="22"/>
                <w:szCs w:val="22"/>
              </w:rPr>
              <w:t>If instrument-based measure, complete 1a.3.</w:t>
            </w:r>
          </w:p>
          <w:p w14:paraId="55B8DA35" w14:textId="77777777" w:rsidR="000F4A7F" w:rsidRDefault="000F4A7F" w:rsidP="00024526">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55B8DA36" w14:textId="77777777" w:rsidR="00024526" w:rsidRPr="003B1CC5" w:rsidRDefault="00024526" w:rsidP="00024526">
            <w:pPr>
              <w:pStyle w:val="CommentText"/>
              <w:numPr>
                <w:ilvl w:val="0"/>
                <w:numId w:val="5"/>
              </w:numPr>
              <w:rPr>
                <w:i/>
                <w:sz w:val="22"/>
                <w:szCs w:val="22"/>
              </w:rPr>
            </w:pPr>
            <w:r w:rsidRPr="003B1CC5">
              <w:rPr>
                <w:i/>
                <w:sz w:val="22"/>
                <w:szCs w:val="22"/>
              </w:rPr>
              <w:t xml:space="preserve">For composite performance measures:  </w:t>
            </w:r>
          </w:p>
          <w:p w14:paraId="55B8DA37"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55B8DA38"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55B8DA39" w14:textId="77777777" w:rsidR="002F20A7" w:rsidRPr="003B1CC5" w:rsidRDefault="008B652E" w:rsidP="00024526">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r w:rsidR="00A13867" w:rsidRPr="003B1CC5">
              <w:rPr>
                <w:rFonts w:cstheme="minorHAnsi"/>
              </w:rPr>
              <w:t>sub</w:t>
            </w:r>
            <w:r w:rsidRPr="003B1CC5">
              <w:rPr>
                <w:rFonts w:cstheme="minorHAnsi"/>
              </w:rPr>
              <w:t>criterion (1a)</w:t>
            </w:r>
            <w:r w:rsidRPr="003B1CC5">
              <w:t xml:space="preserve"> must be in this form.  An appendix of </w:t>
            </w:r>
            <w:r w:rsidRPr="003B1CC5">
              <w:rPr>
                <w:i/>
              </w:rPr>
              <w:t>supplemental</w:t>
            </w:r>
            <w:r w:rsidRPr="003B1CC5">
              <w:t xml:space="preserve"> materials may be submitted, but there is no guarantee it will be reviewed.</w:t>
            </w:r>
          </w:p>
          <w:p w14:paraId="55B8DA3A" w14:textId="77777777" w:rsidR="0015535B" w:rsidRPr="003B1CC5" w:rsidRDefault="0015535B" w:rsidP="00024526">
            <w:pPr>
              <w:pStyle w:val="ListParagraph"/>
              <w:numPr>
                <w:ilvl w:val="0"/>
                <w:numId w:val="5"/>
              </w:numPr>
              <w:spacing w:after="0" w:line="240" w:lineRule="auto"/>
            </w:pPr>
            <w:r w:rsidRPr="003B1CC5">
              <w:t>If yo</w:t>
            </w:r>
            <w:r w:rsidR="008B652E" w:rsidRPr="003B1CC5">
              <w:t>u are unable to check a</w:t>
            </w:r>
            <w:r w:rsidR="00114848" w:rsidRPr="003B1CC5">
              <w:t xml:space="preserve"> box, please highlight or </w:t>
            </w:r>
            <w:r w:rsidRPr="003B1CC5">
              <w:t>shade the box for your response.</w:t>
            </w:r>
          </w:p>
          <w:p w14:paraId="55B8DA3B" w14:textId="77777777" w:rsidR="00496AF8" w:rsidRPr="003B1CC5" w:rsidRDefault="00457E46" w:rsidP="0014347E">
            <w:pPr>
              <w:pStyle w:val="ListParagraph"/>
              <w:numPr>
                <w:ilvl w:val="0"/>
                <w:numId w:val="5"/>
              </w:numPr>
              <w:spacing w:after="0" w:line="240" w:lineRule="auto"/>
              <w:rPr>
                <w:u w:val="single"/>
              </w:rPr>
            </w:pPr>
            <w:r w:rsidRPr="003B1CC5">
              <w:t xml:space="preserve">Contact NQF staff regarding questions. Check for resources at </w:t>
            </w:r>
            <w:hyperlink r:id="rId12" w:history="1">
              <w:r w:rsidRPr="003B1CC5">
                <w:rPr>
                  <w:rStyle w:val="Hyperlink"/>
                </w:rPr>
                <w:t>Submitting Standards webpage</w:t>
              </w:r>
            </w:hyperlink>
            <w:r w:rsidRPr="003B1CC5">
              <w:t>.</w:t>
            </w:r>
          </w:p>
        </w:tc>
      </w:tr>
    </w:tbl>
    <w:p w14:paraId="55B8DA3D" w14:textId="77777777" w:rsidR="00176E60" w:rsidRPr="003B1CC5" w:rsidRDefault="00176E60" w:rsidP="00765156">
      <w:pPr>
        <w:ind w:left="0" w:firstLine="0"/>
      </w:pPr>
    </w:p>
    <w:tbl>
      <w:tblPr>
        <w:tblStyle w:val="TableGrid"/>
        <w:tblW w:w="5500" w:type="pct"/>
        <w:jc w:val="center"/>
        <w:tblLook w:val="04A0" w:firstRow="1" w:lastRow="0" w:firstColumn="1" w:lastColumn="0" w:noHBand="0" w:noVBand="1"/>
      </w:tblPr>
      <w:tblGrid>
        <w:gridCol w:w="10285"/>
      </w:tblGrid>
      <w:tr w:rsidR="00176E60" w:rsidRPr="003B1CC5" w14:paraId="55B8DA4D" w14:textId="77777777" w:rsidTr="00F81FE3">
        <w:trPr>
          <w:jc w:val="center"/>
        </w:trPr>
        <w:tc>
          <w:tcPr>
            <w:tcW w:w="10534" w:type="dxa"/>
          </w:tcPr>
          <w:p w14:paraId="55B8DA3E" w14:textId="77777777" w:rsidR="008B652E" w:rsidRPr="003B1CC5" w:rsidRDefault="007573F0" w:rsidP="008B652E">
            <w:pPr>
              <w:ind w:left="0" w:firstLine="0"/>
              <w:rPr>
                <w:sz w:val="20"/>
                <w:szCs w:val="20"/>
              </w:rPr>
            </w:pPr>
            <w:r w:rsidRPr="003B1CC5">
              <w:rPr>
                <w:b/>
                <w:bCs/>
                <w:sz w:val="20"/>
                <w:szCs w:val="20"/>
                <w:u w:val="single"/>
              </w:rPr>
              <w:t>Note</w:t>
            </w:r>
            <w:r w:rsidRPr="003B1CC5">
              <w:rPr>
                <w:b/>
                <w:bCs/>
                <w:sz w:val="20"/>
                <w:szCs w:val="20"/>
              </w:rPr>
              <w:t xml:space="preserve">: </w:t>
            </w:r>
            <w:r w:rsidR="008B652E" w:rsidRPr="003B1CC5">
              <w:rPr>
                <w:b/>
                <w:bCs/>
                <w:sz w:val="20"/>
                <w:szCs w:val="20"/>
              </w:rPr>
              <w:t>The information provided in this form is intended to aid the St</w:t>
            </w:r>
            <w:r w:rsidR="00676BD4">
              <w:rPr>
                <w:b/>
                <w:bCs/>
                <w:sz w:val="20"/>
                <w:szCs w:val="20"/>
              </w:rPr>
              <w:t>and</w:t>
            </w:r>
            <w:r w:rsidR="008B652E" w:rsidRPr="003B1CC5">
              <w:rPr>
                <w:b/>
                <w:bCs/>
                <w:sz w:val="20"/>
                <w:szCs w:val="20"/>
              </w:rPr>
              <w:t>ing Committee and other stakeholders in understanding to what degree the evidence for this measure meets NQF’s evaluation criteria.</w:t>
            </w:r>
          </w:p>
          <w:p w14:paraId="55B8DA3F" w14:textId="77777777" w:rsidR="008659ED" w:rsidRPr="003B1CC5" w:rsidRDefault="008659ED" w:rsidP="008659ED">
            <w:pPr>
              <w:ind w:left="90" w:hanging="90"/>
              <w:rPr>
                <w:sz w:val="20"/>
                <w:szCs w:val="20"/>
              </w:rPr>
            </w:pPr>
            <w:bookmarkStart w:id="0" w:name="Note2"/>
            <w:bookmarkEnd w:id="0"/>
          </w:p>
          <w:p w14:paraId="55B8DA40" w14:textId="77777777" w:rsidR="008659ED" w:rsidRPr="003B1CC5" w:rsidRDefault="008659ED" w:rsidP="008659ED">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55B8DA41" w14:textId="77777777" w:rsidR="008659ED" w:rsidRPr="003B1CC5" w:rsidRDefault="008659ED" w:rsidP="008659ED">
            <w:pPr>
              <w:rPr>
                <w:rFonts w:eastAsia="Calibri" w:cs="Calibri"/>
                <w:sz w:val="20"/>
                <w:szCs w:val="20"/>
              </w:rPr>
            </w:pPr>
            <w:r w:rsidRPr="003B1CC5">
              <w:rPr>
                <w:rFonts w:eastAsia="Calibri" w:cs="Calibri"/>
                <w:sz w:val="20"/>
                <w:szCs w:val="20"/>
              </w:rPr>
              <w:t xml:space="preserve">The measure focus is evidence-based, demonstrated as follows: </w:t>
            </w:r>
          </w:p>
          <w:p w14:paraId="55B8DA42" w14:textId="6C3402AF" w:rsidR="008659ED" w:rsidRPr="0061327A" w:rsidRDefault="00B35C5F" w:rsidP="00B35C5F">
            <w:pPr>
              <w:numPr>
                <w:ilvl w:val="0"/>
                <w:numId w:val="7"/>
              </w:numPr>
              <w:rPr>
                <w:rFonts w:eastAsia="Calibri" w:cs="Calibri"/>
                <w:sz w:val="20"/>
                <w:szCs w:val="20"/>
              </w:rPr>
            </w:pPr>
            <w:r w:rsidRPr="00B35C5F">
              <w:rPr>
                <w:rFonts w:eastAsia="Calibri" w:cs="Calibri"/>
                <w:sz w:val="20"/>
                <w:szCs w:val="20"/>
                <w:u w:val="single"/>
              </w:rPr>
              <w:t>O</w:t>
            </w:r>
            <w:r w:rsidR="008659ED" w:rsidRPr="00B35C5F">
              <w:rPr>
                <w:rFonts w:eastAsia="Calibri" w:cs="Calibri"/>
                <w:sz w:val="20"/>
                <w:szCs w:val="20"/>
                <w:u w:val="single"/>
              </w:rPr>
              <w:t>utcome</w:t>
            </w:r>
            <w:r w:rsidR="00CB1E41" w:rsidRPr="003B1CC5">
              <w:rPr>
                <w:rFonts w:eastAsia="Calibri" w:cs="Calibri"/>
                <w:color w:val="0000FF"/>
                <w:sz w:val="20"/>
                <w:szCs w:val="20"/>
              </w:rPr>
              <w:t xml:space="preserve">: </w:t>
            </w:r>
            <w:hyperlink w:anchor="Note3" w:history="1">
              <w:r w:rsidR="00CB1E41" w:rsidRPr="003B1CC5">
                <w:rPr>
                  <w:rStyle w:val="Hyperlink"/>
                  <w:rFonts w:eastAsia="Calibri" w:cs="Calibri"/>
                  <w:b/>
                  <w:sz w:val="20"/>
                  <w:szCs w:val="20"/>
                  <w:vertAlign w:val="superscript"/>
                </w:rPr>
                <w:t>3</w:t>
              </w:r>
            </w:hyperlink>
            <w:r w:rsidR="00CB1E41"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55B8DA43"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55B8DA44"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Process</w:t>
            </w:r>
            <w:r w:rsidRPr="003B1CC5">
              <w:rPr>
                <w:rFonts w:eastAsia="Calibri" w:cs="Calibri"/>
                <w:sz w:val="20"/>
                <w:szCs w:val="20"/>
              </w:rPr>
              <w:t xml:space="preserve">: </w:t>
            </w:r>
            <w:hyperlink w:anchor="Note5" w:history="1">
              <w:r w:rsidRPr="003B1CC5">
                <w:rPr>
                  <w:rStyle w:val="Hyperlink"/>
                  <w:rFonts w:eastAsia="Calibri" w:cs="Calibri"/>
                  <w:b/>
                  <w:sz w:val="20"/>
                  <w:szCs w:val="20"/>
                  <w:vertAlign w:val="superscript"/>
                </w:rPr>
                <w:t>5</w:t>
              </w:r>
            </w:hyperlink>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Cs/>
                <w:sz w:val="20"/>
                <w:szCs w:val="20"/>
              </w:rPr>
              <w:t xml:space="preserve"> that the measured process leads to a desired health outcome.</w:t>
            </w:r>
          </w:p>
          <w:p w14:paraId="55B8DA45" w14:textId="77777777" w:rsidR="008659ED" w:rsidRPr="003B1CC5" w:rsidRDefault="008659ED" w:rsidP="00CB1E41">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56E2DE06" w14:textId="27691AAB" w:rsidR="00B35C5F" w:rsidRPr="00EE6069" w:rsidRDefault="008659ED"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00E536D3" w:rsidRPr="003B1CC5">
              <w:rPr>
                <w:rFonts w:eastAsia="Calibri" w:cs="Calibri"/>
                <w:sz w:val="20"/>
                <w:szCs w:val="20"/>
              </w:rPr>
              <w:t xml:space="preserve">: </w:t>
            </w:r>
            <w:hyperlink w:anchor="Note6" w:history="1">
              <w:r w:rsidR="00E536D3" w:rsidRPr="003B1CC5">
                <w:rPr>
                  <w:rStyle w:val="Hyperlink"/>
                  <w:rFonts w:eastAsia="Calibri" w:cs="Calibri"/>
                  <w:b/>
                  <w:sz w:val="20"/>
                  <w:szCs w:val="20"/>
                  <w:vertAlign w:val="superscript"/>
                </w:rPr>
                <w:t>6</w:t>
              </w:r>
            </w:hyperlink>
            <w:r w:rsidR="00E536D3" w:rsidRPr="003B1CC5">
              <w:rPr>
                <w:rFonts w:eastAsia="Calibri" w:cs="Calibri"/>
                <w:sz w:val="20"/>
                <w:szCs w:val="20"/>
              </w:rPr>
              <w:t xml:space="preserve"> </w:t>
            </w:r>
            <w:r w:rsidRPr="003B1CC5">
              <w:rPr>
                <w:rFonts w:eastAsia="Calibri" w:cs="Calibri"/>
                <w:sz w:val="20"/>
                <w:szCs w:val="20"/>
              </w:rPr>
              <w:t>evidence not required for the resource use component.</w:t>
            </w:r>
            <w:r w:rsidR="00B35C5F" w:rsidRPr="0039109D">
              <w:rPr>
                <w:rFonts w:ascii="Calibri" w:hAnsi="Calibri" w:cstheme="minorHAnsi"/>
                <w:bCs/>
                <w:iCs/>
                <w:sz w:val="20"/>
                <w:szCs w:val="20"/>
              </w:rPr>
              <w:t xml:space="preserve"> </w:t>
            </w:r>
          </w:p>
          <w:p w14:paraId="586C6545" w14:textId="2A0699B5" w:rsidR="00B35C5F" w:rsidRPr="00EE6069" w:rsidRDefault="00B35C5F"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55B8DA46" w14:textId="429C6E55" w:rsidR="008659ED" w:rsidRPr="003B1CC5" w:rsidRDefault="00B35C5F" w:rsidP="00B35C5F">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55B8DA47" w14:textId="77777777" w:rsidR="00CB1E41" w:rsidRPr="003B1CC5" w:rsidRDefault="00CB1E41" w:rsidP="008659ED">
            <w:pPr>
              <w:autoSpaceDE w:val="0"/>
              <w:autoSpaceDN w:val="0"/>
              <w:adjustRightInd w:val="0"/>
              <w:rPr>
                <w:rFonts w:eastAsia="Calibri" w:cs="Calibri"/>
                <w:b/>
                <w:bCs/>
                <w:iCs/>
                <w:sz w:val="18"/>
              </w:rPr>
            </w:pPr>
          </w:p>
          <w:p w14:paraId="55B8DA48" w14:textId="77777777" w:rsidR="008659ED" w:rsidRPr="003B1CC5" w:rsidRDefault="008659ED" w:rsidP="008659ED">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55B8DA49" w14:textId="77777777" w:rsidR="008659ED" w:rsidRPr="003B1CC5" w:rsidRDefault="008659ED" w:rsidP="00CB1E41">
            <w:pPr>
              <w:ind w:left="0" w:firstLine="0"/>
              <w:rPr>
                <w:rFonts w:eastAsia="Calibri" w:cs="Calibri"/>
                <w:sz w:val="20"/>
                <w:szCs w:val="20"/>
              </w:rPr>
            </w:pPr>
            <w:bookmarkStart w:id="1" w:name="Note3"/>
            <w:bookmarkEnd w:id="1"/>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55B8DA4A" w14:textId="17E98CB2" w:rsidR="008659ED" w:rsidRPr="003B1CC5" w:rsidRDefault="008659ED" w:rsidP="00CB1E41">
            <w:pPr>
              <w:ind w:left="0" w:firstLine="0"/>
              <w:rPr>
                <w:rFonts w:eastAsia="Calibri" w:cs="Calibri"/>
                <w:sz w:val="20"/>
                <w:szCs w:val="20"/>
              </w:rPr>
            </w:pPr>
            <w:bookmarkStart w:id="2" w:name="Note4"/>
            <w:bookmarkEnd w:id="2"/>
            <w:r w:rsidRPr="003B1CC5">
              <w:rPr>
                <w:rFonts w:eastAsia="Calibri" w:cs="Calibri"/>
                <w:b/>
                <w:sz w:val="20"/>
                <w:szCs w:val="20"/>
              </w:rPr>
              <w:t>4.</w:t>
            </w:r>
            <w:r w:rsidRPr="003B1CC5">
              <w:rPr>
                <w:rFonts w:eastAsia="Calibri" w:cs="Calibri"/>
                <w:sz w:val="20"/>
                <w:szCs w:val="20"/>
              </w:rPr>
              <w:t xml:space="preserve"> The preferred systems for grading the evidence are </w:t>
            </w:r>
            <w:r w:rsidR="00B35C5F">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13" w:history="1">
              <w:r w:rsidRPr="003B1CC5">
                <w:rPr>
                  <w:rFonts w:eastAsia="Calibri" w:cs="Calibri"/>
                  <w:color w:val="0000FF"/>
                  <w:sz w:val="20"/>
                  <w:szCs w:val="20"/>
                  <w:u w:val="single"/>
                </w:rPr>
                <w:t>(GRADE) guidelines</w:t>
              </w:r>
            </w:hyperlink>
            <w:r w:rsidR="00B35C5F">
              <w:rPr>
                <w:rFonts w:eastAsia="Calibri" w:cs="Calibri"/>
                <w:sz w:val="20"/>
                <w:szCs w:val="20"/>
              </w:rPr>
              <w:t xml:space="preserve"> and/or modified GRADE.</w:t>
            </w:r>
          </w:p>
          <w:p w14:paraId="55B8DA4B" w14:textId="77777777" w:rsidR="008659ED" w:rsidRPr="003B1CC5" w:rsidRDefault="008659ED" w:rsidP="00CB1E41">
            <w:pPr>
              <w:ind w:left="0" w:firstLine="0"/>
              <w:rPr>
                <w:rFonts w:eastAsia="Calibri" w:cs="Calibri"/>
                <w:sz w:val="20"/>
                <w:szCs w:val="20"/>
              </w:rPr>
            </w:pPr>
            <w:bookmarkStart w:id="3" w:name="Note5"/>
            <w:bookmarkEnd w:id="3"/>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w:t>
            </w:r>
            <w:r w:rsidRPr="003B1CC5">
              <w:rPr>
                <w:rFonts w:eastAsia="Calibri" w:cs="Calibri"/>
                <w:sz w:val="20"/>
                <w:szCs w:val="20"/>
              </w:rPr>
              <w:lastRenderedPageBreak/>
              <w:t>step in such a multistep process, the step with the strongest evidence for the link to the desired outcome should be selected as the focus of measurement. Note: A measure focused only on collecting PROM data is not a PRO-PM.</w:t>
            </w:r>
          </w:p>
          <w:p w14:paraId="55B8DA4C" w14:textId="77777777" w:rsidR="008659ED" w:rsidRPr="003B1CC5" w:rsidRDefault="008659ED" w:rsidP="00CB1E41">
            <w:pPr>
              <w:autoSpaceDE w:val="0"/>
              <w:autoSpaceDN w:val="0"/>
              <w:adjustRightInd w:val="0"/>
              <w:ind w:left="0" w:firstLine="0"/>
              <w:contextualSpacing/>
            </w:pPr>
            <w:bookmarkStart w:id="4" w:name="Note6"/>
            <w:bookmarkEnd w:id="4"/>
            <w:r w:rsidRPr="003B1CC5">
              <w:rPr>
                <w:rFonts w:eastAsia="Calibri" w:cs="Calibri"/>
                <w:b/>
                <w:sz w:val="20"/>
                <w:szCs w:val="20"/>
              </w:rPr>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14"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15"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55B8DA4E" w14:textId="77777777" w:rsidR="00F81FE3" w:rsidRDefault="00F81FE3" w:rsidP="002E2177">
      <w:pPr>
        <w:ind w:left="0" w:firstLine="0"/>
        <w:rPr>
          <w:b/>
          <w:bCs/>
          <w:color w:val="0000FF"/>
        </w:rPr>
      </w:pPr>
    </w:p>
    <w:p w14:paraId="55B8DA4F" w14:textId="77777777" w:rsidR="00A67EB1" w:rsidRPr="003B1CC5" w:rsidRDefault="00496AF8" w:rsidP="002E2177">
      <w:pPr>
        <w:ind w:left="0" w:firstLine="0"/>
        <w:rPr>
          <w:bCs/>
          <w:i/>
        </w:rPr>
      </w:pPr>
      <w:r w:rsidRPr="003B1CC5">
        <w:rPr>
          <w:b/>
          <w:bCs/>
          <w:color w:val="0000FF"/>
        </w:rPr>
        <w:t>1</w:t>
      </w:r>
      <w:r w:rsidR="00773485" w:rsidRPr="003B1CC5">
        <w:rPr>
          <w:b/>
          <w:bCs/>
          <w:color w:val="0000FF"/>
        </w:rPr>
        <w:t>a</w:t>
      </w:r>
      <w:r w:rsidRPr="003B1CC5">
        <w:rPr>
          <w:b/>
          <w:bCs/>
          <w:color w:val="0000FF"/>
        </w:rPr>
        <w:t>.1.</w:t>
      </w:r>
      <w:r w:rsidRPr="008F6F51">
        <w:rPr>
          <w:b/>
          <w:bCs/>
        </w:rPr>
        <w:t>This is a measure</w:t>
      </w:r>
      <w:r w:rsidRPr="003B1CC5">
        <w:rPr>
          <w:b/>
          <w:bCs/>
        </w:rPr>
        <w:t xml:space="preserve"> of</w:t>
      </w:r>
      <w:r w:rsidRPr="003B1CC5">
        <w:rPr>
          <w:bCs/>
        </w:rPr>
        <w:t>:</w:t>
      </w:r>
      <w:r w:rsidR="00A67EB1" w:rsidRPr="003B1CC5">
        <w:rPr>
          <w:bCs/>
        </w:rPr>
        <w:t xml:space="preserve"> (</w:t>
      </w:r>
      <w:r w:rsidR="00A67EB1" w:rsidRPr="003B1CC5">
        <w:rPr>
          <w:bCs/>
          <w:i/>
        </w:rPr>
        <w:t xml:space="preserve">should be consistent with type </w:t>
      </w:r>
      <w:r w:rsidR="00CB1E41" w:rsidRPr="003B1CC5">
        <w:rPr>
          <w:bCs/>
          <w:i/>
        </w:rPr>
        <w:t xml:space="preserve">of measure </w:t>
      </w:r>
      <w:r w:rsidR="00A67EB1" w:rsidRPr="003B1CC5">
        <w:rPr>
          <w:bCs/>
          <w:i/>
        </w:rPr>
        <w:t>entered in De.1</w:t>
      </w:r>
      <w:r w:rsidR="00A67EB1" w:rsidRPr="003B1CC5">
        <w:rPr>
          <w:bCs/>
        </w:rPr>
        <w:t xml:space="preserve">) </w:t>
      </w:r>
    </w:p>
    <w:p w14:paraId="55B8DA50" w14:textId="77777777" w:rsidR="00496AF8" w:rsidRPr="003B1CC5" w:rsidRDefault="00E41417" w:rsidP="00015986">
      <w:pPr>
        <w:ind w:left="432" w:hanging="432"/>
        <w:rPr>
          <w:rFonts w:cs="Calibri"/>
          <w:bCs/>
        </w:rPr>
      </w:pPr>
      <w:r w:rsidRPr="003B1CC5">
        <w:rPr>
          <w:rFonts w:cs="Calibri"/>
          <w:bCs/>
        </w:rPr>
        <w:t>O</w:t>
      </w:r>
      <w:r w:rsidR="00496AF8" w:rsidRPr="003B1CC5">
        <w:rPr>
          <w:rFonts w:cs="Calibri"/>
          <w:bCs/>
        </w:rPr>
        <w:t>utcome</w:t>
      </w:r>
    </w:p>
    <w:p w14:paraId="55B8DA51" w14:textId="5A0917DD" w:rsidR="00496AF8" w:rsidRPr="003B1CC5" w:rsidRDefault="00B070F9" w:rsidP="00A9011D">
      <w:pPr>
        <w:ind w:left="432" w:hanging="432"/>
        <w:rPr>
          <w:rStyle w:val="Style2"/>
          <w:rFonts w:cstheme="minorHAnsi"/>
        </w:rPr>
      </w:pPr>
      <w:sdt>
        <w:sdtPr>
          <w:rPr>
            <w:bCs/>
            <w:color w:val="0000FF"/>
            <w:u w:val="single"/>
          </w:rPr>
          <w:id w:val="1077707841"/>
          <w14:checkbox>
            <w14:checked w14:val="1"/>
            <w14:checkedState w14:val="2612" w14:font="MS Gothic"/>
            <w14:uncheckedState w14:val="2610" w14:font="MS Gothic"/>
          </w14:checkbox>
        </w:sdtPr>
        <w:sdtEndPr/>
        <w:sdtContent>
          <w:r w:rsidR="00495839">
            <w:rPr>
              <w:rFonts w:ascii="MS Gothic" w:eastAsia="MS Gothic" w:hAnsi="MS Gothic" w:hint="eastAsia"/>
              <w:bCs/>
              <w:color w:val="0000FF"/>
              <w:u w:val="single"/>
            </w:rPr>
            <w:t>☒</w:t>
          </w:r>
        </w:sdtContent>
      </w:sdt>
      <w:r w:rsidR="0015535B" w:rsidRPr="003B1CC5">
        <w:rPr>
          <w:bCs/>
          <w:color w:val="0000FF"/>
        </w:rPr>
        <w:t xml:space="preserve"> </w:t>
      </w:r>
      <w:r w:rsidR="00CC0F87">
        <w:rPr>
          <w:bCs/>
          <w:color w:val="0000FF"/>
        </w:rPr>
        <w:t>O</w:t>
      </w:r>
      <w:r w:rsidR="00BE6373" w:rsidRPr="003B1CC5">
        <w:rPr>
          <w:bCs/>
        </w:rPr>
        <w:t>utc</w:t>
      </w:r>
      <w:r w:rsidR="00496AF8" w:rsidRPr="003B1CC5">
        <w:rPr>
          <w:bCs/>
        </w:rPr>
        <w:t>ome</w:t>
      </w:r>
      <w:r w:rsidR="00B117D0" w:rsidRPr="003B1CC5">
        <w:rPr>
          <w:bCs/>
        </w:rPr>
        <w:t xml:space="preserve">: </w:t>
      </w:r>
      <w:sdt>
        <w:sdtPr>
          <w:rPr>
            <w:rStyle w:val="Style2"/>
            <w:rFonts w:cstheme="minorHAnsi"/>
          </w:rPr>
          <w:id w:val="-768232283"/>
        </w:sdtPr>
        <w:sdtEndPr>
          <w:rPr>
            <w:rStyle w:val="DefaultParagraphFont"/>
            <w:rFonts w:cstheme="minorBidi"/>
            <w:color w:val="auto"/>
            <w:u w:val="none"/>
          </w:rPr>
        </w:sdtEndPr>
        <w:sdtContent>
          <w:r w:rsidR="007575EC">
            <w:rPr>
              <w:rStyle w:val="Style2"/>
              <w:rFonts w:cstheme="minorHAnsi"/>
            </w:rPr>
            <w:t>Change in Function: Self-Care</w:t>
          </w:r>
        </w:sdtContent>
      </w:sdt>
    </w:p>
    <w:p w14:paraId="55B8DA52" w14:textId="77777777" w:rsidR="00236F87" w:rsidRPr="003B1CC5" w:rsidRDefault="00B070F9" w:rsidP="00A9011D">
      <w:pPr>
        <w:ind w:left="864" w:hanging="432"/>
        <w:rPr>
          <w:b/>
          <w:bCs/>
        </w:rPr>
      </w:pPr>
      <w:sdt>
        <w:sdtPr>
          <w:rPr>
            <w:bCs/>
            <w:color w:val="0000FF"/>
          </w:rPr>
          <w:id w:val="-1541041819"/>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236F87" w:rsidRPr="001E6153">
        <w:rPr>
          <w:bCs/>
        </w:rPr>
        <w:t>Patient-reported outc</w:t>
      </w:r>
      <w:r w:rsidR="00C613EB" w:rsidRPr="001E6153">
        <w:rPr>
          <w:bCs/>
        </w:rPr>
        <w:t>o</w:t>
      </w:r>
      <w:r w:rsidR="00236F87" w:rsidRPr="001E6153">
        <w:rPr>
          <w:bCs/>
        </w:rPr>
        <w:t>me</w:t>
      </w:r>
      <w:r w:rsidR="009C291F" w:rsidRPr="001E6153">
        <w:rPr>
          <w:bCs/>
        </w:rPr>
        <w:t xml:space="preserve"> (PRO)</w:t>
      </w:r>
      <w:r w:rsidR="00236F87" w:rsidRPr="003B1CC5">
        <w:rPr>
          <w:bCs/>
        </w:rPr>
        <w:t xml:space="preserve">: </w:t>
      </w:r>
      <w:sdt>
        <w:sdtPr>
          <w:rPr>
            <w:rStyle w:val="Style2"/>
            <w:rFonts w:cstheme="minorHAnsi"/>
          </w:rPr>
          <w:id w:val="528310131"/>
          <w:showingPlcHdr/>
        </w:sdtPr>
        <w:sdtEndPr>
          <w:rPr>
            <w:rStyle w:val="DefaultParagraphFont"/>
            <w:rFonts w:cstheme="minorBidi"/>
            <w:color w:val="auto"/>
            <w:u w:val="none"/>
          </w:rPr>
        </w:sdtEndPr>
        <w:sdtContent>
          <w:r w:rsidR="00236F87" w:rsidRPr="003B1CC5">
            <w:rPr>
              <w:color w:val="362001" w:themeColor="background1" w:themeShade="A6"/>
            </w:rPr>
            <w:t>Click here to n</w:t>
          </w:r>
          <w:r w:rsidR="00236F87" w:rsidRPr="003B1CC5">
            <w:rPr>
              <w:rStyle w:val="PlaceholderText"/>
              <w:rFonts w:cstheme="minorHAnsi"/>
              <w:color w:val="362001" w:themeColor="background1" w:themeShade="A6"/>
            </w:rPr>
            <w:t xml:space="preserve">ame the </w:t>
          </w:r>
          <w:r w:rsidR="001E6153">
            <w:rPr>
              <w:rStyle w:val="PlaceholderText"/>
              <w:rFonts w:cstheme="minorHAnsi"/>
              <w:color w:val="362001" w:themeColor="background1" w:themeShade="A6"/>
            </w:rPr>
            <w:t>PRO</w:t>
          </w:r>
        </w:sdtContent>
      </w:sdt>
    </w:p>
    <w:p w14:paraId="55B8DA53" w14:textId="77777777" w:rsidR="00B117D0" w:rsidRPr="0061327A" w:rsidRDefault="00B117D0" w:rsidP="005857F8">
      <w:pPr>
        <w:ind w:left="720" w:firstLine="0"/>
        <w:rPr>
          <w:rFonts w:eastAsia="MS Gothic" w:cs="MS Gothic"/>
          <w:bCs/>
          <w:i/>
          <w:color w:val="0000FF"/>
        </w:rPr>
      </w:pPr>
      <w:r w:rsidRPr="003B1CC5">
        <w:rPr>
          <w:bCs/>
          <w:i/>
        </w:rPr>
        <w:t>PRO</w:t>
      </w:r>
      <w:r w:rsidR="009C291F" w:rsidRPr="003B1CC5">
        <w:rPr>
          <w:bCs/>
          <w:i/>
        </w:rPr>
        <w:t xml:space="preserve">s include </w:t>
      </w:r>
      <w:r w:rsidR="005857F8" w:rsidRPr="003B1CC5">
        <w:rPr>
          <w:bCs/>
          <w:i/>
        </w:rPr>
        <w:t>HRQoL/functional status, symptom/</w:t>
      </w:r>
      <w:r w:rsidR="003008F4">
        <w:rPr>
          <w:bCs/>
          <w:i/>
        </w:rPr>
        <w:t xml:space="preserve">symptom </w:t>
      </w:r>
      <w:r w:rsidR="005857F8" w:rsidRPr="003B1CC5">
        <w:rPr>
          <w:bCs/>
          <w:i/>
        </w:rPr>
        <w:t>burden, experience with care, health-related behaviors</w:t>
      </w:r>
      <w:r w:rsidR="0061327A" w:rsidRPr="0061327A">
        <w:rPr>
          <w:bCs/>
          <w:i/>
        </w:rPr>
        <w:t>.</w:t>
      </w:r>
      <w:r w:rsidR="0061327A" w:rsidRPr="0061327A">
        <w:rPr>
          <w:rFonts w:eastAsia="Calibri" w:cs="Calibri"/>
          <w:sz w:val="20"/>
          <w:szCs w:val="20"/>
        </w:rPr>
        <w:t xml:space="preserve"> </w:t>
      </w:r>
      <w:r w:rsidR="0061327A" w:rsidRPr="0061327A">
        <w:rPr>
          <w:rFonts w:eastAsia="Calibri" w:cs="Calibri"/>
        </w:rPr>
        <w:t>(</w:t>
      </w:r>
      <w:r w:rsidR="0061327A" w:rsidRPr="0061327A">
        <w:rPr>
          <w:rFonts w:eastAsia="Calibri" w:cs="Calibri"/>
          <w:i/>
        </w:rPr>
        <w:t>A PRO</w:t>
      </w:r>
      <w:r w:rsidR="00E42FAA">
        <w:rPr>
          <w:rFonts w:eastAsia="Calibri" w:cs="Calibri"/>
          <w:i/>
        </w:rPr>
        <w:t>-based performance</w:t>
      </w:r>
      <w:r w:rsidR="0061327A" w:rsidRPr="0061327A">
        <w:rPr>
          <w:rFonts w:eastAsia="Calibri" w:cs="Calibri"/>
          <w:i/>
        </w:rPr>
        <w:t xml:space="preserve"> measure is not a survey instrument. Data may be collected using a survey instrument to construct a PRO measure.)</w:t>
      </w:r>
    </w:p>
    <w:p w14:paraId="55B8DA54" w14:textId="77777777" w:rsidR="00496AF8" w:rsidRPr="003B1CC5" w:rsidRDefault="00B070F9" w:rsidP="004E7215">
      <w:pPr>
        <w:rPr>
          <w:bCs/>
        </w:rPr>
      </w:pPr>
      <w:sdt>
        <w:sdtPr>
          <w:rPr>
            <w:bCs/>
            <w:color w:val="0000FF"/>
          </w:rPr>
          <w:id w:val="-720977531"/>
          <w14:checkbox>
            <w14:checked w14:val="0"/>
            <w14:checkedState w14:val="2612" w14:font="MS Gothic"/>
            <w14:uncheckedState w14:val="2610" w14:font="MS Gothic"/>
          </w14:checkbox>
        </w:sdtPr>
        <w:sdtEndPr/>
        <w:sdtContent>
          <w:r w:rsidR="00D73685" w:rsidRPr="00D73685">
            <w:rPr>
              <w:rFonts w:ascii="Segoe UI Symbol" w:hAnsi="Segoe UI Symbol" w:cs="Segoe UI Symbol"/>
              <w:bCs/>
              <w:color w:val="0000FF"/>
            </w:rPr>
            <w:t>☐</w:t>
          </w:r>
        </w:sdtContent>
      </w:sdt>
      <w:r w:rsidR="00D73685" w:rsidRPr="00D73685" w:rsidDel="00D73685">
        <w:rPr>
          <w:bCs/>
          <w:color w:val="0000FF"/>
        </w:rPr>
        <w:t xml:space="preserve"> </w:t>
      </w:r>
      <w:r w:rsidR="00E41417" w:rsidRPr="003B1CC5">
        <w:rPr>
          <w:bCs/>
        </w:rPr>
        <w:t>I</w:t>
      </w:r>
      <w:r w:rsidR="00496AF8" w:rsidRPr="003B1CC5">
        <w:rPr>
          <w:bCs/>
        </w:rPr>
        <w:t>ntermediate clinical outcome</w:t>
      </w:r>
      <w:r w:rsidR="00851466" w:rsidRPr="003B1CC5">
        <w:rPr>
          <w:bCs/>
        </w:rPr>
        <w:t xml:space="preserve"> (</w:t>
      </w:r>
      <w:r w:rsidR="00851466" w:rsidRPr="003B1CC5">
        <w:rPr>
          <w:bCs/>
          <w:i/>
        </w:rPr>
        <w:t>e.g., lab value</w:t>
      </w:r>
      <w:r w:rsidR="00851466" w:rsidRPr="003B1CC5">
        <w:rPr>
          <w:bCs/>
        </w:rPr>
        <w:t>)</w:t>
      </w:r>
      <w:r w:rsidR="00496AF8" w:rsidRPr="003B1CC5">
        <w:rPr>
          <w:bCs/>
        </w:rPr>
        <w:t xml:space="preserve">:  </w:t>
      </w:r>
      <w:sdt>
        <w:sdtPr>
          <w:rPr>
            <w:rStyle w:val="Style2"/>
            <w:rFonts w:cstheme="minorHAnsi"/>
          </w:rPr>
          <w:id w:val="322628782"/>
          <w:showingPlcHdr/>
        </w:sdtPr>
        <w:sdtEndPr>
          <w:rPr>
            <w:rStyle w:val="DefaultParagraphFont"/>
            <w:rFonts w:cstheme="minorBidi"/>
            <w:bCs/>
            <w:color w:val="auto"/>
            <w:u w:val="none"/>
          </w:rPr>
        </w:sdtEndPr>
        <w:sdtContent>
          <w:r w:rsidR="00496AF8" w:rsidRPr="003B1CC5">
            <w:rPr>
              <w:rStyle w:val="PlaceholderText"/>
              <w:rFonts w:cstheme="minorHAnsi"/>
              <w:color w:val="362001" w:themeColor="background1" w:themeShade="A6"/>
            </w:rPr>
            <w:t>Click here to name the intermediate outcome</w:t>
          </w:r>
        </w:sdtContent>
      </w:sdt>
    </w:p>
    <w:p w14:paraId="55B8DA55" w14:textId="77777777" w:rsidR="00D73685" w:rsidRDefault="00B070F9" w:rsidP="00015986">
      <w:pPr>
        <w:ind w:left="432" w:hanging="432"/>
        <w:rPr>
          <w:bCs/>
        </w:rPr>
      </w:pPr>
      <w:sdt>
        <w:sdtPr>
          <w:rPr>
            <w:bCs/>
            <w:color w:val="0000FF"/>
          </w:rPr>
          <w:id w:val="-1535727686"/>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15535B" w:rsidRPr="003B1CC5">
        <w:rPr>
          <w:bCs/>
        </w:rPr>
        <w:t xml:space="preserve"> </w:t>
      </w:r>
      <w:r w:rsidR="00E41417" w:rsidRPr="003B1CC5">
        <w:rPr>
          <w:bCs/>
        </w:rPr>
        <w:t>P</w:t>
      </w:r>
      <w:r w:rsidR="00496AF8" w:rsidRPr="003B1CC5">
        <w:rPr>
          <w:bCs/>
        </w:rPr>
        <w:t>rocess:</w:t>
      </w:r>
      <w:r w:rsidR="00D73685">
        <w:rPr>
          <w:bCs/>
        </w:rPr>
        <w:t xml:space="preserve">  </w:t>
      </w:r>
      <w:sdt>
        <w:sdtPr>
          <w:rPr>
            <w:rStyle w:val="Style2"/>
            <w:rFonts w:cstheme="minorHAnsi"/>
          </w:rPr>
          <w:id w:val="-247648753"/>
          <w:showingPlcHdr/>
        </w:sdtPr>
        <w:sdtEndPr>
          <w:rPr>
            <w:rStyle w:val="DefaultParagraphFont"/>
            <w:rFonts w:cstheme="minorBidi"/>
            <w:bCs/>
            <w:color w:val="auto"/>
            <w:u w:val="none"/>
          </w:rPr>
        </w:sdtEndPr>
        <w:sdtContent>
          <w:r w:rsidR="00D73685" w:rsidRPr="003B1CC5">
            <w:rPr>
              <w:rStyle w:val="PlaceholderText"/>
              <w:rFonts w:cstheme="minorHAnsi"/>
              <w:color w:val="362001" w:themeColor="background1" w:themeShade="A6"/>
            </w:rPr>
            <w:t>Click here to name what is being measured</w:t>
          </w:r>
        </w:sdtContent>
      </w:sdt>
    </w:p>
    <w:p w14:paraId="55B8DA56" w14:textId="77777777" w:rsidR="00496AF8" w:rsidRPr="004E7215" w:rsidRDefault="00D73685" w:rsidP="00D73685">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1303807965"/>
          <w14:checkbox>
            <w14:checked w14:val="0"/>
            <w14:checkedState w14:val="2612" w14:font="MS Gothic"/>
            <w14:uncheckedState w14:val="2610" w14:font="MS Gothic"/>
          </w14:checkbox>
        </w:sdtPr>
        <w:sdtEnd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00496AF8" w:rsidRPr="00D73685">
        <w:rPr>
          <w:bCs/>
        </w:rPr>
        <w:t xml:space="preserve"> </w:t>
      </w:r>
      <w:r w:rsidRPr="00D73685">
        <w:rPr>
          <w:rStyle w:val="Style2"/>
          <w:rFonts w:cstheme="minorHAnsi"/>
        </w:rPr>
        <w:t xml:space="preserve"> </w:t>
      </w:r>
      <w:sdt>
        <w:sdtPr>
          <w:rPr>
            <w:rStyle w:val="Style2"/>
            <w:rFonts w:cstheme="minorHAnsi"/>
          </w:rPr>
          <w:id w:val="-2123911889"/>
          <w:showingPlcHdr/>
        </w:sdtPr>
        <w:sdtEndPr>
          <w:rPr>
            <w:rStyle w:val="DefaultParagraphFont"/>
            <w:rFonts w:cstheme="minorBidi"/>
            <w:bCs/>
            <w:color w:val="auto"/>
            <w:u w:val="none"/>
          </w:rPr>
        </w:sdtEndPr>
        <w:sdtContent>
          <w:r w:rsidRPr="003B1CC5">
            <w:rPr>
              <w:rStyle w:val="PlaceholderText"/>
              <w:rFonts w:cstheme="minorHAnsi"/>
              <w:color w:val="362001" w:themeColor="background1" w:themeShade="A6"/>
            </w:rPr>
            <w:t>Click here to name what is being measured</w:t>
          </w:r>
        </w:sdtContent>
      </w:sdt>
      <w:r>
        <w:rPr>
          <w:rStyle w:val="Style2"/>
          <w:rFonts w:cstheme="minorHAnsi"/>
        </w:rPr>
        <w:t xml:space="preserve"> </w:t>
      </w:r>
      <w:sdt>
        <w:sdtPr>
          <w:rPr>
            <w:rStyle w:val="Style2"/>
            <w:rFonts w:cstheme="minorHAnsi"/>
          </w:rPr>
          <w:id w:val="-1371599399"/>
          <w:showingPlcHdr/>
        </w:sdtPr>
        <w:sdtEndPr>
          <w:rPr>
            <w:rStyle w:val="DefaultParagraphFont"/>
            <w:rFonts w:cstheme="minorBidi"/>
            <w:bCs/>
            <w:color w:val="auto"/>
            <w:u w:val="none"/>
          </w:rPr>
        </w:sdtEndPr>
        <w:sdtContent>
          <w:r>
            <w:rPr>
              <w:rStyle w:val="Style2"/>
              <w:rFonts w:cstheme="minorHAnsi"/>
            </w:rPr>
            <w:t xml:space="preserve">     </w:t>
          </w:r>
        </w:sdtContent>
      </w:sdt>
    </w:p>
    <w:p w14:paraId="55B8DA57" w14:textId="77777777" w:rsidR="00496AF8" w:rsidRPr="003B1CC5" w:rsidRDefault="00B070F9" w:rsidP="00015986">
      <w:pPr>
        <w:ind w:left="432" w:hanging="432"/>
        <w:rPr>
          <w:bCs/>
        </w:rPr>
      </w:pPr>
      <w:sdt>
        <w:sdtPr>
          <w:rPr>
            <w:bCs/>
            <w:color w:val="0000FF"/>
          </w:rPr>
          <w:id w:val="1676770628"/>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15535B" w:rsidRPr="003B1CC5">
        <w:rPr>
          <w:bCs/>
        </w:rPr>
        <w:t xml:space="preserve"> </w:t>
      </w:r>
      <w:r w:rsidR="00E41417" w:rsidRPr="003B1CC5">
        <w:rPr>
          <w:bCs/>
        </w:rPr>
        <w:t>S</w:t>
      </w:r>
      <w:r w:rsidR="00496AF8" w:rsidRPr="003B1CC5">
        <w:rPr>
          <w:bCs/>
        </w:rPr>
        <w:t xml:space="preserve">tructure:  </w:t>
      </w:r>
      <w:sdt>
        <w:sdtPr>
          <w:rPr>
            <w:rStyle w:val="Style2"/>
            <w:rFonts w:cstheme="minorHAnsi"/>
          </w:rPr>
          <w:id w:val="399486169"/>
          <w:showingPlcHdr/>
        </w:sdtPr>
        <w:sdtEndPr>
          <w:rPr>
            <w:rStyle w:val="DefaultParagraphFont"/>
            <w:rFonts w:cstheme="minorBidi"/>
            <w:bCs/>
            <w:color w:val="auto"/>
            <w:u w:val="none"/>
          </w:rPr>
        </w:sdtEndPr>
        <w:sdtContent>
          <w:r w:rsidR="00496AF8" w:rsidRPr="003B1CC5">
            <w:rPr>
              <w:rStyle w:val="PlaceholderText"/>
              <w:rFonts w:cstheme="minorHAnsi"/>
              <w:color w:val="362001" w:themeColor="background1" w:themeShade="A6"/>
            </w:rPr>
            <w:t>Click here to name the structure</w:t>
          </w:r>
        </w:sdtContent>
      </w:sdt>
    </w:p>
    <w:p w14:paraId="55B8DA58" w14:textId="77777777" w:rsidR="00496AF8" w:rsidRPr="003B1CC5" w:rsidRDefault="00B070F9" w:rsidP="00015986">
      <w:pPr>
        <w:ind w:left="432" w:hanging="432"/>
        <w:rPr>
          <w:bCs/>
        </w:rPr>
      </w:pPr>
      <w:sdt>
        <w:sdtPr>
          <w:rPr>
            <w:bCs/>
            <w:color w:val="0000FF"/>
          </w:rPr>
          <w:id w:val="1719405626"/>
          <w14:checkbox>
            <w14:checked w14:val="0"/>
            <w14:checkedState w14:val="2612" w14:font="MS Gothic"/>
            <w14:uncheckedState w14:val="2610" w14:font="MS Gothic"/>
          </w14:checkbox>
        </w:sdtPr>
        <w:sdtEndPr/>
        <w:sdtContent>
          <w:r w:rsidR="0015535B" w:rsidRPr="003B1CC5">
            <w:rPr>
              <w:rFonts w:ascii="MS Gothic" w:eastAsia="MS Gothic" w:hAnsi="MS Gothic" w:cs="MS Gothic" w:hint="eastAsia"/>
              <w:bCs/>
              <w:color w:val="0000FF"/>
            </w:rPr>
            <w:t>☐</w:t>
          </w:r>
        </w:sdtContent>
      </w:sdt>
      <w:r w:rsidR="0015535B" w:rsidRPr="003B1CC5">
        <w:rPr>
          <w:bCs/>
        </w:rPr>
        <w:t xml:space="preserve"> </w:t>
      </w:r>
      <w:r w:rsidR="00D73685">
        <w:rPr>
          <w:bCs/>
        </w:rPr>
        <w:t>Composite</w:t>
      </w:r>
      <w:r w:rsidR="00496AF8" w:rsidRPr="003B1CC5">
        <w:rPr>
          <w:bCs/>
        </w:rPr>
        <w:t xml:space="preserve">:  </w:t>
      </w:r>
      <w:sdt>
        <w:sdtPr>
          <w:rPr>
            <w:rStyle w:val="Style2"/>
            <w:rFonts w:cstheme="minorHAnsi"/>
          </w:rPr>
          <w:id w:val="949512032"/>
          <w:showingPlcHdr/>
        </w:sdtPr>
        <w:sdtEndPr>
          <w:rPr>
            <w:rStyle w:val="DefaultParagraphFont"/>
            <w:rFonts w:cstheme="minorBidi"/>
            <w:bCs/>
            <w:color w:val="auto"/>
            <w:u w:val="none"/>
          </w:rPr>
        </w:sdtEndPr>
        <w:sdtContent>
          <w:r w:rsidR="00496AF8" w:rsidRPr="003B1CC5">
            <w:rPr>
              <w:rStyle w:val="PlaceholderText"/>
              <w:rFonts w:cstheme="minorHAnsi"/>
              <w:color w:val="362001" w:themeColor="background1" w:themeShade="A6"/>
            </w:rPr>
            <w:t>Click here to name what is being measured</w:t>
          </w:r>
        </w:sdtContent>
      </w:sdt>
    </w:p>
    <w:p w14:paraId="55B8DA59" w14:textId="77777777" w:rsidR="00496AF8" w:rsidRPr="003B1CC5" w:rsidRDefault="00496AF8" w:rsidP="002E2177">
      <w:pPr>
        <w:ind w:left="0" w:firstLine="0"/>
        <w:rPr>
          <w:bCs/>
        </w:rPr>
      </w:pPr>
    </w:p>
    <w:p w14:paraId="55B8DA5A" w14:textId="78ABF7EA" w:rsidR="002B06BD" w:rsidRPr="00676BD4" w:rsidRDefault="00676BD4" w:rsidP="002B06BD">
      <w:pPr>
        <w:ind w:left="432" w:hanging="432"/>
        <w:rPr>
          <w:iCs/>
        </w:rPr>
      </w:pPr>
      <w:r>
        <w:rPr>
          <w:b/>
          <w:bCs/>
          <w:color w:val="0000FF"/>
        </w:rPr>
        <w:t>1a.</w:t>
      </w:r>
      <w:r w:rsidR="00C41794">
        <w:rPr>
          <w:b/>
          <w:bCs/>
          <w:color w:val="0000FF"/>
        </w:rPr>
        <w:t>2</w:t>
      </w:r>
      <w:r w:rsidR="002B06BD" w:rsidRPr="003B1CC5">
        <w:rPr>
          <w:bCs/>
        </w:rPr>
        <w:t xml:space="preserve"> </w:t>
      </w:r>
      <w:r w:rsidRPr="00676BD4">
        <w:rPr>
          <w:b/>
          <w:bCs/>
        </w:rPr>
        <w:t>LOGIC MODEL</w:t>
      </w:r>
      <w:r>
        <w:rPr>
          <w:bCs/>
        </w:rPr>
        <w:t xml:space="preserve"> </w:t>
      </w:r>
      <w:r w:rsidRPr="00676BD4">
        <w:rPr>
          <w:iCs/>
        </w:rPr>
        <w:t>Diagram or briefly describe</w:t>
      </w:r>
      <w:r w:rsidR="002B06BD" w:rsidRPr="00676BD4">
        <w:rPr>
          <w:iCs/>
        </w:rPr>
        <w:t xml:space="preserve"> the </w:t>
      </w:r>
      <w:r w:rsidRPr="00676BD4">
        <w:rPr>
          <w:iCs/>
        </w:rPr>
        <w:t>steps</w:t>
      </w:r>
      <w:r w:rsidR="00236F87" w:rsidRPr="00676BD4">
        <w:rPr>
          <w:iCs/>
        </w:rPr>
        <w:t xml:space="preserve"> </w:t>
      </w:r>
      <w:r w:rsidR="002B06BD" w:rsidRPr="00676BD4">
        <w:rPr>
          <w:iCs/>
        </w:rPr>
        <w:t xml:space="preserve">between </w:t>
      </w:r>
      <w:r w:rsidR="00CB06C9" w:rsidRPr="00676BD4">
        <w:rPr>
          <w:iCs/>
        </w:rPr>
        <w:t>the</w:t>
      </w:r>
      <w:r w:rsidR="002B06BD" w:rsidRPr="00676BD4">
        <w:rPr>
          <w:iCs/>
        </w:rPr>
        <w:t xml:space="preserve"> healthcare structure</w:t>
      </w:r>
      <w:r w:rsidR="00CB06C9" w:rsidRPr="00676BD4">
        <w:rPr>
          <w:iCs/>
        </w:rPr>
        <w:t>s</w:t>
      </w:r>
      <w:r w:rsidR="00F90F82">
        <w:rPr>
          <w:iCs/>
        </w:rPr>
        <w:t xml:space="preserve"> and</w:t>
      </w:r>
      <w:r w:rsidR="002B06BD" w:rsidRPr="00676BD4">
        <w:rPr>
          <w:iCs/>
        </w:rPr>
        <w:t xml:space="preserve"> process</w:t>
      </w:r>
      <w:r w:rsidR="00CB06C9" w:rsidRPr="00676BD4">
        <w:rPr>
          <w:iCs/>
        </w:rPr>
        <w:t>es</w:t>
      </w:r>
      <w:r>
        <w:rPr>
          <w:iCs/>
        </w:rPr>
        <w:t xml:space="preserve"> (e.g.,</w:t>
      </w:r>
      <w:r w:rsidR="002B06BD" w:rsidRPr="00676BD4">
        <w:rPr>
          <w:iCs/>
        </w:rPr>
        <w:t xml:space="preserve"> intervention</w:t>
      </w:r>
      <w:r w:rsidR="00CB06C9" w:rsidRPr="00676BD4">
        <w:rPr>
          <w:iCs/>
        </w:rPr>
        <w:t>s</w:t>
      </w:r>
      <w:r w:rsidR="002B06BD" w:rsidRPr="00676BD4">
        <w:rPr>
          <w:iCs/>
        </w:rPr>
        <w:t>, or service</w:t>
      </w:r>
      <w:r w:rsidR="00CB06C9" w:rsidRPr="00676BD4">
        <w:rPr>
          <w:iCs/>
        </w:rPr>
        <w:t>s</w:t>
      </w:r>
      <w:r>
        <w:rPr>
          <w:iCs/>
        </w:rPr>
        <w:t>)</w:t>
      </w:r>
      <w:r w:rsidR="00CB06C9" w:rsidRPr="00676BD4">
        <w:rPr>
          <w:iCs/>
        </w:rPr>
        <w:t xml:space="preserve"> </w:t>
      </w:r>
      <w:r w:rsidRPr="00676BD4">
        <w:rPr>
          <w:iCs/>
        </w:rPr>
        <w:t>and the patient</w:t>
      </w:r>
      <w:r>
        <w:rPr>
          <w:iCs/>
        </w:rPr>
        <w:t>’s</w:t>
      </w:r>
      <w:r w:rsidRPr="00676BD4">
        <w:rPr>
          <w:iCs/>
        </w:rPr>
        <w:t xml:space="preserve"> health outcome</w:t>
      </w:r>
      <w:r w:rsidR="00F90F82">
        <w:rPr>
          <w:iCs/>
        </w:rPr>
        <w:t>(s)</w:t>
      </w:r>
      <w:r w:rsidRPr="00676BD4">
        <w:rPr>
          <w:iCs/>
        </w:rPr>
        <w:t>. The relationship</w:t>
      </w:r>
      <w:r>
        <w:rPr>
          <w:iCs/>
        </w:rPr>
        <w:t>s</w:t>
      </w:r>
      <w:r w:rsidRPr="00676BD4">
        <w:rPr>
          <w:iCs/>
        </w:rPr>
        <w:t xml:space="preserve"> in the diagram should be easily understood by general, non-technical audiences.</w:t>
      </w:r>
      <w:r>
        <w:rPr>
          <w:iCs/>
        </w:rPr>
        <w:t xml:space="preserve"> Indicate the </w:t>
      </w:r>
      <w:r w:rsidR="00F90F82">
        <w:rPr>
          <w:iCs/>
        </w:rPr>
        <w:t xml:space="preserve">structure, </w:t>
      </w:r>
      <w:r>
        <w:rPr>
          <w:iCs/>
        </w:rPr>
        <w:t>process o</w:t>
      </w:r>
      <w:r w:rsidRPr="00676BD4">
        <w:rPr>
          <w:iCs/>
        </w:rPr>
        <w:t>r outcome being measured.</w:t>
      </w:r>
    </w:p>
    <w:p w14:paraId="55B8DA5B" w14:textId="7CA15D52" w:rsidR="002B06BD" w:rsidRPr="003B1CC5" w:rsidRDefault="002B06BD" w:rsidP="002E2177">
      <w:pPr>
        <w:ind w:left="432" w:hanging="432"/>
        <w:rPr>
          <w:color w:val="0000FF"/>
        </w:rPr>
      </w:pPr>
    </w:p>
    <w:p w14:paraId="0E2227F5" w14:textId="031A8850" w:rsidR="00495839" w:rsidRDefault="00495839" w:rsidP="00495839">
      <w:pPr>
        <w:tabs>
          <w:tab w:val="left" w:pos="8910"/>
        </w:tabs>
        <w:autoSpaceDE w:val="0"/>
        <w:autoSpaceDN w:val="0"/>
        <w:adjustRightInd w:val="0"/>
        <w:ind w:left="0" w:right="-180" w:firstLine="0"/>
        <w:rPr>
          <w:rFonts w:eastAsia="Calibri" w:cs="Times New Roman"/>
          <w:color w:val="0000FF"/>
        </w:rPr>
      </w:pPr>
      <w:r w:rsidRPr="009C217E">
        <w:rPr>
          <w:rFonts w:eastAsia="Calibri" w:cs="Times New Roman"/>
          <w:color w:val="3333FF"/>
        </w:rPr>
        <w:t xml:space="preserve">Inpatient Rehabilitation Facilities (IRFs) </w:t>
      </w:r>
      <w:r w:rsidRPr="009C217E">
        <w:rPr>
          <w:rFonts w:cs="Melior"/>
          <w:color w:val="3333FF"/>
        </w:rPr>
        <w:t>are designed to provide intensive rehabilitation services to patients. Patients seeking care in IRFs are those whose illness, injury, or condition has resulted in a loss of function, and for whom rehabilitative care is expected to help regain that function. Examples of conditions treated in IRFs include stroke, spinal cord injury, hip fracture, brain injury, neurological disorders, and other diagnoses characterized by loss of function.</w:t>
      </w:r>
      <w:r>
        <w:rPr>
          <w:rFonts w:cs="Melior"/>
          <w:color w:val="0033CC"/>
        </w:rPr>
        <w:t xml:space="preserve"> </w:t>
      </w:r>
      <w:r w:rsidRPr="00AD1021">
        <w:rPr>
          <w:rFonts w:eastAsia="Calibri" w:cs="Times New Roman"/>
          <w:color w:val="0000FF"/>
        </w:rPr>
        <w:t>During</w:t>
      </w:r>
      <w:r>
        <w:rPr>
          <w:rFonts w:eastAsia="Calibri" w:cs="Times New Roman"/>
          <w:color w:val="0000FF"/>
        </w:rPr>
        <w:t xml:space="preserve"> an </w:t>
      </w:r>
      <w:r w:rsidRPr="00AD1021">
        <w:rPr>
          <w:rFonts w:eastAsia="Calibri" w:cs="Times New Roman"/>
          <w:color w:val="0000FF"/>
        </w:rPr>
        <w:t xml:space="preserve">IRF </w:t>
      </w:r>
      <w:r w:rsidRPr="00661AC2">
        <w:rPr>
          <w:rFonts w:eastAsia="Calibri" w:cs="Times New Roman"/>
          <w:color w:val="0000FF"/>
        </w:rPr>
        <w:t xml:space="preserve">stay, goals of treatment include fostering the patient’s ability to manage his or her daily activities so that the patient can complete self-care and mobility activities as independently as possible and, if feasible, return to a safe, active, and productive life in a community-based setting. </w:t>
      </w:r>
    </w:p>
    <w:p w14:paraId="1E91DC03" w14:textId="546727BB" w:rsidR="007B4916" w:rsidRDefault="007B4916" w:rsidP="00495839">
      <w:pPr>
        <w:tabs>
          <w:tab w:val="left" w:pos="8910"/>
        </w:tabs>
        <w:autoSpaceDE w:val="0"/>
        <w:autoSpaceDN w:val="0"/>
        <w:adjustRightInd w:val="0"/>
        <w:ind w:left="0" w:right="-180" w:firstLine="0"/>
        <w:rPr>
          <w:rFonts w:eastAsia="Calibri" w:cs="Times New Roman"/>
          <w:color w:val="0000FF"/>
        </w:rPr>
      </w:pPr>
    </w:p>
    <w:p w14:paraId="15388141" w14:textId="33C3617F" w:rsidR="00212031" w:rsidRPr="00447D66" w:rsidRDefault="00212031" w:rsidP="00212031">
      <w:pPr>
        <w:tabs>
          <w:tab w:val="left" w:pos="8910"/>
        </w:tabs>
        <w:ind w:left="0" w:right="-180" w:firstLine="0"/>
        <w:rPr>
          <w:rFonts w:eastAsia="Calibri" w:cs="Times New Roman"/>
          <w:b/>
          <w:color w:val="FF0000"/>
        </w:rPr>
      </w:pPr>
      <w:bookmarkStart w:id="5" w:name="_Hlk5628786"/>
      <w:r w:rsidRPr="00447D66">
        <w:rPr>
          <w:rFonts w:eastAsia="Calibri" w:cs="Times New Roman"/>
          <w:b/>
          <w:color w:val="FF0000"/>
        </w:rPr>
        <w:t>NQF Evidence 2019</w:t>
      </w:r>
    </w:p>
    <w:p w14:paraId="146C175D" w14:textId="4F008C6B" w:rsidR="007B4916" w:rsidRDefault="00797895" w:rsidP="00495839">
      <w:pPr>
        <w:tabs>
          <w:tab w:val="left" w:pos="8910"/>
        </w:tabs>
        <w:autoSpaceDE w:val="0"/>
        <w:autoSpaceDN w:val="0"/>
        <w:adjustRightInd w:val="0"/>
        <w:ind w:left="0" w:right="-180" w:firstLine="0"/>
        <w:rPr>
          <w:rFonts w:eastAsia="Calibri" w:cs="Times New Roman"/>
          <w:color w:val="FF0000"/>
        </w:rPr>
      </w:pPr>
      <w:r>
        <w:rPr>
          <w:rFonts w:eastAsia="Calibri" w:cs="Times New Roman"/>
          <w:color w:val="FF0000"/>
        </w:rPr>
        <w:t>Key</w:t>
      </w:r>
      <w:r w:rsidR="00D71C39">
        <w:rPr>
          <w:rFonts w:eastAsia="Calibri" w:cs="Times New Roman"/>
          <w:color w:val="FF0000"/>
        </w:rPr>
        <w:t xml:space="preserve"> rehabilitation services provided to</w:t>
      </w:r>
      <w:r w:rsidR="001B1380">
        <w:rPr>
          <w:rFonts w:eastAsia="Calibri" w:cs="Times New Roman"/>
          <w:color w:val="FF0000"/>
        </w:rPr>
        <w:t xml:space="preserve"> patients</w:t>
      </w:r>
      <w:r w:rsidR="007B4916">
        <w:rPr>
          <w:rFonts w:eastAsia="Calibri" w:cs="Times New Roman"/>
          <w:color w:val="FF0000"/>
        </w:rPr>
        <w:t xml:space="preserve"> </w:t>
      </w:r>
      <w:r>
        <w:rPr>
          <w:rFonts w:eastAsia="Calibri" w:cs="Times New Roman"/>
          <w:color w:val="FF0000"/>
        </w:rPr>
        <w:t xml:space="preserve">in an IRF include physiatry </w:t>
      </w:r>
      <w:r w:rsidR="007F2B27">
        <w:rPr>
          <w:rFonts w:eastAsia="Calibri" w:cs="Times New Roman"/>
          <w:color w:val="FF0000"/>
        </w:rPr>
        <w:t xml:space="preserve">care, </w:t>
      </w:r>
      <w:r>
        <w:rPr>
          <w:rFonts w:eastAsia="Calibri" w:cs="Times New Roman"/>
          <w:color w:val="FF0000"/>
        </w:rPr>
        <w:t>(i.e., physical medicine and rehabilitation physician)</w:t>
      </w:r>
      <w:r w:rsidR="00D204DB">
        <w:rPr>
          <w:rFonts w:eastAsia="Calibri" w:cs="Times New Roman"/>
          <w:color w:val="FF0000"/>
        </w:rPr>
        <w:t>,</w:t>
      </w:r>
      <w:r>
        <w:rPr>
          <w:rFonts w:eastAsia="Calibri" w:cs="Times New Roman"/>
          <w:color w:val="FF0000"/>
        </w:rPr>
        <w:t xml:space="preserve"> </w:t>
      </w:r>
      <w:r w:rsidR="007B4916">
        <w:rPr>
          <w:rFonts w:eastAsia="Calibri" w:cs="Times New Roman"/>
          <w:color w:val="FF0000"/>
        </w:rPr>
        <w:t xml:space="preserve">physical </w:t>
      </w:r>
      <w:r w:rsidR="00981199">
        <w:rPr>
          <w:rFonts w:eastAsia="Calibri" w:cs="Times New Roman"/>
          <w:color w:val="FF0000"/>
        </w:rPr>
        <w:t>therapy, o</w:t>
      </w:r>
      <w:r w:rsidR="007B4916">
        <w:rPr>
          <w:rFonts w:eastAsia="Calibri" w:cs="Times New Roman"/>
          <w:color w:val="FF0000"/>
        </w:rPr>
        <w:t>ccupational therapy, rehabilitation nursing, speech-language pathology, and prosthetic and orthotic services (Med</w:t>
      </w:r>
      <w:r w:rsidR="00FA2BA7">
        <w:rPr>
          <w:rFonts w:eastAsia="Calibri" w:cs="Times New Roman"/>
          <w:color w:val="FF0000"/>
        </w:rPr>
        <w:t xml:space="preserve">icare </w:t>
      </w:r>
      <w:r w:rsidR="007B4916">
        <w:rPr>
          <w:rFonts w:eastAsia="Calibri" w:cs="Times New Roman"/>
          <w:color w:val="FF0000"/>
        </w:rPr>
        <w:t>P</w:t>
      </w:r>
      <w:r w:rsidR="00FA2BA7">
        <w:rPr>
          <w:rFonts w:eastAsia="Calibri" w:cs="Times New Roman"/>
          <w:color w:val="FF0000"/>
        </w:rPr>
        <w:t xml:space="preserve">ayment </w:t>
      </w:r>
      <w:r w:rsidR="007B4916">
        <w:rPr>
          <w:rFonts w:eastAsia="Calibri" w:cs="Times New Roman"/>
          <w:color w:val="FF0000"/>
        </w:rPr>
        <w:t>A</w:t>
      </w:r>
      <w:r w:rsidR="00FA2BA7">
        <w:rPr>
          <w:rFonts w:eastAsia="Calibri" w:cs="Times New Roman"/>
          <w:color w:val="FF0000"/>
        </w:rPr>
        <w:t xml:space="preserve">dvisory </w:t>
      </w:r>
      <w:r w:rsidR="007B4916">
        <w:rPr>
          <w:rFonts w:eastAsia="Calibri" w:cs="Times New Roman"/>
          <w:color w:val="FF0000"/>
        </w:rPr>
        <w:t>C</w:t>
      </w:r>
      <w:r w:rsidR="00FA2BA7">
        <w:rPr>
          <w:rFonts w:eastAsia="Calibri" w:cs="Times New Roman"/>
          <w:color w:val="FF0000"/>
        </w:rPr>
        <w:t>ommission,</w:t>
      </w:r>
      <w:r w:rsidR="007B4916">
        <w:rPr>
          <w:rFonts w:eastAsia="Calibri" w:cs="Times New Roman"/>
          <w:color w:val="FF0000"/>
        </w:rPr>
        <w:t xml:space="preserve"> 2019).</w:t>
      </w:r>
      <w:r w:rsidR="001B1380">
        <w:rPr>
          <w:rFonts w:eastAsia="Calibri" w:cs="Times New Roman"/>
          <w:color w:val="FF0000"/>
        </w:rPr>
        <w:t xml:space="preserve"> </w:t>
      </w:r>
      <w:r w:rsidR="00A6344C">
        <w:rPr>
          <w:rFonts w:eastAsia="Calibri" w:cs="Times New Roman"/>
          <w:color w:val="FF0000"/>
        </w:rPr>
        <w:t xml:space="preserve">Figure 1a lists </w:t>
      </w:r>
      <w:r w:rsidR="007F2B27">
        <w:rPr>
          <w:rFonts w:eastAsia="Calibri" w:cs="Times New Roman"/>
          <w:color w:val="FF0000"/>
        </w:rPr>
        <w:t>the</w:t>
      </w:r>
      <w:r w:rsidR="00232295">
        <w:rPr>
          <w:rFonts w:eastAsia="Calibri" w:cs="Times New Roman"/>
          <w:color w:val="FF0000"/>
        </w:rPr>
        <w:t xml:space="preserve"> </w:t>
      </w:r>
      <w:r w:rsidR="001B1380">
        <w:rPr>
          <w:rFonts w:eastAsia="Calibri" w:cs="Times New Roman"/>
          <w:color w:val="FF0000"/>
        </w:rPr>
        <w:t>structures</w:t>
      </w:r>
      <w:r w:rsidR="00E201F3">
        <w:rPr>
          <w:rFonts w:eastAsia="Calibri" w:cs="Times New Roman"/>
          <w:color w:val="FF0000"/>
        </w:rPr>
        <w:t>,</w:t>
      </w:r>
      <w:r w:rsidR="001B1380">
        <w:rPr>
          <w:rFonts w:eastAsia="Calibri" w:cs="Times New Roman"/>
          <w:color w:val="FF0000"/>
        </w:rPr>
        <w:t xml:space="preserve"> processes and </w:t>
      </w:r>
      <w:r w:rsidR="00A6344C">
        <w:rPr>
          <w:rFonts w:eastAsia="Calibri" w:cs="Times New Roman"/>
          <w:color w:val="FF0000"/>
        </w:rPr>
        <w:t xml:space="preserve">the </w:t>
      </w:r>
      <w:r w:rsidR="001B1380">
        <w:rPr>
          <w:rFonts w:eastAsia="Calibri" w:cs="Times New Roman"/>
          <w:color w:val="FF0000"/>
        </w:rPr>
        <w:t xml:space="preserve">outcomes </w:t>
      </w:r>
      <w:r w:rsidR="00A6344C">
        <w:rPr>
          <w:rFonts w:eastAsia="Calibri" w:cs="Times New Roman"/>
          <w:color w:val="FF0000"/>
        </w:rPr>
        <w:t>that relate to this measure</w:t>
      </w:r>
      <w:r w:rsidR="001B1380" w:rsidRPr="00232295">
        <w:rPr>
          <w:rFonts w:eastAsia="Calibri" w:cs="Times New Roman"/>
          <w:color w:val="FF0000"/>
        </w:rPr>
        <w:t>.</w:t>
      </w:r>
      <w:r w:rsidR="001B1380">
        <w:rPr>
          <w:rFonts w:eastAsia="Calibri" w:cs="Times New Roman"/>
          <w:color w:val="FF0000"/>
        </w:rPr>
        <w:t xml:space="preserve"> This model </w:t>
      </w:r>
      <w:r w:rsidR="00A6344C">
        <w:rPr>
          <w:rFonts w:eastAsia="Calibri" w:cs="Times New Roman"/>
          <w:color w:val="FF0000"/>
        </w:rPr>
        <w:t>shows that an</w:t>
      </w:r>
      <w:r w:rsidR="00A72A39">
        <w:rPr>
          <w:rFonts w:eastAsia="Calibri" w:cs="Times New Roman"/>
          <w:color w:val="FF0000"/>
        </w:rPr>
        <w:t xml:space="preserve"> </w:t>
      </w:r>
      <w:r w:rsidR="001B1380">
        <w:rPr>
          <w:rFonts w:eastAsia="Calibri" w:cs="Times New Roman"/>
          <w:color w:val="FF0000"/>
        </w:rPr>
        <w:t>IRF</w:t>
      </w:r>
      <w:r w:rsidR="00A72A39">
        <w:rPr>
          <w:rFonts w:eastAsia="Calibri" w:cs="Times New Roman"/>
          <w:color w:val="FF0000"/>
        </w:rPr>
        <w:t>’s</w:t>
      </w:r>
      <w:r w:rsidR="001B1380">
        <w:rPr>
          <w:rFonts w:eastAsia="Calibri" w:cs="Times New Roman"/>
          <w:color w:val="FF0000"/>
        </w:rPr>
        <w:t xml:space="preserve"> </w:t>
      </w:r>
      <w:r w:rsidR="00BD1894">
        <w:rPr>
          <w:rFonts w:eastAsia="Calibri" w:cs="Times New Roman"/>
          <w:color w:val="FF0000"/>
        </w:rPr>
        <w:t xml:space="preserve">structures </w:t>
      </w:r>
      <w:r w:rsidR="00A72A39">
        <w:rPr>
          <w:rFonts w:eastAsia="Calibri" w:cs="Times New Roman"/>
          <w:color w:val="FF0000"/>
        </w:rPr>
        <w:t>and processes</w:t>
      </w:r>
      <w:r w:rsidR="00BD1894">
        <w:rPr>
          <w:rFonts w:eastAsia="Calibri" w:cs="Times New Roman"/>
          <w:color w:val="FF0000"/>
        </w:rPr>
        <w:t xml:space="preserve"> (treatments or interventions)</w:t>
      </w:r>
      <w:r w:rsidR="00A72A39">
        <w:rPr>
          <w:rFonts w:eastAsia="Calibri" w:cs="Times New Roman"/>
          <w:color w:val="FF0000"/>
        </w:rPr>
        <w:t xml:space="preserve"> </w:t>
      </w:r>
      <w:r w:rsidR="001B1380">
        <w:rPr>
          <w:rFonts w:eastAsia="Calibri" w:cs="Times New Roman"/>
          <w:color w:val="FF0000"/>
        </w:rPr>
        <w:t xml:space="preserve">can </w:t>
      </w:r>
      <w:r w:rsidR="00A6344C">
        <w:rPr>
          <w:rFonts w:eastAsia="Calibri" w:cs="Times New Roman"/>
          <w:color w:val="FF0000"/>
        </w:rPr>
        <w:t xml:space="preserve">result in </w:t>
      </w:r>
      <w:r w:rsidR="00E201F3">
        <w:rPr>
          <w:rFonts w:eastAsia="Calibri" w:cs="Times New Roman"/>
          <w:color w:val="FF0000"/>
        </w:rPr>
        <w:t xml:space="preserve">improved </w:t>
      </w:r>
      <w:r w:rsidR="001B1380">
        <w:rPr>
          <w:rFonts w:eastAsia="Calibri" w:cs="Times New Roman"/>
          <w:color w:val="FF0000"/>
        </w:rPr>
        <w:t xml:space="preserve">patient </w:t>
      </w:r>
      <w:r w:rsidR="000831B2">
        <w:rPr>
          <w:rFonts w:eastAsia="Calibri" w:cs="Times New Roman"/>
          <w:color w:val="FF0000"/>
        </w:rPr>
        <w:t>function</w:t>
      </w:r>
      <w:r w:rsidR="00E201F3">
        <w:rPr>
          <w:rFonts w:eastAsia="Calibri" w:cs="Times New Roman"/>
          <w:color w:val="FF0000"/>
        </w:rPr>
        <w:t>ing</w:t>
      </w:r>
      <w:r w:rsidR="001B1380">
        <w:rPr>
          <w:rFonts w:eastAsia="Calibri" w:cs="Times New Roman"/>
          <w:color w:val="FF0000"/>
        </w:rPr>
        <w:t xml:space="preserve">. </w:t>
      </w:r>
    </w:p>
    <w:bookmarkEnd w:id="5"/>
    <w:p w14:paraId="0B7B27C1" w14:textId="6A5D818A" w:rsidR="007B4916" w:rsidRDefault="007B4916" w:rsidP="00495839">
      <w:pPr>
        <w:tabs>
          <w:tab w:val="left" w:pos="8910"/>
        </w:tabs>
        <w:autoSpaceDE w:val="0"/>
        <w:autoSpaceDN w:val="0"/>
        <w:adjustRightInd w:val="0"/>
        <w:ind w:left="0" w:right="-180" w:firstLine="0"/>
        <w:rPr>
          <w:rFonts w:eastAsia="Calibri" w:cs="Times New Roman"/>
          <w:color w:val="FF0000"/>
        </w:rPr>
      </w:pPr>
    </w:p>
    <w:p w14:paraId="203F8C9C" w14:textId="5636BC7C" w:rsidR="00240196" w:rsidRDefault="00240196" w:rsidP="00495839">
      <w:pPr>
        <w:tabs>
          <w:tab w:val="left" w:pos="8910"/>
        </w:tabs>
        <w:autoSpaceDE w:val="0"/>
        <w:autoSpaceDN w:val="0"/>
        <w:adjustRightInd w:val="0"/>
        <w:ind w:left="0" w:right="-180" w:firstLine="0"/>
        <w:rPr>
          <w:rFonts w:eastAsia="Calibri" w:cs="Times New Roman"/>
          <w:color w:val="FF0000"/>
        </w:rPr>
      </w:pPr>
    </w:p>
    <w:p w14:paraId="076E798B" w14:textId="343977BA" w:rsidR="00240196" w:rsidRDefault="00240196" w:rsidP="00495839">
      <w:pPr>
        <w:tabs>
          <w:tab w:val="left" w:pos="8910"/>
        </w:tabs>
        <w:autoSpaceDE w:val="0"/>
        <w:autoSpaceDN w:val="0"/>
        <w:adjustRightInd w:val="0"/>
        <w:ind w:left="0" w:right="-180" w:firstLine="0"/>
        <w:rPr>
          <w:rFonts w:eastAsia="Calibri" w:cs="Times New Roman"/>
          <w:color w:val="FF0000"/>
        </w:rPr>
      </w:pPr>
    </w:p>
    <w:p w14:paraId="1BB2F72F" w14:textId="3BC18D08" w:rsidR="00240196" w:rsidRDefault="00240196" w:rsidP="00495839">
      <w:pPr>
        <w:tabs>
          <w:tab w:val="left" w:pos="8910"/>
        </w:tabs>
        <w:autoSpaceDE w:val="0"/>
        <w:autoSpaceDN w:val="0"/>
        <w:adjustRightInd w:val="0"/>
        <w:ind w:left="0" w:right="-180" w:firstLine="0"/>
        <w:rPr>
          <w:rFonts w:eastAsia="Calibri" w:cs="Times New Roman"/>
          <w:color w:val="FF0000"/>
        </w:rPr>
      </w:pPr>
    </w:p>
    <w:p w14:paraId="0B4C4646" w14:textId="0830A128" w:rsidR="00240196" w:rsidRDefault="00240196" w:rsidP="00495839">
      <w:pPr>
        <w:tabs>
          <w:tab w:val="left" w:pos="8910"/>
        </w:tabs>
        <w:autoSpaceDE w:val="0"/>
        <w:autoSpaceDN w:val="0"/>
        <w:adjustRightInd w:val="0"/>
        <w:ind w:left="0" w:right="-180" w:firstLine="0"/>
        <w:rPr>
          <w:rFonts w:eastAsia="Calibri" w:cs="Times New Roman"/>
          <w:color w:val="FF0000"/>
        </w:rPr>
      </w:pPr>
    </w:p>
    <w:p w14:paraId="4CA33813" w14:textId="2CAB01C0" w:rsidR="00240196" w:rsidRDefault="00240196" w:rsidP="00495839">
      <w:pPr>
        <w:tabs>
          <w:tab w:val="left" w:pos="8910"/>
        </w:tabs>
        <w:autoSpaceDE w:val="0"/>
        <w:autoSpaceDN w:val="0"/>
        <w:adjustRightInd w:val="0"/>
        <w:ind w:left="0" w:right="-180" w:firstLine="0"/>
        <w:rPr>
          <w:rFonts w:eastAsia="Calibri" w:cs="Times New Roman"/>
          <w:color w:val="FF0000"/>
        </w:rPr>
      </w:pPr>
    </w:p>
    <w:p w14:paraId="376EFC37" w14:textId="37CE9F2D" w:rsidR="00240196" w:rsidRDefault="00240196" w:rsidP="00495839">
      <w:pPr>
        <w:tabs>
          <w:tab w:val="left" w:pos="8910"/>
        </w:tabs>
        <w:autoSpaceDE w:val="0"/>
        <w:autoSpaceDN w:val="0"/>
        <w:adjustRightInd w:val="0"/>
        <w:ind w:left="0" w:right="-180" w:firstLine="0"/>
        <w:rPr>
          <w:rFonts w:eastAsia="Calibri" w:cs="Times New Roman"/>
          <w:color w:val="FF0000"/>
        </w:rPr>
      </w:pPr>
    </w:p>
    <w:p w14:paraId="0CBD48FC" w14:textId="54A59189" w:rsidR="00240196" w:rsidRDefault="00240196" w:rsidP="00495839">
      <w:pPr>
        <w:tabs>
          <w:tab w:val="left" w:pos="8910"/>
        </w:tabs>
        <w:autoSpaceDE w:val="0"/>
        <w:autoSpaceDN w:val="0"/>
        <w:adjustRightInd w:val="0"/>
        <w:ind w:left="0" w:right="-180" w:firstLine="0"/>
        <w:rPr>
          <w:rFonts w:eastAsia="Calibri" w:cs="Times New Roman"/>
          <w:color w:val="FF0000"/>
        </w:rPr>
      </w:pPr>
    </w:p>
    <w:p w14:paraId="6ECD1221" w14:textId="4C3D6244" w:rsidR="00240196" w:rsidRDefault="00240196" w:rsidP="00495839">
      <w:pPr>
        <w:tabs>
          <w:tab w:val="left" w:pos="8910"/>
        </w:tabs>
        <w:autoSpaceDE w:val="0"/>
        <w:autoSpaceDN w:val="0"/>
        <w:adjustRightInd w:val="0"/>
        <w:ind w:left="0" w:right="-180" w:firstLine="0"/>
        <w:rPr>
          <w:rFonts w:eastAsia="Calibri" w:cs="Times New Roman"/>
          <w:color w:val="FF0000"/>
        </w:rPr>
      </w:pPr>
    </w:p>
    <w:p w14:paraId="69EFA24B" w14:textId="77777777" w:rsidR="00240196" w:rsidRDefault="00240196" w:rsidP="00495839">
      <w:pPr>
        <w:tabs>
          <w:tab w:val="left" w:pos="8910"/>
        </w:tabs>
        <w:autoSpaceDE w:val="0"/>
        <w:autoSpaceDN w:val="0"/>
        <w:adjustRightInd w:val="0"/>
        <w:ind w:left="0" w:right="-180" w:firstLine="0"/>
        <w:rPr>
          <w:rFonts w:eastAsia="Calibri" w:cs="Times New Roman"/>
          <w:color w:val="FF0000"/>
        </w:rPr>
      </w:pPr>
    </w:p>
    <w:p w14:paraId="3FAC624C" w14:textId="1E3F1E51" w:rsidR="001B1380" w:rsidRDefault="001B1380" w:rsidP="00495839">
      <w:pPr>
        <w:tabs>
          <w:tab w:val="left" w:pos="8910"/>
        </w:tabs>
        <w:autoSpaceDE w:val="0"/>
        <w:autoSpaceDN w:val="0"/>
        <w:adjustRightInd w:val="0"/>
        <w:ind w:left="0" w:right="-180" w:firstLine="0"/>
        <w:rPr>
          <w:rFonts w:eastAsia="Calibri" w:cs="Times New Roman"/>
          <w:color w:val="FF0000"/>
        </w:rPr>
      </w:pPr>
      <w:bookmarkStart w:id="6" w:name="_Hlk5628835"/>
      <w:bookmarkStart w:id="7" w:name="_Hlk4961787"/>
      <w:r w:rsidRPr="00232295">
        <w:rPr>
          <w:rFonts w:eastAsia="Calibri" w:cs="Times New Roman"/>
          <w:color w:val="FF0000"/>
        </w:rPr>
        <w:t xml:space="preserve">Figure </w:t>
      </w:r>
      <w:r w:rsidR="00D71C39" w:rsidRPr="00232295">
        <w:rPr>
          <w:rFonts w:eastAsia="Calibri" w:cs="Times New Roman"/>
          <w:color w:val="FF0000"/>
        </w:rPr>
        <w:t>1a</w:t>
      </w:r>
      <w:r w:rsidR="00D71C39">
        <w:rPr>
          <w:rFonts w:eastAsia="Calibri" w:cs="Times New Roman"/>
          <w:color w:val="FF0000"/>
        </w:rPr>
        <w:t xml:space="preserve"> </w:t>
      </w:r>
      <w:r w:rsidR="00463ACF">
        <w:rPr>
          <w:rFonts w:eastAsia="Calibri" w:cs="Times New Roman"/>
          <w:color w:val="FF0000"/>
        </w:rPr>
        <w:t>Structures and Processes</w:t>
      </w:r>
      <w:r w:rsidR="0003064F">
        <w:rPr>
          <w:rFonts w:eastAsia="Calibri" w:cs="Times New Roman"/>
          <w:color w:val="FF0000"/>
        </w:rPr>
        <w:t xml:space="preserve"> </w:t>
      </w:r>
      <w:r w:rsidR="00463ACF">
        <w:rPr>
          <w:rFonts w:eastAsia="Calibri" w:cs="Times New Roman"/>
          <w:color w:val="FF0000"/>
        </w:rPr>
        <w:t xml:space="preserve">Associated with </w:t>
      </w:r>
      <w:r w:rsidR="001C464C">
        <w:rPr>
          <w:rFonts w:eastAsia="Calibri" w:cs="Times New Roman"/>
          <w:color w:val="FF0000"/>
        </w:rPr>
        <w:t xml:space="preserve">Patients’ Functional Outcomes. </w:t>
      </w:r>
      <w:r>
        <w:rPr>
          <w:rFonts w:eastAsia="Calibri" w:cs="Times New Roman"/>
          <w:color w:val="FF0000"/>
        </w:rPr>
        <w:t xml:space="preserve"> </w:t>
      </w:r>
    </w:p>
    <w:p w14:paraId="767AB8ED" w14:textId="77777777" w:rsidR="00BB48AE" w:rsidRPr="007B4916" w:rsidRDefault="00BB48AE" w:rsidP="00495839">
      <w:pPr>
        <w:tabs>
          <w:tab w:val="left" w:pos="8910"/>
        </w:tabs>
        <w:autoSpaceDE w:val="0"/>
        <w:autoSpaceDN w:val="0"/>
        <w:adjustRightInd w:val="0"/>
        <w:ind w:left="0" w:right="-180" w:firstLine="0"/>
        <w:rPr>
          <w:rFonts w:eastAsia="Calibri" w:cs="Times New Roman"/>
          <w:color w:val="FF0000"/>
        </w:rPr>
      </w:pPr>
    </w:p>
    <w:p w14:paraId="4954AF0A" w14:textId="26BB9722" w:rsidR="007B4916" w:rsidRPr="00CB68C2" w:rsidRDefault="00CB68C2" w:rsidP="00495839">
      <w:pPr>
        <w:tabs>
          <w:tab w:val="left" w:pos="8910"/>
        </w:tabs>
        <w:autoSpaceDE w:val="0"/>
        <w:autoSpaceDN w:val="0"/>
        <w:adjustRightInd w:val="0"/>
        <w:ind w:left="0" w:right="-180" w:firstLine="0"/>
        <w:rPr>
          <w:rFonts w:eastAsia="Calibri" w:cs="Times New Roman"/>
        </w:rPr>
      </w:pPr>
      <w:bookmarkStart w:id="8" w:name="_GoBack"/>
      <w:bookmarkEnd w:id="6"/>
      <w:r>
        <w:rPr>
          <w:rFonts w:eastAsia="Calibri" w:cs="Times New Roman"/>
          <w:noProof/>
        </w:rPr>
        <w:drawing>
          <wp:inline distT="0" distB="0" distL="0" distR="0" wp14:anchorId="59FA44E1" wp14:editId="481A9232">
            <wp:extent cx="6303645" cy="7120890"/>
            <wp:effectExtent l="0" t="0" r="1905" b="3810"/>
            <wp:docPr id="11" name="Picture 11" descr="The diagram presents the healthcare structures and processes that are associated with the patient outcome of functional status in self-care. The structures related to this outcome include accreditation, specialty certification, information systems that facilitate communication and documentation, availability of equipment/devices that allow patients to practice activities, access to clinical trials and other research, and qualified and experienced clinicians and administrators such as board-certified rehabilitation physicians, physician consultants, occupational therapists, physical therapists, speech-language pathologists, certified RNs, care managers, discharge planners, psychologists, social workers, chaplains, wheelchair seating experts, orthotists, and prosthetists. The processes which include interventions and services related to this outcome include a comprehensive clinical assessments of each patient to determine medical issues and functional limitations, a patient (family) and clinical team that co-created a treatment plan with goals, the type, amount and intensity of therapy (OT, PT, SLP) dose (rehabilitation intensity or minutes of therapy), daily physician visits, rehabilitation nursing staffing, social/psychological services, music therapy, vision assessment/treatment, patient/family engagement and education, peer mentor visits, interdisciplinary rounds/treatment conference, and implementation of effective safety protocols (prevent falls, infections, pressure ulcers/injuries). This model shows that an IRF’s structures and processes (treatments or interventions) can result in improved patient functio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03645" cy="7120890"/>
                    </a:xfrm>
                    <a:prstGeom prst="rect">
                      <a:avLst/>
                    </a:prstGeom>
                    <a:noFill/>
                  </pic:spPr>
                </pic:pic>
              </a:graphicData>
            </a:graphic>
          </wp:inline>
        </w:drawing>
      </w:r>
      <w:bookmarkEnd w:id="8"/>
    </w:p>
    <w:p w14:paraId="3464A51D" w14:textId="5472A974" w:rsidR="007B4916" w:rsidRPr="00CB68C2" w:rsidRDefault="007B4916" w:rsidP="00495839">
      <w:pPr>
        <w:tabs>
          <w:tab w:val="left" w:pos="8910"/>
        </w:tabs>
        <w:autoSpaceDE w:val="0"/>
        <w:autoSpaceDN w:val="0"/>
        <w:adjustRightInd w:val="0"/>
        <w:ind w:left="0" w:right="-180" w:firstLine="0"/>
        <w:rPr>
          <w:rFonts w:eastAsia="Calibri" w:cs="Times New Roman"/>
        </w:rPr>
      </w:pPr>
    </w:p>
    <w:p w14:paraId="4147DA3A" w14:textId="7C8BB424" w:rsidR="00216150" w:rsidRDefault="00216150">
      <w:pPr>
        <w:rPr>
          <w:rFonts w:eastAsia="Calibri" w:cs="Times New Roman"/>
          <w:color w:val="0000FF"/>
        </w:rPr>
      </w:pPr>
      <w:r>
        <w:rPr>
          <w:rFonts w:eastAsia="Calibri" w:cs="Times New Roman"/>
          <w:color w:val="0000FF"/>
        </w:rPr>
        <w:br w:type="page"/>
      </w:r>
    </w:p>
    <w:p w14:paraId="4C36D3CB" w14:textId="6A20296B" w:rsidR="00BD1894" w:rsidRPr="00F30189" w:rsidRDefault="00232295" w:rsidP="00495839">
      <w:pPr>
        <w:tabs>
          <w:tab w:val="left" w:pos="8910"/>
        </w:tabs>
        <w:autoSpaceDE w:val="0"/>
        <w:autoSpaceDN w:val="0"/>
        <w:adjustRightInd w:val="0"/>
        <w:spacing w:before="240"/>
        <w:ind w:left="0" w:right="-180" w:firstLine="0"/>
        <w:rPr>
          <w:rFonts w:eastAsia="Calibri" w:cs="Times New Roman"/>
          <w:b/>
          <w:color w:val="716767" w:themeColor="accent6" w:themeShade="BF"/>
        </w:rPr>
      </w:pPr>
      <w:bookmarkStart w:id="9" w:name="_Hlk5629343"/>
      <w:bookmarkEnd w:id="7"/>
      <w:r w:rsidRPr="00F30189">
        <w:rPr>
          <w:rFonts w:eastAsia="Calibri" w:cs="Times New Roman"/>
          <w:b/>
          <w:color w:val="716767" w:themeColor="accent6" w:themeShade="BF"/>
        </w:rPr>
        <w:lastRenderedPageBreak/>
        <w:t>From p</w:t>
      </w:r>
      <w:r w:rsidR="00BD1894" w:rsidRPr="00F30189">
        <w:rPr>
          <w:rFonts w:eastAsia="Calibri" w:cs="Times New Roman"/>
          <w:b/>
          <w:color w:val="716767" w:themeColor="accent6" w:themeShade="BF"/>
        </w:rPr>
        <w:t>revious NQF Submission (2014)</w:t>
      </w:r>
    </w:p>
    <w:p w14:paraId="4F6398A0" w14:textId="77EFF92B" w:rsidR="00495839" w:rsidRPr="00F30189" w:rsidRDefault="00495839" w:rsidP="00495839">
      <w:pPr>
        <w:tabs>
          <w:tab w:val="left" w:pos="8910"/>
        </w:tabs>
        <w:autoSpaceDE w:val="0"/>
        <w:autoSpaceDN w:val="0"/>
        <w:adjustRightInd w:val="0"/>
        <w:spacing w:before="240"/>
        <w:ind w:left="0" w:right="-180" w:firstLine="0"/>
        <w:rPr>
          <w:rFonts w:eastAsia="Calibri" w:cs="Times New Roman"/>
          <w:color w:val="716767" w:themeColor="accent6" w:themeShade="BF"/>
        </w:rPr>
      </w:pPr>
      <w:r w:rsidRPr="00F30189">
        <w:rPr>
          <w:rFonts w:eastAsia="Calibri" w:cs="Times New Roman"/>
          <w:color w:val="716767" w:themeColor="accent6" w:themeShade="BF"/>
        </w:rPr>
        <w:t xml:space="preserve">Given that the primary goal of rehabilitation is improvement in function, IRF clinicians have traditionally assessed and documented patients’ functional status at admission and discharge to evaluate the effectiveness of the rehabilitation care provided to individual patients, as well as the effectiveness of the IRF overall (see </w:t>
      </w:r>
      <w:r w:rsidRPr="00F30189">
        <w:rPr>
          <w:rFonts w:eastAsia="Calibri" w:cs="Times New Roman"/>
          <w:b/>
          <w:bCs/>
          <w:color w:val="716767" w:themeColor="accent6" w:themeShade="BF"/>
        </w:rPr>
        <w:t>Figure 1</w:t>
      </w:r>
      <w:r w:rsidRPr="00F30189">
        <w:rPr>
          <w:rFonts w:eastAsia="Calibri" w:cs="Times New Roman"/>
          <w:color w:val="716767" w:themeColor="accent6" w:themeShade="BF"/>
        </w:rPr>
        <w:t xml:space="preserve">). </w:t>
      </w:r>
    </w:p>
    <w:p w14:paraId="3AE31BED" w14:textId="18BAEF4F" w:rsidR="00495839" w:rsidRPr="00F30189" w:rsidRDefault="00495839" w:rsidP="00495839">
      <w:pPr>
        <w:tabs>
          <w:tab w:val="left" w:pos="8910"/>
        </w:tabs>
        <w:autoSpaceDE w:val="0"/>
        <w:autoSpaceDN w:val="0"/>
        <w:adjustRightInd w:val="0"/>
        <w:spacing w:before="240"/>
        <w:ind w:left="0" w:right="-180" w:firstLine="0"/>
        <w:rPr>
          <w:rFonts w:eastAsia="Calibri" w:cs="Times New Roman"/>
          <w:b/>
          <w:color w:val="716767" w:themeColor="accent6" w:themeShade="BF"/>
        </w:rPr>
      </w:pPr>
      <w:r w:rsidRPr="00F30189">
        <w:rPr>
          <w:rFonts w:eastAsia="Calibri" w:cs="Times New Roman"/>
          <w:b/>
          <w:color w:val="716767" w:themeColor="accent6" w:themeShade="BF"/>
        </w:rPr>
        <w:t>Figure 1. Role of Patient Assessment, Interventions and Functional Outcomes</w:t>
      </w:r>
      <w:r w:rsidR="00BD1894" w:rsidRPr="00F30189">
        <w:rPr>
          <w:rFonts w:eastAsia="Calibri" w:cs="Times New Roman"/>
          <w:b/>
          <w:color w:val="716767" w:themeColor="accent6" w:themeShade="BF"/>
        </w:rPr>
        <w:t xml:space="preserve"> (2014 NQF Submission)</w:t>
      </w:r>
    </w:p>
    <w:bookmarkEnd w:id="9"/>
    <w:p w14:paraId="55B8DA5C" w14:textId="73DA9B8A" w:rsidR="00676BD4" w:rsidRPr="00F30189" w:rsidRDefault="00676BD4" w:rsidP="002E2177">
      <w:pPr>
        <w:ind w:left="432" w:hanging="432"/>
        <w:rPr>
          <w:b/>
          <w:color w:val="716767" w:themeColor="accent6" w:themeShade="BF"/>
        </w:rPr>
      </w:pPr>
    </w:p>
    <w:p w14:paraId="248DF9F8" w14:textId="39975DE1" w:rsidR="00495839" w:rsidRPr="00F30189" w:rsidRDefault="00495839" w:rsidP="002E2177">
      <w:pPr>
        <w:ind w:left="432" w:hanging="432"/>
        <w:rPr>
          <w:b/>
          <w:color w:val="716767" w:themeColor="accent6" w:themeShade="BF"/>
        </w:rPr>
      </w:pPr>
      <w:r w:rsidRPr="00F30189">
        <w:rPr>
          <w:noProof/>
          <w:color w:val="716767" w:themeColor="accent6" w:themeShade="BF"/>
        </w:rPr>
        <w:drawing>
          <wp:inline distT="0" distB="0" distL="0" distR="0" wp14:anchorId="2F97AE7D" wp14:editId="2235258F">
            <wp:extent cx="5907819" cy="1798032"/>
            <wp:effectExtent l="0" t="0" r="0" b="0"/>
            <wp:docPr id="1" name="Picture 1" descr="The diagram presents the role of assessing patients’ functional status, the processes that following including interventions and services and the resulting outcome in function. This figure shows the sequential steps in the relationship between assessing and documenting patients’ function status at admission and discharge to evaluate the effectiveness of the rehabilitation care provided. After the patient is assessed on admission, a care plan and treatment goals are established by the IRF and the treatment, including rehabilitation care and therapy is implemented. The patient is again assessed on discharge and the admission and discharge function status assessments are used to determine functional outcomes. This model shows that an IRF’s processes (treatments or interventions) can result in improved patient functio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548" cy="1807993"/>
                    </a:xfrm>
                    <a:prstGeom prst="rect">
                      <a:avLst/>
                    </a:prstGeom>
                    <a:noFill/>
                    <a:ln>
                      <a:noFill/>
                    </a:ln>
                  </pic:spPr>
                </pic:pic>
              </a:graphicData>
            </a:graphic>
          </wp:inline>
        </w:drawing>
      </w:r>
    </w:p>
    <w:p w14:paraId="7EF9497D" w14:textId="77777777" w:rsidR="00495839" w:rsidRDefault="00495839" w:rsidP="002E2177">
      <w:pPr>
        <w:ind w:left="432" w:hanging="432"/>
        <w:rPr>
          <w:b/>
          <w:color w:val="0000FF"/>
        </w:rPr>
      </w:pPr>
    </w:p>
    <w:p w14:paraId="33C7741B" w14:textId="00BF2FA7" w:rsidR="004922E4" w:rsidRDefault="004922E4" w:rsidP="004922E4">
      <w:pPr>
        <w:ind w:right="140"/>
        <w:rPr>
          <w:iCs/>
        </w:rPr>
      </w:pPr>
      <w:r>
        <w:rPr>
          <w:b/>
          <w:bCs/>
          <w:color w:val="0000FF"/>
        </w:rPr>
        <w:t>1a.3</w:t>
      </w:r>
      <w:r w:rsidRPr="003B1CC5">
        <w:rPr>
          <w:bCs/>
        </w:rPr>
        <w:t xml:space="preserve"> </w:t>
      </w:r>
      <w:r>
        <w:rPr>
          <w:b/>
          <w:bCs/>
        </w:rPr>
        <w:t xml:space="preserve">Value and Meaningfulness:  </w:t>
      </w:r>
      <w:r>
        <w:rPr>
          <w:bCs/>
        </w:rPr>
        <w:t xml:space="preserve"> </w:t>
      </w:r>
      <w:r w:rsidRPr="004922E4">
        <w:rPr>
          <w:b/>
          <w:iCs/>
        </w:rPr>
        <w:t xml:space="preserve">IF </w:t>
      </w:r>
      <w:r>
        <w:rPr>
          <w:iCs/>
        </w:rPr>
        <w:t xml:space="preserve">this measure is </w:t>
      </w:r>
      <w:r w:rsidRPr="004922E4">
        <w:rPr>
          <w:iCs/>
        </w:rPr>
        <w:t xml:space="preserve">derived from patient report, provide evidence that the target population values the measured </w:t>
      </w:r>
      <w:r w:rsidRPr="004922E4">
        <w:rPr>
          <w:b/>
          <w:i/>
          <w:iCs/>
        </w:rPr>
        <w:t>outcome, process, or structure</w:t>
      </w:r>
      <w:r w:rsidRPr="004922E4">
        <w:rPr>
          <w:iCs/>
        </w:rPr>
        <w:t xml:space="preserve"> and finds it meaningful. (Describe how and from whom their input was obtained.)</w:t>
      </w:r>
    </w:p>
    <w:p w14:paraId="7E2C52A3" w14:textId="77777777" w:rsidR="00F30189" w:rsidRDefault="00F30189" w:rsidP="004922E4">
      <w:pPr>
        <w:ind w:right="140"/>
        <w:rPr>
          <w:bCs/>
          <w:color w:val="FF0000"/>
        </w:rPr>
      </w:pPr>
    </w:p>
    <w:p w14:paraId="4193B9BD" w14:textId="0B37FE88" w:rsidR="00232295" w:rsidRPr="00232295" w:rsidRDefault="00232295" w:rsidP="004922E4">
      <w:pPr>
        <w:ind w:right="140"/>
        <w:rPr>
          <w:iCs/>
          <w:color w:val="FF0000"/>
        </w:rPr>
      </w:pPr>
      <w:r w:rsidRPr="00232295">
        <w:rPr>
          <w:bCs/>
          <w:color w:val="FF0000"/>
        </w:rPr>
        <w:t xml:space="preserve">Not applicable. </w:t>
      </w:r>
      <w:r>
        <w:rPr>
          <w:bCs/>
          <w:color w:val="FF0000"/>
        </w:rPr>
        <w:t>This measure uses data that is clinician-reported.</w:t>
      </w:r>
    </w:p>
    <w:p w14:paraId="39AF6396" w14:textId="77777777" w:rsidR="00D80DB2" w:rsidRPr="00D80DB2" w:rsidRDefault="00D80DB2" w:rsidP="00D80DB2">
      <w:pPr>
        <w:ind w:left="432" w:hanging="432"/>
        <w:rPr>
          <w:color w:val="FF0000"/>
        </w:rPr>
      </w:pPr>
    </w:p>
    <w:p w14:paraId="55B8DA61" w14:textId="77777777" w:rsidR="00676BD4" w:rsidRDefault="00C41794" w:rsidP="002E2177">
      <w:pPr>
        <w:ind w:left="432" w:hanging="432"/>
        <w:rPr>
          <w:b/>
          <w:color w:val="0000FF"/>
        </w:rPr>
      </w:pPr>
      <w:r>
        <w:rPr>
          <w:b/>
          <w:color w:val="0000FF"/>
        </w:rPr>
        <w:t xml:space="preserve">**RESPOND TO ONLY ONE SECTION </w:t>
      </w:r>
      <w:r w:rsidR="004E7215">
        <w:rPr>
          <w:b/>
          <w:color w:val="0000FF"/>
        </w:rPr>
        <w:t>BELOW -</w:t>
      </w:r>
      <w:r>
        <w:rPr>
          <w:b/>
          <w:color w:val="0000FF"/>
        </w:rPr>
        <w:t xml:space="preserve">EITHER 1a.2, 1a.3 or 1a.4) </w:t>
      </w:r>
      <w:r w:rsidR="00AB4ECE">
        <w:rPr>
          <w:b/>
          <w:color w:val="0000FF"/>
        </w:rPr>
        <w:t>**</w:t>
      </w:r>
    </w:p>
    <w:p w14:paraId="55B8DA62" w14:textId="77777777" w:rsidR="00676BD4" w:rsidRDefault="00676BD4" w:rsidP="002E2177">
      <w:pPr>
        <w:ind w:left="432" w:hanging="432"/>
        <w:rPr>
          <w:b/>
          <w:color w:val="0000FF"/>
        </w:rPr>
      </w:pPr>
    </w:p>
    <w:p w14:paraId="55B8DA63" w14:textId="26AB307C" w:rsidR="00496AF8" w:rsidRPr="00C41794" w:rsidRDefault="00B058A6" w:rsidP="00C41794">
      <w:pPr>
        <w:ind w:left="432" w:hanging="432"/>
        <w:rPr>
          <w:b/>
        </w:rPr>
      </w:pPr>
      <w:r w:rsidRPr="003B1CC5">
        <w:rPr>
          <w:b/>
          <w:color w:val="0000FF"/>
        </w:rPr>
        <w:t>1</w:t>
      </w:r>
      <w:r w:rsidR="00773485" w:rsidRPr="003B1CC5">
        <w:rPr>
          <w:b/>
          <w:color w:val="0000FF"/>
        </w:rPr>
        <w:t>a</w:t>
      </w:r>
      <w:r w:rsidRPr="003B1CC5">
        <w:rPr>
          <w:b/>
          <w:color w:val="0000FF"/>
        </w:rPr>
        <w:t>.2</w:t>
      </w:r>
      <w:r w:rsidR="00E41417" w:rsidRPr="003B1CC5">
        <w:rPr>
          <w:iCs/>
        </w:rPr>
        <w:t xml:space="preserve"> </w:t>
      </w:r>
      <w:r w:rsidR="00C41794" w:rsidRPr="00676BD4">
        <w:rPr>
          <w:b/>
        </w:rPr>
        <w:t>FOR OUTCOME MEASURES including PATIENT REPORTED OUTCOMES</w:t>
      </w:r>
      <w:r w:rsidR="003D6721">
        <w:rPr>
          <w:b/>
        </w:rPr>
        <w:t xml:space="preserve"> </w:t>
      </w:r>
      <w:r w:rsidR="00C41794">
        <w:rPr>
          <w:b/>
        </w:rPr>
        <w:t>-</w:t>
      </w:r>
      <w:r w:rsidR="00C41794" w:rsidRPr="003B1CC5">
        <w:rPr>
          <w:b/>
          <w:iCs/>
        </w:rPr>
        <w:t xml:space="preserve"> </w:t>
      </w:r>
      <w:r w:rsidR="003D6721">
        <w:rPr>
          <w:b/>
          <w:iCs/>
        </w:rPr>
        <w:t xml:space="preserve">Provide empirical data demonstrating </w:t>
      </w:r>
      <w:r w:rsidR="008B51D9" w:rsidRPr="003B1CC5">
        <w:rPr>
          <w:b/>
          <w:iCs/>
        </w:rPr>
        <w:t xml:space="preserve">the </w:t>
      </w:r>
      <w:r w:rsidR="005D25E9">
        <w:rPr>
          <w:b/>
          <w:iCs/>
        </w:rPr>
        <w:t xml:space="preserve">relationship </w:t>
      </w:r>
      <w:r w:rsidR="00AC1E53">
        <w:rPr>
          <w:b/>
          <w:iCs/>
        </w:rPr>
        <w:t>between</w:t>
      </w:r>
      <w:r w:rsidR="005D25E9">
        <w:rPr>
          <w:b/>
          <w:iCs/>
        </w:rPr>
        <w:t xml:space="preserve"> the </w:t>
      </w:r>
      <w:r w:rsidR="008B51D9" w:rsidRPr="003B1CC5">
        <w:rPr>
          <w:b/>
          <w:iCs/>
        </w:rPr>
        <w:t>outcome</w:t>
      </w:r>
      <w:r w:rsidR="005857F8" w:rsidRPr="003B1CC5">
        <w:rPr>
          <w:b/>
          <w:iCs/>
        </w:rPr>
        <w:t xml:space="preserve"> </w:t>
      </w:r>
      <w:r w:rsidR="00AA5587" w:rsidRPr="003B1CC5">
        <w:rPr>
          <w:b/>
          <w:iCs/>
        </w:rPr>
        <w:t>(</w:t>
      </w:r>
      <w:r w:rsidR="005857F8" w:rsidRPr="003B1CC5">
        <w:rPr>
          <w:b/>
          <w:iCs/>
        </w:rPr>
        <w:t>or PRO</w:t>
      </w:r>
      <w:r w:rsidR="00AA5587" w:rsidRPr="003B1CC5">
        <w:rPr>
          <w:b/>
          <w:iCs/>
        </w:rPr>
        <w:t>)</w:t>
      </w:r>
      <w:r w:rsidR="008B51D9" w:rsidRPr="003B1CC5">
        <w:rPr>
          <w:b/>
          <w:iCs/>
        </w:rPr>
        <w:t xml:space="preserve"> </w:t>
      </w:r>
      <w:r w:rsidR="005D25E9">
        <w:rPr>
          <w:b/>
          <w:iCs/>
        </w:rPr>
        <w:t>to</w:t>
      </w:r>
      <w:r w:rsidR="00236F87" w:rsidRPr="003B1CC5">
        <w:rPr>
          <w:b/>
          <w:iCs/>
        </w:rPr>
        <w:t xml:space="preserve"> </w:t>
      </w:r>
      <w:r w:rsidR="00496AF8" w:rsidRPr="003B1CC5">
        <w:rPr>
          <w:b/>
          <w:iCs/>
        </w:rPr>
        <w:t>at least one</w:t>
      </w:r>
      <w:r w:rsidR="009B5BEA" w:rsidRPr="003B1CC5">
        <w:rPr>
          <w:b/>
          <w:iCs/>
        </w:rPr>
        <w:t xml:space="preserve"> </w:t>
      </w:r>
      <w:r w:rsidR="003D6721">
        <w:rPr>
          <w:b/>
          <w:iCs/>
        </w:rPr>
        <w:t xml:space="preserve">healthcare structure, process, </w:t>
      </w:r>
      <w:r w:rsidR="00496AF8" w:rsidRPr="003B1CC5">
        <w:rPr>
          <w:b/>
          <w:iCs/>
        </w:rPr>
        <w:t>intervention, or service</w:t>
      </w:r>
      <w:r w:rsidR="00676BD4">
        <w:rPr>
          <w:b/>
          <w:iCs/>
        </w:rPr>
        <w:t>.</w:t>
      </w:r>
      <w:r w:rsidR="00AC1E53">
        <w:rPr>
          <w:b/>
          <w:iCs/>
        </w:rPr>
        <w:t xml:space="preserve"> </w:t>
      </w:r>
    </w:p>
    <w:p w14:paraId="55B8DA64" w14:textId="053D2B3F" w:rsidR="00D14F0B" w:rsidRDefault="00D14F0B" w:rsidP="002E2177">
      <w:pPr>
        <w:ind w:left="0" w:firstLine="0"/>
        <w:rPr>
          <w:iCs/>
        </w:rPr>
      </w:pPr>
    </w:p>
    <w:p w14:paraId="43BDA1D2" w14:textId="00BCCB96" w:rsidR="00131F94" w:rsidRDefault="00251C77" w:rsidP="00495839">
      <w:pPr>
        <w:tabs>
          <w:tab w:val="left" w:pos="8910"/>
        </w:tabs>
        <w:ind w:left="0" w:right="-180" w:firstLine="0"/>
        <w:rPr>
          <w:rFonts w:eastAsia="Calibri" w:cs="Times New Roman"/>
          <w:color w:val="FF0000"/>
        </w:rPr>
      </w:pPr>
      <w:bookmarkStart w:id="10" w:name="_Hlk5629434"/>
      <w:bookmarkStart w:id="11" w:name="_Hlk4948637"/>
      <w:bookmarkStart w:id="12" w:name="_Hlk5015926"/>
      <w:r>
        <w:rPr>
          <w:rFonts w:eastAsia="Calibri" w:cs="Times New Roman"/>
          <w:color w:val="FF0000"/>
        </w:rPr>
        <w:t xml:space="preserve">To demonstrate that IRFs have the ability to </w:t>
      </w:r>
      <w:r w:rsidR="00D72C94">
        <w:rPr>
          <w:rFonts w:eastAsia="Calibri" w:cs="Times New Roman"/>
          <w:color w:val="FF0000"/>
        </w:rPr>
        <w:t xml:space="preserve">improve </w:t>
      </w:r>
      <w:r>
        <w:rPr>
          <w:rFonts w:eastAsia="Calibri" w:cs="Times New Roman"/>
          <w:color w:val="FF0000"/>
        </w:rPr>
        <w:t>patient function</w:t>
      </w:r>
      <w:r w:rsidR="00952557">
        <w:rPr>
          <w:rFonts w:eastAsia="Calibri" w:cs="Times New Roman"/>
          <w:color w:val="FF0000"/>
        </w:rPr>
        <w:t>ing</w:t>
      </w:r>
      <w:r>
        <w:rPr>
          <w:rFonts w:eastAsia="Calibri" w:cs="Times New Roman"/>
          <w:color w:val="FF0000"/>
        </w:rPr>
        <w:t xml:space="preserve">, </w:t>
      </w:r>
      <w:r w:rsidR="007A306D">
        <w:rPr>
          <w:rFonts w:eastAsia="Calibri" w:cs="Times New Roman"/>
          <w:color w:val="FF0000"/>
        </w:rPr>
        <w:t xml:space="preserve">including </w:t>
      </w:r>
      <w:r>
        <w:rPr>
          <w:rFonts w:eastAsia="Calibri" w:cs="Times New Roman"/>
          <w:color w:val="FF0000"/>
        </w:rPr>
        <w:t xml:space="preserve">self-care </w:t>
      </w:r>
      <w:r w:rsidR="00886CF1">
        <w:rPr>
          <w:rFonts w:eastAsia="Calibri" w:cs="Times New Roman"/>
          <w:color w:val="FF0000"/>
        </w:rPr>
        <w:t xml:space="preserve">abilities, </w:t>
      </w:r>
      <w:r w:rsidR="007575EC">
        <w:rPr>
          <w:rFonts w:eastAsia="Calibri" w:cs="Times New Roman"/>
          <w:color w:val="FF0000"/>
        </w:rPr>
        <w:t xml:space="preserve">NQF requires </w:t>
      </w:r>
      <w:r w:rsidR="00886CF1">
        <w:rPr>
          <w:rFonts w:eastAsia="Calibri" w:cs="Times New Roman"/>
          <w:color w:val="FF0000"/>
        </w:rPr>
        <w:t>evidence</w:t>
      </w:r>
      <w:r>
        <w:rPr>
          <w:rFonts w:eastAsia="Calibri" w:cs="Times New Roman"/>
          <w:color w:val="FF0000"/>
        </w:rPr>
        <w:t xml:space="preserve"> that at least one structure, process, intervention or service can affect patient functioning.  </w:t>
      </w:r>
      <w:r w:rsidRPr="007A306D">
        <w:rPr>
          <w:rFonts w:eastAsia="Calibri" w:cs="Times New Roman"/>
          <w:color w:val="FF0000"/>
        </w:rPr>
        <w:t>Because intensive</w:t>
      </w:r>
      <w:r w:rsidR="00952557">
        <w:rPr>
          <w:rFonts w:eastAsia="Calibri" w:cs="Times New Roman"/>
          <w:color w:val="FF0000"/>
        </w:rPr>
        <w:t>,</w:t>
      </w:r>
      <w:r w:rsidRPr="007A306D">
        <w:rPr>
          <w:rFonts w:eastAsia="Calibri" w:cs="Times New Roman"/>
          <w:color w:val="FF0000"/>
        </w:rPr>
        <w:t xml:space="preserve"> interdisciplinary therapy services are a core feature of an IRF stay</w:t>
      </w:r>
      <w:r w:rsidR="005F7F66">
        <w:rPr>
          <w:rFonts w:eastAsia="Calibri" w:cs="Times New Roman"/>
          <w:color w:val="FF0000"/>
        </w:rPr>
        <w:t xml:space="preserve"> and </w:t>
      </w:r>
      <w:bookmarkStart w:id="13" w:name="_Hlk5644309"/>
      <w:r w:rsidR="001736B7">
        <w:rPr>
          <w:rFonts w:eastAsia="Calibri" w:cs="Times New Roman"/>
          <w:color w:val="FF0000"/>
        </w:rPr>
        <w:t>these services are targeted to improve</w:t>
      </w:r>
      <w:r w:rsidR="007A306D">
        <w:rPr>
          <w:rFonts w:eastAsia="Calibri" w:cs="Times New Roman"/>
          <w:color w:val="FF0000"/>
        </w:rPr>
        <w:t xml:space="preserve"> </w:t>
      </w:r>
      <w:r w:rsidR="005F7F66">
        <w:rPr>
          <w:rFonts w:eastAsia="Calibri" w:cs="Times New Roman"/>
          <w:color w:val="FF0000"/>
        </w:rPr>
        <w:t>functional outcomes</w:t>
      </w:r>
      <w:bookmarkEnd w:id="13"/>
      <w:r w:rsidRPr="007A306D">
        <w:rPr>
          <w:rFonts w:eastAsia="Calibri" w:cs="Times New Roman"/>
          <w:color w:val="FF0000"/>
        </w:rPr>
        <w:t>,</w:t>
      </w:r>
      <w:r w:rsidR="005F7F66">
        <w:rPr>
          <w:rFonts w:eastAsia="Calibri" w:cs="Times New Roman"/>
          <w:color w:val="FF0000"/>
        </w:rPr>
        <w:t xml:space="preserve"> we provide a summary of evidence </w:t>
      </w:r>
      <w:r w:rsidR="00232295">
        <w:rPr>
          <w:rFonts w:eastAsia="Calibri" w:cs="Times New Roman"/>
          <w:color w:val="FF0000"/>
        </w:rPr>
        <w:t xml:space="preserve">from the literature that is </w:t>
      </w:r>
      <w:r w:rsidR="005F7F66">
        <w:rPr>
          <w:rFonts w:eastAsia="Calibri" w:cs="Times New Roman"/>
          <w:color w:val="FF0000"/>
        </w:rPr>
        <w:t xml:space="preserve">focused on therapy </w:t>
      </w:r>
      <w:r w:rsidR="00451054">
        <w:rPr>
          <w:rFonts w:eastAsia="Calibri" w:cs="Times New Roman"/>
          <w:color w:val="FF0000"/>
        </w:rPr>
        <w:t xml:space="preserve">services </w:t>
      </w:r>
      <w:r w:rsidR="005F7F66">
        <w:rPr>
          <w:rFonts w:eastAsia="Calibri" w:cs="Times New Roman"/>
          <w:color w:val="FF0000"/>
        </w:rPr>
        <w:t>and functional outcomes.</w:t>
      </w:r>
    </w:p>
    <w:p w14:paraId="0D6730EC" w14:textId="77777777" w:rsidR="00251C77" w:rsidRDefault="00251C77" w:rsidP="00495839">
      <w:pPr>
        <w:tabs>
          <w:tab w:val="left" w:pos="8910"/>
        </w:tabs>
        <w:ind w:left="0" w:right="-180" w:firstLine="0"/>
        <w:rPr>
          <w:rFonts w:eastAsia="Calibri" w:cs="Times New Roman"/>
          <w:color w:val="FF0000"/>
        </w:rPr>
      </w:pPr>
    </w:p>
    <w:p w14:paraId="432D321A" w14:textId="5304CB29" w:rsidR="002A3D14" w:rsidRDefault="00534D24" w:rsidP="00495839">
      <w:pPr>
        <w:tabs>
          <w:tab w:val="left" w:pos="8910"/>
        </w:tabs>
        <w:ind w:left="0" w:right="-180" w:firstLine="0"/>
        <w:rPr>
          <w:rFonts w:eastAsia="Calibri" w:cs="Times New Roman"/>
          <w:color w:val="FF0000"/>
        </w:rPr>
      </w:pPr>
      <w:r>
        <w:rPr>
          <w:rFonts w:eastAsia="Calibri" w:cs="Times New Roman"/>
          <w:color w:val="FF0000"/>
        </w:rPr>
        <w:t>For this evidence update, we conducted a scoping review to identify relevant literature</w:t>
      </w:r>
      <w:r w:rsidR="008E1156">
        <w:rPr>
          <w:rFonts w:eastAsia="Calibri" w:cs="Times New Roman"/>
          <w:color w:val="FF0000"/>
        </w:rPr>
        <w:t xml:space="preserve"> examining </w:t>
      </w:r>
      <w:r w:rsidR="00C97660">
        <w:rPr>
          <w:rFonts w:eastAsia="Calibri" w:cs="Times New Roman"/>
          <w:color w:val="FF0000"/>
        </w:rPr>
        <w:t xml:space="preserve">the relation between </w:t>
      </w:r>
      <w:r w:rsidR="008E1156">
        <w:rPr>
          <w:rFonts w:eastAsia="Calibri" w:cs="Times New Roman"/>
          <w:color w:val="FF0000"/>
        </w:rPr>
        <w:t xml:space="preserve">therapy interventions </w:t>
      </w:r>
      <w:r w:rsidR="00C97660">
        <w:rPr>
          <w:rFonts w:eastAsia="Calibri" w:cs="Times New Roman"/>
          <w:color w:val="FF0000"/>
        </w:rPr>
        <w:t>and</w:t>
      </w:r>
      <w:r w:rsidR="008E1156">
        <w:rPr>
          <w:rFonts w:eastAsia="Calibri" w:cs="Times New Roman"/>
          <w:color w:val="FF0000"/>
        </w:rPr>
        <w:t xml:space="preserve"> improved patient </w:t>
      </w:r>
      <w:r w:rsidR="00451054">
        <w:rPr>
          <w:rFonts w:eastAsia="Calibri" w:cs="Times New Roman"/>
          <w:color w:val="FF0000"/>
        </w:rPr>
        <w:t>functioning</w:t>
      </w:r>
      <w:r w:rsidR="008E1156">
        <w:rPr>
          <w:rFonts w:eastAsia="Calibri" w:cs="Times New Roman"/>
          <w:color w:val="FF0000"/>
        </w:rPr>
        <w:t xml:space="preserve">. </w:t>
      </w:r>
      <w:r w:rsidR="00232295">
        <w:rPr>
          <w:rFonts w:eastAsia="Calibri" w:cs="Times New Roman"/>
          <w:color w:val="FF0000"/>
        </w:rPr>
        <w:t xml:space="preserve">We </w:t>
      </w:r>
      <w:r w:rsidR="00451054">
        <w:rPr>
          <w:rFonts w:eastAsia="Calibri" w:cs="Times New Roman"/>
          <w:color w:val="FF0000"/>
        </w:rPr>
        <w:t>describe</w:t>
      </w:r>
      <w:r w:rsidR="00232295">
        <w:rPr>
          <w:rFonts w:eastAsia="Calibri" w:cs="Times New Roman"/>
          <w:color w:val="FF0000"/>
        </w:rPr>
        <w:t xml:space="preserve"> the d</w:t>
      </w:r>
      <w:r w:rsidR="008E1156">
        <w:rPr>
          <w:rFonts w:eastAsia="Calibri" w:cs="Times New Roman"/>
          <w:color w:val="FF0000"/>
        </w:rPr>
        <w:t>etails about the scoping review method</w:t>
      </w:r>
      <w:r w:rsidR="007A306D">
        <w:rPr>
          <w:rFonts w:eastAsia="Calibri" w:cs="Times New Roman"/>
          <w:color w:val="FF0000"/>
        </w:rPr>
        <w:t>ology</w:t>
      </w:r>
      <w:r w:rsidR="00232295">
        <w:rPr>
          <w:rFonts w:eastAsia="Calibri" w:cs="Times New Roman"/>
          <w:color w:val="FF0000"/>
        </w:rPr>
        <w:t xml:space="preserve"> below</w:t>
      </w:r>
      <w:r w:rsidR="007A306D">
        <w:rPr>
          <w:rFonts w:eastAsia="Calibri" w:cs="Times New Roman"/>
          <w:color w:val="FF0000"/>
        </w:rPr>
        <w:t>,</w:t>
      </w:r>
      <w:r w:rsidR="008E1156">
        <w:rPr>
          <w:rFonts w:eastAsia="Calibri" w:cs="Times New Roman"/>
          <w:color w:val="FF0000"/>
        </w:rPr>
        <w:t xml:space="preserve"> </w:t>
      </w:r>
      <w:r w:rsidR="007A306D">
        <w:rPr>
          <w:rFonts w:eastAsia="Calibri" w:cs="Times New Roman"/>
          <w:color w:val="FF0000"/>
        </w:rPr>
        <w:t xml:space="preserve">after </w:t>
      </w:r>
      <w:r w:rsidR="009B7E4E">
        <w:rPr>
          <w:rFonts w:eastAsia="Calibri" w:cs="Times New Roman"/>
          <w:color w:val="FF0000"/>
        </w:rPr>
        <w:t xml:space="preserve">the literature </w:t>
      </w:r>
      <w:r w:rsidR="00232295">
        <w:rPr>
          <w:rFonts w:eastAsia="Calibri" w:cs="Times New Roman"/>
          <w:color w:val="FF0000"/>
        </w:rPr>
        <w:t xml:space="preserve">summary </w:t>
      </w:r>
      <w:r w:rsidR="009B7E4E">
        <w:rPr>
          <w:rFonts w:eastAsia="Calibri" w:cs="Times New Roman"/>
          <w:color w:val="FF0000"/>
        </w:rPr>
        <w:t>and abstracts.</w:t>
      </w:r>
      <w:r w:rsidR="002C4C76">
        <w:rPr>
          <w:rFonts w:eastAsia="Calibri" w:cs="Times New Roman"/>
          <w:color w:val="FF0000"/>
        </w:rPr>
        <w:t xml:space="preserve"> However, we would like to note upfront that the summary below only includes articles published after January 1, 2013 since </w:t>
      </w:r>
      <w:r w:rsidR="002C4C76" w:rsidRPr="00F776E9">
        <w:rPr>
          <w:color w:val="FF0000"/>
        </w:rPr>
        <w:t xml:space="preserve">we sought to identify </w:t>
      </w:r>
      <w:r w:rsidR="002C4C76">
        <w:rPr>
          <w:color w:val="FF0000"/>
        </w:rPr>
        <w:t xml:space="preserve">relevant </w:t>
      </w:r>
      <w:r w:rsidR="002C4C76" w:rsidRPr="00F776E9">
        <w:rPr>
          <w:color w:val="FF0000"/>
        </w:rPr>
        <w:t xml:space="preserve">literature </w:t>
      </w:r>
      <w:r w:rsidR="002C4C76">
        <w:rPr>
          <w:color w:val="FF0000"/>
        </w:rPr>
        <w:t>since our 2014</w:t>
      </w:r>
      <w:r w:rsidR="002C4C76" w:rsidRPr="00F776E9">
        <w:rPr>
          <w:color w:val="FF0000"/>
        </w:rPr>
        <w:t xml:space="preserve"> NQF submission.</w:t>
      </w:r>
    </w:p>
    <w:p w14:paraId="17E649F2" w14:textId="77777777" w:rsidR="00DA260D" w:rsidRDefault="00DA260D" w:rsidP="00C90CB0">
      <w:pPr>
        <w:ind w:left="0" w:firstLine="0"/>
        <w:rPr>
          <w:b/>
          <w:color w:val="FF0000"/>
        </w:rPr>
      </w:pPr>
    </w:p>
    <w:p w14:paraId="76DE7BF5" w14:textId="62BD6C08" w:rsidR="00C90CB0" w:rsidRPr="007575EC" w:rsidRDefault="00C90CB0" w:rsidP="00C90CB0">
      <w:pPr>
        <w:ind w:left="0" w:firstLine="0"/>
        <w:rPr>
          <w:b/>
          <w:color w:val="FF0000"/>
        </w:rPr>
      </w:pPr>
      <w:r w:rsidRPr="007575EC">
        <w:rPr>
          <w:b/>
          <w:color w:val="FF0000"/>
        </w:rPr>
        <w:t xml:space="preserve">Therapy </w:t>
      </w:r>
      <w:r w:rsidR="002C4C76" w:rsidRPr="007575EC">
        <w:rPr>
          <w:b/>
          <w:color w:val="FF0000"/>
        </w:rPr>
        <w:t>Interventions</w:t>
      </w:r>
      <w:r w:rsidRPr="007575EC">
        <w:rPr>
          <w:b/>
          <w:color w:val="FF0000"/>
        </w:rPr>
        <w:t xml:space="preserve"> and Functional Outcomes</w:t>
      </w:r>
    </w:p>
    <w:p w14:paraId="49BF8D4A" w14:textId="1035659C" w:rsidR="00463ACF" w:rsidRDefault="00463ACF" w:rsidP="00463ACF">
      <w:pPr>
        <w:ind w:left="0" w:firstLine="0"/>
        <w:rPr>
          <w:color w:val="FF0000"/>
        </w:rPr>
      </w:pPr>
      <w:bookmarkStart w:id="14" w:name="_Hlk5629478"/>
      <w:bookmarkEnd w:id="10"/>
      <w:bookmarkEnd w:id="11"/>
      <w:r>
        <w:rPr>
          <w:color w:val="FF0000"/>
        </w:rPr>
        <w:t xml:space="preserve">Most IRF research </w:t>
      </w:r>
      <w:r w:rsidR="00AE69FD">
        <w:rPr>
          <w:color w:val="FF0000"/>
        </w:rPr>
        <w:t>examining</w:t>
      </w:r>
      <w:r>
        <w:rPr>
          <w:color w:val="FF0000"/>
        </w:rPr>
        <w:t xml:space="preserve"> functional outcomes has focused on </w:t>
      </w:r>
      <w:r w:rsidRPr="00163D22">
        <w:rPr>
          <w:color w:val="FF0000"/>
        </w:rPr>
        <w:t>motor function</w:t>
      </w:r>
      <w:r>
        <w:rPr>
          <w:color w:val="FF0000"/>
        </w:rPr>
        <w:t xml:space="preserve">, which </w:t>
      </w:r>
      <w:r w:rsidR="00C90CB0">
        <w:rPr>
          <w:color w:val="FF0000"/>
        </w:rPr>
        <w:t xml:space="preserve">encompasses </w:t>
      </w:r>
      <w:r>
        <w:rPr>
          <w:color w:val="FF0000"/>
        </w:rPr>
        <w:t>self-care and mobility and</w:t>
      </w:r>
      <w:r w:rsidR="00E6145B">
        <w:rPr>
          <w:color w:val="FF0000"/>
        </w:rPr>
        <w:t xml:space="preserve"> sometimes</w:t>
      </w:r>
      <w:r>
        <w:rPr>
          <w:color w:val="FF0000"/>
        </w:rPr>
        <w:t xml:space="preserve"> bladder </w:t>
      </w:r>
      <w:r w:rsidR="00952557">
        <w:rPr>
          <w:color w:val="FF0000"/>
        </w:rPr>
        <w:t>function</w:t>
      </w:r>
      <w:r>
        <w:rPr>
          <w:color w:val="FF0000"/>
        </w:rPr>
        <w:t xml:space="preserve">. </w:t>
      </w:r>
      <w:r w:rsidR="009D5132">
        <w:rPr>
          <w:color w:val="FF0000"/>
        </w:rPr>
        <w:t xml:space="preserve">Several observational </w:t>
      </w:r>
      <w:r>
        <w:rPr>
          <w:color w:val="FF0000"/>
        </w:rPr>
        <w:t xml:space="preserve">studies </w:t>
      </w:r>
      <w:r w:rsidR="00755C92">
        <w:rPr>
          <w:color w:val="FF0000"/>
        </w:rPr>
        <w:t xml:space="preserve">have </w:t>
      </w:r>
      <w:r>
        <w:rPr>
          <w:color w:val="FF0000"/>
        </w:rPr>
        <w:t>report</w:t>
      </w:r>
      <w:r w:rsidR="00755C92">
        <w:rPr>
          <w:color w:val="FF0000"/>
        </w:rPr>
        <w:t>ed</w:t>
      </w:r>
      <w:r>
        <w:rPr>
          <w:color w:val="FF0000"/>
        </w:rPr>
        <w:t xml:space="preserve"> </w:t>
      </w:r>
      <w:r>
        <w:rPr>
          <w:color w:val="FF0000"/>
        </w:rPr>
        <w:lastRenderedPageBreak/>
        <w:t xml:space="preserve">positive </w:t>
      </w:r>
      <w:r w:rsidRPr="002F0054">
        <w:rPr>
          <w:color w:val="FF0000"/>
        </w:rPr>
        <w:t xml:space="preserve">associations between </w:t>
      </w:r>
      <w:r w:rsidR="00AE69FD">
        <w:rPr>
          <w:color w:val="FF0000"/>
        </w:rPr>
        <w:t>the amount of therapy provided</w:t>
      </w:r>
      <w:r w:rsidRPr="002F0054">
        <w:rPr>
          <w:color w:val="FF0000"/>
        </w:rPr>
        <w:t xml:space="preserve"> and motor function </w:t>
      </w:r>
      <w:r w:rsidR="00AE69FD">
        <w:rPr>
          <w:color w:val="FF0000"/>
        </w:rPr>
        <w:t>for</w:t>
      </w:r>
      <w:r w:rsidR="00755C92">
        <w:rPr>
          <w:color w:val="FF0000"/>
        </w:rPr>
        <w:t xml:space="preserve"> patients with various </w:t>
      </w:r>
      <w:r w:rsidRPr="00E50678">
        <w:rPr>
          <w:color w:val="FF0000"/>
        </w:rPr>
        <w:t>diagnoses, including spinal cord injury (Backus et al., 2013), stroke (Wang et al., 2013; Goedert</w:t>
      </w:r>
      <w:r>
        <w:rPr>
          <w:color w:val="FF0000"/>
        </w:rPr>
        <w:t>,</w:t>
      </w:r>
      <w:r w:rsidRPr="00E50678">
        <w:rPr>
          <w:color w:val="FF0000"/>
        </w:rPr>
        <w:t xml:space="preserve"> </w:t>
      </w:r>
      <w:r w:rsidRPr="00DB35CA">
        <w:rPr>
          <w:color w:val="FF0000"/>
        </w:rPr>
        <w:t>Zhang</w:t>
      </w:r>
      <w:r>
        <w:rPr>
          <w:color w:val="FF0000"/>
        </w:rPr>
        <w:t xml:space="preserve"> </w:t>
      </w:r>
      <w:r w:rsidRPr="00DB35CA">
        <w:rPr>
          <w:color w:val="FF0000"/>
        </w:rPr>
        <w:t>&amp; Barrett</w:t>
      </w:r>
      <w:r w:rsidRPr="00E50678">
        <w:rPr>
          <w:color w:val="FF0000"/>
        </w:rPr>
        <w:t>, 2015), traumatic brain injury (Rose</w:t>
      </w:r>
      <w:r>
        <w:rPr>
          <w:color w:val="FF0000"/>
        </w:rPr>
        <w:t>n</w:t>
      </w:r>
      <w:r w:rsidRPr="00E50678">
        <w:rPr>
          <w:color w:val="FF0000"/>
        </w:rPr>
        <w:t xml:space="preserve">baum </w:t>
      </w:r>
      <w:r w:rsidRPr="0047741E">
        <w:rPr>
          <w:color w:val="FF0000"/>
        </w:rPr>
        <w:t>Gordon, Joannou, &amp; Berman</w:t>
      </w:r>
      <w:r w:rsidRPr="00E50678">
        <w:rPr>
          <w:color w:val="FF0000"/>
        </w:rPr>
        <w:t>, 2018), hip fracture (Siebens et al</w:t>
      </w:r>
      <w:r>
        <w:rPr>
          <w:color w:val="FF0000"/>
        </w:rPr>
        <w:t>.</w:t>
      </w:r>
      <w:r w:rsidRPr="00E50678">
        <w:rPr>
          <w:color w:val="FF0000"/>
        </w:rPr>
        <w:t>, 2013); and after West Nile Virus (</w:t>
      </w:r>
      <w:r w:rsidRPr="00E50678">
        <w:rPr>
          <w:rFonts w:ascii="Calibri" w:eastAsia="Times New Roman" w:hAnsi="Calibri" w:cs="Times New Roman"/>
          <w:noProof/>
          <w:color w:val="FF0000"/>
        </w:rPr>
        <w:t>Hoffman &amp; Paschal, 2013)</w:t>
      </w:r>
      <w:r w:rsidRPr="00E50678">
        <w:rPr>
          <w:color w:val="FF0000"/>
        </w:rPr>
        <w:t xml:space="preserve">. One additional study, that was not diagnosis specific, also found improved </w:t>
      </w:r>
      <w:r w:rsidR="00755C92">
        <w:rPr>
          <w:color w:val="FF0000"/>
        </w:rPr>
        <w:t>functional out</w:t>
      </w:r>
      <w:r w:rsidR="00952557">
        <w:rPr>
          <w:color w:val="FF0000"/>
        </w:rPr>
        <w:t>c</w:t>
      </w:r>
      <w:r w:rsidR="00755C92">
        <w:rPr>
          <w:color w:val="FF0000"/>
        </w:rPr>
        <w:t>omes</w:t>
      </w:r>
      <w:r w:rsidRPr="00E50678">
        <w:rPr>
          <w:color w:val="FF0000"/>
        </w:rPr>
        <w:t xml:space="preserve"> related to rehabilitation </w:t>
      </w:r>
      <w:r w:rsidR="00AE69FD">
        <w:rPr>
          <w:color w:val="FF0000"/>
        </w:rPr>
        <w:t xml:space="preserve">therapy </w:t>
      </w:r>
      <w:r w:rsidRPr="00E50678">
        <w:rPr>
          <w:color w:val="FF0000"/>
        </w:rPr>
        <w:t>intensity (Morghen et al., 2017).</w:t>
      </w:r>
      <w:r>
        <w:rPr>
          <w:color w:val="FF0000"/>
        </w:rPr>
        <w:t xml:space="preserve"> </w:t>
      </w:r>
      <w:r w:rsidR="0073564D">
        <w:rPr>
          <w:color w:val="FF0000"/>
        </w:rPr>
        <w:t>Bac</w:t>
      </w:r>
      <w:r w:rsidR="001736B7">
        <w:rPr>
          <w:color w:val="FF0000"/>
        </w:rPr>
        <w:t>k</w:t>
      </w:r>
      <w:r w:rsidR="0073564D">
        <w:rPr>
          <w:color w:val="FF0000"/>
        </w:rPr>
        <w:t xml:space="preserve">us </w:t>
      </w:r>
      <w:r w:rsidR="00E35886">
        <w:rPr>
          <w:color w:val="FF0000"/>
        </w:rPr>
        <w:t xml:space="preserve">(2013) </w:t>
      </w:r>
      <w:r w:rsidR="0073564D">
        <w:rPr>
          <w:color w:val="FF0000"/>
        </w:rPr>
        <w:t>found that m</w:t>
      </w:r>
      <w:r w:rsidR="0073564D" w:rsidRPr="00EC626A">
        <w:rPr>
          <w:rFonts w:cs="Segoe UI"/>
          <w:color w:val="FF0000"/>
        </w:rPr>
        <w:t xml:space="preserve">ore time in inpatient physical therapy (PT) was associated with higher </w:t>
      </w:r>
      <w:r w:rsidR="0073564D">
        <w:rPr>
          <w:rFonts w:cs="Segoe UI"/>
          <w:color w:val="FF0000"/>
        </w:rPr>
        <w:t>motor function</w:t>
      </w:r>
      <w:r w:rsidR="00A9496F">
        <w:rPr>
          <w:rFonts w:cs="Segoe UI"/>
          <w:color w:val="FF0000"/>
        </w:rPr>
        <w:t xml:space="preserve"> </w:t>
      </w:r>
      <w:r w:rsidR="00BD17FF">
        <w:rPr>
          <w:rFonts w:cs="Segoe UI"/>
          <w:color w:val="FF0000"/>
        </w:rPr>
        <w:t>1-year</w:t>
      </w:r>
      <w:r w:rsidR="00886CF1">
        <w:rPr>
          <w:rFonts w:cs="Segoe UI"/>
          <w:color w:val="FF0000"/>
        </w:rPr>
        <w:t xml:space="preserve"> post-</w:t>
      </w:r>
      <w:r w:rsidR="00A9496F">
        <w:rPr>
          <w:rFonts w:cs="Segoe UI"/>
          <w:color w:val="FF0000"/>
        </w:rPr>
        <w:t>discharge</w:t>
      </w:r>
      <w:r w:rsidR="001736B7">
        <w:rPr>
          <w:rFonts w:cs="Segoe UI"/>
          <w:color w:val="FF0000"/>
        </w:rPr>
        <w:t xml:space="preserve">, while Wang </w:t>
      </w:r>
      <w:r w:rsidR="00E35886">
        <w:rPr>
          <w:rFonts w:cs="Segoe UI"/>
          <w:color w:val="FF0000"/>
        </w:rPr>
        <w:t xml:space="preserve">(2013) </w:t>
      </w:r>
      <w:r w:rsidR="001736B7">
        <w:rPr>
          <w:rFonts w:cs="Segoe UI"/>
          <w:color w:val="FF0000"/>
        </w:rPr>
        <w:t>reported</w:t>
      </w:r>
      <w:r w:rsidR="001736B7" w:rsidRPr="00EC626A">
        <w:rPr>
          <w:rFonts w:cs="Segoe UI"/>
          <w:color w:val="FF0000"/>
        </w:rPr>
        <w:t xml:space="preserve"> a significant relationship between daily therapeutic duration and functional gain during </w:t>
      </w:r>
      <w:r w:rsidR="001736B7">
        <w:rPr>
          <w:rFonts w:cs="Segoe UI"/>
          <w:color w:val="FF0000"/>
        </w:rPr>
        <w:t>an IRF stay</w:t>
      </w:r>
      <w:r w:rsidR="001736B7" w:rsidRPr="00EC626A">
        <w:rPr>
          <w:rFonts w:cs="Segoe UI"/>
          <w:color w:val="FF0000"/>
        </w:rPr>
        <w:t xml:space="preserve"> and </w:t>
      </w:r>
      <w:r w:rsidR="009D5132">
        <w:rPr>
          <w:rFonts w:cs="Segoe UI"/>
          <w:color w:val="FF0000"/>
        </w:rPr>
        <w:t>offered</w:t>
      </w:r>
      <w:r w:rsidR="009D5132" w:rsidRPr="00EC626A">
        <w:rPr>
          <w:rFonts w:cs="Segoe UI"/>
          <w:color w:val="FF0000"/>
        </w:rPr>
        <w:t xml:space="preserve"> </w:t>
      </w:r>
      <w:r w:rsidR="001736B7" w:rsidRPr="00EC626A">
        <w:rPr>
          <w:rFonts w:cs="Segoe UI"/>
          <w:color w:val="FF0000"/>
        </w:rPr>
        <w:t xml:space="preserve">treatment time thresholds for optimal functional outcomes for patients </w:t>
      </w:r>
      <w:r w:rsidR="001736B7">
        <w:rPr>
          <w:rFonts w:cs="Segoe UI"/>
          <w:color w:val="FF0000"/>
        </w:rPr>
        <w:t>with stroke</w:t>
      </w:r>
      <w:r w:rsidR="0073564D">
        <w:rPr>
          <w:rFonts w:cs="Segoe UI"/>
          <w:color w:val="FF0000"/>
        </w:rPr>
        <w:t xml:space="preserve">. </w:t>
      </w:r>
    </w:p>
    <w:p w14:paraId="08B3F075" w14:textId="77777777" w:rsidR="00463ACF" w:rsidRDefault="00463ACF" w:rsidP="008E1156">
      <w:pPr>
        <w:ind w:left="0" w:firstLine="0"/>
        <w:rPr>
          <w:color w:val="FF0000"/>
        </w:rPr>
      </w:pPr>
    </w:p>
    <w:p w14:paraId="3777C8A7" w14:textId="6A1DDF0F" w:rsidR="00E35886" w:rsidRDefault="00E35886" w:rsidP="00E35886">
      <w:pPr>
        <w:ind w:left="0" w:firstLine="0"/>
        <w:rPr>
          <w:color w:val="FF0000"/>
        </w:rPr>
      </w:pPr>
      <w:bookmarkStart w:id="15" w:name="_Hlk5104639"/>
      <w:r>
        <w:rPr>
          <w:color w:val="FF0000"/>
        </w:rPr>
        <w:t xml:space="preserve">Two additional observational studies </w:t>
      </w:r>
      <w:r w:rsidRPr="00530B83">
        <w:rPr>
          <w:color w:val="FF0000"/>
        </w:rPr>
        <w:t>examined</w:t>
      </w:r>
      <w:r>
        <w:rPr>
          <w:color w:val="FF0000"/>
        </w:rPr>
        <w:t xml:space="preserve"> the influence of age </w:t>
      </w:r>
      <w:r w:rsidR="009D7AC0">
        <w:rPr>
          <w:color w:val="FF0000"/>
        </w:rPr>
        <w:t xml:space="preserve">as a mediator </w:t>
      </w:r>
      <w:r>
        <w:rPr>
          <w:color w:val="FF0000"/>
        </w:rPr>
        <w:t xml:space="preserve">on the amount of therapy provided and patients’ functional outcomes. One study found </w:t>
      </w:r>
      <w:r w:rsidRPr="000C74E5">
        <w:rPr>
          <w:color w:val="FF0000"/>
        </w:rPr>
        <w:t>that older</w:t>
      </w:r>
      <w:r>
        <w:rPr>
          <w:color w:val="FF0000"/>
        </w:rPr>
        <w:t xml:space="preserve"> adults (65 and older) with a traumatic brain injury received </w:t>
      </w:r>
      <w:r w:rsidRPr="00EC626A">
        <w:rPr>
          <w:rFonts w:cs="Segoe UI"/>
          <w:color w:val="FF0000"/>
        </w:rPr>
        <w:t xml:space="preserve">fewer hours of treatment per day </w:t>
      </w:r>
      <w:r>
        <w:rPr>
          <w:rFonts w:cs="Segoe UI"/>
          <w:color w:val="FF0000"/>
        </w:rPr>
        <w:t xml:space="preserve">and </w:t>
      </w:r>
      <w:r w:rsidRPr="00EC626A">
        <w:rPr>
          <w:rFonts w:cs="Segoe UI"/>
          <w:color w:val="FF0000"/>
        </w:rPr>
        <w:t>fewer</w:t>
      </w:r>
      <w:r>
        <w:rPr>
          <w:rFonts w:cs="Segoe UI"/>
          <w:color w:val="FF0000"/>
        </w:rPr>
        <w:t xml:space="preserve"> total</w:t>
      </w:r>
      <w:r w:rsidRPr="00EC626A">
        <w:rPr>
          <w:rFonts w:cs="Segoe UI"/>
          <w:color w:val="FF0000"/>
        </w:rPr>
        <w:t xml:space="preserve"> hours of therapy due to a shorter </w:t>
      </w:r>
      <w:r>
        <w:rPr>
          <w:rFonts w:cs="Segoe UI"/>
          <w:color w:val="FF0000"/>
        </w:rPr>
        <w:t>length of stay</w:t>
      </w:r>
      <w:r w:rsidRPr="00EC626A">
        <w:rPr>
          <w:rFonts w:cs="Segoe UI"/>
          <w:color w:val="FF0000"/>
        </w:rPr>
        <w:t xml:space="preserve">, </w:t>
      </w:r>
      <w:r>
        <w:rPr>
          <w:color w:val="FF0000"/>
        </w:rPr>
        <w:t xml:space="preserve">and these patients overall regained less function, compared to younger IRF patients (Djikers et al., 2013).  </w:t>
      </w:r>
      <w:r w:rsidRPr="002F0054">
        <w:rPr>
          <w:color w:val="FF0000"/>
        </w:rPr>
        <w:t xml:space="preserve">Hsieh et. al, </w:t>
      </w:r>
      <w:r>
        <w:rPr>
          <w:color w:val="FF0000"/>
        </w:rPr>
        <w:t>(</w:t>
      </w:r>
      <w:r w:rsidRPr="002F0054">
        <w:rPr>
          <w:color w:val="FF0000"/>
        </w:rPr>
        <w:t>2013</w:t>
      </w:r>
      <w:r>
        <w:rPr>
          <w:color w:val="FF0000"/>
        </w:rPr>
        <w:t>)</w:t>
      </w:r>
      <w:r w:rsidRPr="002F0054">
        <w:rPr>
          <w:color w:val="FF0000"/>
        </w:rPr>
        <w:t xml:space="preserve"> </w:t>
      </w:r>
      <w:r>
        <w:rPr>
          <w:color w:val="FF0000"/>
        </w:rPr>
        <w:t xml:space="preserve">found that older adults (60 and older) with a spinal cord injury received less rehabilitation therapy during longer rehabilitation stays, and had lower functional abilities compared to younger patients. </w:t>
      </w:r>
    </w:p>
    <w:p w14:paraId="48783030" w14:textId="77777777" w:rsidR="00E35886" w:rsidRDefault="00E35886" w:rsidP="00886CF1">
      <w:pPr>
        <w:ind w:left="0" w:firstLine="0"/>
        <w:rPr>
          <w:color w:val="FF0000"/>
        </w:rPr>
      </w:pPr>
    </w:p>
    <w:p w14:paraId="65FBD32C" w14:textId="095978B3" w:rsidR="00886CF1" w:rsidRDefault="00037F0C" w:rsidP="00886CF1">
      <w:pPr>
        <w:ind w:left="0" w:firstLine="0"/>
        <w:rPr>
          <w:color w:val="FF0000"/>
        </w:rPr>
      </w:pPr>
      <w:r>
        <w:rPr>
          <w:color w:val="FF0000"/>
        </w:rPr>
        <w:t xml:space="preserve">Several </w:t>
      </w:r>
      <w:r w:rsidR="009D5132">
        <w:rPr>
          <w:color w:val="FF0000"/>
        </w:rPr>
        <w:t xml:space="preserve">observational </w:t>
      </w:r>
      <w:r>
        <w:rPr>
          <w:color w:val="FF0000"/>
        </w:rPr>
        <w:t xml:space="preserve">studies reported </w:t>
      </w:r>
      <w:r w:rsidR="009D5132">
        <w:rPr>
          <w:color w:val="FF0000"/>
        </w:rPr>
        <w:t xml:space="preserve">that IRF care improved </w:t>
      </w:r>
      <w:r>
        <w:rPr>
          <w:color w:val="FF0000"/>
        </w:rPr>
        <w:t xml:space="preserve">patients’ motor functional </w:t>
      </w:r>
      <w:r w:rsidR="00886CF1">
        <w:rPr>
          <w:color w:val="FF0000"/>
        </w:rPr>
        <w:t>outcomes but</w:t>
      </w:r>
      <w:r>
        <w:rPr>
          <w:color w:val="FF0000"/>
        </w:rPr>
        <w:t xml:space="preserve"> did not </w:t>
      </w:r>
      <w:r w:rsidR="009D5132">
        <w:rPr>
          <w:color w:val="FF0000"/>
        </w:rPr>
        <w:t xml:space="preserve">specify the type and amount of </w:t>
      </w:r>
      <w:r>
        <w:rPr>
          <w:color w:val="FF0000"/>
        </w:rPr>
        <w:t xml:space="preserve">therapy </w:t>
      </w:r>
      <w:r w:rsidR="009D5132">
        <w:rPr>
          <w:color w:val="FF0000"/>
        </w:rPr>
        <w:t>provided</w:t>
      </w:r>
      <w:r>
        <w:rPr>
          <w:color w:val="FF0000"/>
        </w:rPr>
        <w:t>. Improvement in motor functional outcomes were reported for patients recovering from trauma</w:t>
      </w:r>
      <w:r w:rsidRPr="002F0054">
        <w:rPr>
          <w:color w:val="FF0000"/>
        </w:rPr>
        <w:t xml:space="preserve"> (Hamidi et al., 2018), </w:t>
      </w:r>
      <w:r>
        <w:rPr>
          <w:color w:val="FF0000"/>
        </w:rPr>
        <w:t>patients 85 and older post-</w:t>
      </w:r>
      <w:r w:rsidRPr="002F0054">
        <w:rPr>
          <w:color w:val="FF0000"/>
        </w:rPr>
        <w:t>stroke (O</w:t>
      </w:r>
      <w:r>
        <w:rPr>
          <w:color w:val="FF0000"/>
        </w:rPr>
        <w:t>’B</w:t>
      </w:r>
      <w:r w:rsidRPr="002F0054">
        <w:rPr>
          <w:color w:val="FF0000"/>
        </w:rPr>
        <w:t xml:space="preserve">rien &amp; Xue, 2016), </w:t>
      </w:r>
      <w:r>
        <w:rPr>
          <w:color w:val="FF0000"/>
        </w:rPr>
        <w:t xml:space="preserve"> post-knee </w:t>
      </w:r>
      <w:r w:rsidRPr="002F0054">
        <w:rPr>
          <w:color w:val="FF0000"/>
        </w:rPr>
        <w:t xml:space="preserve">surgery </w:t>
      </w:r>
      <w:r>
        <w:rPr>
          <w:color w:val="FF0000"/>
        </w:rPr>
        <w:t xml:space="preserve">patients </w:t>
      </w:r>
      <w:r w:rsidRPr="002F0054">
        <w:rPr>
          <w:color w:val="FF0000"/>
        </w:rPr>
        <w:t>(Chu et al., 2016), and</w:t>
      </w:r>
      <w:r>
        <w:rPr>
          <w:color w:val="FF0000"/>
        </w:rPr>
        <w:t xml:space="preserve"> post-</w:t>
      </w:r>
      <w:r w:rsidRPr="002F0054">
        <w:rPr>
          <w:color w:val="FF0000"/>
        </w:rPr>
        <w:t xml:space="preserve">hip fracture </w:t>
      </w:r>
      <w:r>
        <w:rPr>
          <w:color w:val="FF0000"/>
        </w:rPr>
        <w:t xml:space="preserve">patients </w:t>
      </w:r>
      <w:r w:rsidRPr="002F0054">
        <w:rPr>
          <w:color w:val="FF0000"/>
        </w:rPr>
        <w:t>(Cary</w:t>
      </w:r>
      <w:r>
        <w:rPr>
          <w:color w:val="FF0000"/>
        </w:rPr>
        <w:t xml:space="preserve">, </w:t>
      </w:r>
      <w:r w:rsidRPr="00EC626A">
        <w:rPr>
          <w:color w:val="FF0000"/>
        </w:rPr>
        <w:t>Baernholdt, Anderson, &amp; Merwin</w:t>
      </w:r>
      <w:r w:rsidRPr="002F0054">
        <w:rPr>
          <w:color w:val="FF0000"/>
        </w:rPr>
        <w:t>, 2015). Hamidi et al</w:t>
      </w:r>
      <w:r>
        <w:rPr>
          <w:color w:val="FF0000"/>
        </w:rPr>
        <w:t>.</w:t>
      </w:r>
      <w:r w:rsidRPr="002F0054">
        <w:rPr>
          <w:color w:val="FF0000"/>
        </w:rPr>
        <w:t xml:space="preserve"> </w:t>
      </w:r>
      <w:r>
        <w:rPr>
          <w:color w:val="FF0000"/>
        </w:rPr>
        <w:t>(</w:t>
      </w:r>
      <w:r w:rsidRPr="002F0054">
        <w:rPr>
          <w:color w:val="FF0000"/>
        </w:rPr>
        <w:t>2018</w:t>
      </w:r>
      <w:r>
        <w:rPr>
          <w:color w:val="FF0000"/>
        </w:rPr>
        <w:t xml:space="preserve">) also explored the relationship between frailty level and functional improvement among IRF patients, finding that frailer patients were less likely to regain their baseline functional ability. </w:t>
      </w:r>
    </w:p>
    <w:p w14:paraId="61B94C29" w14:textId="77777777" w:rsidR="00037F0C" w:rsidRDefault="00037F0C" w:rsidP="00952557">
      <w:pPr>
        <w:ind w:left="0" w:firstLine="0"/>
        <w:rPr>
          <w:rFonts w:eastAsia="Calibri" w:cs="Times New Roman"/>
          <w:color w:val="FF0000"/>
        </w:rPr>
      </w:pPr>
    </w:p>
    <w:p w14:paraId="4393C2F7" w14:textId="11CD2E12" w:rsidR="00952557" w:rsidRDefault="009D5132" w:rsidP="00952557">
      <w:pPr>
        <w:ind w:left="0" w:firstLine="0"/>
        <w:rPr>
          <w:color w:val="FF0000"/>
        </w:rPr>
      </w:pPr>
      <w:r>
        <w:rPr>
          <w:rFonts w:eastAsia="Calibri" w:cs="Times New Roman"/>
          <w:color w:val="FF0000"/>
        </w:rPr>
        <w:t>S</w:t>
      </w:r>
      <w:r w:rsidR="00897C92">
        <w:rPr>
          <w:rFonts w:eastAsia="Calibri" w:cs="Times New Roman"/>
          <w:color w:val="FF0000"/>
        </w:rPr>
        <w:t xml:space="preserve">tudies examining specific </w:t>
      </w:r>
      <w:r w:rsidR="00952557" w:rsidRPr="00755C92">
        <w:rPr>
          <w:rFonts w:eastAsia="Calibri" w:cs="Times New Roman"/>
          <w:color w:val="FF0000"/>
        </w:rPr>
        <w:t xml:space="preserve">rehabilitation </w:t>
      </w:r>
      <w:r w:rsidR="00897C92">
        <w:rPr>
          <w:rFonts w:eastAsia="Calibri" w:cs="Times New Roman"/>
          <w:color w:val="FF0000"/>
        </w:rPr>
        <w:t xml:space="preserve">therapy </w:t>
      </w:r>
      <w:r w:rsidR="00952557" w:rsidRPr="00755C92">
        <w:rPr>
          <w:rFonts w:eastAsia="Calibri" w:cs="Times New Roman"/>
          <w:color w:val="FF0000"/>
        </w:rPr>
        <w:t xml:space="preserve">interventions and patients’ functional outcomes has </w:t>
      </w:r>
      <w:r w:rsidR="00E35886">
        <w:rPr>
          <w:rFonts w:eastAsia="Calibri" w:cs="Times New Roman"/>
          <w:color w:val="FF0000"/>
        </w:rPr>
        <w:t xml:space="preserve">generally </w:t>
      </w:r>
      <w:r w:rsidR="00952557" w:rsidRPr="00755C92">
        <w:rPr>
          <w:rFonts w:eastAsia="Calibri" w:cs="Times New Roman"/>
          <w:color w:val="FF0000"/>
        </w:rPr>
        <w:t>been challenging to examine (</w:t>
      </w:r>
      <w:r w:rsidR="00952557" w:rsidRPr="00755C92">
        <w:rPr>
          <w:color w:val="FF0000"/>
        </w:rPr>
        <w:t>Kroll &amp; Fisher, 2018)</w:t>
      </w:r>
      <w:r w:rsidR="00897C92">
        <w:rPr>
          <w:color w:val="FF0000"/>
        </w:rPr>
        <w:t>,</w:t>
      </w:r>
      <w:r w:rsidR="00952557" w:rsidRPr="00755C92">
        <w:rPr>
          <w:rFonts w:eastAsia="Calibri" w:cs="Times New Roman"/>
          <w:color w:val="FF0000"/>
        </w:rPr>
        <w:t xml:space="preserve"> because rehabilitation interventions tend to be multidisciplinary, tailored to each patient’s specific needs and there are no standardized definitions and no standardized measurement of interventions. Efforts are underway to classify interventions using </w:t>
      </w:r>
      <w:r w:rsidR="00952557" w:rsidRPr="00755C92">
        <w:rPr>
          <w:color w:val="FF0000"/>
          <w:lang w:val="en"/>
        </w:rPr>
        <w:t xml:space="preserve">standardized terminology in order to better understand the relation between interventions and outcomes; that is, the active ingredients of a rehabilitation program. Winstein </w:t>
      </w:r>
      <w:r w:rsidR="00952557" w:rsidRPr="00755C92">
        <w:rPr>
          <w:color w:val="FF0000"/>
        </w:rPr>
        <w:t xml:space="preserve">(2016) noted that measuring the effect of rehabilitation interventions in </w:t>
      </w:r>
      <w:r w:rsidR="00C542D1">
        <w:rPr>
          <w:color w:val="FF0000"/>
        </w:rPr>
        <w:t>post-acute rehabilitation</w:t>
      </w:r>
      <w:r w:rsidR="00952557" w:rsidRPr="00755C92">
        <w:rPr>
          <w:color w:val="FF0000"/>
        </w:rPr>
        <w:t xml:space="preserve"> </w:t>
      </w:r>
      <w:r w:rsidR="00C542D1" w:rsidRPr="00755C92">
        <w:rPr>
          <w:color w:val="FF0000"/>
        </w:rPr>
        <w:t>setting</w:t>
      </w:r>
      <w:r w:rsidR="00C542D1">
        <w:rPr>
          <w:color w:val="FF0000"/>
        </w:rPr>
        <w:t>s</w:t>
      </w:r>
      <w:r w:rsidR="00C542D1" w:rsidRPr="00755C92">
        <w:rPr>
          <w:color w:val="FF0000"/>
        </w:rPr>
        <w:t xml:space="preserve"> is</w:t>
      </w:r>
      <w:r w:rsidR="00952557" w:rsidRPr="00755C92">
        <w:rPr>
          <w:color w:val="FF0000"/>
        </w:rPr>
        <w:t xml:space="preserve"> important </w:t>
      </w:r>
      <w:r w:rsidR="00952557">
        <w:rPr>
          <w:color w:val="FF0000"/>
        </w:rPr>
        <w:t xml:space="preserve">for understanding </w:t>
      </w:r>
      <w:r>
        <w:rPr>
          <w:color w:val="FF0000"/>
        </w:rPr>
        <w:t>“</w:t>
      </w:r>
      <w:r w:rsidR="00952557">
        <w:rPr>
          <w:color w:val="FF0000"/>
        </w:rPr>
        <w:t xml:space="preserve">the amount of adequate resources, dose and duration,” that are needed to affect functional </w:t>
      </w:r>
      <w:r w:rsidR="00952557" w:rsidRPr="002F0054">
        <w:rPr>
          <w:color w:val="FF0000"/>
        </w:rPr>
        <w:t>improvement</w:t>
      </w:r>
      <w:r w:rsidR="00952557">
        <w:rPr>
          <w:color w:val="FF0000"/>
        </w:rPr>
        <w:t>.</w:t>
      </w:r>
      <w:r w:rsidR="00952557" w:rsidRPr="002F0054">
        <w:rPr>
          <w:color w:val="FF0000"/>
        </w:rPr>
        <w:t xml:space="preserve"> </w:t>
      </w:r>
    </w:p>
    <w:p w14:paraId="16AB4969" w14:textId="77777777" w:rsidR="00952557" w:rsidRDefault="00952557" w:rsidP="00952557">
      <w:pPr>
        <w:ind w:left="0" w:firstLine="0"/>
        <w:rPr>
          <w:color w:val="FF0000"/>
        </w:rPr>
      </w:pPr>
    </w:p>
    <w:p w14:paraId="22B2B6CB" w14:textId="084F4570" w:rsidR="00F352BB" w:rsidRDefault="00864018" w:rsidP="005C23C8">
      <w:pPr>
        <w:ind w:left="0" w:firstLine="0"/>
        <w:rPr>
          <w:color w:val="FF0000"/>
        </w:rPr>
      </w:pPr>
      <w:r w:rsidRPr="00886CF1">
        <w:rPr>
          <w:color w:val="FF0000"/>
        </w:rPr>
        <w:t xml:space="preserve">We identified </w:t>
      </w:r>
      <w:r w:rsidR="00886CF1">
        <w:rPr>
          <w:color w:val="FF0000"/>
        </w:rPr>
        <w:t>two</w:t>
      </w:r>
      <w:r w:rsidR="00886CF1" w:rsidRPr="00886CF1">
        <w:rPr>
          <w:color w:val="FF0000"/>
        </w:rPr>
        <w:t xml:space="preserve"> </w:t>
      </w:r>
      <w:r w:rsidR="00E50678" w:rsidRPr="00886CF1">
        <w:rPr>
          <w:color w:val="FF0000"/>
        </w:rPr>
        <w:t xml:space="preserve">IRF </w:t>
      </w:r>
      <w:r w:rsidR="00F352BB" w:rsidRPr="00886CF1">
        <w:rPr>
          <w:color w:val="FF0000"/>
        </w:rPr>
        <w:t>studie</w:t>
      </w:r>
      <w:r w:rsidR="00E50678" w:rsidRPr="00886CF1">
        <w:rPr>
          <w:color w:val="FF0000"/>
        </w:rPr>
        <w:t>s</w:t>
      </w:r>
      <w:r w:rsidR="00F352BB">
        <w:rPr>
          <w:color w:val="FF0000"/>
        </w:rPr>
        <w:t xml:space="preserve"> </w:t>
      </w:r>
      <w:r>
        <w:rPr>
          <w:color w:val="FF0000"/>
        </w:rPr>
        <w:t xml:space="preserve">that </w:t>
      </w:r>
      <w:r w:rsidR="00F352BB">
        <w:rPr>
          <w:color w:val="FF0000"/>
        </w:rPr>
        <w:t xml:space="preserve">examined </w:t>
      </w:r>
      <w:r w:rsidR="00E50678">
        <w:rPr>
          <w:color w:val="FF0000"/>
        </w:rPr>
        <w:t xml:space="preserve">the effect of </w:t>
      </w:r>
      <w:r w:rsidR="00AD704A">
        <w:rPr>
          <w:color w:val="FF0000"/>
        </w:rPr>
        <w:t xml:space="preserve">novel therapy </w:t>
      </w:r>
      <w:r w:rsidR="00F352BB">
        <w:rPr>
          <w:color w:val="FF0000"/>
        </w:rPr>
        <w:t>interventions</w:t>
      </w:r>
      <w:r>
        <w:rPr>
          <w:color w:val="FF0000"/>
        </w:rPr>
        <w:t xml:space="preserve"> that were </w:t>
      </w:r>
      <w:r w:rsidR="00CF456D">
        <w:rPr>
          <w:color w:val="FF0000"/>
        </w:rPr>
        <w:t>added to</w:t>
      </w:r>
      <w:r w:rsidR="00E50678">
        <w:rPr>
          <w:color w:val="FF0000"/>
        </w:rPr>
        <w:t xml:space="preserve"> </w:t>
      </w:r>
      <w:r w:rsidR="00AD704A">
        <w:rPr>
          <w:color w:val="FF0000"/>
        </w:rPr>
        <w:t>“</w:t>
      </w:r>
      <w:r w:rsidR="00E50678">
        <w:rPr>
          <w:color w:val="FF0000"/>
        </w:rPr>
        <w:t>usual</w:t>
      </w:r>
      <w:r w:rsidR="00AD704A">
        <w:rPr>
          <w:color w:val="FF0000"/>
        </w:rPr>
        <w:t>”</w:t>
      </w:r>
      <w:r w:rsidR="00E50678">
        <w:rPr>
          <w:color w:val="FF0000"/>
        </w:rPr>
        <w:t xml:space="preserve"> therapy</w:t>
      </w:r>
      <w:r w:rsidR="00F352BB">
        <w:rPr>
          <w:color w:val="FF0000"/>
        </w:rPr>
        <w:t>. Herron (2016) found that occupational therapist</w:t>
      </w:r>
      <w:r w:rsidR="00AD704A">
        <w:rPr>
          <w:color w:val="FF0000"/>
        </w:rPr>
        <w:t>s</w:t>
      </w:r>
      <w:r w:rsidR="00F352BB">
        <w:rPr>
          <w:color w:val="FF0000"/>
        </w:rPr>
        <w:t xml:space="preserve"> conducting initial visual assessments of stroke patients</w:t>
      </w:r>
      <w:r w:rsidR="00897C92">
        <w:rPr>
          <w:color w:val="FF0000"/>
        </w:rPr>
        <w:t xml:space="preserve"> resulted in better </w:t>
      </w:r>
      <w:r w:rsidR="00AD704A">
        <w:rPr>
          <w:color w:val="FF0000"/>
        </w:rPr>
        <w:t xml:space="preserve">patient </w:t>
      </w:r>
      <w:r w:rsidR="00897C92">
        <w:rPr>
          <w:color w:val="FF0000"/>
        </w:rPr>
        <w:t>functional outcomes</w:t>
      </w:r>
      <w:r w:rsidR="00F352BB">
        <w:rPr>
          <w:color w:val="FF0000"/>
        </w:rPr>
        <w:t>. An</w:t>
      </w:r>
      <w:r w:rsidR="00897C92">
        <w:rPr>
          <w:color w:val="FF0000"/>
        </w:rPr>
        <w:t xml:space="preserve">other </w:t>
      </w:r>
      <w:r w:rsidR="00F352BB">
        <w:rPr>
          <w:color w:val="FF0000"/>
        </w:rPr>
        <w:t xml:space="preserve">study found that </w:t>
      </w:r>
      <w:r w:rsidR="00E50678">
        <w:rPr>
          <w:color w:val="FF0000"/>
        </w:rPr>
        <w:t>adding attention</w:t>
      </w:r>
      <w:r w:rsidR="00897C92">
        <w:rPr>
          <w:color w:val="FF0000"/>
        </w:rPr>
        <w:t>-</w:t>
      </w:r>
      <w:r w:rsidR="00E50678">
        <w:rPr>
          <w:color w:val="FF0000"/>
        </w:rPr>
        <w:t>control</w:t>
      </w:r>
      <w:r w:rsidR="00F352BB">
        <w:rPr>
          <w:color w:val="FF0000"/>
        </w:rPr>
        <w:t xml:space="preserve"> training for stroke patients </w:t>
      </w:r>
      <w:r w:rsidR="00E50678">
        <w:rPr>
          <w:color w:val="FF0000"/>
        </w:rPr>
        <w:t xml:space="preserve">improved motor outcomes compared to control participants over a </w:t>
      </w:r>
      <w:r w:rsidR="00E71BAB">
        <w:rPr>
          <w:color w:val="FF0000"/>
        </w:rPr>
        <w:t>6-month</w:t>
      </w:r>
      <w:r w:rsidR="00E50678">
        <w:rPr>
          <w:color w:val="FF0000"/>
        </w:rPr>
        <w:t xml:space="preserve"> period (Skidmore et al</w:t>
      </w:r>
      <w:r w:rsidR="006E0FA1">
        <w:rPr>
          <w:color w:val="FF0000"/>
        </w:rPr>
        <w:t>.</w:t>
      </w:r>
      <w:r w:rsidR="0047741E">
        <w:rPr>
          <w:color w:val="FF0000"/>
        </w:rPr>
        <w:t>, 2015</w:t>
      </w:r>
      <w:r w:rsidR="00E50678">
        <w:rPr>
          <w:color w:val="FF0000"/>
        </w:rPr>
        <w:t xml:space="preserve">). </w:t>
      </w:r>
    </w:p>
    <w:p w14:paraId="05B97C23" w14:textId="76203511" w:rsidR="005C23C8" w:rsidRDefault="005C23C8" w:rsidP="00701CE8">
      <w:pPr>
        <w:ind w:left="0" w:firstLine="0"/>
        <w:rPr>
          <w:color w:val="FF0000"/>
        </w:rPr>
      </w:pPr>
    </w:p>
    <w:p w14:paraId="2E14231E" w14:textId="18395441" w:rsidR="005C23C8" w:rsidRDefault="00463ACF" w:rsidP="00701CE8">
      <w:pPr>
        <w:ind w:left="0" w:firstLine="0"/>
        <w:rPr>
          <w:color w:val="FF0000"/>
        </w:rPr>
      </w:pPr>
      <w:r>
        <w:rPr>
          <w:color w:val="FF0000"/>
        </w:rPr>
        <w:t>Rehabilitation therapy services are provided in all types of post-acute care</w:t>
      </w:r>
      <w:r w:rsidR="002E2360">
        <w:rPr>
          <w:color w:val="FF0000"/>
        </w:rPr>
        <w:t xml:space="preserve"> services</w:t>
      </w:r>
      <w:r w:rsidR="00037F0C">
        <w:rPr>
          <w:color w:val="FF0000"/>
        </w:rPr>
        <w:t>:</w:t>
      </w:r>
      <w:r>
        <w:rPr>
          <w:color w:val="FF0000"/>
        </w:rPr>
        <w:t xml:space="preserve"> IRFs, </w:t>
      </w:r>
      <w:r w:rsidR="00864018">
        <w:rPr>
          <w:color w:val="FF0000"/>
        </w:rPr>
        <w:t>skilled nursing facilities</w:t>
      </w:r>
      <w:r>
        <w:rPr>
          <w:color w:val="FF0000"/>
        </w:rPr>
        <w:t xml:space="preserve">, </w:t>
      </w:r>
      <w:r w:rsidR="00864018">
        <w:rPr>
          <w:color w:val="FF0000"/>
        </w:rPr>
        <w:t>h</w:t>
      </w:r>
      <w:r>
        <w:rPr>
          <w:color w:val="FF0000"/>
        </w:rPr>
        <w:t xml:space="preserve">ome </w:t>
      </w:r>
      <w:r w:rsidR="00864018">
        <w:rPr>
          <w:color w:val="FF0000"/>
        </w:rPr>
        <w:t>h</w:t>
      </w:r>
      <w:r>
        <w:rPr>
          <w:color w:val="FF0000"/>
        </w:rPr>
        <w:t xml:space="preserve">ealth and </w:t>
      </w:r>
      <w:r w:rsidR="002E2360">
        <w:rPr>
          <w:color w:val="FF0000"/>
        </w:rPr>
        <w:t>long-term care hospitals</w:t>
      </w:r>
      <w:r>
        <w:rPr>
          <w:color w:val="FF0000"/>
        </w:rPr>
        <w:t xml:space="preserve">. IRFs </w:t>
      </w:r>
      <w:r w:rsidR="00BF712B">
        <w:rPr>
          <w:color w:val="FF0000"/>
        </w:rPr>
        <w:t xml:space="preserve">have historically provided the most intensive therapy services, and several studies have compared patients’ functional outcomes by type of post-acute care setting to better understand the role of therapy intensity and other IRF-specific care. </w:t>
      </w:r>
      <w:r w:rsidR="00216AF6">
        <w:rPr>
          <w:color w:val="FF0000"/>
        </w:rPr>
        <w:t>T</w:t>
      </w:r>
      <w:r w:rsidR="00864018">
        <w:rPr>
          <w:color w:val="FF0000"/>
        </w:rPr>
        <w:t>hree</w:t>
      </w:r>
      <w:r w:rsidR="00216AF6">
        <w:rPr>
          <w:color w:val="FF0000"/>
        </w:rPr>
        <w:t xml:space="preserve"> </w:t>
      </w:r>
      <w:r w:rsidR="00216AF6" w:rsidRPr="002F0054">
        <w:rPr>
          <w:color w:val="FF0000"/>
        </w:rPr>
        <w:t>studies report</w:t>
      </w:r>
      <w:r w:rsidR="00B637A5" w:rsidRPr="002F0054">
        <w:rPr>
          <w:color w:val="FF0000"/>
        </w:rPr>
        <w:t>ed</w:t>
      </w:r>
      <w:r w:rsidR="00216AF6" w:rsidRPr="002F0054">
        <w:rPr>
          <w:color w:val="FF0000"/>
        </w:rPr>
        <w:t xml:space="preserve"> improved motor </w:t>
      </w:r>
      <w:r w:rsidR="00BF712B">
        <w:rPr>
          <w:color w:val="FF0000"/>
        </w:rPr>
        <w:t xml:space="preserve">functional </w:t>
      </w:r>
      <w:r w:rsidR="00216AF6" w:rsidRPr="002F0054">
        <w:rPr>
          <w:color w:val="FF0000"/>
        </w:rPr>
        <w:t>outcomes</w:t>
      </w:r>
      <w:r w:rsidR="005B75C0" w:rsidRPr="002F0054">
        <w:rPr>
          <w:color w:val="FF0000"/>
        </w:rPr>
        <w:t xml:space="preserve"> for</w:t>
      </w:r>
      <w:r w:rsidR="00216AF6" w:rsidRPr="002F0054">
        <w:rPr>
          <w:color w:val="FF0000"/>
        </w:rPr>
        <w:t xml:space="preserve"> IRF </w:t>
      </w:r>
      <w:r w:rsidR="0082276B" w:rsidRPr="002F0054">
        <w:rPr>
          <w:color w:val="FF0000"/>
        </w:rPr>
        <w:t>patients</w:t>
      </w:r>
      <w:r w:rsidR="009D00FC" w:rsidRPr="002F0054">
        <w:rPr>
          <w:color w:val="FF0000"/>
        </w:rPr>
        <w:t xml:space="preserve"> compared to other </w:t>
      </w:r>
      <w:r w:rsidR="00BF712B">
        <w:rPr>
          <w:color w:val="FF0000"/>
        </w:rPr>
        <w:t>post-acute care</w:t>
      </w:r>
      <w:r w:rsidR="009D00FC" w:rsidRPr="002F0054">
        <w:rPr>
          <w:color w:val="FF0000"/>
        </w:rPr>
        <w:t xml:space="preserve"> settings.</w:t>
      </w:r>
      <w:r w:rsidR="00216AF6" w:rsidRPr="002F0054">
        <w:rPr>
          <w:color w:val="FF0000"/>
        </w:rPr>
        <w:t xml:space="preserve"> </w:t>
      </w:r>
      <w:r w:rsidR="00864018">
        <w:rPr>
          <w:color w:val="FF0000"/>
        </w:rPr>
        <w:t xml:space="preserve">Sauter (2013) found that </w:t>
      </w:r>
      <w:r w:rsidR="00864018" w:rsidRPr="00DA3001">
        <w:rPr>
          <w:color w:val="FF0000"/>
        </w:rPr>
        <w:t xml:space="preserve">patients who underwent major dysvascular lower limb </w:t>
      </w:r>
      <w:r w:rsidR="00864018" w:rsidRPr="00DA3001">
        <w:rPr>
          <w:color w:val="FF0000"/>
        </w:rPr>
        <w:lastRenderedPageBreak/>
        <w:t>amputations receipt of interdisciplinary rehabilitation services in an IRF yielded improved functional outcomes 6 mo</w:t>
      </w:r>
      <w:r w:rsidR="00BD17FF">
        <w:rPr>
          <w:color w:val="FF0000"/>
        </w:rPr>
        <w:t>nth</w:t>
      </w:r>
      <w:r w:rsidR="00864018" w:rsidRPr="00DA3001">
        <w:rPr>
          <w:color w:val="FF0000"/>
        </w:rPr>
        <w:t xml:space="preserve">s after amputation </w:t>
      </w:r>
      <w:r w:rsidR="00864018">
        <w:rPr>
          <w:color w:val="FF0000"/>
        </w:rPr>
        <w:t xml:space="preserve">compared </w:t>
      </w:r>
      <w:r w:rsidR="00864018" w:rsidRPr="00DA3001">
        <w:rPr>
          <w:color w:val="FF0000"/>
        </w:rPr>
        <w:t>to care received in SNFs or at home.</w:t>
      </w:r>
      <w:r w:rsidR="00864018">
        <w:rPr>
          <w:color w:val="FF0000"/>
        </w:rPr>
        <w:t xml:space="preserve"> </w:t>
      </w:r>
      <w:r w:rsidR="006669E8" w:rsidRPr="002F0054">
        <w:rPr>
          <w:color w:val="FF0000"/>
        </w:rPr>
        <w:t>N</w:t>
      </w:r>
      <w:r w:rsidR="00216AF6" w:rsidRPr="002F0054">
        <w:rPr>
          <w:color w:val="FF0000"/>
        </w:rPr>
        <w:t>e</w:t>
      </w:r>
      <w:r w:rsidR="0047741E">
        <w:rPr>
          <w:color w:val="FF0000"/>
        </w:rPr>
        <w:t>h</w:t>
      </w:r>
      <w:r w:rsidR="00216AF6" w:rsidRPr="002F0054">
        <w:rPr>
          <w:color w:val="FF0000"/>
        </w:rPr>
        <w:t>ra et al</w:t>
      </w:r>
      <w:r w:rsidR="002F0054" w:rsidRPr="002F0054">
        <w:rPr>
          <w:color w:val="FF0000"/>
        </w:rPr>
        <w:t>.</w:t>
      </w:r>
      <w:r w:rsidR="00216AF6" w:rsidRPr="002F0054">
        <w:rPr>
          <w:color w:val="FF0000"/>
        </w:rPr>
        <w:t xml:space="preserve"> </w:t>
      </w:r>
      <w:r w:rsidR="002F0054" w:rsidRPr="002F0054">
        <w:rPr>
          <w:color w:val="FF0000"/>
        </w:rPr>
        <w:t>(</w:t>
      </w:r>
      <w:r w:rsidR="00216AF6" w:rsidRPr="002F0054">
        <w:rPr>
          <w:color w:val="FF0000"/>
        </w:rPr>
        <w:t>201</w:t>
      </w:r>
      <w:r w:rsidR="006669E8" w:rsidRPr="002F0054">
        <w:rPr>
          <w:color w:val="FF0000"/>
        </w:rPr>
        <w:t>6</w:t>
      </w:r>
      <w:r w:rsidR="002F0054" w:rsidRPr="002F0054">
        <w:rPr>
          <w:color w:val="FF0000"/>
        </w:rPr>
        <w:t>)</w:t>
      </w:r>
      <w:r w:rsidR="00216AF6" w:rsidRPr="002F0054">
        <w:rPr>
          <w:color w:val="FF0000"/>
        </w:rPr>
        <w:t xml:space="preserve"> reported improved motor function for</w:t>
      </w:r>
      <w:r w:rsidR="009D00FC" w:rsidRPr="002F0054">
        <w:rPr>
          <w:color w:val="FF0000"/>
        </w:rPr>
        <w:t xml:space="preserve"> post-trauma</w:t>
      </w:r>
      <w:r w:rsidR="00216AF6" w:rsidRPr="002F0054">
        <w:rPr>
          <w:color w:val="FF0000"/>
        </w:rPr>
        <w:t xml:space="preserve"> patients discharged to an IRF compared to those who were not</w:t>
      </w:r>
      <w:r w:rsidR="00037F0C">
        <w:rPr>
          <w:color w:val="FF0000"/>
        </w:rPr>
        <w:t xml:space="preserve"> treated in an IRF</w:t>
      </w:r>
      <w:r w:rsidR="00216AF6" w:rsidRPr="002F0054">
        <w:rPr>
          <w:color w:val="FF0000"/>
        </w:rPr>
        <w:t xml:space="preserve">. </w:t>
      </w:r>
      <w:r w:rsidR="00382151" w:rsidRPr="002F0054">
        <w:rPr>
          <w:color w:val="FF0000"/>
        </w:rPr>
        <w:t>A</w:t>
      </w:r>
      <w:r w:rsidR="005B75C0" w:rsidRPr="002F0054">
        <w:rPr>
          <w:color w:val="FF0000"/>
        </w:rPr>
        <w:t xml:space="preserve"> </w:t>
      </w:r>
      <w:r w:rsidR="00382151" w:rsidRPr="002F0054">
        <w:rPr>
          <w:color w:val="FF0000"/>
        </w:rPr>
        <w:t xml:space="preserve">systematic review exploring </w:t>
      </w:r>
      <w:r w:rsidR="00E71BAB" w:rsidRPr="002F0054">
        <w:rPr>
          <w:color w:val="FF0000"/>
        </w:rPr>
        <w:t>poststroke</w:t>
      </w:r>
      <w:r w:rsidR="00382151" w:rsidRPr="002F0054">
        <w:rPr>
          <w:color w:val="FF0000"/>
        </w:rPr>
        <w:t xml:space="preserve"> outcomes in IRFs compared to SNFs</w:t>
      </w:r>
      <w:r w:rsidR="005B75C0" w:rsidRPr="002F0054">
        <w:rPr>
          <w:color w:val="FF0000"/>
        </w:rPr>
        <w:t>,</w:t>
      </w:r>
      <w:r w:rsidR="00382151" w:rsidRPr="002F0054">
        <w:rPr>
          <w:color w:val="FF0000"/>
        </w:rPr>
        <w:t xml:space="preserve"> found that of four included studies that compared functional outcomes, one study reported higher functional ratings for SNFs compared to IRFs, </w:t>
      </w:r>
      <w:r w:rsidR="00EB068E">
        <w:rPr>
          <w:color w:val="FF0000"/>
        </w:rPr>
        <w:t xml:space="preserve">three studies </w:t>
      </w:r>
      <w:r w:rsidR="00864018" w:rsidRPr="002F0054">
        <w:rPr>
          <w:color w:val="FF0000"/>
        </w:rPr>
        <w:t>found functional gains were larger for IRF</w:t>
      </w:r>
      <w:r w:rsidR="00EB068E">
        <w:rPr>
          <w:color w:val="FF0000"/>
        </w:rPr>
        <w:t xml:space="preserve"> patients </w:t>
      </w:r>
      <w:r w:rsidR="00864018" w:rsidRPr="002F0054">
        <w:rPr>
          <w:color w:val="FF0000"/>
        </w:rPr>
        <w:t xml:space="preserve">compared to </w:t>
      </w:r>
      <w:r w:rsidR="00EB068E">
        <w:rPr>
          <w:color w:val="FF0000"/>
        </w:rPr>
        <w:t>patients treated in skilled nursing facilities</w:t>
      </w:r>
      <w:r w:rsidR="00864018">
        <w:rPr>
          <w:color w:val="FF0000"/>
        </w:rPr>
        <w:t xml:space="preserve"> </w:t>
      </w:r>
      <w:r w:rsidR="00864018" w:rsidRPr="002F0054">
        <w:rPr>
          <w:color w:val="FF0000"/>
        </w:rPr>
        <w:t>(Alcusky</w:t>
      </w:r>
      <w:r w:rsidR="00864018">
        <w:rPr>
          <w:color w:val="FF0000"/>
        </w:rPr>
        <w:t xml:space="preserve">, </w:t>
      </w:r>
      <w:r w:rsidR="00864018" w:rsidRPr="00EC626A">
        <w:rPr>
          <w:color w:val="FF0000"/>
        </w:rPr>
        <w:t>Ulbricht, &amp; Lapane</w:t>
      </w:r>
      <w:r w:rsidR="00864018" w:rsidRPr="002F0054">
        <w:rPr>
          <w:color w:val="FF0000"/>
        </w:rPr>
        <w:t>, 2018</w:t>
      </w:r>
      <w:r w:rsidR="00864018">
        <w:rPr>
          <w:color w:val="FF0000"/>
        </w:rPr>
        <w:t>)</w:t>
      </w:r>
      <w:r w:rsidR="00382151" w:rsidRPr="002F0054">
        <w:rPr>
          <w:color w:val="FF0000"/>
        </w:rPr>
        <w:t xml:space="preserve">. </w:t>
      </w:r>
      <w:r w:rsidR="00EB068E">
        <w:rPr>
          <w:color w:val="FF0000"/>
        </w:rPr>
        <w:t>One of the studies included in the systematic review</w:t>
      </w:r>
      <w:r w:rsidR="00A421E9">
        <w:rPr>
          <w:color w:val="FF0000"/>
        </w:rPr>
        <w:t>.</w:t>
      </w:r>
      <w:r w:rsidR="00EB068E">
        <w:rPr>
          <w:color w:val="FF0000"/>
        </w:rPr>
        <w:t xml:space="preserve"> </w:t>
      </w:r>
      <w:r w:rsidR="00864018" w:rsidRPr="002F0054">
        <w:rPr>
          <w:color w:val="FF0000"/>
        </w:rPr>
        <w:t xml:space="preserve">Chan et al. (2013) found that stroke patients who received therapy </w:t>
      </w:r>
      <w:r w:rsidR="00864018">
        <w:rPr>
          <w:color w:val="FF0000"/>
        </w:rPr>
        <w:t>in</w:t>
      </w:r>
      <w:r w:rsidR="00864018" w:rsidRPr="002F0054">
        <w:rPr>
          <w:color w:val="FF0000"/>
        </w:rPr>
        <w:t xml:space="preserve"> an IRF had higher functional motor gains compared to </w:t>
      </w:r>
      <w:r w:rsidR="00864018">
        <w:rPr>
          <w:color w:val="FF0000"/>
        </w:rPr>
        <w:t>patient treated in skilled nursing facilities</w:t>
      </w:r>
      <w:r w:rsidR="00864018" w:rsidRPr="002F0054">
        <w:rPr>
          <w:color w:val="FF0000"/>
        </w:rPr>
        <w:t xml:space="preserve"> </w:t>
      </w:r>
      <w:r w:rsidR="00864018">
        <w:rPr>
          <w:color w:val="FF0000"/>
        </w:rPr>
        <w:t>and</w:t>
      </w:r>
      <w:r w:rsidR="00864018" w:rsidRPr="002F0054">
        <w:rPr>
          <w:color w:val="FF0000"/>
        </w:rPr>
        <w:t xml:space="preserve"> </w:t>
      </w:r>
      <w:r w:rsidR="00864018">
        <w:rPr>
          <w:color w:val="FF0000"/>
        </w:rPr>
        <w:t>h</w:t>
      </w:r>
      <w:r w:rsidR="00864018" w:rsidRPr="002F0054">
        <w:rPr>
          <w:color w:val="FF0000"/>
        </w:rPr>
        <w:t xml:space="preserve">ome </w:t>
      </w:r>
      <w:r w:rsidR="00864018">
        <w:rPr>
          <w:color w:val="FF0000"/>
        </w:rPr>
        <w:t>h</w:t>
      </w:r>
      <w:r w:rsidR="00864018" w:rsidRPr="002F0054">
        <w:rPr>
          <w:color w:val="FF0000"/>
        </w:rPr>
        <w:t xml:space="preserve">ealth. </w:t>
      </w:r>
    </w:p>
    <w:bookmarkEnd w:id="15"/>
    <w:p w14:paraId="29A8B44D" w14:textId="77777777" w:rsidR="005C23C8" w:rsidRDefault="005C23C8" w:rsidP="00701CE8">
      <w:pPr>
        <w:ind w:left="0" w:firstLine="0"/>
        <w:rPr>
          <w:color w:val="FF0000"/>
        </w:rPr>
      </w:pPr>
    </w:p>
    <w:p w14:paraId="14056CFD" w14:textId="076D1FC4" w:rsidR="00B637A5" w:rsidRDefault="00A421E9" w:rsidP="008E1156">
      <w:pPr>
        <w:ind w:left="0" w:firstLine="0"/>
        <w:rPr>
          <w:color w:val="FF0000"/>
        </w:rPr>
      </w:pPr>
      <w:bookmarkStart w:id="16" w:name="_Hlk4951911"/>
      <w:bookmarkStart w:id="17" w:name="_Hlk5104747"/>
      <w:bookmarkStart w:id="18" w:name="_Hlk4947676"/>
      <w:r>
        <w:rPr>
          <w:color w:val="FF0000"/>
        </w:rPr>
        <w:t>In addition to the studies that compare functional outcome across post-acute care settings, we provide a summary of studies examining therapy services and functional outcomes in the SNF setting. These studies are pertinent, because t</w:t>
      </w:r>
      <w:r w:rsidR="00AD704A">
        <w:rPr>
          <w:color w:val="FF0000"/>
        </w:rPr>
        <w:t>here is overlap in the types of patients treated in IRFs and SNFs, and the</w:t>
      </w:r>
      <w:r w:rsidR="00AE382F">
        <w:rPr>
          <w:color w:val="FF0000"/>
        </w:rPr>
        <w:t xml:space="preserve"> amount of therapy provided in SNFs tends to vary more than in the IRF setting</w:t>
      </w:r>
      <w:r w:rsidR="00AD704A">
        <w:rPr>
          <w:color w:val="FF0000"/>
        </w:rPr>
        <w:t>.</w:t>
      </w:r>
      <w:r w:rsidR="009D00FC">
        <w:rPr>
          <w:color w:val="FF0000"/>
        </w:rPr>
        <w:t xml:space="preserve"> </w:t>
      </w:r>
    </w:p>
    <w:p w14:paraId="4C9FC52C" w14:textId="285BFCAE" w:rsidR="00B637A5" w:rsidRDefault="00B637A5" w:rsidP="008E1156">
      <w:pPr>
        <w:ind w:left="0" w:firstLine="0"/>
        <w:rPr>
          <w:color w:val="FF0000"/>
        </w:rPr>
      </w:pPr>
    </w:p>
    <w:bookmarkEnd w:id="16"/>
    <w:p w14:paraId="3E6D8BE3" w14:textId="7722DB2B" w:rsidR="00584EF5" w:rsidRDefault="00584EF5" w:rsidP="00584EF5">
      <w:pPr>
        <w:ind w:left="0" w:firstLine="0"/>
        <w:rPr>
          <w:color w:val="FF0000"/>
        </w:rPr>
      </w:pPr>
      <w:r>
        <w:rPr>
          <w:color w:val="FF0000"/>
        </w:rPr>
        <w:t xml:space="preserve">Positive associations of functional motor outcomes </w:t>
      </w:r>
      <w:r w:rsidR="00897D0C">
        <w:rPr>
          <w:color w:val="FF0000"/>
        </w:rPr>
        <w:t xml:space="preserve">for </w:t>
      </w:r>
      <w:r w:rsidR="000A54E8">
        <w:rPr>
          <w:color w:val="FF0000"/>
        </w:rPr>
        <w:t>patients receiving therapy in SNFs</w:t>
      </w:r>
      <w:r>
        <w:rPr>
          <w:color w:val="FF0000"/>
        </w:rPr>
        <w:t xml:space="preserve"> have been reported</w:t>
      </w:r>
      <w:r w:rsidR="00EB068E">
        <w:rPr>
          <w:color w:val="FF0000"/>
        </w:rPr>
        <w:t xml:space="preserve"> </w:t>
      </w:r>
      <w:r w:rsidR="009D7AC0">
        <w:rPr>
          <w:color w:val="FF0000"/>
        </w:rPr>
        <w:t>for</w:t>
      </w:r>
      <w:r w:rsidR="00EB068E">
        <w:rPr>
          <w:color w:val="FF0000"/>
        </w:rPr>
        <w:t xml:space="preserve"> several observation studies</w:t>
      </w:r>
      <w:r>
        <w:rPr>
          <w:color w:val="FF0000"/>
        </w:rPr>
        <w:t xml:space="preserve">. </w:t>
      </w:r>
      <w:r w:rsidR="00897D0C">
        <w:rPr>
          <w:color w:val="FF0000"/>
        </w:rPr>
        <w:t xml:space="preserve">One </w:t>
      </w:r>
      <w:r w:rsidR="00EB068E">
        <w:rPr>
          <w:color w:val="FF0000"/>
        </w:rPr>
        <w:t xml:space="preserve">SNF </w:t>
      </w:r>
      <w:r>
        <w:rPr>
          <w:color w:val="FF0000"/>
        </w:rPr>
        <w:t xml:space="preserve">study found that more than 60 percent of patients improved their functional </w:t>
      </w:r>
      <w:r w:rsidR="00E703C9">
        <w:rPr>
          <w:color w:val="FF0000"/>
        </w:rPr>
        <w:t>status</w:t>
      </w:r>
      <w:r>
        <w:rPr>
          <w:color w:val="FF0000"/>
        </w:rPr>
        <w:t xml:space="preserve"> as a result of their SNF stay, </w:t>
      </w:r>
      <w:r w:rsidR="00EB068E">
        <w:rPr>
          <w:color w:val="FF0000"/>
        </w:rPr>
        <w:t xml:space="preserve">and noted that </w:t>
      </w:r>
      <w:r>
        <w:rPr>
          <w:color w:val="FF0000"/>
        </w:rPr>
        <w:t xml:space="preserve">patients </w:t>
      </w:r>
      <w:r w:rsidRPr="00CB3B65">
        <w:rPr>
          <w:color w:val="FF0000"/>
        </w:rPr>
        <w:t xml:space="preserve">with conditions such as cognitive impairment, delirium, dementia, heart failure, and stroke showed less improvement in </w:t>
      </w:r>
      <w:r w:rsidR="00EB068E">
        <w:rPr>
          <w:color w:val="FF0000"/>
        </w:rPr>
        <w:t>daily activity</w:t>
      </w:r>
      <w:r w:rsidR="00EB068E" w:rsidRPr="00CB3B65">
        <w:rPr>
          <w:color w:val="FF0000"/>
        </w:rPr>
        <w:t xml:space="preserve"> </w:t>
      </w:r>
      <w:r w:rsidRPr="00CB3B65">
        <w:rPr>
          <w:color w:val="FF0000"/>
        </w:rPr>
        <w:t>performance during their stay</w:t>
      </w:r>
      <w:r w:rsidR="00E35886">
        <w:rPr>
          <w:color w:val="FF0000"/>
        </w:rPr>
        <w:t>.</w:t>
      </w:r>
      <w:r>
        <w:rPr>
          <w:color w:val="FF0000"/>
        </w:rPr>
        <w:t xml:space="preserve"> Likewise, among </w:t>
      </w:r>
      <w:r w:rsidR="009D7AC0">
        <w:rPr>
          <w:color w:val="FF0000"/>
        </w:rPr>
        <w:t>traum</w:t>
      </w:r>
      <w:r w:rsidR="003F1453">
        <w:rPr>
          <w:color w:val="FF0000"/>
        </w:rPr>
        <w:t>atic brain injurt</w:t>
      </w:r>
      <w:r>
        <w:rPr>
          <w:color w:val="FF0000"/>
        </w:rPr>
        <w:t xml:space="preserve"> patients, SNF patients admitted with cognitive or communication impairments </w:t>
      </w:r>
      <w:r w:rsidR="00EB068E">
        <w:rPr>
          <w:color w:val="FF0000"/>
        </w:rPr>
        <w:t xml:space="preserve">gained function, but tended to have less </w:t>
      </w:r>
      <w:r>
        <w:rPr>
          <w:color w:val="FF0000"/>
        </w:rPr>
        <w:t>improve</w:t>
      </w:r>
      <w:r w:rsidR="00EB068E">
        <w:rPr>
          <w:color w:val="FF0000"/>
        </w:rPr>
        <w:t>ment in</w:t>
      </w:r>
      <w:r>
        <w:rPr>
          <w:color w:val="FF0000"/>
        </w:rPr>
        <w:t xml:space="preserve"> motor function (Wysocki</w:t>
      </w:r>
      <w:r w:rsidR="0047741E">
        <w:rPr>
          <w:color w:val="FF0000"/>
        </w:rPr>
        <w:t xml:space="preserve">, </w:t>
      </w:r>
      <w:r w:rsidR="0047741E" w:rsidRPr="00EC626A">
        <w:rPr>
          <w:color w:val="FF0000"/>
        </w:rPr>
        <w:t>Thomas, &amp; Mor</w:t>
      </w:r>
      <w:r w:rsidR="0047741E">
        <w:rPr>
          <w:color w:val="FF0000"/>
        </w:rPr>
        <w:t>,</w:t>
      </w:r>
      <w:r>
        <w:rPr>
          <w:color w:val="FF0000"/>
        </w:rPr>
        <w:t xml:space="preserve"> 2015)</w:t>
      </w:r>
      <w:r w:rsidRPr="00CB3B65">
        <w:rPr>
          <w:color w:val="FF0000"/>
        </w:rPr>
        <w:t>.</w:t>
      </w:r>
      <w:r w:rsidR="000E4ED1">
        <w:rPr>
          <w:color w:val="FF0000"/>
        </w:rPr>
        <w:t xml:space="preserve"> </w:t>
      </w:r>
      <w:r w:rsidR="00DF2DA5">
        <w:rPr>
          <w:color w:val="FF0000"/>
        </w:rPr>
        <w:t>J</w:t>
      </w:r>
      <w:r w:rsidR="000E4ED1">
        <w:rPr>
          <w:color w:val="FF0000"/>
        </w:rPr>
        <w:t xml:space="preserve">ung (2016) examined temporal trends in therapy provision in </w:t>
      </w:r>
      <w:r w:rsidR="00FA2BA7">
        <w:rPr>
          <w:color w:val="FF0000"/>
        </w:rPr>
        <w:t>SNFs and</w:t>
      </w:r>
      <w:r w:rsidR="000E4ED1">
        <w:rPr>
          <w:color w:val="FF0000"/>
        </w:rPr>
        <w:t xml:space="preserve"> found therapy hours increased 52% between 2000 and 2009, and that m</w:t>
      </w:r>
      <w:r w:rsidR="000E4ED1" w:rsidRPr="00BD3BB5">
        <w:rPr>
          <w:color w:val="FF0000"/>
        </w:rPr>
        <w:t>ore therapy hours in SNFs appear</w:t>
      </w:r>
      <w:r w:rsidR="00EB068E">
        <w:rPr>
          <w:color w:val="FF0000"/>
        </w:rPr>
        <w:t>ed</w:t>
      </w:r>
      <w:r w:rsidR="000E4ED1" w:rsidRPr="00BD3BB5">
        <w:rPr>
          <w:color w:val="FF0000"/>
        </w:rPr>
        <w:t xml:space="preserve"> to improve outcomes, except for patients </w:t>
      </w:r>
      <w:r w:rsidR="00EB068E">
        <w:rPr>
          <w:color w:val="FF0000"/>
        </w:rPr>
        <w:t xml:space="preserve">who were already receiving a </w:t>
      </w:r>
      <w:r w:rsidR="00E35886">
        <w:rPr>
          <w:color w:val="FF0000"/>
        </w:rPr>
        <w:t xml:space="preserve">high </w:t>
      </w:r>
      <w:r w:rsidR="00EB068E">
        <w:rPr>
          <w:color w:val="FF0000"/>
        </w:rPr>
        <w:t>level of therapy.</w:t>
      </w:r>
    </w:p>
    <w:p w14:paraId="1F5ACA0C" w14:textId="7905EAC0" w:rsidR="00BB6714" w:rsidRDefault="00BB6714" w:rsidP="00584EF5">
      <w:pPr>
        <w:ind w:left="0" w:firstLine="0"/>
        <w:rPr>
          <w:color w:val="FF0000"/>
        </w:rPr>
      </w:pPr>
    </w:p>
    <w:p w14:paraId="730BB105" w14:textId="62E5B711" w:rsidR="00BB6714" w:rsidRPr="009E4C91" w:rsidRDefault="00BB6714" w:rsidP="00584EF5">
      <w:pPr>
        <w:ind w:left="0" w:firstLine="0"/>
        <w:rPr>
          <w:b/>
          <w:color w:val="FF0000"/>
        </w:rPr>
      </w:pPr>
      <w:bookmarkStart w:id="19" w:name="_Hlk5648004"/>
      <w:r w:rsidRPr="009E4C91">
        <w:rPr>
          <w:b/>
          <w:color w:val="FF0000"/>
        </w:rPr>
        <w:t>Conclusion</w:t>
      </w:r>
    </w:p>
    <w:p w14:paraId="6A02CABF" w14:textId="250A1772" w:rsidR="00DA260D" w:rsidRDefault="00DA260D" w:rsidP="00DA260D">
      <w:pPr>
        <w:ind w:left="0" w:firstLine="0"/>
        <w:rPr>
          <w:color w:val="FF0000"/>
        </w:rPr>
      </w:pPr>
      <w:bookmarkStart w:id="20" w:name="_Hlk5700173"/>
      <w:r>
        <w:rPr>
          <w:color w:val="FF0000"/>
        </w:rPr>
        <w:t xml:space="preserve">In summary, as required by NQF’s endorsement maintenance process, we sought to identify evidence linking </w:t>
      </w:r>
      <w:r w:rsidR="00E35886">
        <w:rPr>
          <w:color w:val="FF0000"/>
        </w:rPr>
        <w:t>a</w:t>
      </w:r>
      <w:r>
        <w:rPr>
          <w:color w:val="FF0000"/>
        </w:rPr>
        <w:t xml:space="preserve"> healthcare structure or process (interventions or services) to patient outcomes. For this review, we summarized various studies pertaining to the </w:t>
      </w:r>
      <w:r>
        <w:rPr>
          <w:rFonts w:eastAsia="Calibri" w:cs="Times New Roman"/>
          <w:color w:val="FF0000"/>
        </w:rPr>
        <w:t xml:space="preserve">relation between </w:t>
      </w:r>
      <w:r>
        <w:rPr>
          <w:color w:val="FF0000"/>
        </w:rPr>
        <w:t xml:space="preserve">therapy interventions and services </w:t>
      </w:r>
      <w:r>
        <w:rPr>
          <w:rFonts w:eastAsia="Calibri" w:cs="Times New Roman"/>
          <w:color w:val="FF0000"/>
        </w:rPr>
        <w:t xml:space="preserve">and </w:t>
      </w:r>
      <w:r>
        <w:rPr>
          <w:color w:val="FF0000"/>
        </w:rPr>
        <w:t>IRF patients’ functional outcomes.  We also included peer-reviewed evidence from other post-acute care (PAC) settings.  Although no identified articles focused on self-care outcomes</w:t>
      </w:r>
      <w:r w:rsidR="003F1453">
        <w:rPr>
          <w:color w:val="FF0000"/>
        </w:rPr>
        <w:t xml:space="preserve"> specifically</w:t>
      </w:r>
      <w:r w:rsidR="00367017">
        <w:rPr>
          <w:color w:val="FF0000"/>
        </w:rPr>
        <w:t>, the majority</w:t>
      </w:r>
      <w:r>
        <w:rPr>
          <w:color w:val="FF0000"/>
        </w:rPr>
        <w:t xml:space="preserve"> included motor function which encompasses self-care, mobility, and sometimes bladder functioning. Most articles were observational studies while </w:t>
      </w:r>
      <w:r w:rsidR="003F1453">
        <w:rPr>
          <w:color w:val="FF0000"/>
        </w:rPr>
        <w:t>two</w:t>
      </w:r>
      <w:r w:rsidR="00367017">
        <w:rPr>
          <w:color w:val="FF0000"/>
        </w:rPr>
        <w:t xml:space="preserve"> </w:t>
      </w:r>
      <w:r>
        <w:rPr>
          <w:color w:val="FF0000"/>
        </w:rPr>
        <w:t>presented novel therapies being tested in addition to “usual” therapy. One article focused on rehabilitation guidelines for PAC settings. This review</w:t>
      </w:r>
      <w:r w:rsidRPr="00B041AE">
        <w:rPr>
          <w:color w:val="FF0000"/>
        </w:rPr>
        <w:t xml:space="preserve"> </w:t>
      </w:r>
      <w:r w:rsidR="00AB65F1">
        <w:rPr>
          <w:color w:val="FF0000"/>
        </w:rPr>
        <w:t xml:space="preserve">provides supportive evidence </w:t>
      </w:r>
      <w:r w:rsidRPr="00B041AE">
        <w:rPr>
          <w:color w:val="FF0000"/>
        </w:rPr>
        <w:t xml:space="preserve">that functional improvement in IRF patients is related to the therapy interventions they received while in </w:t>
      </w:r>
      <w:r w:rsidR="003F1453">
        <w:rPr>
          <w:color w:val="FF0000"/>
        </w:rPr>
        <w:t>an</w:t>
      </w:r>
      <w:r w:rsidRPr="00B041AE">
        <w:rPr>
          <w:color w:val="FF0000"/>
        </w:rPr>
        <w:t xml:space="preserve"> IRF.</w:t>
      </w:r>
    </w:p>
    <w:bookmarkEnd w:id="17"/>
    <w:bookmarkEnd w:id="19"/>
    <w:bookmarkEnd w:id="20"/>
    <w:p w14:paraId="720B8F58" w14:textId="1BFD84E1" w:rsidR="00F776E9" w:rsidRDefault="00F776E9" w:rsidP="00584EF5">
      <w:pPr>
        <w:ind w:left="0" w:firstLine="0"/>
        <w:rPr>
          <w:color w:val="FF0000"/>
        </w:rPr>
      </w:pPr>
    </w:p>
    <w:p w14:paraId="6240263B" w14:textId="77777777" w:rsidR="00AB65F1" w:rsidRDefault="00AB65F1" w:rsidP="00584EF5">
      <w:pPr>
        <w:ind w:left="0" w:firstLine="0"/>
        <w:rPr>
          <w:b/>
          <w:color w:val="FF0000"/>
        </w:rPr>
      </w:pPr>
      <w:bookmarkStart w:id="21" w:name="_Hlk4956110"/>
      <w:bookmarkEnd w:id="12"/>
    </w:p>
    <w:p w14:paraId="09D1EDBF" w14:textId="0F176FC5" w:rsidR="00AB65F1" w:rsidRDefault="00AB65F1" w:rsidP="00584EF5">
      <w:pPr>
        <w:ind w:left="0" w:firstLine="0"/>
        <w:rPr>
          <w:b/>
          <w:color w:val="FF0000"/>
        </w:rPr>
      </w:pPr>
    </w:p>
    <w:p w14:paraId="112794BD" w14:textId="5B530EE8" w:rsidR="00454E2D" w:rsidRDefault="00454E2D" w:rsidP="00584EF5">
      <w:pPr>
        <w:ind w:left="0" w:firstLine="0"/>
        <w:rPr>
          <w:b/>
          <w:color w:val="FF0000"/>
        </w:rPr>
      </w:pPr>
    </w:p>
    <w:p w14:paraId="1C6FBFA9" w14:textId="06188705" w:rsidR="00367017" w:rsidRDefault="00367017" w:rsidP="00584EF5">
      <w:pPr>
        <w:ind w:left="0" w:firstLine="0"/>
        <w:rPr>
          <w:b/>
          <w:color w:val="FF0000"/>
        </w:rPr>
      </w:pPr>
    </w:p>
    <w:p w14:paraId="76008F5F" w14:textId="77777777" w:rsidR="00367017" w:rsidRDefault="00367017" w:rsidP="00584EF5">
      <w:pPr>
        <w:ind w:left="0" w:firstLine="0"/>
        <w:rPr>
          <w:b/>
          <w:color w:val="FF0000"/>
        </w:rPr>
      </w:pPr>
    </w:p>
    <w:p w14:paraId="2B629BD4" w14:textId="77777777" w:rsidR="00454E2D" w:rsidRDefault="00454E2D" w:rsidP="00584EF5">
      <w:pPr>
        <w:ind w:left="0" w:firstLine="0"/>
        <w:rPr>
          <w:b/>
          <w:color w:val="FF0000"/>
        </w:rPr>
      </w:pPr>
    </w:p>
    <w:p w14:paraId="22B83179" w14:textId="77777777" w:rsidR="00AB65F1" w:rsidRDefault="00AB65F1" w:rsidP="00584EF5">
      <w:pPr>
        <w:ind w:left="0" w:firstLine="0"/>
        <w:rPr>
          <w:b/>
          <w:color w:val="FF0000"/>
        </w:rPr>
      </w:pPr>
    </w:p>
    <w:p w14:paraId="59946D25" w14:textId="77777777" w:rsidR="00AB65F1" w:rsidRDefault="00AB65F1" w:rsidP="00584EF5">
      <w:pPr>
        <w:ind w:left="0" w:firstLine="0"/>
        <w:rPr>
          <w:b/>
          <w:color w:val="FF0000"/>
        </w:rPr>
      </w:pPr>
    </w:p>
    <w:p w14:paraId="6CD1B345" w14:textId="77777777" w:rsidR="00AB65F1" w:rsidRDefault="00AB65F1" w:rsidP="00584EF5">
      <w:pPr>
        <w:ind w:left="0" w:firstLine="0"/>
        <w:rPr>
          <w:b/>
          <w:color w:val="FF0000"/>
        </w:rPr>
      </w:pPr>
    </w:p>
    <w:p w14:paraId="76861615" w14:textId="2E2C1942" w:rsidR="00F776E9" w:rsidRPr="006A17C3" w:rsidRDefault="00F776E9" w:rsidP="00584EF5">
      <w:pPr>
        <w:ind w:left="0" w:firstLine="0"/>
        <w:rPr>
          <w:b/>
          <w:color w:val="FF0000"/>
        </w:rPr>
      </w:pPr>
      <w:r w:rsidRPr="006A17C3">
        <w:rPr>
          <w:b/>
          <w:color w:val="FF0000"/>
        </w:rPr>
        <w:lastRenderedPageBreak/>
        <w:t>Citations and Abstracts</w:t>
      </w:r>
    </w:p>
    <w:p w14:paraId="005C2C39" w14:textId="6B193FE0" w:rsidR="008C39DB" w:rsidRDefault="008C39DB" w:rsidP="00584EF5">
      <w:pPr>
        <w:ind w:left="0" w:firstLine="0"/>
        <w:rPr>
          <w:b/>
          <w:color w:val="FF0000"/>
        </w:rPr>
      </w:pPr>
    </w:p>
    <w:p w14:paraId="7F4E708A"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Alcusky, M., Ulbricht, C. M., &amp; Lapane, K. L. (2018). Postacute Care Setting, Facility Characteristics, and Poststroke Outcomes: A Systematic Review. </w:t>
      </w:r>
      <w:r w:rsidRPr="00EC626A">
        <w:rPr>
          <w:rFonts w:asciiTheme="minorHAnsi" w:hAnsiTheme="minorHAnsi"/>
          <w:i/>
          <w:color w:val="FF0000"/>
        </w:rPr>
        <w:t>Arch Phys Med Rehabil, 99</w:t>
      </w:r>
      <w:r w:rsidRPr="00EC626A">
        <w:rPr>
          <w:rFonts w:asciiTheme="minorHAnsi" w:hAnsiTheme="minorHAnsi"/>
          <w:color w:val="FF0000"/>
        </w:rPr>
        <w:t>(6), 1124-1140.e1129. doi:10.1016/j.apmr.2017.09.005</w:t>
      </w:r>
    </w:p>
    <w:p w14:paraId="7F4060E1" w14:textId="77777777" w:rsidR="00EC626A" w:rsidRPr="00EC626A" w:rsidRDefault="00EC626A" w:rsidP="00EC626A">
      <w:pPr>
        <w:pStyle w:val="EndNoteBibliography"/>
        <w:ind w:left="720" w:hanging="720"/>
        <w:rPr>
          <w:rFonts w:asciiTheme="minorHAnsi" w:hAnsiTheme="minorHAnsi"/>
          <w:color w:val="FF0000"/>
        </w:rPr>
      </w:pPr>
    </w:p>
    <w:p w14:paraId="5E86B649" w14:textId="77777777" w:rsidR="007575EC" w:rsidRDefault="00EC626A" w:rsidP="00212031">
      <w:pPr>
        <w:pStyle w:val="EndNoteBibliography"/>
        <w:ind w:left="720" w:firstLine="0"/>
        <w:rPr>
          <w:rFonts w:asciiTheme="minorHAnsi" w:hAnsiTheme="minorHAnsi" w:cs="Segoe UI"/>
          <w:color w:val="FF0000"/>
        </w:rPr>
      </w:pPr>
      <w:bookmarkStart w:id="22" w:name="_Hlk5107328"/>
      <w:r w:rsidRPr="00EC626A">
        <w:rPr>
          <w:rFonts w:asciiTheme="minorHAnsi" w:hAnsiTheme="minorHAnsi" w:cs="Segoe UI"/>
          <w:color w:val="FF0000"/>
        </w:rPr>
        <w:t xml:space="preserve">OBJECTIVES: To synthesize research comparing poststroke health outcomes between patients rehabilitated in skilled nursing facilities (SNFs) and those in inpatient rehabilitation facilities (IRFs) as well as to evaluate relations between facility characteristics and outcomes. </w:t>
      </w:r>
    </w:p>
    <w:p w14:paraId="1CF51E6C" w14:textId="33A1BAC4" w:rsidR="007575EC" w:rsidRDefault="00EC626A" w:rsidP="00212031">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DATA SOURCES: PubMed and CINAHL searches spanned January 1, 1998, to October 6, 2016, and encompassed MeSH and free-text keywords for stroke, IRF/SNF, and study outcomes. Searches were restricted to peer-reviewed research in humans published in English. </w:t>
      </w:r>
    </w:p>
    <w:p w14:paraId="5522D066" w14:textId="77777777" w:rsidR="007575EC" w:rsidRDefault="00EC626A" w:rsidP="00212031">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STUDY SELECTION: Observational and experimental studies examining outcomes of adult patients with stroke rehabilitated in an IRF or SNF were eligible. Studies had to provide site of care comparisons and/or analyses incorporating facility-level characteristics and had to report &gt;/=1 primary outcome (discharge setting, functional status, readmission, quality of life, all-cause mortality). Unpublished, single-center, descriptive, and non-US studies were excluded. Articles were reviewed by 1 author, and when uncertain, discussion with study coauthors achieved consensus. Fourteen titles (0.3%) were included. </w:t>
      </w:r>
    </w:p>
    <w:p w14:paraId="739583CB" w14:textId="77777777" w:rsidR="007575EC" w:rsidRDefault="00EC626A" w:rsidP="00212031">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DATA EXTRACTION: The types of data, time period, size, design, and primary outcomes were extracted. We also extracted 2 secondary outcomes (length of IRF/SNF stay, cost) when reported by included studies. Effect measures, modeling approaches, methods for confounding adjustment, and potential confounders were extracted. Data were abstracted by 1 author, and the accuracy was verified by a second reviewer. </w:t>
      </w:r>
    </w:p>
    <w:p w14:paraId="4AE8768B" w14:textId="77777777" w:rsidR="007575EC" w:rsidRDefault="00EC626A" w:rsidP="00212031">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DATA SYNTHESIS: Two studies evaluating community discharge, 1 study evaluating the predicted probability of readmission, and 3 studies evaluating all-cause mortality favored IRFs over SNFs. Functional status comparisons were inconsistent. No studies evaluated quality of life. Two studies confirmed increased costs in the IRF versus SNF setting. Although substantial facility variation was described, few studies characterized sources of variation. </w:t>
      </w:r>
    </w:p>
    <w:p w14:paraId="63D19697" w14:textId="49EE02A6" w:rsidR="00EC626A" w:rsidRPr="00EC626A" w:rsidRDefault="00EC626A" w:rsidP="00212031">
      <w:pPr>
        <w:pStyle w:val="EndNoteBibliography"/>
        <w:ind w:left="720" w:firstLine="0"/>
        <w:rPr>
          <w:rFonts w:asciiTheme="minorHAnsi" w:hAnsiTheme="minorHAnsi"/>
          <w:color w:val="FF0000"/>
        </w:rPr>
      </w:pPr>
      <w:r w:rsidRPr="00EC626A">
        <w:rPr>
          <w:rFonts w:asciiTheme="minorHAnsi" w:hAnsiTheme="minorHAnsi" w:cs="Segoe UI"/>
          <w:color w:val="FF0000"/>
        </w:rPr>
        <w:t>CONCLUSIONS: The few studies comparing poststroke outcomes indicated better outcomes (with higher costs) for patients in IRFs versus those in SNFs. Contemporary research on the role of the postacute care setting and its attributes in determining health outcomes should be prioritized to inform reimbursement system reform.</w:t>
      </w:r>
    </w:p>
    <w:bookmarkEnd w:id="22"/>
    <w:p w14:paraId="7A8B0C9F" w14:textId="77777777" w:rsidR="00EC626A" w:rsidRPr="00EC626A" w:rsidRDefault="00EC626A" w:rsidP="00EC626A">
      <w:pPr>
        <w:pStyle w:val="EndNoteBibliography"/>
        <w:ind w:left="720" w:hanging="720"/>
        <w:rPr>
          <w:rFonts w:asciiTheme="minorHAnsi" w:hAnsiTheme="minorHAnsi"/>
          <w:color w:val="FF0000"/>
        </w:rPr>
      </w:pPr>
    </w:p>
    <w:p w14:paraId="437033EF"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Backus, D., Gassaway, J., Smout, R. J., Hsieh, C. H., Heinemann, A. W., DeJong, G., &amp; Horn, S. D. (2013). Relation between inpatient and postdischarge services and outcomes 1 year postinjury in people with traumatic spinal cord injury. </w:t>
      </w:r>
      <w:r w:rsidRPr="00EC626A">
        <w:rPr>
          <w:rFonts w:asciiTheme="minorHAnsi" w:hAnsiTheme="minorHAnsi"/>
          <w:i/>
          <w:color w:val="FF0000"/>
        </w:rPr>
        <w:t>Arch Phys Med Rehabil, 94</w:t>
      </w:r>
      <w:r w:rsidRPr="00EC626A">
        <w:rPr>
          <w:rFonts w:asciiTheme="minorHAnsi" w:hAnsiTheme="minorHAnsi"/>
          <w:color w:val="FF0000"/>
        </w:rPr>
        <w:t>(4 Suppl), S165-174. doi:10.1016/j.apmr.2013.01.012</w:t>
      </w:r>
    </w:p>
    <w:p w14:paraId="4285418C" w14:textId="77777777" w:rsidR="00EC626A" w:rsidRPr="00EC626A" w:rsidRDefault="00EC626A" w:rsidP="00EC626A">
      <w:pPr>
        <w:pStyle w:val="EndNoteBibliography"/>
        <w:ind w:left="720" w:hanging="720"/>
        <w:rPr>
          <w:rFonts w:asciiTheme="minorHAnsi" w:hAnsiTheme="minorHAnsi"/>
          <w:color w:val="FF0000"/>
        </w:rPr>
      </w:pPr>
    </w:p>
    <w:p w14:paraId="6D7F4B6C" w14:textId="77777777" w:rsidR="007575EC" w:rsidRDefault="00EC626A" w:rsidP="00480819">
      <w:pPr>
        <w:pStyle w:val="EndNoteBibliography"/>
        <w:ind w:left="720" w:firstLine="0"/>
        <w:rPr>
          <w:rFonts w:asciiTheme="minorHAnsi" w:hAnsiTheme="minorHAnsi" w:cs="Segoe UI"/>
          <w:color w:val="FF0000"/>
        </w:rPr>
      </w:pPr>
      <w:bookmarkStart w:id="23" w:name="_Hlk5107347"/>
      <w:r w:rsidRPr="00EC626A">
        <w:rPr>
          <w:rFonts w:asciiTheme="minorHAnsi" w:hAnsiTheme="minorHAnsi" w:cs="Segoe UI"/>
          <w:color w:val="FF0000"/>
        </w:rPr>
        <w:t xml:space="preserve">OBJECTIVE: To examine the association between inpatient and postdischarge rehabilitation services and function, life satisfaction, and community participation 1 year after spinal cord injury (SCI). DESIGN: Prospective, observational. </w:t>
      </w:r>
    </w:p>
    <w:p w14:paraId="3210EFB7"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SETTING: Six rehabilitation facilities. </w:t>
      </w:r>
    </w:p>
    <w:p w14:paraId="10B574CE"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PARTICIPANTS: Patients with SCI (N=1376). </w:t>
      </w:r>
    </w:p>
    <w:p w14:paraId="13B4C13A"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INTERVENTIONS: None. </w:t>
      </w:r>
    </w:p>
    <w:p w14:paraId="0B9D2D36"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MAIN OUTCOME MEASURES: Satisfaction with Life Scale (SWLS), Craig Handicap Assessment and Reporting Technique (CHART), motor FIM (mFIM), and return to work/school at 1 year post-SCI. RESULTS: Demographic and injury characteristics explained 49% of the variance in mFIM </w:t>
      </w:r>
      <w:r w:rsidRPr="00EC626A">
        <w:rPr>
          <w:rFonts w:asciiTheme="minorHAnsi" w:hAnsiTheme="minorHAnsi" w:cs="Segoe UI"/>
          <w:color w:val="FF0000"/>
        </w:rPr>
        <w:lastRenderedPageBreak/>
        <w:t xml:space="preserve">and 9% to 25% of the variance in SWLS and CHART social integration, mobility, and occupation scores. Inpatient rehabilitation services explained an additional 2% of the variance for mFIM and 1% to 3% of the variance for SWLS and CHART scores. More time in inpatient physical therapy (PT) was associated with higher mFIM scores; more time in inpatient therapeutic recreation (TR) and social work and more postdischarge nursing (NSG) were associated with lower mFIM scores. More inpatient PT and TR and more postdischarge PT were associated with higher mobility scores; more inpatient psychology (PSY) was associated with lower mobility scores. More postdischarge TR was associated with higher SWLS; more postdischarge PSY services was associated with lower SWLS. Inpatient TR was positively associated with social integration scores; postdischarge PSY was negatively associated with social integration scores. More postdischarge vocational counseling was associated with higher occupation scores. Differences between centers did not explain additional variability in the outcomes studied. </w:t>
      </w:r>
    </w:p>
    <w:p w14:paraId="0D307D04" w14:textId="186591F5" w:rsidR="00EC626A" w:rsidRPr="00EC626A" w:rsidRDefault="00EC626A" w:rsidP="00480819">
      <w:pPr>
        <w:pStyle w:val="EndNoteBibliography"/>
        <w:ind w:left="720" w:firstLine="0"/>
        <w:rPr>
          <w:rFonts w:asciiTheme="minorHAnsi" w:hAnsiTheme="minorHAnsi"/>
          <w:color w:val="FF0000"/>
        </w:rPr>
      </w:pPr>
      <w:r w:rsidRPr="00EC626A">
        <w:rPr>
          <w:rFonts w:asciiTheme="minorHAnsi" w:hAnsiTheme="minorHAnsi" w:cs="Segoe UI"/>
          <w:color w:val="FF0000"/>
        </w:rPr>
        <w:t>CONCLUSIONS: Inpatient and postdischarge rehabilitation services are weakly associated with life satisfaction and societal participation 1 year after SCI. Further study of the type and intensity of postdischarge services, and the association with outcomes, is needed to ascertain the most effective use of therapy services after SCI.</w:t>
      </w:r>
    </w:p>
    <w:bookmarkEnd w:id="23"/>
    <w:p w14:paraId="1838BE2C" w14:textId="77777777" w:rsidR="00EC626A" w:rsidRPr="00EC626A" w:rsidRDefault="00EC626A" w:rsidP="00EC626A">
      <w:pPr>
        <w:pStyle w:val="EndNoteBibliography"/>
        <w:ind w:left="720" w:hanging="720"/>
        <w:rPr>
          <w:rFonts w:asciiTheme="minorHAnsi" w:hAnsiTheme="minorHAnsi"/>
          <w:color w:val="FF0000"/>
        </w:rPr>
      </w:pPr>
    </w:p>
    <w:p w14:paraId="53E46EE8"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Cary, M. P., Baernholdt, M., Anderson, R. A., &amp; Merwin, E. I. (2015). Performance-based outcomes of inpatient rehabilitation facilities treating hip fracture patients in the United States. </w:t>
      </w:r>
      <w:r w:rsidRPr="00EC626A">
        <w:rPr>
          <w:rFonts w:asciiTheme="minorHAnsi" w:hAnsiTheme="minorHAnsi"/>
          <w:i/>
          <w:color w:val="FF0000"/>
        </w:rPr>
        <w:t>Arch Phys Med Rehabil, 96</w:t>
      </w:r>
      <w:r w:rsidRPr="00EC626A">
        <w:rPr>
          <w:rFonts w:asciiTheme="minorHAnsi" w:hAnsiTheme="minorHAnsi"/>
          <w:color w:val="FF0000"/>
        </w:rPr>
        <w:t>(5), 790-798. doi:10.1016/j.apmr.2015.01.003</w:t>
      </w:r>
    </w:p>
    <w:p w14:paraId="7D7F9AB6" w14:textId="77777777" w:rsidR="00EC626A" w:rsidRPr="00EC626A" w:rsidRDefault="00EC626A" w:rsidP="00EC626A">
      <w:pPr>
        <w:pStyle w:val="EndNoteBibliography"/>
        <w:ind w:left="720" w:hanging="720"/>
        <w:rPr>
          <w:rFonts w:asciiTheme="minorHAnsi" w:hAnsiTheme="minorHAnsi"/>
          <w:color w:val="FF0000"/>
        </w:rPr>
      </w:pPr>
    </w:p>
    <w:p w14:paraId="460ABFBE"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OBJECTIVE: To examine the influence of facility and aggregate patient characteristics of inpatient rehabilitation facilities (IRFs) on performance-based rehabilitation outcomes in a national sample of IRFs treating Medicare beneficiaries with hip fracture. </w:t>
      </w:r>
    </w:p>
    <w:p w14:paraId="071AF021"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DESIGN: Secondary data analysis. </w:t>
      </w:r>
    </w:p>
    <w:p w14:paraId="15A6F00E"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SETTING: U.S. Medicare-certified IRFs (N=983). </w:t>
      </w:r>
    </w:p>
    <w:p w14:paraId="6FA5A226"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PARTICIPANTS: Data included patient records of Medicare beneficiaries (N=34,364) admitted in 2009 for rehabilitation after hip fracture. </w:t>
      </w:r>
    </w:p>
    <w:p w14:paraId="038E8112"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INTERVENTION: Not applicable. </w:t>
      </w:r>
    </w:p>
    <w:p w14:paraId="7887DB02" w14:textId="77777777" w:rsidR="007575EC"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MAIN OUTCOME MEASURES: Performance-based outcomes included mean motor function on discharge, mean motor change (mean motor score on discharge minus mean motor score on admission), and percentage discharged to the community. </w:t>
      </w:r>
    </w:p>
    <w:p w14:paraId="235F2F8E" w14:textId="0CFA4724" w:rsidR="00EC626A" w:rsidRPr="00EC626A" w:rsidRDefault="00EC626A" w:rsidP="00480819">
      <w:pPr>
        <w:pStyle w:val="EndNoteBibliography"/>
        <w:ind w:left="720" w:firstLine="0"/>
        <w:rPr>
          <w:rFonts w:asciiTheme="minorHAnsi" w:hAnsiTheme="minorHAnsi"/>
          <w:color w:val="FF0000"/>
        </w:rPr>
      </w:pPr>
      <w:r w:rsidRPr="00EC626A">
        <w:rPr>
          <w:rFonts w:asciiTheme="minorHAnsi" w:hAnsiTheme="minorHAnsi" w:cs="Segoe UI"/>
          <w:color w:val="FF0000"/>
        </w:rPr>
        <w:t>RESULTS: Higher mean motor function on discharge was explained by aggregate characteristics of patients with hip fracture (lower age [P=.009], lower percentage of blacks [P&lt;.001] and Hispanics [P&lt;.001], higher percentage of women [P=.030], higher motor function on admission [P&lt;.001], longer length of stay [P&lt;.001]) and facility characteristics (freestanding [P&lt;.001], rural [P&lt;.001], for profit [P=.048], smaller IRFs [P=.014]). The findings were similar for motor change, but motor change was also associated with lower mean cognitive function on admission (P=.008). Higher percentage discharged to the community was associated with aggregate patient characteristics (lower age [P&lt;.001], lower percentage of Hispanics [P=.009], higher percentage of patients living with others [P&lt;.001], higher motor function on admission [P&lt;.001]). No facility characteristics were associated with the percentage discharged to the community. CONCLUSIONS: Performance-based measurement offers health policymakers, administrators, clinicians, and consumers a major opportunity for securing health system improvement by benchmarking or comparing their outcomes with those of other similar facilities. These results might serve as the basis for benchmarking and quality-based reimbursement to IRFs for 1 impairment group: hip fracture.</w:t>
      </w:r>
    </w:p>
    <w:p w14:paraId="15B022BF" w14:textId="77777777" w:rsidR="00EC626A" w:rsidRPr="00EC626A" w:rsidRDefault="00EC626A" w:rsidP="00EC626A">
      <w:pPr>
        <w:pStyle w:val="EndNoteBibliography"/>
        <w:ind w:left="720" w:hanging="720"/>
        <w:rPr>
          <w:rFonts w:asciiTheme="minorHAnsi" w:hAnsiTheme="minorHAnsi"/>
          <w:color w:val="FF0000"/>
        </w:rPr>
      </w:pPr>
    </w:p>
    <w:p w14:paraId="2131A9CB"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lastRenderedPageBreak/>
        <w:t xml:space="preserve">Chan, L., Sandel, M. E., Jette, A. M., Appelman, J., Brandt, D. E., Cheng, P., . . . Rasch, E. K. (2013). Does postacute care site matter? A longitudinal study assessing functional recovery after a stroke. </w:t>
      </w:r>
      <w:r w:rsidRPr="00EC626A">
        <w:rPr>
          <w:rFonts w:asciiTheme="minorHAnsi" w:hAnsiTheme="minorHAnsi"/>
          <w:i/>
          <w:color w:val="FF0000"/>
        </w:rPr>
        <w:t>Arch Phys Med Rehabil, 94</w:t>
      </w:r>
      <w:r w:rsidRPr="00EC626A">
        <w:rPr>
          <w:rFonts w:asciiTheme="minorHAnsi" w:hAnsiTheme="minorHAnsi"/>
          <w:color w:val="FF0000"/>
        </w:rPr>
        <w:t>(4), 622-629. doi:10.1016/j.apmr.2012.09.033</w:t>
      </w:r>
    </w:p>
    <w:p w14:paraId="094B9143" w14:textId="77777777" w:rsidR="00EC626A" w:rsidRPr="00EC626A" w:rsidRDefault="00EC626A" w:rsidP="00EC626A">
      <w:pPr>
        <w:pStyle w:val="EndNoteBibliography"/>
        <w:ind w:left="720" w:hanging="720"/>
        <w:rPr>
          <w:rFonts w:asciiTheme="minorHAnsi" w:hAnsiTheme="minorHAnsi"/>
          <w:color w:val="FF0000"/>
        </w:rPr>
      </w:pPr>
    </w:p>
    <w:p w14:paraId="331079E1" w14:textId="77777777" w:rsidR="00EC626A" w:rsidRPr="00EC626A" w:rsidRDefault="00EC626A" w:rsidP="00480819">
      <w:pPr>
        <w:pStyle w:val="EndNoteBibliography"/>
        <w:ind w:left="720" w:firstLine="0"/>
        <w:rPr>
          <w:rFonts w:asciiTheme="minorHAnsi" w:hAnsiTheme="minorHAnsi" w:cs="Segoe UI"/>
          <w:color w:val="FF0000"/>
        </w:rPr>
      </w:pPr>
      <w:bookmarkStart w:id="24" w:name="_Hlk5107378"/>
      <w:r w:rsidRPr="00EC626A">
        <w:rPr>
          <w:rFonts w:asciiTheme="minorHAnsi" w:hAnsiTheme="minorHAnsi" w:cs="Segoe UI"/>
          <w:color w:val="FF0000"/>
        </w:rPr>
        <w:t>OBJECTIVE: To determine the impact of postacute care site on stroke outcomes. DESIGN: Prospective cohort study. SETTING: Four northern California hospitals that are part of a single health maintenance organization. PARTICIPANTS: Patients with stroke (N=222) enrolled between February 2008 and July 2010. INTERVENTION: Not applicable. MAIN OUTCOME MEASURE: Baseline and 6-month assessments were performed using the Activity Measure for Post Acute Care (AM-PAC), a test of self-reported function in 3 domains: Basic Mobility, Daily Activities, and Applied Cognition. RESULTS: Of the 222 patients analyzed, 36% went home with no treatment, 22% received home health/outpatient care, 30% included an inpatient rehabilitation facility (IRF) in their care trajectory, and 13% included a skilled nursing facility (but not IRF) in their care trajectory. At 6 months, after controlling for important variables such as age, functional status at acute care discharge, and total hours of rehabilitation, patients who went to an IRF had functional scores that were at least 8 points higher (twice the minimally detectable change for the AM-PAC) than those who went to a skilled nursing facility in all 3 domains and in 2 of 3 functional domains compared with those who received home health/outpatient care. CONCLUSIONS: Patients with stroke may make more functional gains if their postacute care includes an IRF. This finding may have important implications as postacute care delivery is reshaped through health care reform.</w:t>
      </w:r>
    </w:p>
    <w:bookmarkEnd w:id="24"/>
    <w:p w14:paraId="1A206B9B" w14:textId="77777777" w:rsidR="00EC626A" w:rsidRPr="00EC626A" w:rsidRDefault="00EC626A" w:rsidP="00EC626A">
      <w:pPr>
        <w:pStyle w:val="EndNoteBibliography"/>
        <w:ind w:left="720" w:hanging="720"/>
        <w:rPr>
          <w:rFonts w:asciiTheme="minorHAnsi" w:hAnsiTheme="minorHAnsi"/>
          <w:color w:val="FF0000"/>
        </w:rPr>
      </w:pPr>
    </w:p>
    <w:p w14:paraId="68CCDBFE"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Chu, S. K., Babu, A. N., McCormick, Z., Mathews, A., Toledo, S., &amp; Oswald, M. (2016). Outcomes of Inpatient Rehabilitation in Patients With Simultaneous Bilateral Total Knee Arthroplasty. </w:t>
      </w:r>
      <w:r w:rsidRPr="00EC626A">
        <w:rPr>
          <w:rFonts w:asciiTheme="minorHAnsi" w:hAnsiTheme="minorHAnsi"/>
          <w:i/>
          <w:color w:val="FF0000"/>
        </w:rPr>
        <w:t>Pm r, 8</w:t>
      </w:r>
      <w:r w:rsidRPr="00EC626A">
        <w:rPr>
          <w:rFonts w:asciiTheme="minorHAnsi" w:hAnsiTheme="minorHAnsi"/>
          <w:color w:val="FF0000"/>
        </w:rPr>
        <w:t>(8), 761-766. doi:10.1016/j.pmrj.2015.11.005</w:t>
      </w:r>
    </w:p>
    <w:p w14:paraId="16209271" w14:textId="77777777" w:rsidR="00EC626A" w:rsidRPr="00EC626A" w:rsidRDefault="00EC626A" w:rsidP="00EC626A">
      <w:pPr>
        <w:pStyle w:val="EndNoteBibliography"/>
        <w:ind w:left="720" w:hanging="720"/>
        <w:rPr>
          <w:rFonts w:asciiTheme="minorHAnsi" w:hAnsiTheme="minorHAnsi"/>
          <w:color w:val="FF0000"/>
        </w:rPr>
      </w:pPr>
    </w:p>
    <w:p w14:paraId="7A9EB37E" w14:textId="77777777" w:rsidR="00EC626A" w:rsidRPr="00EC626A" w:rsidRDefault="00EC626A" w:rsidP="00480819">
      <w:pPr>
        <w:pStyle w:val="EndNoteBibliography"/>
        <w:ind w:left="720" w:firstLine="0"/>
        <w:rPr>
          <w:rFonts w:asciiTheme="minorHAnsi" w:hAnsiTheme="minorHAnsi"/>
          <w:color w:val="FF0000"/>
        </w:rPr>
      </w:pPr>
      <w:bookmarkStart w:id="25" w:name="_Hlk5107402"/>
      <w:r w:rsidRPr="00EC626A">
        <w:rPr>
          <w:rFonts w:asciiTheme="minorHAnsi" w:hAnsiTheme="minorHAnsi" w:cs="Segoe UI"/>
          <w:color w:val="FF0000"/>
        </w:rPr>
        <w:t xml:space="preserve">BACKGROUND: The number of total knee arthroplasty (TKA) procedures performed in the United States is increasing each year, and the number of bilateral TKA procedures has also increased during the past 2 decades. However, few studies in the literature have investigated the rehabilitation outcomes of patients who undergo bilateral TKA. This study was performed to provide information on the benefits and role of inpatient rehabilitation for patients after bilateral TKA. OBJECTIVE: To investigate the functional outcomes, complications, and transfer rates of patients in the inpatient rehabilitation setting who undergo simultaneous bilateral TKA. DESIGN: Retrospective cohort study. SETTING: Freestanding inpatient rehabilitation hospital. PATIENTS: Ninety-four patients admitted to an inpatient rehabilitation hospital after simultaneous bilateral TKA from 2008-2013. METHODS: Retrospective chart review of demographic, clinical, and functional data for patients admitted to inpatient rehabilitation after simultaneous bilateral TKA. MAIN OUTCOME MEASURES: Length of stay, admission and discharge Functional Independence Measure (FIM), and FIM efficiency. RESULTS: The study included 27 male (28.7%) and 67 female (71.3%) patients aged 42.0-86.9 years, with a mean of 65.6 +/- 10.2 years. Mean length of time between surgery and admission to inpatient rehabilitation was 4.5 +/- 3.3 days. Mean length of stay in rehabilitation was 11.7 +/- 4.2 days. Mean admission and discharge FIM scores were 87.3 +/- 11.7 and 113.4 +/- 4.8, respectively, with a mean FIM gain of 26.1 +/- 10.5. The mean FIM efficiency was 2.33 +/- 0.84. Eight patients required transfer to an acute care hospital. Complications leading to transfer to acute care facilities included sepsis, cardiac arrhythmias, knee dislocation, and suspected small bowel obstruction. Eighty-eight patients were discharged home, 4 patients were discharged to skilled nursing facilities, and 2 patients were transferred to an acute care hospital and did not return to </w:t>
      </w:r>
      <w:r w:rsidRPr="00EC626A">
        <w:rPr>
          <w:rFonts w:asciiTheme="minorHAnsi" w:hAnsiTheme="minorHAnsi" w:cs="Segoe UI"/>
          <w:color w:val="FF0000"/>
        </w:rPr>
        <w:lastRenderedPageBreak/>
        <w:t>the inpatient rehabilitation hospital. CONCLUSIONS: After undergoing simultaneous bilateral TKA, patients demonstrate functional gains when admitted to inpatient rehabilitation facilities based on FIM gains and FIM efficiency scores; 8.5% of patients in this cohort required transfer to an acute care facility as a result of complications during inpatient rehabilitation, and 93.6% of patients were discharged home.</w:t>
      </w:r>
    </w:p>
    <w:bookmarkEnd w:id="25"/>
    <w:p w14:paraId="3558DCB0" w14:textId="77777777" w:rsidR="00EC626A" w:rsidRPr="00EC626A" w:rsidRDefault="00EC626A" w:rsidP="00EC626A">
      <w:pPr>
        <w:pStyle w:val="EndNoteBibliography"/>
        <w:ind w:left="720" w:hanging="720"/>
        <w:rPr>
          <w:rFonts w:asciiTheme="minorHAnsi" w:hAnsiTheme="minorHAnsi"/>
          <w:color w:val="FF0000"/>
        </w:rPr>
      </w:pPr>
    </w:p>
    <w:p w14:paraId="2D1725C7"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Dijkers, M., Brandstater, M., Horn, S., Ryser, D., &amp; Barrett, R. (2013). Inpatient rehabilitation for traumatic brain injury: the influence of age on treatments and outcomes. </w:t>
      </w:r>
      <w:r w:rsidRPr="00EC626A">
        <w:rPr>
          <w:rFonts w:asciiTheme="minorHAnsi" w:hAnsiTheme="minorHAnsi"/>
          <w:i/>
          <w:color w:val="FF0000"/>
        </w:rPr>
        <w:t>NeuroRehabilitation, 32</w:t>
      </w:r>
      <w:r w:rsidRPr="00EC626A">
        <w:rPr>
          <w:rFonts w:asciiTheme="minorHAnsi" w:hAnsiTheme="minorHAnsi"/>
          <w:color w:val="FF0000"/>
        </w:rPr>
        <w:t>(2), 233-252. doi:10.3233/nre-130841</w:t>
      </w:r>
    </w:p>
    <w:p w14:paraId="6C1114F6" w14:textId="77777777" w:rsidR="00EC626A" w:rsidRPr="00EC626A" w:rsidRDefault="00EC626A" w:rsidP="00EC626A">
      <w:pPr>
        <w:pStyle w:val="EndNoteBibliography"/>
        <w:ind w:left="720" w:hanging="720"/>
        <w:rPr>
          <w:rFonts w:asciiTheme="minorHAnsi" w:hAnsiTheme="minorHAnsi"/>
          <w:color w:val="FF0000"/>
        </w:rPr>
      </w:pPr>
    </w:p>
    <w:p w14:paraId="665E211E" w14:textId="77777777" w:rsidR="00EC626A" w:rsidRPr="00EC626A" w:rsidRDefault="00EC626A" w:rsidP="00E71BAB">
      <w:pPr>
        <w:pStyle w:val="EndNoteBibliography"/>
        <w:ind w:left="720" w:firstLine="0"/>
        <w:rPr>
          <w:rFonts w:asciiTheme="minorHAnsi" w:hAnsiTheme="minorHAnsi" w:cs="Segoe UI"/>
          <w:color w:val="FF0000"/>
        </w:rPr>
      </w:pPr>
      <w:bookmarkStart w:id="26" w:name="_Hlk5107418"/>
      <w:r w:rsidRPr="00EC626A">
        <w:rPr>
          <w:rFonts w:asciiTheme="minorHAnsi" w:hAnsiTheme="minorHAnsi" w:cs="Segoe UI"/>
          <w:color w:val="FF0000"/>
        </w:rPr>
        <w:t>BACKGROUND: Elderly persons with traumatic brain injury (TBI) are increasingly admitted to inpatient rehabilitation, but we have limited knowledge of their characteristics, the treatments they receive, and their short-term and medium-term outcomes. This study explored these issues by means of comparisons between age groups. METHODS: Data on 1419 patients admitted to 9 inpatient rehabilitation facilities for initial rehabilitation after TBI were collected by means of (1) abstraction from medical records; (2) point-of care forms completed by therapists after each treatment session; and (3) interviews at 3 months and 9 months after discharge, conducted with the patient or a proxy. RESULTS: Elderly persons (65 or older) had a lower brain injury severity, and a shorter length of stay (LOS) in acute care. During rehabilitation, they received fewer hours of therapy, due to a shorter LOS and fewer hours of treatment per day, especially from psychology and therapeutic recreation. They regained less functional ability during and after inpatient rehabilitation, and had a very high mortality rate. CONCLUSIONS: Elderly people can be rehabilitated successfully, and discharged back to the community. The treatment therapists deliver, and issues surrounding high mortality need further research.</w:t>
      </w:r>
    </w:p>
    <w:bookmarkEnd w:id="26"/>
    <w:p w14:paraId="44297090" w14:textId="77777777" w:rsidR="00EC626A" w:rsidRPr="00EC626A" w:rsidRDefault="00EC626A" w:rsidP="00EC626A">
      <w:pPr>
        <w:pStyle w:val="EndNoteBibliography"/>
        <w:ind w:left="720" w:hanging="720"/>
        <w:rPr>
          <w:rFonts w:asciiTheme="minorHAnsi" w:hAnsiTheme="minorHAnsi"/>
          <w:color w:val="FF0000"/>
        </w:rPr>
      </w:pPr>
    </w:p>
    <w:p w14:paraId="2EF70E50" w14:textId="77777777" w:rsidR="00DB35CA" w:rsidRPr="00DB35CA" w:rsidRDefault="00DB35CA" w:rsidP="009B1947">
      <w:pPr>
        <w:pStyle w:val="EndNoteBibliography"/>
        <w:ind w:left="0" w:firstLine="0"/>
        <w:rPr>
          <w:rFonts w:asciiTheme="minorHAnsi" w:hAnsiTheme="minorHAnsi"/>
          <w:color w:val="FF0000"/>
        </w:rPr>
      </w:pPr>
      <w:r w:rsidRPr="00DB35CA">
        <w:rPr>
          <w:rFonts w:asciiTheme="minorHAnsi" w:hAnsiTheme="minorHAnsi"/>
          <w:color w:val="FF0000"/>
        </w:rPr>
        <w:t>Goedert, K. M., Zhang, J. Y., &amp; Barrett, A. M. (2015). Prism adaptation and spatial neglect: the need for dose-finding studies. Front Hum Neurosci, 9, 243. doi:10.3389/fnhum.2015.00243</w:t>
      </w:r>
    </w:p>
    <w:p w14:paraId="74094BCA" w14:textId="77777777" w:rsidR="00DB35CA" w:rsidRDefault="00DB35CA" w:rsidP="00EC626A">
      <w:pPr>
        <w:pStyle w:val="EndNoteBibliography"/>
        <w:ind w:left="720" w:hanging="720"/>
        <w:rPr>
          <w:rFonts w:asciiTheme="minorHAnsi" w:hAnsiTheme="minorHAnsi"/>
          <w:color w:val="FF0000"/>
        </w:rPr>
      </w:pPr>
    </w:p>
    <w:p w14:paraId="4E82D12E" w14:textId="5845B69E" w:rsidR="00DB35CA" w:rsidRPr="00DB35CA" w:rsidRDefault="00DB35CA" w:rsidP="00DB35CA">
      <w:pPr>
        <w:pStyle w:val="EndNoteBibliography"/>
        <w:ind w:left="720" w:firstLine="0"/>
        <w:rPr>
          <w:rFonts w:asciiTheme="minorHAnsi" w:hAnsiTheme="minorHAnsi" w:cs="Segoe UI"/>
          <w:color w:val="FF0000"/>
        </w:rPr>
      </w:pPr>
      <w:bookmarkStart w:id="27" w:name="_Hlk5107435"/>
      <w:r w:rsidRPr="00DB35CA">
        <w:rPr>
          <w:rFonts w:asciiTheme="minorHAnsi" w:hAnsiTheme="minorHAnsi" w:cs="Segoe UI"/>
          <w:color w:val="FF0000"/>
        </w:rPr>
        <w:t>Spatial neglect is a devastating disorder in 50-70% of right-brain stroke survivors, who have problems attending to, or making movements towards, left-sided stimuli, and experience a high risk of chronic dependence. Prism adaptation is a promising treatment for neglect that involves brief, daily visuo-motor training sessions while wearing optical prisms. Its benefits extend to functional behaviors such as dressing, with effects lasting 6 months or longer. Because one to two sessions of prism adaptation induce adaptive changes in both spatial-motor behavior (Fortis et al., 2011) and brain function (Saj et al., 2013), it is possible stroke patients may benefit from treatment periods shorter than the standard, intensive protocol of ten sessions over two weeks-a protocol that is impractical for either US inpatient or outpatient rehabilitation. Demonstrating the effectiveness of a lower dose will maximize the availability of neglect treatment. We present preliminary data suggesting that four to six sessions of prism treatment may induce a large treatment effect, maintained three to four weeks post-treatment. We call for a systematic, randomized clinical trial to establish the minimal effective dose suitable for stroke intervention.</w:t>
      </w:r>
    </w:p>
    <w:bookmarkEnd w:id="27"/>
    <w:p w14:paraId="05CD45AF" w14:textId="77777777" w:rsidR="00DB35CA" w:rsidRDefault="00DB35CA" w:rsidP="00EC626A">
      <w:pPr>
        <w:pStyle w:val="EndNoteBibliography"/>
        <w:ind w:left="720" w:hanging="720"/>
        <w:rPr>
          <w:rFonts w:asciiTheme="minorHAnsi" w:hAnsiTheme="minorHAnsi"/>
          <w:color w:val="FF0000"/>
        </w:rPr>
      </w:pPr>
    </w:p>
    <w:p w14:paraId="04D0170A" w14:textId="0B9FA01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Hamidi, M., Zeeshan, M., O'Keeffe, T., Nisbet, B., Northcutt, A., Nikolich-Zugich, J., . . . Joseph, B. (2018). Prospective evaluation of frailty and functional independence in older adult trauma patients. </w:t>
      </w:r>
      <w:r w:rsidRPr="00EC626A">
        <w:rPr>
          <w:rFonts w:asciiTheme="minorHAnsi" w:hAnsiTheme="minorHAnsi"/>
          <w:i/>
          <w:color w:val="FF0000"/>
        </w:rPr>
        <w:t>Am J Surg, 216</w:t>
      </w:r>
      <w:r w:rsidRPr="00EC626A">
        <w:rPr>
          <w:rFonts w:asciiTheme="minorHAnsi" w:hAnsiTheme="minorHAnsi"/>
          <w:color w:val="FF0000"/>
        </w:rPr>
        <w:t>(6), 1070-1075. doi:10.1016/j.amjsurg.2018.10.023</w:t>
      </w:r>
    </w:p>
    <w:p w14:paraId="3E107C20" w14:textId="77777777" w:rsidR="00EC626A" w:rsidRPr="00EC626A" w:rsidRDefault="00EC626A" w:rsidP="00EC626A">
      <w:pPr>
        <w:pStyle w:val="EndNoteBibliography"/>
        <w:ind w:left="720" w:hanging="720"/>
        <w:rPr>
          <w:rFonts w:asciiTheme="minorHAnsi" w:hAnsiTheme="minorHAnsi"/>
          <w:color w:val="FF0000"/>
        </w:rPr>
      </w:pPr>
    </w:p>
    <w:p w14:paraId="1976B8E2" w14:textId="27437DB8" w:rsidR="00EC626A" w:rsidRDefault="00EC626A" w:rsidP="00480819">
      <w:pPr>
        <w:pStyle w:val="EndNoteBibliography"/>
        <w:ind w:left="720" w:firstLine="0"/>
        <w:rPr>
          <w:rFonts w:asciiTheme="minorHAnsi" w:hAnsiTheme="minorHAnsi" w:cs="Segoe UI"/>
          <w:color w:val="FF0000"/>
        </w:rPr>
      </w:pPr>
      <w:r w:rsidRPr="00EC626A">
        <w:rPr>
          <w:rFonts w:asciiTheme="minorHAnsi" w:hAnsiTheme="minorHAnsi" w:cs="Segoe UI"/>
          <w:color w:val="FF0000"/>
        </w:rPr>
        <w:t xml:space="preserve">BACKGROUND: The aim of our study was to assess the association between frailty and functional status in geriatric trauma patients. METHODS: 3-year(2013-2015) prospective analysis </w:t>
      </w:r>
      <w:r w:rsidRPr="00EC626A">
        <w:rPr>
          <w:rFonts w:asciiTheme="minorHAnsi" w:hAnsiTheme="minorHAnsi" w:cs="Segoe UI"/>
          <w:color w:val="FF0000"/>
        </w:rPr>
        <w:lastRenderedPageBreak/>
        <w:t>and included all geriatric trauma patients(&gt;/=65y) discharged to a single rehabilitation center from our level-I trauma center. Frailty was measured using Trauma-Specific-Frailty-Index(TSFI) while Functional status was assessed using functional-independence-measure(FIM) at admission and discharge from rehabilitation center. Multivariate linear regression analysis was performed. RESULTS: 267 patients were enrolled. Mean age was 76.9+/-7.1y, 63.6% were males. Overall, 22.8% were frail, and 37.4% were pre-frail. On linear regression, higher motor-FIM, higher cognitive-FIM scores at admission, and longer length-of-stay at rehab were independently associated with increased discharge FIM score. While, ISS(injury-severity-score), pre-frail and frail status were negatively correlated with FIM gain. CONCLUSION: Frail patients were less likely to recover to their baseline functional status compared with non-frail patients. Early focused intervention in frail elderly patients is warranted to improve functional status in this population.</w:t>
      </w:r>
    </w:p>
    <w:p w14:paraId="633AB1A4" w14:textId="5E1E6E7C" w:rsidR="00E50678" w:rsidRDefault="00E50678" w:rsidP="00EC626A">
      <w:pPr>
        <w:pStyle w:val="EndNoteBibliography"/>
        <w:ind w:left="720" w:hanging="720"/>
        <w:rPr>
          <w:rFonts w:asciiTheme="minorHAnsi" w:hAnsiTheme="minorHAnsi" w:cs="Segoe UI"/>
          <w:color w:val="FF0000"/>
        </w:rPr>
      </w:pPr>
    </w:p>
    <w:p w14:paraId="138E9605" w14:textId="6CFAACA2" w:rsidR="00E50678" w:rsidRPr="00B95737" w:rsidRDefault="00E50678" w:rsidP="009B1947">
      <w:pPr>
        <w:pStyle w:val="EndNoteBibliography"/>
        <w:ind w:left="0" w:firstLine="0"/>
        <w:rPr>
          <w:color w:val="FF0000"/>
        </w:rPr>
      </w:pPr>
      <w:r w:rsidRPr="00B95737">
        <w:rPr>
          <w:color w:val="FF0000"/>
        </w:rPr>
        <w:t xml:space="preserve">Herron, S. (2016). Review of experience with a collaborative eye care clinic in inpatient stroke rehabilitation. </w:t>
      </w:r>
      <w:r w:rsidRPr="00B95737">
        <w:rPr>
          <w:i/>
          <w:color w:val="FF0000"/>
        </w:rPr>
        <w:t>Top Stroke Rehabil, 23</w:t>
      </w:r>
      <w:r w:rsidRPr="00B95737">
        <w:rPr>
          <w:color w:val="FF0000"/>
        </w:rPr>
        <w:t>(1), 67-75. doi:10.1179/1074935715z.00000000065</w:t>
      </w:r>
    </w:p>
    <w:p w14:paraId="67BDAEF9" w14:textId="72EE647D" w:rsidR="00B95737" w:rsidRDefault="00B95737" w:rsidP="00E50678">
      <w:pPr>
        <w:pStyle w:val="EndNoteBibliography"/>
        <w:ind w:left="720" w:hanging="720"/>
      </w:pPr>
    </w:p>
    <w:p w14:paraId="04316E94" w14:textId="77777777" w:rsidR="00B95737" w:rsidRDefault="00B95737" w:rsidP="00B95737">
      <w:pPr>
        <w:ind w:left="720" w:firstLine="0"/>
        <w:rPr>
          <w:color w:val="FF0000"/>
          <w:highlight w:val="yellow"/>
        </w:rPr>
      </w:pPr>
      <w:bookmarkStart w:id="28" w:name="_Hlk5107465"/>
      <w:r w:rsidRPr="00C26E10">
        <w:rPr>
          <w:color w:val="FF0000"/>
        </w:rPr>
        <w:t>BACKGROUND: Visual deficits following stroke are frequently subtle and are often overlooked. Even though these visual deficits may be less overt in nature, they are still debilitating to survivors. Visual deficits have been shown to negatively impact cognition, mobility, and activities of daily living (ADL). There is little consistency across healthcare facilities regarding protocol for assessing vision following stroke. OBJECTIVE: This research was designed to describe a profile for patients exhibiting visual deficits following stroke, examine the role of occupational therapists in vision assessment, and discuss a potential model to provide a protocol for collaboration with an eye care professional as part of the rehabilitation team. METHODS: The sample consisted of 131 patients in an inpatient rehabilitation (IPR) unit who were identified as having potential visual deficits. Occupational therapists on an IPR unit administered initial vision screenings and these patients were subsequently evaluated by the consulting optometrist. Frequencies were calculated for the appearance of functional symptoms, diagnoses, and recommendations. Correlations were also computed relating diagnoses and recommendations made. RESULTS: All patients referred by the occupational therapist for optometrist evaluation had at least one visual diagnosis. The most frequent visual diagnoses included: saccades (77.7%), pursuits (61.8%), and convergence (63.4%). There was also a positive correlation between number of functional symptoms seen by occupational therapists and visual diagnoses made by the optometrist (r = 0.209, P = 0.016). CONCLUSION: Results of this study support the need for vision assessment following stroke in IPR, confirm the role of occupational therapists in vision assessment, and support the need for an optometrist as a member of the rehabilitation team.</w:t>
      </w:r>
    </w:p>
    <w:bookmarkEnd w:id="28"/>
    <w:p w14:paraId="3A0D9067" w14:textId="35698CD2" w:rsidR="00E50678" w:rsidRDefault="00E50678" w:rsidP="00E50678">
      <w:pPr>
        <w:pStyle w:val="EndNoteBibliography"/>
        <w:ind w:left="720" w:hanging="720"/>
      </w:pPr>
    </w:p>
    <w:p w14:paraId="2D4C201E" w14:textId="77777777" w:rsidR="00E50678" w:rsidRPr="00C26E10" w:rsidRDefault="00E50678" w:rsidP="00E50678">
      <w:pPr>
        <w:pStyle w:val="EndNoteBibliography"/>
        <w:ind w:left="720" w:hanging="720"/>
      </w:pPr>
    </w:p>
    <w:p w14:paraId="601E0C0A" w14:textId="5187E5E3" w:rsidR="00E50678" w:rsidRPr="00B95737" w:rsidRDefault="00E50678" w:rsidP="009B1947">
      <w:pPr>
        <w:pStyle w:val="EndNoteBibliography"/>
        <w:ind w:left="0" w:firstLine="0"/>
        <w:rPr>
          <w:color w:val="FF0000"/>
        </w:rPr>
      </w:pPr>
      <w:r w:rsidRPr="00B95737">
        <w:rPr>
          <w:color w:val="FF0000"/>
        </w:rPr>
        <w:t xml:space="preserve">Hoffman, J. E., &amp; Paschal, K. A. (2013). Functional outcomes of adult patients with West Nile virus admitted to a rehabilitation hospital. </w:t>
      </w:r>
      <w:r w:rsidRPr="00B95737">
        <w:rPr>
          <w:i/>
          <w:color w:val="FF0000"/>
        </w:rPr>
        <w:t>J Geriatr Phys Ther, 36</w:t>
      </w:r>
      <w:r w:rsidRPr="00B95737">
        <w:rPr>
          <w:color w:val="FF0000"/>
        </w:rPr>
        <w:t>(2), 55-62. doi:10.1519/JPT.0b013e318258bcba</w:t>
      </w:r>
    </w:p>
    <w:p w14:paraId="658B1239" w14:textId="23470FF7" w:rsidR="00B95737" w:rsidRDefault="00B95737" w:rsidP="00E50678">
      <w:pPr>
        <w:pStyle w:val="EndNoteBibliography"/>
        <w:ind w:left="720" w:hanging="720"/>
      </w:pPr>
    </w:p>
    <w:p w14:paraId="783C48D9" w14:textId="3BC3B008" w:rsidR="00B95737" w:rsidRPr="00B95737" w:rsidRDefault="00B95737" w:rsidP="00B95737">
      <w:pPr>
        <w:pStyle w:val="EndNoteBibliography"/>
        <w:ind w:left="720" w:firstLine="0"/>
        <w:rPr>
          <w:color w:val="FF0000"/>
        </w:rPr>
      </w:pPr>
      <w:bookmarkStart w:id="29" w:name="_Hlk5107480"/>
      <w:r w:rsidRPr="00B95737">
        <w:rPr>
          <w:rFonts w:eastAsia="Times New Roman" w:cs="Times New Roman"/>
          <w:color w:val="FF0000"/>
        </w:rPr>
        <w:t xml:space="preserve">BACKGROUND AND PURPOSE: The clinical manifestation of West Nile Virus (WNV) varies in individuals from mild flu-like symptoms to acute flaccid paralysis. Advanced age is the most significant risk factor for developing severe neurological disease and for death. The broad range of neurologic symptoms associated with WNV infection leads to varied body structure and function limitations and participation restrictions that may require rehabilitation. The purpose of this study is to describe the functional impairments upon admission and the functional outcomes at discharge of 48 adult patients admitted with WNV to a rehabilitation facility in the </w:t>
      </w:r>
      <w:r w:rsidRPr="00B95737">
        <w:rPr>
          <w:rFonts w:eastAsia="Times New Roman" w:cs="Times New Roman"/>
          <w:color w:val="FF0000"/>
        </w:rPr>
        <w:lastRenderedPageBreak/>
        <w:t>Midwest from 2002 to 2009. METHODS: A retrospective chart review was completed on 48 patients (29 male, 19 female) with mean age 67.8 (SD = 16.6, range = 24-91) years and median age 72.5 years, admitted to inpatient rehabilitation with a diagnosis of WNV after January 1, 2002, and discharged prior to December 31, 2009. General information (sex, age, social history, employment, and living environment), past medical history, and information specific to the current hospitalization (medical conditions, functional status and activity level on admission and discharge as measured by the Functional Independence Measure [FIM], lengths of stay [LOSs] in the acute care and rehabilitation hospital, physical therapy care, discharge destination, and follow-up care provisions) were gathered. The standardized response mean (SRM) was calculated for total, motor, and cognitive FIM scores to provide insight into the effect size and the responsiveness of the FIM for the patients with WNV in this study. RESULTS: All patients were admitted to the rehabilitation hospital from acute care hospitals following LOSs ranging from 1 to 62 days. The rehabilitation hospital LOS ranged from 2 to 304 days. These patients had significant comorbidities including hypertension (43.75%), diabetes mellitus (41.67%), acute respiratory failure (37.5%), ventilator dependency/tracheostomy (33.33%), and pneumonia (29.17%). Their admission FIM scores ranged from 13 to 116 (mean = 45.8 +/- 28.2) and discharge FIM scores ranged from 18 to 121 (mean = 75.1 +/- 34.2). The change in FIM during inpatient rehabilitation was statistically significant (P &lt; .001). The calculated SRM for the total (1.06) and motor (1.12) FIM indicate a large effect size, whereas the SRM for the cognitive FIM (0.79) indicates a moderate effect. The majority of patients were discharged home or to a nursing facility (46%), skilled or extended care (38%) with a need for continued rehabilitation services. DISCUSSION AND CONCLUSIONS: The manifestation of the WNV and functional outcomes after comprehensive rehabilitation vary from patient to patient. Higher numbers of comorbid conditions lead to more complex presentation and challenge rehabilitation professionals to design individualized plans of care to enable these patients to achieve the highest functional outcomes. Most patients require follow-up physical therapy care after discharge from rehabilitation</w:t>
      </w:r>
    </w:p>
    <w:bookmarkEnd w:id="29"/>
    <w:p w14:paraId="50818315" w14:textId="77777777" w:rsidR="00E50678" w:rsidRPr="00EC626A" w:rsidRDefault="00E50678" w:rsidP="00EC626A">
      <w:pPr>
        <w:pStyle w:val="EndNoteBibliography"/>
        <w:ind w:left="720" w:hanging="720"/>
        <w:rPr>
          <w:rFonts w:asciiTheme="minorHAnsi" w:hAnsiTheme="minorHAnsi" w:cs="Segoe UI"/>
          <w:color w:val="FF0000"/>
        </w:rPr>
      </w:pPr>
    </w:p>
    <w:p w14:paraId="550EB17B"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Hsieh, C. H., DeJong, G., Groah, S., Ballard, P. H., Horn, S. D., &amp; Tian, W. (2013). Comparing rehabilitation services and outcomes between older and younger people with spinal cord injury. </w:t>
      </w:r>
      <w:r w:rsidRPr="00EC626A">
        <w:rPr>
          <w:rFonts w:asciiTheme="minorHAnsi" w:hAnsiTheme="minorHAnsi"/>
          <w:i/>
          <w:color w:val="FF0000"/>
        </w:rPr>
        <w:t>Arch Phys Med Rehabil, 94</w:t>
      </w:r>
      <w:r w:rsidRPr="00EC626A">
        <w:rPr>
          <w:rFonts w:asciiTheme="minorHAnsi" w:hAnsiTheme="minorHAnsi"/>
          <w:color w:val="FF0000"/>
        </w:rPr>
        <w:t>(4 Suppl), S175-186. doi:10.1016/j.apmr.2012.10.038</w:t>
      </w:r>
    </w:p>
    <w:p w14:paraId="2FBBAF00" w14:textId="77777777" w:rsidR="00EC626A" w:rsidRPr="00EC626A" w:rsidRDefault="00EC626A" w:rsidP="00EC626A">
      <w:pPr>
        <w:pStyle w:val="EndNoteBibliography"/>
        <w:ind w:left="720" w:hanging="720"/>
        <w:rPr>
          <w:rFonts w:asciiTheme="minorHAnsi" w:hAnsiTheme="minorHAnsi"/>
          <w:color w:val="FF0000"/>
        </w:rPr>
      </w:pPr>
    </w:p>
    <w:p w14:paraId="4E355B61" w14:textId="0F772827" w:rsidR="00EC626A" w:rsidRPr="00AB65F1" w:rsidRDefault="00EC626A" w:rsidP="00EC626A">
      <w:pPr>
        <w:autoSpaceDE w:val="0"/>
        <w:autoSpaceDN w:val="0"/>
        <w:adjustRightInd w:val="0"/>
        <w:ind w:left="720" w:firstLine="0"/>
        <w:rPr>
          <w:rFonts w:cstheme="minorHAnsi"/>
          <w:color w:val="FF0000"/>
        </w:rPr>
      </w:pPr>
      <w:bookmarkStart w:id="30" w:name="_Hlk5107510"/>
      <w:r w:rsidRPr="00EC626A">
        <w:rPr>
          <w:rFonts w:cs="Segoe UI"/>
          <w:color w:val="FF0000"/>
        </w:rPr>
        <w:t xml:space="preserve">OBJECTIVE: To compare patient and injury characteristics, rehabilitation services, and outcomes between people incurring traumatic spinal cord injury (SCI) at younger and older ages. DESIGN: Multisite prospective observational cohort study. SETTING: Six acute rehabilitation facilities. PARTICIPANTS: Patients (N=866) aged &gt;/= 16 years admitted to participating centers for their initial rehabilitation after SCI. INTERVENTIONS: Not applicable. MAIN OUTCOME MEASURES: Motor FIM scores at discharge and </w:t>
      </w:r>
      <w:r w:rsidR="00FA2BA7" w:rsidRPr="00EC626A">
        <w:rPr>
          <w:rFonts w:cs="Segoe UI"/>
          <w:color w:val="FF0000"/>
        </w:rPr>
        <w:t>1-year</w:t>
      </w:r>
      <w:r w:rsidRPr="00EC626A">
        <w:rPr>
          <w:rFonts w:cs="Segoe UI"/>
          <w:color w:val="FF0000"/>
        </w:rPr>
        <w:t xml:space="preserve"> postinjury, discharge location, and </w:t>
      </w:r>
      <w:r w:rsidR="00FA2BA7" w:rsidRPr="00EC626A">
        <w:rPr>
          <w:rFonts w:cs="Segoe UI"/>
          <w:color w:val="FF0000"/>
        </w:rPr>
        <w:t>post acute</w:t>
      </w:r>
      <w:r w:rsidRPr="00EC626A">
        <w:rPr>
          <w:rFonts w:cs="Segoe UI"/>
          <w:color w:val="FF0000"/>
        </w:rPr>
        <w:t xml:space="preserve"> clinical pathways. RESULTS: Patients were divided into 4 age-at-injury groups: 16 to 29, 30 to 44, 45 to 60, and &gt;60 years of age. Older adults (&gt;60 y) incurring SCI were more likely to be married, retired/unemployed, on Medicare, and to have attained more education. Their injuries mostly resulted from falls and were incomplete in nature. The oldest group had the highest severity of illness, lowest admission and discharge motor FIM scores, and longer rehabilitation stay. They received relatively less rehabilitation than younger groups. They spent proportionately more time in occupational therapy working on preparatory activities and less time on self-care activities during inpatient rehabilitation. In the aged &gt;60 years group, 80% went home at discharge; 17.2% were discharged to a nursing home. Younger groups were less likely to go to a nursing home. Admission motor FIM was the most significant predictor of motor FIM at </w:t>
      </w:r>
      <w:r w:rsidRPr="00EC626A">
        <w:rPr>
          <w:rFonts w:cs="Segoe UI"/>
          <w:color w:val="FF0000"/>
        </w:rPr>
        <w:lastRenderedPageBreak/>
        <w:t xml:space="preserve">discharge and 1-year anniversary across age groups. But the age groups differed significantly in patient and treatment factors that explained their respective outcomes. CONCLUSIONS: Older injured individuals experienced a different clinical pathway from younger patients. The present </w:t>
      </w:r>
      <w:r w:rsidRPr="00AB65F1">
        <w:rPr>
          <w:rFonts w:cstheme="minorHAnsi"/>
          <w:color w:val="FF0000"/>
        </w:rPr>
        <w:t>study suggests the need for development of a rehabilitation program tailored specifically to older adults.</w:t>
      </w:r>
    </w:p>
    <w:p w14:paraId="5CD16901" w14:textId="77777777" w:rsidR="00367F53" w:rsidRPr="00AB65F1" w:rsidRDefault="00367F53" w:rsidP="00367F53">
      <w:pPr>
        <w:shd w:val="clear" w:color="auto" w:fill="FFFFFF"/>
        <w:ind w:left="0" w:firstLine="0"/>
        <w:rPr>
          <w:rFonts w:cstheme="minorHAnsi"/>
        </w:rPr>
      </w:pPr>
    </w:p>
    <w:p w14:paraId="4201D3D5" w14:textId="20D14E20" w:rsidR="00367F53" w:rsidRPr="00AB65F1" w:rsidRDefault="00B070F9" w:rsidP="00367F53">
      <w:pPr>
        <w:shd w:val="clear" w:color="auto" w:fill="FFFFFF"/>
        <w:ind w:left="0" w:firstLine="0"/>
        <w:rPr>
          <w:rFonts w:cstheme="minorHAnsi"/>
          <w:b/>
          <w:bCs/>
          <w:color w:val="FF0000"/>
        </w:rPr>
      </w:pPr>
      <w:hyperlink r:id="rId18" w:history="1">
        <w:r w:rsidR="00367F53" w:rsidRPr="00AB65F1">
          <w:rPr>
            <w:rFonts w:eastAsia="Times New Roman" w:cstheme="minorHAnsi"/>
            <w:color w:val="FF0000"/>
            <w:lang w:val="en"/>
          </w:rPr>
          <w:t>Jung HY</w:t>
        </w:r>
      </w:hyperlink>
      <w:r w:rsidR="00367F53" w:rsidRPr="00AB65F1">
        <w:rPr>
          <w:rFonts w:eastAsia="Times New Roman" w:cstheme="minorHAnsi"/>
          <w:color w:val="FF0000"/>
          <w:lang w:val="en"/>
        </w:rPr>
        <w:t xml:space="preserve">, </w:t>
      </w:r>
      <w:hyperlink r:id="rId19" w:history="1">
        <w:r w:rsidR="00367F53" w:rsidRPr="00AB65F1">
          <w:rPr>
            <w:rFonts w:eastAsia="Times New Roman" w:cstheme="minorHAnsi"/>
            <w:color w:val="FF0000"/>
            <w:lang w:val="en"/>
          </w:rPr>
          <w:t>Trivedi AN</w:t>
        </w:r>
      </w:hyperlink>
      <w:r w:rsidR="00367F53" w:rsidRPr="00AB65F1">
        <w:rPr>
          <w:rFonts w:eastAsia="Times New Roman" w:cstheme="minorHAnsi"/>
          <w:color w:val="FF0000"/>
          <w:lang w:val="en"/>
        </w:rPr>
        <w:t xml:space="preserve">, </w:t>
      </w:r>
      <w:hyperlink r:id="rId20" w:history="1">
        <w:r w:rsidR="00367F53" w:rsidRPr="00AB65F1">
          <w:rPr>
            <w:rFonts w:eastAsia="Times New Roman" w:cstheme="minorHAnsi"/>
            <w:color w:val="FF0000"/>
            <w:lang w:val="en"/>
          </w:rPr>
          <w:t>Grabowski DC</w:t>
        </w:r>
      </w:hyperlink>
      <w:r w:rsidR="00367F53" w:rsidRPr="00AB65F1">
        <w:rPr>
          <w:rFonts w:eastAsia="Times New Roman" w:cstheme="minorHAnsi"/>
          <w:color w:val="FF0000"/>
          <w:lang w:val="en"/>
        </w:rPr>
        <w:t xml:space="preserve">, </w:t>
      </w:r>
      <w:hyperlink r:id="rId21" w:history="1">
        <w:r w:rsidR="00367F53" w:rsidRPr="00AB65F1">
          <w:rPr>
            <w:rFonts w:eastAsia="Times New Roman" w:cstheme="minorHAnsi"/>
            <w:color w:val="FF0000"/>
            <w:lang w:val="en"/>
          </w:rPr>
          <w:t>Mor V</w:t>
        </w:r>
      </w:hyperlink>
      <w:r w:rsidR="00367F53" w:rsidRPr="00AB65F1">
        <w:rPr>
          <w:rFonts w:eastAsia="Times New Roman" w:cstheme="minorHAnsi"/>
          <w:color w:val="FF0000"/>
          <w:lang w:val="en"/>
        </w:rPr>
        <w:t xml:space="preserve">. </w:t>
      </w:r>
      <w:r w:rsidR="00367F53" w:rsidRPr="00AB65F1">
        <w:rPr>
          <w:rFonts w:cstheme="minorHAnsi"/>
          <w:bCs/>
          <w:color w:val="FF0000"/>
        </w:rPr>
        <w:t xml:space="preserve">2016. Does More Therapy in Skilled Nursing Facilities Lead to Better Outcomes in Patients </w:t>
      </w:r>
      <w:r w:rsidR="009D7AC0" w:rsidRPr="00AB65F1">
        <w:rPr>
          <w:rFonts w:cstheme="minorHAnsi"/>
          <w:bCs/>
          <w:color w:val="FF0000"/>
        </w:rPr>
        <w:t>with</w:t>
      </w:r>
      <w:r w:rsidR="00367F53" w:rsidRPr="00AB65F1">
        <w:rPr>
          <w:rFonts w:cstheme="minorHAnsi"/>
          <w:bCs/>
          <w:color w:val="FF0000"/>
        </w:rPr>
        <w:t xml:space="preserve"> Hip Fracture? Phys Ther</w:t>
      </w:r>
      <w:r w:rsidR="00367F53" w:rsidRPr="00AB65F1">
        <w:rPr>
          <w:rFonts w:cstheme="minorHAnsi"/>
          <w:b/>
          <w:bCs/>
          <w:color w:val="FF0000"/>
        </w:rPr>
        <w:t xml:space="preserve"> </w:t>
      </w:r>
      <w:r w:rsidR="00367F53" w:rsidRPr="00AB65F1">
        <w:rPr>
          <w:rFonts w:cstheme="minorHAnsi"/>
          <w:color w:val="FF0000"/>
          <w:lang w:val="en"/>
        </w:rPr>
        <w:t>Jan;96(1):81-9.</w:t>
      </w:r>
    </w:p>
    <w:p w14:paraId="5B2873A2" w14:textId="77777777" w:rsidR="00367F53" w:rsidRPr="00AB65F1" w:rsidRDefault="00367F53" w:rsidP="00367F53">
      <w:pPr>
        <w:rPr>
          <w:rFonts w:cstheme="minorHAnsi"/>
          <w:color w:val="FF0000"/>
        </w:rPr>
      </w:pPr>
    </w:p>
    <w:p w14:paraId="39E90537" w14:textId="77777777" w:rsidR="00367F53" w:rsidRPr="00BD3BB5" w:rsidRDefault="00367F53" w:rsidP="003F1453">
      <w:pPr>
        <w:ind w:left="720" w:firstLine="0"/>
        <w:rPr>
          <w:color w:val="FF0000"/>
        </w:rPr>
      </w:pPr>
      <w:r w:rsidRPr="00AB65F1">
        <w:rPr>
          <w:rFonts w:cstheme="minorHAnsi"/>
          <w:color w:val="FF0000"/>
        </w:rPr>
        <w:t>Background:  Skilled nursing facilities (SNFs) have increasingly been providing more therapy hours to beneficiaries of Medicare. It is not known whether these increases have improved patient</w:t>
      </w:r>
      <w:r w:rsidRPr="00BD3BB5">
        <w:rPr>
          <w:color w:val="FF0000"/>
        </w:rPr>
        <w:t xml:space="preserve"> outcomes. Objective:  The study objectives were: (1) to examine temporal trends in therapy hour volumes and (2) to evaluate whether more therapy hours are associated with improved patient outcomes. Design: This was a retrospective cohort study Methods: Data sources included the Minimum Data Set, Medicare inpatient claims, and the Online Survey, Certification, and Reporting System. The study population consisted of 481,908 beneficiaries of Medicare fee-for-service who were admitted to 15,496 SNFs after hip fracture from 2000 to 2009. Linear regression models with facility and time fixed effects were used to estimate the association between the quantity of therapy provided in SNFs and the likelihood of discharge to home. Results: The average number of therapy hours increased by 52% during the study period, with relatively little change in case mix at SNF admission. An additional hour of therapy per week was associated with a 3.1- percentage-point (95% confidence interval=3.0, 3.1) increase in the likelihood of discharge to home. The effect of additional therapy decreased as the Resource Utilization Group category increased, and additional therapy did not benefit patients in the highest Resource Utilization Group category. Limitations: Minimum Data Set assessments did not cover details of therapeutic interventions throughout the entire SNF stay and captured only a 7-day retrospective period for measures of the quantity of therapy provided.  Conclusions: Increases in the quantity of therapy during the study period cannot be explained by changes in case mix at SNF admission. More therapy hours in SNFs appear to improve outcomes, except for patients with the greatest need.</w:t>
      </w:r>
    </w:p>
    <w:p w14:paraId="694C148A" w14:textId="77777777" w:rsidR="00367F53" w:rsidRPr="00EC626A" w:rsidRDefault="00367F53" w:rsidP="00EC626A">
      <w:pPr>
        <w:autoSpaceDE w:val="0"/>
        <w:autoSpaceDN w:val="0"/>
        <w:adjustRightInd w:val="0"/>
        <w:ind w:left="720" w:firstLine="0"/>
        <w:rPr>
          <w:rFonts w:cs="Segoe UI"/>
          <w:color w:val="FF0000"/>
        </w:rPr>
      </w:pPr>
    </w:p>
    <w:bookmarkEnd w:id="30"/>
    <w:p w14:paraId="38745C29"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Kroll, C., &amp; Fisher, T. (2018). Justifying Rehabilitation Intensity Through Functional Performance Measures in Postacute Care. </w:t>
      </w:r>
      <w:r w:rsidRPr="00EC626A">
        <w:rPr>
          <w:rFonts w:asciiTheme="minorHAnsi" w:hAnsiTheme="minorHAnsi"/>
          <w:i/>
          <w:color w:val="FF0000"/>
        </w:rPr>
        <w:t>Am J Occup Ther, 72</w:t>
      </w:r>
      <w:r w:rsidRPr="00EC626A">
        <w:rPr>
          <w:rFonts w:asciiTheme="minorHAnsi" w:hAnsiTheme="minorHAnsi"/>
          <w:color w:val="FF0000"/>
        </w:rPr>
        <w:t>(1), 7201090010p7201090011-7201090010p7201090016. doi:10.5014/ajot.2018.721002</w:t>
      </w:r>
    </w:p>
    <w:p w14:paraId="6300548E" w14:textId="77777777" w:rsidR="00EC626A" w:rsidRPr="00EC626A" w:rsidRDefault="00EC626A" w:rsidP="00EC626A">
      <w:pPr>
        <w:pStyle w:val="EndNoteBibliography"/>
        <w:ind w:left="720" w:hanging="720"/>
        <w:rPr>
          <w:rFonts w:asciiTheme="minorHAnsi" w:hAnsiTheme="minorHAnsi"/>
          <w:color w:val="FF0000"/>
        </w:rPr>
      </w:pPr>
    </w:p>
    <w:p w14:paraId="1EB8A640" w14:textId="77777777" w:rsidR="00EC626A" w:rsidRPr="00EC626A" w:rsidRDefault="00EC626A" w:rsidP="00480819">
      <w:pPr>
        <w:pStyle w:val="EndNoteBibliography"/>
        <w:ind w:left="720" w:firstLine="0"/>
        <w:rPr>
          <w:rFonts w:asciiTheme="minorHAnsi" w:hAnsiTheme="minorHAnsi" w:cs="Segoe UI"/>
          <w:color w:val="FF0000"/>
        </w:rPr>
      </w:pPr>
      <w:bookmarkStart w:id="31" w:name="_Hlk5107527"/>
      <w:r w:rsidRPr="00EC626A">
        <w:rPr>
          <w:rFonts w:asciiTheme="minorHAnsi" w:hAnsiTheme="minorHAnsi" w:cs="Segoe UI"/>
          <w:color w:val="FF0000"/>
        </w:rPr>
        <w:t>The Centers for Medicare and Medicaid Services (CMS) has scrutinized the provision of rehabilitation services in skilled nursing facilities (SNFs) for some time. Little research guidance exists on appropriate dosage or rehabilitation intensity (RI) among SNF patients or patients in other postacute care (PAC) settings. CMS developed a PAC assessment, the Continuity Assessment Record and Evaluation (CARE) Tool, in response to questions about what issues drive placement in various PAC settings under Medicare. The ability to adequately assess functional outcomes and correlate them to the RI provided by using the CARE Tool is promising. However, further research, policy advocacy, and practice analysis must be undertaken to promote and protect adequate access to occupational therapy and physical therapy in SNFs and other PAC settings. Individual practitioners must participate in data gathering to ensure that the data for analysis are fully informed by the occupational therapy perspective.</w:t>
      </w:r>
    </w:p>
    <w:bookmarkEnd w:id="31"/>
    <w:p w14:paraId="2CCEB6D9" w14:textId="77777777" w:rsidR="00EC626A" w:rsidRPr="00EC626A" w:rsidRDefault="00EC626A" w:rsidP="00EC626A">
      <w:pPr>
        <w:pStyle w:val="EndNoteBibliography"/>
        <w:ind w:left="720" w:hanging="720"/>
        <w:rPr>
          <w:rFonts w:asciiTheme="minorHAnsi" w:hAnsiTheme="minorHAnsi"/>
          <w:color w:val="FF0000"/>
        </w:rPr>
      </w:pPr>
    </w:p>
    <w:p w14:paraId="7E62C03F" w14:textId="77777777" w:rsidR="009369C8" w:rsidRDefault="009369C8" w:rsidP="009B1947">
      <w:pPr>
        <w:pStyle w:val="EndNoteBibliography"/>
        <w:ind w:left="0" w:firstLine="0"/>
        <w:rPr>
          <w:rFonts w:asciiTheme="minorHAnsi" w:hAnsiTheme="minorHAnsi"/>
          <w:color w:val="FF0000"/>
        </w:rPr>
      </w:pPr>
    </w:p>
    <w:p w14:paraId="49C90197" w14:textId="2D761B70"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lastRenderedPageBreak/>
        <w:t xml:space="preserve">Morghen, S., Morandi, A., Guccione, A. A., Bozzini, M., Guerini, F., Gatti, R., . . . Bellelli, G. (2017). The association between patient participation and functional gain following inpatient rehabilitation. </w:t>
      </w:r>
      <w:r w:rsidRPr="00EC626A">
        <w:rPr>
          <w:rFonts w:asciiTheme="minorHAnsi" w:hAnsiTheme="minorHAnsi"/>
          <w:i/>
          <w:color w:val="FF0000"/>
        </w:rPr>
        <w:t>Aging Clin Exp Res, 29</w:t>
      </w:r>
      <w:r w:rsidRPr="00EC626A">
        <w:rPr>
          <w:rFonts w:asciiTheme="minorHAnsi" w:hAnsiTheme="minorHAnsi"/>
          <w:color w:val="FF0000"/>
        </w:rPr>
        <w:t>(4), 729-736. doi:10.1007/s40520-016-0625-3</w:t>
      </w:r>
    </w:p>
    <w:p w14:paraId="3F4ED080" w14:textId="77777777" w:rsidR="00EC626A" w:rsidRPr="00EC626A" w:rsidRDefault="00EC626A" w:rsidP="00EC626A">
      <w:pPr>
        <w:pStyle w:val="EndNoteBibliography"/>
        <w:ind w:left="720" w:hanging="720"/>
        <w:rPr>
          <w:rFonts w:asciiTheme="minorHAnsi" w:hAnsiTheme="minorHAnsi"/>
          <w:color w:val="FF0000"/>
        </w:rPr>
      </w:pPr>
    </w:p>
    <w:p w14:paraId="4DA1A5C0" w14:textId="77777777" w:rsidR="00EC626A" w:rsidRPr="00EC626A" w:rsidRDefault="00EC626A" w:rsidP="00212031">
      <w:pPr>
        <w:pStyle w:val="EndNoteBibliography"/>
        <w:ind w:left="720" w:firstLine="0"/>
        <w:rPr>
          <w:rFonts w:asciiTheme="minorHAnsi" w:hAnsiTheme="minorHAnsi" w:cs="Segoe UI"/>
          <w:color w:val="FF0000"/>
        </w:rPr>
      </w:pPr>
      <w:bookmarkStart w:id="32" w:name="_Hlk5107556"/>
      <w:r w:rsidRPr="00EC626A">
        <w:rPr>
          <w:rFonts w:asciiTheme="minorHAnsi" w:hAnsiTheme="minorHAnsi" w:cs="Segoe UI"/>
          <w:color w:val="FF0000"/>
        </w:rPr>
        <w:t>OBJECTIVES: To evaluate patients' participation during physical therapy sessions as assessed with the Pittsburgh rehabilitation participation scale (PRPS) as a possible predictor of functional gain after rehabilitation training. METHODS: All patients aged 65 years or older consecutively admitted to a Department of Rehabilitation and Aged Care (DRAC) were evaluated on admission regarding their health, nutritional, functional and cognitive status. Functional status was assessed with the functional independence measure (FIM) on admission and at discharge. Participation during rehabilitation sessions was measured with the PRPS. Functional gain was evaluated using the Montebello rehabilitation factor score (MRFS efficacy), and patients stratified in two groups according to their level of functional gain and their sociodemographic, clinical and functional characteristics were compared. Predictors of poor functional gain were evaluated using a multivariable logistic regression model adjusted for confounding factors. RESULT: A total of 556 subjects were included in this study. Patients with poor functional gain at discharge demonstrated lower participation during physical therapy sessions were significantly older, more cognitively and functionally impaired on admission, more depressed, more comorbid, and more frequently admitted for cardiac disease or immobility syndrome than their counterparts. There was a significant linear association between PRPS scores and MRFS efficacy. In a multivariable logistic regression model, participation was independently associated with functional gain at discharge (odds ratio 1.51, 95 % confidence interval 1.19-1.91). CONCLUSION: This study showed that participation during physical therapy affects the extent of functional gain at discharge in a large population of older patients with multiple diseases receiving in-hospital rehabilitation.</w:t>
      </w:r>
    </w:p>
    <w:bookmarkEnd w:id="32"/>
    <w:p w14:paraId="4D609C21" w14:textId="77777777" w:rsidR="00EC626A" w:rsidRPr="00EC626A" w:rsidRDefault="00EC626A" w:rsidP="00EC626A">
      <w:pPr>
        <w:pStyle w:val="EndNoteBibliography"/>
        <w:ind w:left="720" w:hanging="720"/>
        <w:rPr>
          <w:rFonts w:asciiTheme="minorHAnsi" w:hAnsiTheme="minorHAnsi"/>
          <w:color w:val="FF0000"/>
        </w:rPr>
      </w:pPr>
    </w:p>
    <w:p w14:paraId="0E526E9D"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Nehra, D., Nixon, Z. A., Lengenfelder, C., Bulger, E. M., Cuschieri, J., Maier, R. V., &amp; Arbabi, S. (2016). Acute Rehabilitation after Trauma: Does it Really Matter? </w:t>
      </w:r>
      <w:r w:rsidRPr="00EC626A">
        <w:rPr>
          <w:rFonts w:asciiTheme="minorHAnsi" w:hAnsiTheme="minorHAnsi"/>
          <w:i/>
          <w:color w:val="FF0000"/>
        </w:rPr>
        <w:t>J Am Coll Surg, 223</w:t>
      </w:r>
      <w:r w:rsidRPr="00EC626A">
        <w:rPr>
          <w:rFonts w:asciiTheme="minorHAnsi" w:hAnsiTheme="minorHAnsi"/>
          <w:color w:val="FF0000"/>
        </w:rPr>
        <w:t>(6), 755-763. doi:10.1016/j.jamcollsurg.2016.09.001</w:t>
      </w:r>
    </w:p>
    <w:p w14:paraId="0B6A4199" w14:textId="77777777" w:rsidR="00EC626A" w:rsidRPr="00EC626A" w:rsidRDefault="00EC626A" w:rsidP="00EC626A">
      <w:pPr>
        <w:pStyle w:val="EndNoteBibliography"/>
        <w:ind w:left="720" w:hanging="720"/>
        <w:rPr>
          <w:rFonts w:asciiTheme="minorHAnsi" w:hAnsiTheme="minorHAnsi"/>
          <w:color w:val="FF0000"/>
        </w:rPr>
      </w:pPr>
    </w:p>
    <w:p w14:paraId="066345C7" w14:textId="77777777" w:rsidR="00EC626A" w:rsidRPr="00EC626A" w:rsidRDefault="00EC626A" w:rsidP="00E71BAB">
      <w:pPr>
        <w:pStyle w:val="EndNoteBibliography"/>
        <w:ind w:left="720" w:firstLine="0"/>
        <w:rPr>
          <w:rFonts w:asciiTheme="minorHAnsi" w:hAnsiTheme="minorHAnsi" w:cs="Segoe UI"/>
          <w:color w:val="FF0000"/>
        </w:rPr>
      </w:pPr>
      <w:bookmarkStart w:id="33" w:name="_Hlk5107573"/>
      <w:r w:rsidRPr="00EC626A">
        <w:rPr>
          <w:rFonts w:asciiTheme="minorHAnsi" w:hAnsiTheme="minorHAnsi" w:cs="Segoe UI"/>
          <w:color w:val="FF0000"/>
        </w:rPr>
        <w:t xml:space="preserve">BACKGROUND: The impact of post-discharge rehabilitation care for the trauma patient remains poorly investigated. Here we describe the functional outcomes of trauma patients discharged to an inpatient rehabilitation facility (IRF), and compare the likelihood of discharge home, 1-year rehospitalization, and 1-year mortality between patients discharged to an IRF and a propensity score-matched cohort of patients not discharged to an IRF. STUDY DESIGN: The Washington State Rehabilitation Registry was used to collect data for all trauma patients discharged to an IRF between 2011 and 2012. These charts were linked to the Washington State Trauma Registry and the Comprehensive Hospital Abstract Reporting System database to obtain detailed patient, injury, and mortality data. Propensity score matching was used to identify a control group of patients who were not discharged to an IRF. Primary outcomes measures were improvement in Functional Independence Measure score with inpatient rehabilitation and the likelihood of discharge home, 1-year rehospitalization, and 1-year mortality. RESULTS: Nine hundred and thirty-three trauma patients were discharged to an IRF between 2011 and 2012. Total functional independence measure scores improved from 63.7 (SD 20.3) to 92.2 (SD 20.9) (p &lt; 0.001) with care at an IRF. When patients discharged to an IRF were compared with the propensity score-matched control patients, rehabilitation was found to significantly increase the likelihood of discharge to home (odds ratio = 9.41; 95% CI, 6.80-13.01) and to decrease 1-year mortality (odds ratio = 0.60; 95% CI, 0.39-0.92). CONCLUSIONS: Acute trauma patients should be </w:t>
      </w:r>
      <w:r w:rsidRPr="00EC626A">
        <w:rPr>
          <w:rFonts w:asciiTheme="minorHAnsi" w:hAnsiTheme="minorHAnsi" w:cs="Segoe UI"/>
          <w:color w:val="FF0000"/>
        </w:rPr>
        <w:lastRenderedPageBreak/>
        <w:t>recognized as an underserved population that would benefit considerably from inpatient rehabilitation services after discharge from the hospital.</w:t>
      </w:r>
    </w:p>
    <w:bookmarkEnd w:id="33"/>
    <w:p w14:paraId="2978A9CD" w14:textId="77777777" w:rsidR="00EC626A" w:rsidRPr="00EC626A" w:rsidRDefault="00EC626A" w:rsidP="00EC626A">
      <w:pPr>
        <w:pStyle w:val="EndNoteBibliography"/>
        <w:ind w:left="720" w:hanging="720"/>
        <w:rPr>
          <w:rFonts w:asciiTheme="minorHAnsi" w:hAnsiTheme="minorHAnsi"/>
          <w:color w:val="FF0000"/>
        </w:rPr>
      </w:pPr>
    </w:p>
    <w:p w14:paraId="1516F464"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O'Brien, S. R., &amp; Xue, Y. (2016). Inpatient Rehabilitation Outcomes in Patients With Stroke Aged 85 Years or Older. </w:t>
      </w:r>
      <w:r w:rsidRPr="00EC626A">
        <w:rPr>
          <w:rFonts w:asciiTheme="minorHAnsi" w:hAnsiTheme="minorHAnsi"/>
          <w:i/>
          <w:color w:val="FF0000"/>
        </w:rPr>
        <w:t>Phys Ther, 96</w:t>
      </w:r>
      <w:r w:rsidRPr="00EC626A">
        <w:rPr>
          <w:rFonts w:asciiTheme="minorHAnsi" w:hAnsiTheme="minorHAnsi"/>
          <w:color w:val="FF0000"/>
        </w:rPr>
        <w:t>(9), 1381-1388. doi:10.2522/ptj.20150364</w:t>
      </w:r>
    </w:p>
    <w:p w14:paraId="2CAA6EC8" w14:textId="77777777" w:rsidR="00EC626A" w:rsidRPr="00EC626A" w:rsidRDefault="00EC626A" w:rsidP="00EC626A">
      <w:pPr>
        <w:pStyle w:val="EndNoteBibliography"/>
        <w:ind w:left="720" w:hanging="720"/>
        <w:rPr>
          <w:rFonts w:asciiTheme="minorHAnsi" w:hAnsiTheme="minorHAnsi"/>
          <w:color w:val="FF0000"/>
        </w:rPr>
      </w:pPr>
    </w:p>
    <w:p w14:paraId="2168A8F4" w14:textId="77777777" w:rsidR="00EC626A" w:rsidRPr="00EC626A" w:rsidRDefault="00EC626A" w:rsidP="00E71BAB">
      <w:pPr>
        <w:pStyle w:val="EndNoteBibliography"/>
        <w:ind w:left="720" w:firstLine="0"/>
        <w:rPr>
          <w:rFonts w:asciiTheme="minorHAnsi" w:hAnsiTheme="minorHAnsi"/>
          <w:color w:val="FF0000"/>
        </w:rPr>
      </w:pPr>
      <w:bookmarkStart w:id="34" w:name="_Hlk5107593"/>
      <w:r w:rsidRPr="00EC626A">
        <w:rPr>
          <w:rFonts w:asciiTheme="minorHAnsi" w:hAnsiTheme="minorHAnsi" w:cs="Segoe UI"/>
          <w:color w:val="FF0000"/>
        </w:rPr>
        <w:t>BACKGROUND: In the United States, people 85 years of age or older have a growing number of strokes each year, and this age group is most at risk for disability. Inpatient rehabilitation facilities (IRFs) adhere closest to post-acute stroke rehabilitation guidelines and have the most desirable outcomes compared with skilled nursing facilities. As stroke is one of the leading causes of disability, knowledge of postrehabilitation outcomes is needed for this age group, although at present such information is limited. OBJECTIVE: The purpose of this study was to describe functional and discharge outcomes after IRF rehabilitation in people with stroke aged 85 years or older. DESIGN: A serial, cross-sectional design was used. METHODS: Inpatient Rehabilitation Facility-Patient Assessment Instrument data were analyzed beginning in 2002 for the first 5.5 years after implementation of the prospective payment system and included 71,652 cases. Discharge function, measured using the Functional Independence Measure (FIM), and community discharge were the discharge outcome measures. Sample description used frequencies and means. Generalized estimating equations (GEEs) with post hoc testing were used to analyze the annual trends for discharge FIM and community discharge by age group (85-89, 90-94, 95-99, and &gt;/=100 years). Risk-adjusted linear and logistic GEE models, with control for cluster, were used to analyze the association between both outcome measures and age group. RESULTS: Over 5.5 years, mean discharge FIM scores decreased by 3.6 points, and mean achievement of community discharge decreased 5.5%. Approximately 54% of the sample achieved community discharge. Continuous and logistic GEEs revealed factors associated with discharge outcomes. LIMITATIONS: Results obtained using an observational design should not be viewed as indicating causation. The lack of control for a caregiver may have altered results. CONCLUSIONS: The very elderly people admitted to IRF stroke rehabilitation made functional gains, and most were able to return to the community.</w:t>
      </w:r>
    </w:p>
    <w:bookmarkEnd w:id="34"/>
    <w:p w14:paraId="47265841" w14:textId="77777777" w:rsidR="00EC626A" w:rsidRPr="00EC626A" w:rsidRDefault="00EC626A" w:rsidP="00EC626A">
      <w:pPr>
        <w:pStyle w:val="EndNoteBibliography"/>
        <w:ind w:left="720" w:hanging="720"/>
        <w:rPr>
          <w:rFonts w:asciiTheme="minorHAnsi" w:hAnsiTheme="minorHAnsi"/>
          <w:color w:val="FF0000"/>
        </w:rPr>
      </w:pPr>
    </w:p>
    <w:p w14:paraId="33C0CEF8" w14:textId="77777777" w:rsidR="00EC626A" w:rsidRPr="00EC626A" w:rsidRDefault="00EC626A" w:rsidP="00EC626A">
      <w:pPr>
        <w:pStyle w:val="EndNoteBibliography"/>
        <w:ind w:left="720" w:hanging="720"/>
        <w:rPr>
          <w:rFonts w:asciiTheme="minorHAnsi" w:hAnsiTheme="minorHAnsi"/>
          <w:color w:val="FF0000"/>
        </w:rPr>
      </w:pPr>
    </w:p>
    <w:p w14:paraId="06D0CBA0" w14:textId="693ECD8C"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Rosenbaum, A. M., Gordon, W. A., Joannou, A., &amp; Berman, B. A. (2018). Functional outcomes following post-acute rehabilitation for moderate-to-severe traumatic brain injury. </w:t>
      </w:r>
      <w:r w:rsidRPr="00EC626A">
        <w:rPr>
          <w:rFonts w:asciiTheme="minorHAnsi" w:hAnsiTheme="minorHAnsi"/>
          <w:i/>
          <w:color w:val="FF0000"/>
        </w:rPr>
        <w:t>Brain Inj, 32</w:t>
      </w:r>
      <w:r w:rsidRPr="00EC626A">
        <w:rPr>
          <w:rFonts w:asciiTheme="minorHAnsi" w:hAnsiTheme="minorHAnsi"/>
          <w:color w:val="FF0000"/>
        </w:rPr>
        <w:t>(7), 907-914. doi:10.1080/02699052.2018.1469040</w:t>
      </w:r>
    </w:p>
    <w:p w14:paraId="13207033" w14:textId="77777777" w:rsidR="00EC626A" w:rsidRPr="00EC626A" w:rsidRDefault="00EC626A" w:rsidP="00EC626A">
      <w:pPr>
        <w:pStyle w:val="EndNoteBibliography"/>
        <w:ind w:left="720" w:hanging="720"/>
        <w:rPr>
          <w:rFonts w:asciiTheme="minorHAnsi" w:hAnsiTheme="minorHAnsi"/>
          <w:color w:val="FF0000"/>
        </w:rPr>
      </w:pPr>
    </w:p>
    <w:p w14:paraId="5E7D1B68" w14:textId="77777777" w:rsidR="00EC626A" w:rsidRPr="00EC626A" w:rsidRDefault="00EC626A" w:rsidP="00480819">
      <w:pPr>
        <w:pStyle w:val="EndNoteBibliography"/>
        <w:ind w:left="720" w:firstLine="0"/>
        <w:rPr>
          <w:rFonts w:asciiTheme="minorHAnsi" w:hAnsiTheme="minorHAnsi"/>
          <w:color w:val="FF0000"/>
        </w:rPr>
      </w:pPr>
      <w:bookmarkStart w:id="35" w:name="_Hlk5107624"/>
      <w:r w:rsidRPr="00EC626A">
        <w:rPr>
          <w:rFonts w:asciiTheme="minorHAnsi" w:hAnsiTheme="minorHAnsi" w:cs="Segoe UI"/>
          <w:color w:val="FF0000"/>
        </w:rPr>
        <w:t xml:space="preserve">OBJECTIVE: The objective of this study was to examine the benefits of long-term inpatient rehabilitation for individuals with moderate-to-severe traumatic brain injuries (TBIs). METHODS: Retrospective database review of 67 individuals with moderate-to-severe TBI admitted to a specialised inpatient TBI program. Outcome measures are as follows: (1) functional independence measure + functional assessment measure (FIM+FAM; admission, discharge, change scores); (2) discharge designation (community vs. long-term care (LTC)). RESULTS: There was a mean improvement on FIM+FAM of 54.19 points (SD = 35.63) or 67% between admission and discharge (t(66) = -12.45, p &lt; 0.001). Mean time post-injury upon completion of therapy was 409.59 days (SD = 343.93). Upon completion of rehabilitation, 50 (75%) participants were discharged to community and 17 to LTC. Among those returning to community, those with longer length of stays were more severely disabled on admission (t(35.9) = -4.86, p &lt; 0.001). Controlling for admission functional status, individuals returning to community following &gt;90 days of therapy required a mean of 378.94 days (SD = 298.86) to achieve comparable gains to </w:t>
      </w:r>
      <w:r w:rsidRPr="00EC626A">
        <w:rPr>
          <w:rFonts w:asciiTheme="minorHAnsi" w:hAnsiTheme="minorHAnsi" w:cs="Segoe UI"/>
          <w:color w:val="FF0000"/>
        </w:rPr>
        <w:lastRenderedPageBreak/>
        <w:t>those less impaired who received shorter periods of rehabilitation (F(1) = 0.530, p = 0.47). CONCLUSION: Continued specialised inpatient services following acute inpatient rehabilitation for individuals with moderate-to-severe TBI can reduce the level of dependency and enhance the likelihood of return to community living.</w:t>
      </w:r>
    </w:p>
    <w:bookmarkEnd w:id="35"/>
    <w:p w14:paraId="00915E8B" w14:textId="77777777" w:rsidR="00EC626A" w:rsidRPr="00EC626A" w:rsidRDefault="00EC626A" w:rsidP="00EC626A">
      <w:pPr>
        <w:pStyle w:val="EndNoteBibliography"/>
        <w:ind w:left="720" w:hanging="720"/>
        <w:rPr>
          <w:rFonts w:asciiTheme="minorHAnsi" w:hAnsiTheme="minorHAnsi"/>
          <w:color w:val="FF0000"/>
        </w:rPr>
      </w:pPr>
    </w:p>
    <w:p w14:paraId="6884B0A4" w14:textId="1FD3653B" w:rsidR="00DA3001" w:rsidRPr="00336652" w:rsidRDefault="00DA3001" w:rsidP="009B1947">
      <w:pPr>
        <w:ind w:left="0" w:firstLine="0"/>
        <w:rPr>
          <w:bCs/>
          <w:color w:val="FF0000"/>
        </w:rPr>
      </w:pPr>
      <w:r w:rsidRPr="00336652">
        <w:rPr>
          <w:bCs/>
          <w:color w:val="FF0000"/>
        </w:rPr>
        <w:t>Sauter et al (2013). Functional outcomes of persons who underwent dysvascular lower extremity amputations: effect of postacute rehabilitation setting</w:t>
      </w:r>
      <w:r w:rsidR="00336652">
        <w:rPr>
          <w:bCs/>
          <w:color w:val="FF0000"/>
        </w:rPr>
        <w:t xml:space="preserve">. </w:t>
      </w:r>
      <w:hyperlink r:id="rId22" w:tooltip="American journal of physical medicine &amp; rehabilitation." w:history="1">
        <w:r w:rsidR="00336652" w:rsidRPr="00336652">
          <w:rPr>
            <w:rFonts w:ascii="Arial" w:hAnsi="Arial" w:cs="Arial"/>
            <w:color w:val="FF0000"/>
            <w:sz w:val="20"/>
            <w:szCs w:val="20"/>
            <w:lang w:val="en"/>
          </w:rPr>
          <w:t>Am J Phys Med Rehabil.</w:t>
        </w:r>
      </w:hyperlink>
      <w:r w:rsidR="00336652" w:rsidRPr="00336652">
        <w:rPr>
          <w:rFonts w:ascii="Arial" w:hAnsi="Arial" w:cs="Arial"/>
          <w:color w:val="FF0000"/>
          <w:sz w:val="20"/>
          <w:szCs w:val="20"/>
          <w:lang w:val="en"/>
        </w:rPr>
        <w:t xml:space="preserve"> Apr;92(4):287-96.</w:t>
      </w:r>
    </w:p>
    <w:p w14:paraId="45797B50" w14:textId="77777777" w:rsidR="00DA3001" w:rsidRPr="00DA3001" w:rsidRDefault="00DA3001" w:rsidP="00DA3001">
      <w:pPr>
        <w:rPr>
          <w:color w:val="FF0000"/>
        </w:rPr>
      </w:pPr>
    </w:p>
    <w:p w14:paraId="29A9A798" w14:textId="77777777" w:rsidR="00DA3001" w:rsidRPr="00DA3001" w:rsidRDefault="00DA3001" w:rsidP="00BB6714">
      <w:pPr>
        <w:ind w:left="720" w:firstLine="0"/>
        <w:rPr>
          <w:color w:val="FF0000"/>
        </w:rPr>
      </w:pPr>
      <w:r w:rsidRPr="00DA3001">
        <w:rPr>
          <w:color w:val="FF0000"/>
        </w:rPr>
        <w:t>OBJECTIVE: The aim of this study was to examine the effect of postacute rehabilitation setting on functional outcomes among patients who underwent major dysvascular lower extremity amputations. DESIGN: This is a population-based prospective cohort study conducted in Maryland and Wisconsin. Data collected from medical records and patient interviews conducted during acute hospitalization after amputation and at 6 mos after the acute care discharge were analyzed using multivariate models and instrumental variable techniques. RESULTS: A total of 297 patients were analyzed on the basis of postacute care rehabilitation setting: acute inpatient rehabilitation facility (IRF), skilled nursing facility (SNF), or home. The majority (43.4%) received care in an IRF; 32%, in an SNF; and 24.6%, at home. On the Short Form-36 subscales, significantly improved outcomes were observed for the patients receiving postacute care at an IRF relative to those cared for at an SNF in physical function, role physical, and physical component summary score. Patients receiving postacute care in IRFs also experienced better role physical and physical component summary score outcomes compared with those discharged directly home. In addition, patients receiving postacute care in an IRF were significantly more likely to score in the top quartile for general health in IRF compared with SNF or home and less likely to score in the lowest quartile for physical function, role physical, and physical component summary score in IRF compared with SNF. Lower activity of daily living impairment was observed in IRF compared with SNF. CONCLUSIONS: Among this large and diverse cohort of patients who underwent major dysvascular lower limb amputations, receipt of interdisciplinary rehabilitation services in an IRF yielded improved functional outcomes 6 mos after amputation relative to care received in SNFs or at home.</w:t>
      </w:r>
    </w:p>
    <w:p w14:paraId="56AA405F" w14:textId="77777777" w:rsidR="00DA3001" w:rsidRDefault="00DA3001" w:rsidP="00BB6714">
      <w:pPr>
        <w:pStyle w:val="EndNoteBibliography"/>
        <w:ind w:left="720" w:firstLine="0"/>
        <w:rPr>
          <w:rFonts w:asciiTheme="minorHAnsi" w:hAnsiTheme="minorHAnsi"/>
          <w:color w:val="FF0000"/>
        </w:rPr>
      </w:pPr>
    </w:p>
    <w:p w14:paraId="63E4B457" w14:textId="426C1F5E"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Siebens, H. C., Sharkey, P., Aronow, H. U., Deutscher, D., Roberts, P., Munin, M. C., . . . Horn, S. D. (2016). Variation in Rehabilitation Treatment Patterns for Hip Fracture Treated With Arthroplasty. </w:t>
      </w:r>
      <w:r w:rsidR="009B1947">
        <w:rPr>
          <w:rFonts w:asciiTheme="minorHAnsi" w:hAnsiTheme="minorHAnsi"/>
          <w:color w:val="FF0000"/>
        </w:rPr>
        <w:t>PM&amp;R</w:t>
      </w:r>
      <w:r w:rsidRPr="00EC626A">
        <w:rPr>
          <w:rFonts w:asciiTheme="minorHAnsi" w:hAnsiTheme="minorHAnsi"/>
          <w:i/>
          <w:color w:val="FF0000"/>
        </w:rPr>
        <w:t>, 8</w:t>
      </w:r>
      <w:r w:rsidRPr="00EC626A">
        <w:rPr>
          <w:rFonts w:asciiTheme="minorHAnsi" w:hAnsiTheme="minorHAnsi"/>
          <w:color w:val="FF0000"/>
        </w:rPr>
        <w:t xml:space="preserve">(3), 191-207. </w:t>
      </w:r>
    </w:p>
    <w:p w14:paraId="57E75023" w14:textId="77777777" w:rsidR="00EC626A" w:rsidRPr="00EC626A" w:rsidRDefault="00EC626A" w:rsidP="00EC626A">
      <w:pPr>
        <w:pStyle w:val="EndNoteBibliography"/>
        <w:ind w:left="720" w:hanging="720"/>
        <w:rPr>
          <w:rFonts w:asciiTheme="minorHAnsi" w:hAnsiTheme="minorHAnsi"/>
          <w:color w:val="FF0000"/>
        </w:rPr>
      </w:pPr>
    </w:p>
    <w:p w14:paraId="5FFA2E8C" w14:textId="344E1A95" w:rsidR="00EC626A" w:rsidRDefault="00EC626A" w:rsidP="00480819">
      <w:pPr>
        <w:pStyle w:val="EndNoteBibliography"/>
        <w:ind w:left="720" w:firstLine="0"/>
        <w:rPr>
          <w:rFonts w:asciiTheme="minorHAnsi" w:hAnsiTheme="minorHAnsi" w:cs="Segoe UI"/>
          <w:color w:val="FF0000"/>
        </w:rPr>
      </w:pPr>
      <w:bookmarkStart w:id="36" w:name="_Hlk5107645"/>
      <w:r w:rsidRPr="00EC626A">
        <w:rPr>
          <w:rFonts w:asciiTheme="minorHAnsi" w:hAnsiTheme="minorHAnsi" w:cs="Segoe UI"/>
          <w:color w:val="FF0000"/>
        </w:rPr>
        <w:t xml:space="preserve">BACKGROUND: Recommendations for health care redesign often advocate for comparative effectiveness research that is patient-centered. For patients who require rehabilitation services, a first step in this research process is to understand current practices for specific patient groups. OBJECTIVE: To document in detail the physical and occupational therapy treatment activities for inpatient hip fracture rehabilitation among 3 patient subgroups distinguished by their early rate of functional recovery between time of surgery to rehabilitation admission. DESIGN: Multicenter prospective observational cohort, practice-based evidence, study. SETTING: Seven skilled nursing facilities and 11 inpatient rehabilitation facilities across the United States. PARTICIPANTS: A total of 226 patients with hip fractures treated with hip arthroplasty. METHODS: Comparisons of physical and occupational therapy treatment activities among 3 groups with different initial recovery trajectory (IRT) rates (slower, moderate, faster). MAIN OUTCOME MEASURE(S): Percent of patients in each IRT group exposed to each physical and occupational therapy activity (exposure), and mean minutes per week for each activity (intensity). RESULTS: The number of patients exposed to different physical or occupational </w:t>
      </w:r>
      <w:r w:rsidRPr="00EC626A">
        <w:rPr>
          <w:rFonts w:asciiTheme="minorHAnsi" w:hAnsiTheme="minorHAnsi" w:cs="Segoe UI"/>
          <w:color w:val="FF0000"/>
        </w:rPr>
        <w:lastRenderedPageBreak/>
        <w:t>therapy activities varied within the entire sample. More specifically, among the 3 IRT groups, significant differences in exposure occurred for 44% of physical therapy activities and 39% of occupational therapy activities. More patients in the slower recovery group, IRT 1, received basic activities of daily living treatments and more patients in the faster recovery group, IRT 3, received advanced activities. The moderate recovery group, IRT 2, had some treatments similar to IRT 1 group and others similar to IRT 3 group. CONCLUSIONS: Analyses of practice-based evidence on inpatient rehabilitation of hip fracture patients treated with arthroplasty identified differences in therapy activities among three patient groups classified by IRT rates. These results may enhance physiatrists', other physicians', and rehabilitation teams' understanding of inpatient rehabilitation for these patients and help design future comparative effectiveness research.</w:t>
      </w:r>
    </w:p>
    <w:bookmarkEnd w:id="36"/>
    <w:p w14:paraId="335E88D1" w14:textId="4CB386BA" w:rsidR="00B95737" w:rsidRDefault="00B95737" w:rsidP="00EC626A">
      <w:pPr>
        <w:pStyle w:val="EndNoteBibliography"/>
        <w:ind w:left="720" w:hanging="720"/>
        <w:rPr>
          <w:rFonts w:asciiTheme="minorHAnsi" w:hAnsiTheme="minorHAnsi" w:cs="Segoe UI"/>
          <w:color w:val="FF0000"/>
        </w:rPr>
      </w:pPr>
    </w:p>
    <w:p w14:paraId="424B4CCA" w14:textId="77777777" w:rsidR="00B95737" w:rsidRPr="00B95737" w:rsidRDefault="00B95737" w:rsidP="009B1947">
      <w:pPr>
        <w:pStyle w:val="EndNoteBibliography"/>
        <w:ind w:left="0" w:firstLine="0"/>
        <w:rPr>
          <w:color w:val="FF0000"/>
        </w:rPr>
      </w:pPr>
      <w:r w:rsidRPr="00B95737">
        <w:rPr>
          <w:color w:val="FF0000"/>
        </w:rPr>
        <w:t xml:space="preserve">Skidmore, E. R., Dawson, D. R., Butters, M. A., Grattan, E. S., Juengst, S. B., Whyte, E. M., . . . Becker, J. T. (2015). Strategy Training Shows Promise for Addressing Disability in the First 6 Months After Stroke. </w:t>
      </w:r>
      <w:r w:rsidRPr="00B95737">
        <w:rPr>
          <w:i/>
          <w:color w:val="FF0000"/>
        </w:rPr>
        <w:t>Neurorehabil Neural Repair, 29</w:t>
      </w:r>
      <w:r w:rsidRPr="00B95737">
        <w:rPr>
          <w:color w:val="FF0000"/>
        </w:rPr>
        <w:t>(7), 668-676. doi:10.1177/1545968314562113</w:t>
      </w:r>
    </w:p>
    <w:p w14:paraId="1E446E61" w14:textId="77777777" w:rsidR="00B95737" w:rsidRPr="00EC626A" w:rsidRDefault="00B95737" w:rsidP="00EC626A">
      <w:pPr>
        <w:pStyle w:val="EndNoteBibliography"/>
        <w:ind w:left="720" w:hanging="720"/>
        <w:rPr>
          <w:rFonts w:asciiTheme="minorHAnsi" w:hAnsiTheme="minorHAnsi"/>
          <w:color w:val="FF0000"/>
        </w:rPr>
      </w:pPr>
    </w:p>
    <w:p w14:paraId="5E251B82" w14:textId="77777777" w:rsidR="00B95737" w:rsidRDefault="00B95737" w:rsidP="00B95737">
      <w:pPr>
        <w:ind w:left="720" w:firstLine="0"/>
        <w:rPr>
          <w:color w:val="FF0000"/>
        </w:rPr>
      </w:pPr>
      <w:bookmarkStart w:id="37" w:name="_Hlk5107654"/>
      <w:r w:rsidRPr="00C26E10">
        <w:rPr>
          <w:color w:val="FF0000"/>
        </w:rPr>
        <w:t xml:space="preserve">OBJECTIVE: To examine the feasibility of a strategy training clinical trial in a small group of adults with </w:t>
      </w:r>
      <w:r w:rsidRPr="009B1947">
        <w:rPr>
          <w:color w:val="FF0000"/>
        </w:rPr>
        <w:t>stroke-related cognitive impairments</w:t>
      </w:r>
      <w:r w:rsidRPr="00C26E10">
        <w:rPr>
          <w:color w:val="FF0000"/>
        </w:rPr>
        <w:t xml:space="preserve"> in inpatient rehabilitation, and to explore the impact of strategy training on disability. DESIGN: Non-randomized two-group intervention pilot study. SETTING: Two inpatient rehabilitation units within an academic health centre. PARTICIPANTS: Individuals with a </w:t>
      </w:r>
      <w:r w:rsidRPr="00B95737">
        <w:rPr>
          <w:color w:val="FF0000"/>
        </w:rPr>
        <w:t>primary diagnosis of acute stroke, who were admitted to inpatient rehabilitation and demonstrated cognitive impairments were included. Individuals with severe aphasia; dementia; major depressive disorder, bipolar, or psychotic disorder; recent drug or alcohol abuse; and anticipated length of stay less than five days were excluded. INTERVENTION: Participants received strategy training or an attention control session in addition to usual rehabilitation care. Sessions in both groups were 30-40 minutes daily, five days per week, for the duration of inpatient rehabilitation. MAIN OUTCOME MEASURES: We assessed feasibility through participants' recruitment and retention; research</w:t>
      </w:r>
      <w:r w:rsidRPr="00C26E10">
        <w:rPr>
          <w:color w:val="FF0000"/>
        </w:rPr>
        <w:t xml:space="preserve"> intervention session number and duration; participants' comprehension and engagement; intervention fidelity; and participants' satisfaction. We assessed disability at study admission, inpatient rehabilitation discharge, 3 and 6 months using the Functional Independence Measure. RESULTS: Participants in both groups (5 per group) received the assigned intervention (&gt;92% planned sessions; &gt;94% fidelity) and completed follow-up testing. Strategy training participants in this small sample demonstrated significantly less disability at six months (M (SE) = 117 (3)) than attention control participants (M(SE) = 96 (14); t 8 = 7.87, P = 0.02). CONCLUSIONS: It is feasible and acceptable to administer both intervention protocols as an adjunct to acute inpatient rehabilitation, and strategy training shows promise for reducing disability.</w:t>
      </w:r>
    </w:p>
    <w:bookmarkEnd w:id="37"/>
    <w:p w14:paraId="19FD1B0E" w14:textId="77777777" w:rsidR="00E50678" w:rsidRDefault="00E50678" w:rsidP="00EC626A">
      <w:pPr>
        <w:pStyle w:val="EndNoteBibliography"/>
        <w:ind w:left="720" w:hanging="720"/>
        <w:rPr>
          <w:rFonts w:asciiTheme="minorHAnsi" w:hAnsiTheme="minorHAnsi"/>
          <w:color w:val="FF0000"/>
        </w:rPr>
      </w:pPr>
    </w:p>
    <w:p w14:paraId="1BD896EA" w14:textId="11DEB852"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Wang, H., Camicia, M., Terdiman, J., Mannava, M. K., Sidney, S., &amp; Sandel, M. E. (2013). Daily treatment time and functional gains of stroke patients during inpatient rehabilitation. </w:t>
      </w:r>
      <w:r w:rsidR="009B1947">
        <w:rPr>
          <w:rFonts w:asciiTheme="minorHAnsi" w:hAnsiTheme="minorHAnsi"/>
          <w:color w:val="FF0000"/>
        </w:rPr>
        <w:t>PM&amp;R</w:t>
      </w:r>
      <w:r w:rsidRPr="00EC626A">
        <w:rPr>
          <w:rFonts w:asciiTheme="minorHAnsi" w:hAnsiTheme="minorHAnsi"/>
          <w:i/>
          <w:color w:val="FF0000"/>
        </w:rPr>
        <w:t xml:space="preserve"> 5</w:t>
      </w:r>
      <w:r w:rsidRPr="00EC626A">
        <w:rPr>
          <w:rFonts w:asciiTheme="minorHAnsi" w:hAnsiTheme="minorHAnsi"/>
          <w:color w:val="FF0000"/>
        </w:rPr>
        <w:t>(2), 122-128. doi:10.1016/j.pmrj.2012.08.013</w:t>
      </w:r>
    </w:p>
    <w:p w14:paraId="5F22519E" w14:textId="77777777" w:rsidR="00EC626A" w:rsidRPr="00EC626A" w:rsidRDefault="00EC626A" w:rsidP="00EC626A">
      <w:pPr>
        <w:pStyle w:val="EndNoteBibliography"/>
        <w:ind w:left="720" w:hanging="720"/>
        <w:rPr>
          <w:rFonts w:asciiTheme="minorHAnsi" w:hAnsiTheme="minorHAnsi"/>
          <w:color w:val="FF0000"/>
        </w:rPr>
      </w:pPr>
    </w:p>
    <w:p w14:paraId="42A20698" w14:textId="77777777" w:rsidR="00EC626A" w:rsidRPr="00EC626A" w:rsidRDefault="00EC626A" w:rsidP="00EC626A">
      <w:pPr>
        <w:autoSpaceDE w:val="0"/>
        <w:autoSpaceDN w:val="0"/>
        <w:adjustRightInd w:val="0"/>
        <w:ind w:left="720" w:firstLine="0"/>
        <w:rPr>
          <w:rFonts w:cs="Segoe UI"/>
          <w:color w:val="FF0000"/>
        </w:rPr>
      </w:pPr>
      <w:bookmarkStart w:id="38" w:name="_Hlk5107689"/>
      <w:r w:rsidRPr="00EC626A">
        <w:rPr>
          <w:rFonts w:cs="Segoe UI"/>
          <w:color w:val="FF0000"/>
        </w:rPr>
        <w:t xml:space="preserve">OBJECTIVE: To study the effects of daily treatment time on functional gain of patients who have had a stroke. DESIGN: A retrospective cohort study. SETTING: An inpatient rehabilitation hospital (IRH) in northern California. PARTICIPANTS: Three hundred sixty patients who had a stroke and were discharged from the IRH in 2007. INTERVENTIONS: Average minutes of rehabilitation therapy per day, including physical therapy, occupation therapy, speech and language therapy, and total treatment. MAIN OUTCOME MEASURES: Functional gain measured </w:t>
      </w:r>
      <w:r w:rsidRPr="00EC626A">
        <w:rPr>
          <w:rFonts w:cs="Segoe UI"/>
          <w:color w:val="FF0000"/>
        </w:rPr>
        <w:lastRenderedPageBreak/>
        <w:t>by the Functional Independence Measure, including activities of daily living, mobility, cognition, and the total of the Functional Independence Measure (FIM) scores. RESULTS: The study sample had a mean age of 64.8 years; 57.4% were men and 61.4% were white. The mean total daily therapy time was 190.3 minutes, and the mean total functional gain was 26.0. A longer daily therapeutic duration was significantly associated with total functional gain (r = .23, P = .0094). Patients who received a total therapy time of &lt;3.0 hours per day had significantly lower total functional gain than did those treated &gt;/=3.0 hours. No significant difference in total functional gain was found between patients treated &gt;/=3.0 but &lt;3.5 hours and &gt;/=3.5 hours per day. The daily treatment time of physical therapy, occupational therapy, and speech and language therapy also was significantly associated with corresponding subscale functional gains. In addition, hemorrhagic stroke, left brain injury, earlier IRH admission, and a longer IRH stay were associated with total functional improvement. CONCLUSIONS: The study demonstrated a significant relationship between daily therapeutic duration and functional gain during IRH stay and showed treatment time thresholds for optimal functional outcomes for patients in inpatient rehabilitation who had a stroke.</w:t>
      </w:r>
    </w:p>
    <w:bookmarkEnd w:id="38"/>
    <w:p w14:paraId="5CE3DA25" w14:textId="77777777" w:rsidR="00EC626A" w:rsidRPr="00EC626A" w:rsidRDefault="00EC626A" w:rsidP="00EC626A">
      <w:pPr>
        <w:pStyle w:val="EndNoteBibliography"/>
        <w:ind w:left="720" w:hanging="720"/>
        <w:rPr>
          <w:rFonts w:asciiTheme="minorHAnsi" w:hAnsiTheme="minorHAnsi"/>
          <w:color w:val="FF0000"/>
        </w:rPr>
      </w:pPr>
    </w:p>
    <w:p w14:paraId="2C34B0FB" w14:textId="77777777" w:rsidR="00EC626A" w:rsidRPr="00EC626A" w:rsidRDefault="00EC626A" w:rsidP="00EC626A">
      <w:pPr>
        <w:pStyle w:val="EndNoteBibliography"/>
        <w:ind w:left="720" w:hanging="720"/>
        <w:rPr>
          <w:rFonts w:asciiTheme="minorHAnsi" w:hAnsiTheme="minorHAnsi"/>
          <w:color w:val="FF0000"/>
        </w:rPr>
      </w:pPr>
    </w:p>
    <w:p w14:paraId="7C766A77"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t xml:space="preserve">Winstein, C. J., Stein, J., Arena, R., Bates, B., Cherney, L. R., Cramer, S. C., . . . Zorowitz, R. D. (2016). Guidelines for Adult Stroke Rehabilitation and Recovery: A Guideline for Healthcare Professionals From the American Heart Association/American Stroke Association. </w:t>
      </w:r>
      <w:r w:rsidRPr="00EC626A">
        <w:rPr>
          <w:rFonts w:asciiTheme="minorHAnsi" w:hAnsiTheme="minorHAnsi"/>
          <w:i/>
          <w:color w:val="FF0000"/>
        </w:rPr>
        <w:t>Stroke, 47</w:t>
      </w:r>
      <w:r w:rsidRPr="00EC626A">
        <w:rPr>
          <w:rFonts w:asciiTheme="minorHAnsi" w:hAnsiTheme="minorHAnsi"/>
          <w:color w:val="FF0000"/>
        </w:rPr>
        <w:t>(6), e98-e169. doi:10.1161/str.0000000000000098</w:t>
      </w:r>
    </w:p>
    <w:p w14:paraId="65DF5CE7" w14:textId="77777777" w:rsidR="00EC626A" w:rsidRPr="00EC626A" w:rsidRDefault="00EC626A" w:rsidP="00EC626A">
      <w:pPr>
        <w:pStyle w:val="EndNoteBibliography"/>
        <w:ind w:left="720" w:hanging="720"/>
        <w:rPr>
          <w:rFonts w:asciiTheme="minorHAnsi" w:hAnsiTheme="minorHAnsi"/>
          <w:color w:val="FF0000"/>
        </w:rPr>
      </w:pPr>
    </w:p>
    <w:p w14:paraId="44FBE58E" w14:textId="22F4B16B" w:rsidR="00EC626A" w:rsidRPr="00EC626A" w:rsidRDefault="00EC626A" w:rsidP="00480819">
      <w:pPr>
        <w:pStyle w:val="EndNoteBibliography"/>
        <w:ind w:left="720" w:firstLine="0"/>
        <w:rPr>
          <w:rFonts w:asciiTheme="minorHAnsi" w:hAnsiTheme="minorHAnsi"/>
          <w:color w:val="FF0000"/>
        </w:rPr>
      </w:pPr>
      <w:bookmarkStart w:id="39" w:name="_Hlk5107707"/>
      <w:r w:rsidRPr="00EC626A">
        <w:rPr>
          <w:rFonts w:asciiTheme="minorHAnsi" w:hAnsiTheme="minorHAnsi" w:cs="Segoe UI"/>
          <w:color w:val="FF0000"/>
        </w:rPr>
        <w:t xml:space="preserve">PURPOSE: The aim of this guideline is to provide a synopsis of best clinical practices in the rehabilitative care of adults recovering from stroke. METHODS: Writing group members were nominated by the committee chair on the basis of their previous work in relevant topic areas and were approved by the American Heart Association (AHA) Stroke Council's Scientific Statement Oversight Committee and the AHA's Manuscript Oversight Committee. The panel reviewed relevant articles on adults using computerized searches of the medical literature through 2014. The evidence is organized within the context of the AHA framework and is classified according to the joint AHA/American College of Cardiology and supplementary AHA methods of classifying the level of certainty and the class and level of evidence. The document underwent extensive AHA internal and external peer review, Stroke Council Leadership review, and Scientific Statements Oversight Committee review before consideration and approval by the AHA Science Advisory and Coordinating Committee. RESULTS: Stroke rehabilitation requires a sustained and coordinated effort from a large team, including the patient and his or her goals, family and friends, other caregivers (eg, personal care attendants), physicians, nurses, physical and occupational therapists, speech-language pathologists, recreation therapists, psychologists, nutritionists, social workers, and others. Communication and coordination among these team members are paramount in maximizing the effectiveness and efficiency of rehabilitation and underlie this entire guideline. Without communication and coordination, isolated efforts to rehabilitate the stroke survivor are unlikely to achieve their full potential. CONCLUSIONS: As systems of care evolve in response to healthcare reform efforts, postacute care and rehabilitation are often considered a costly area of care to be trimmed but without recognition of their clinical impact and ability to reduce the risk of downstream medical morbidity resulting from immobility, depression, loss of autonomy, and reduced functional independence. The provision of comprehensive rehabilitation programs with adequate resources, dose, and duration is an essential aspect of stroke care and should be a priority in these redesign efforts. </w:t>
      </w:r>
    </w:p>
    <w:bookmarkEnd w:id="39"/>
    <w:p w14:paraId="0EA2580C" w14:textId="77777777" w:rsidR="00EC626A" w:rsidRPr="00EC626A" w:rsidRDefault="00EC626A" w:rsidP="00EC626A">
      <w:pPr>
        <w:pStyle w:val="EndNoteBibliography"/>
        <w:ind w:left="720" w:hanging="720"/>
        <w:rPr>
          <w:rFonts w:asciiTheme="minorHAnsi" w:hAnsiTheme="minorHAnsi"/>
          <w:color w:val="FF0000"/>
        </w:rPr>
      </w:pPr>
    </w:p>
    <w:p w14:paraId="05188793" w14:textId="77777777" w:rsidR="00EC626A" w:rsidRPr="00EC626A" w:rsidRDefault="00EC626A" w:rsidP="009B1947">
      <w:pPr>
        <w:pStyle w:val="EndNoteBibliography"/>
        <w:ind w:left="0" w:firstLine="0"/>
        <w:rPr>
          <w:rFonts w:asciiTheme="minorHAnsi" w:hAnsiTheme="minorHAnsi"/>
          <w:color w:val="FF0000"/>
        </w:rPr>
      </w:pPr>
      <w:r w:rsidRPr="00EC626A">
        <w:rPr>
          <w:rFonts w:asciiTheme="minorHAnsi" w:hAnsiTheme="minorHAnsi"/>
          <w:color w:val="FF0000"/>
        </w:rPr>
        <w:lastRenderedPageBreak/>
        <w:t xml:space="preserve">Wysocki, A., Thomas, K. S., &amp; Mor, V. (2015). Functional Improvement Among Short-Stay Nursing Home Residents in the MDS 3.0. </w:t>
      </w:r>
      <w:r w:rsidRPr="00EC626A">
        <w:rPr>
          <w:rFonts w:asciiTheme="minorHAnsi" w:hAnsiTheme="minorHAnsi"/>
          <w:i/>
          <w:color w:val="FF0000"/>
        </w:rPr>
        <w:t>J Am Med Dir Assoc, 16</w:t>
      </w:r>
      <w:r w:rsidRPr="00EC626A">
        <w:rPr>
          <w:rFonts w:asciiTheme="minorHAnsi" w:hAnsiTheme="minorHAnsi"/>
          <w:color w:val="FF0000"/>
        </w:rPr>
        <w:t>(6), 470-474. doi:10.1016/j.jamda.2014.11.018</w:t>
      </w:r>
    </w:p>
    <w:p w14:paraId="1915C342" w14:textId="77777777" w:rsidR="00EC626A" w:rsidRPr="00EC626A" w:rsidRDefault="00EC626A" w:rsidP="00EC626A">
      <w:pPr>
        <w:pStyle w:val="EndNoteBibliography"/>
        <w:ind w:left="720" w:hanging="720"/>
        <w:rPr>
          <w:rFonts w:asciiTheme="minorHAnsi" w:hAnsiTheme="minorHAnsi"/>
          <w:color w:val="FF0000"/>
        </w:rPr>
      </w:pPr>
    </w:p>
    <w:p w14:paraId="72F07EEF" w14:textId="77777777" w:rsidR="00EC626A" w:rsidRPr="00EC626A" w:rsidRDefault="00EC626A" w:rsidP="00480819">
      <w:pPr>
        <w:pStyle w:val="EndNoteBibliography"/>
        <w:ind w:left="720" w:firstLine="0"/>
        <w:rPr>
          <w:rFonts w:asciiTheme="minorHAnsi" w:hAnsiTheme="minorHAnsi"/>
          <w:color w:val="FF0000"/>
        </w:rPr>
      </w:pPr>
      <w:bookmarkStart w:id="40" w:name="_Hlk5107725"/>
      <w:r w:rsidRPr="00EC626A">
        <w:rPr>
          <w:rFonts w:asciiTheme="minorHAnsi" w:hAnsiTheme="minorHAnsi" w:cs="Segoe UI"/>
          <w:color w:val="FF0000"/>
        </w:rPr>
        <w:t>OBJECTIVES: To examine the completeness of the activities of daily living (ADL) items on admission and discharge assessments and the improvement in ADL performance among short-stay residents in the newly adopted Minimum Data Set (MDS) 3.0. DESIGN: Retrospective analysis of MDS admission and discharge assessments. SETTING: Nursing homes from July 1, 2011, to June 30, 2012. PARTICIPANTS: New nursing home residents admitted from acute hospitals with corresponding admission and discharge assessments between July 1, 2011, and June 30, 2012, who had a length of stay of 100 days or less. MEASUREMENTS: ADL self-performance items, including bed mobility, transfer, walking in room, walking in corridor, locomotion on unit, locomotion off unit, dressing, eating, toilet use, and personal hygiene, at admission and discharge. RESULTS: The ADL self-performance items are complete at both admission and discharge, with less than 1% missing for any item. More than 60% of residents improved over the course of their post-acute stay. New short-stay nursing home residents with conditions such as cognitive impairment, delirium, dementia, heart failure, and stroke showed less improvement in ADL performance during their stay. CONCLUSION: The discharge assessment data in the MDS 3.0 provide new information to researchers and providers to examine and track ADL performance. Nursing homes can identify and track patients who require more intensive therapies or targeted interventions to achieve functional improvement during their stay. Future research can examine facility-level measures to better understand how ADL improvement varies across facilities.</w:t>
      </w:r>
    </w:p>
    <w:bookmarkEnd w:id="40"/>
    <w:p w14:paraId="0F428D5D" w14:textId="77777777" w:rsidR="00EC626A" w:rsidRPr="00EC626A" w:rsidRDefault="00EC626A" w:rsidP="00EC626A">
      <w:pPr>
        <w:ind w:left="0" w:firstLine="0"/>
        <w:rPr>
          <w:b/>
          <w:color w:val="FF0000"/>
        </w:rPr>
      </w:pPr>
    </w:p>
    <w:p w14:paraId="11EE1B28" w14:textId="77777777" w:rsidR="00BD3BB5" w:rsidRDefault="00BD3BB5" w:rsidP="00584EF5">
      <w:pPr>
        <w:ind w:left="0" w:firstLine="0"/>
        <w:rPr>
          <w:b/>
          <w:color w:val="FF0000"/>
        </w:rPr>
      </w:pPr>
    </w:p>
    <w:p w14:paraId="189CE07E" w14:textId="7582C7C5" w:rsidR="00F776E9" w:rsidRPr="003F1453" w:rsidRDefault="00F776E9" w:rsidP="00584EF5">
      <w:pPr>
        <w:ind w:left="0" w:firstLine="0"/>
        <w:rPr>
          <w:b/>
          <w:color w:val="FF0000"/>
        </w:rPr>
      </w:pPr>
      <w:r w:rsidRPr="003F1453">
        <w:rPr>
          <w:b/>
          <w:color w:val="FF0000"/>
        </w:rPr>
        <w:t>Scoping Review Method</w:t>
      </w:r>
      <w:r w:rsidR="00BF712B" w:rsidRPr="003F1453">
        <w:rPr>
          <w:b/>
          <w:color w:val="FF0000"/>
        </w:rPr>
        <w:t>ology</w:t>
      </w:r>
    </w:p>
    <w:p w14:paraId="3AD5A800" w14:textId="42E86103" w:rsidR="00F776E9" w:rsidRPr="00F776E9" w:rsidRDefault="00F776E9" w:rsidP="00F776E9">
      <w:pPr>
        <w:ind w:left="0" w:firstLine="0"/>
        <w:rPr>
          <w:color w:val="FF0000"/>
        </w:rPr>
      </w:pPr>
      <w:r w:rsidRPr="00F776E9">
        <w:rPr>
          <w:color w:val="FF0000"/>
        </w:rPr>
        <w:t xml:space="preserve">To </w:t>
      </w:r>
      <w:r w:rsidR="00BF712B">
        <w:rPr>
          <w:color w:val="FF0000"/>
        </w:rPr>
        <w:t xml:space="preserve">prepare for </w:t>
      </w:r>
      <w:r w:rsidR="001B714C">
        <w:rPr>
          <w:color w:val="FF0000"/>
        </w:rPr>
        <w:t>the</w:t>
      </w:r>
      <w:r w:rsidRPr="00F776E9">
        <w:rPr>
          <w:color w:val="FF0000"/>
        </w:rPr>
        <w:t xml:space="preserve"> NQF Endorsement Maintenance Review</w:t>
      </w:r>
      <w:r w:rsidR="001B714C">
        <w:rPr>
          <w:color w:val="FF0000"/>
        </w:rPr>
        <w:t xml:space="preserve"> for this measure</w:t>
      </w:r>
      <w:r w:rsidRPr="00F776E9">
        <w:rPr>
          <w:color w:val="FF0000"/>
        </w:rPr>
        <w:t xml:space="preserve">, we sought to identify </w:t>
      </w:r>
      <w:r w:rsidR="0080347A">
        <w:rPr>
          <w:color w:val="FF0000"/>
        </w:rPr>
        <w:t xml:space="preserve">relevant </w:t>
      </w:r>
      <w:r w:rsidRPr="00F776E9">
        <w:rPr>
          <w:color w:val="FF0000"/>
        </w:rPr>
        <w:t xml:space="preserve">literature </w:t>
      </w:r>
      <w:r w:rsidR="0080347A">
        <w:rPr>
          <w:color w:val="FF0000"/>
        </w:rPr>
        <w:t>since our 2014</w:t>
      </w:r>
      <w:r w:rsidR="0080347A" w:rsidRPr="00F776E9">
        <w:rPr>
          <w:color w:val="FF0000"/>
        </w:rPr>
        <w:t xml:space="preserve"> NQF submission</w:t>
      </w:r>
      <w:r w:rsidRPr="00F776E9">
        <w:rPr>
          <w:color w:val="FF0000"/>
        </w:rPr>
        <w:t xml:space="preserve">. The literature search </w:t>
      </w:r>
      <w:r w:rsidR="0080347A">
        <w:rPr>
          <w:color w:val="FF0000"/>
        </w:rPr>
        <w:t>focused on how one   intervention/service, therapy, is associated with the measure, functional outcomes. Therapy is on</w:t>
      </w:r>
      <w:r w:rsidR="00E20290">
        <w:rPr>
          <w:color w:val="FF0000"/>
        </w:rPr>
        <w:t>e</w:t>
      </w:r>
      <w:r w:rsidR="0080347A">
        <w:rPr>
          <w:color w:val="FF0000"/>
        </w:rPr>
        <w:t xml:space="preserve"> of the processes listed in the </w:t>
      </w:r>
      <w:r w:rsidRPr="00F776E9">
        <w:rPr>
          <w:color w:val="FF0000"/>
        </w:rPr>
        <w:t>Structure-Process-Outcome Model (see Figure 1</w:t>
      </w:r>
      <w:r w:rsidR="00AB65F1">
        <w:rPr>
          <w:color w:val="FF0000"/>
        </w:rPr>
        <w:t>a</w:t>
      </w:r>
      <w:r w:rsidRPr="00F776E9">
        <w:rPr>
          <w:color w:val="FF0000"/>
        </w:rPr>
        <w:t xml:space="preserve">). This model </w:t>
      </w:r>
      <w:r w:rsidR="0080347A">
        <w:rPr>
          <w:color w:val="FF0000"/>
        </w:rPr>
        <w:t xml:space="preserve">shows </w:t>
      </w:r>
      <w:r w:rsidRPr="00F776E9">
        <w:rPr>
          <w:color w:val="FF0000"/>
        </w:rPr>
        <w:t>that IRF</w:t>
      </w:r>
      <w:r w:rsidR="0080347A">
        <w:rPr>
          <w:color w:val="FF0000"/>
        </w:rPr>
        <w:t xml:space="preserve"> staff, including therapists, can </w:t>
      </w:r>
      <w:r w:rsidRPr="00F776E9">
        <w:rPr>
          <w:color w:val="FF0000"/>
        </w:rPr>
        <w:t xml:space="preserve">implement interventions that </w:t>
      </w:r>
      <w:r w:rsidR="00075C82">
        <w:rPr>
          <w:color w:val="FF0000"/>
        </w:rPr>
        <w:t xml:space="preserve">result in </w:t>
      </w:r>
      <w:r w:rsidRPr="00F776E9">
        <w:rPr>
          <w:color w:val="FF0000"/>
        </w:rPr>
        <w:t>improv</w:t>
      </w:r>
      <w:r w:rsidR="00075C82">
        <w:rPr>
          <w:color w:val="FF0000"/>
        </w:rPr>
        <w:t>ing</w:t>
      </w:r>
      <w:r w:rsidRPr="00F776E9">
        <w:rPr>
          <w:color w:val="FF0000"/>
        </w:rPr>
        <w:t xml:space="preserve"> their patients’ functional outcomes, specifically </w:t>
      </w:r>
      <w:r w:rsidRPr="00586136">
        <w:rPr>
          <w:color w:val="FF0000"/>
        </w:rPr>
        <w:t>their mobility and self-care outcomes.</w:t>
      </w:r>
      <w:r w:rsidRPr="00F776E9">
        <w:rPr>
          <w:color w:val="FF0000"/>
        </w:rPr>
        <w:t xml:space="preserve"> </w:t>
      </w:r>
    </w:p>
    <w:p w14:paraId="7339C7CE" w14:textId="77777777" w:rsidR="00F776E9" w:rsidRPr="00F776E9" w:rsidRDefault="00F776E9" w:rsidP="00F776E9">
      <w:pPr>
        <w:ind w:left="0" w:firstLine="0"/>
        <w:rPr>
          <w:color w:val="FF0000"/>
        </w:rPr>
      </w:pPr>
    </w:p>
    <w:p w14:paraId="319AEC8E" w14:textId="167C2E49" w:rsidR="00F776E9" w:rsidRPr="00F776E9" w:rsidRDefault="00F776E9" w:rsidP="00F776E9">
      <w:pPr>
        <w:ind w:left="0" w:firstLine="0"/>
        <w:rPr>
          <w:color w:val="FF0000"/>
        </w:rPr>
      </w:pPr>
      <w:r w:rsidRPr="00F776E9">
        <w:rPr>
          <w:color w:val="FF0000"/>
        </w:rPr>
        <w:t>Our team conducted a scoping review that included a systematic search of published literature relevant to our IRF measures (NQF</w:t>
      </w:r>
      <w:r w:rsidR="00E20290">
        <w:rPr>
          <w:color w:val="FF0000"/>
        </w:rPr>
        <w:t xml:space="preserve"> </w:t>
      </w:r>
      <w:r w:rsidR="00AB65F1">
        <w:rPr>
          <w:color w:val="FF0000"/>
        </w:rPr>
        <w:t>#</w:t>
      </w:r>
      <w:r w:rsidRPr="00F776E9">
        <w:rPr>
          <w:color w:val="FF0000"/>
        </w:rPr>
        <w:t xml:space="preserve">2633, </w:t>
      </w:r>
      <w:r w:rsidR="00AB65F1">
        <w:rPr>
          <w:color w:val="FF0000"/>
        </w:rPr>
        <w:t>NQF #</w:t>
      </w:r>
      <w:r w:rsidRPr="00F776E9">
        <w:rPr>
          <w:color w:val="FF0000"/>
        </w:rPr>
        <w:t xml:space="preserve">2634, </w:t>
      </w:r>
      <w:r w:rsidR="00AB65F1">
        <w:rPr>
          <w:color w:val="FF0000"/>
        </w:rPr>
        <w:t>NQF #</w:t>
      </w:r>
      <w:r w:rsidRPr="00F776E9">
        <w:rPr>
          <w:color w:val="FF0000"/>
        </w:rPr>
        <w:t xml:space="preserve">2635, and </w:t>
      </w:r>
      <w:r w:rsidR="00AB65F1">
        <w:rPr>
          <w:color w:val="FF0000"/>
        </w:rPr>
        <w:t>NQF #</w:t>
      </w:r>
      <w:r w:rsidRPr="00F776E9">
        <w:rPr>
          <w:color w:val="FF0000"/>
        </w:rPr>
        <w:t xml:space="preserve">2636). To identify the relevant literature, we </w:t>
      </w:r>
      <w:r w:rsidR="00075C82">
        <w:rPr>
          <w:color w:val="FF0000"/>
        </w:rPr>
        <w:t>identified the</w:t>
      </w:r>
      <w:r w:rsidRPr="00F776E9">
        <w:rPr>
          <w:color w:val="FF0000"/>
        </w:rPr>
        <w:t xml:space="preserve"> search strategy </w:t>
      </w:r>
      <w:r w:rsidR="00075C82">
        <w:rPr>
          <w:color w:val="FF0000"/>
        </w:rPr>
        <w:t>with input from all t</w:t>
      </w:r>
      <w:r w:rsidRPr="00F776E9">
        <w:rPr>
          <w:color w:val="FF0000"/>
        </w:rPr>
        <w:t>eam</w:t>
      </w:r>
      <w:r w:rsidR="00075C82">
        <w:rPr>
          <w:color w:val="FF0000"/>
        </w:rPr>
        <w:t xml:space="preserve"> members</w:t>
      </w:r>
      <w:r w:rsidRPr="00F776E9">
        <w:rPr>
          <w:color w:val="FF0000"/>
        </w:rPr>
        <w:t xml:space="preserve">. The search strategy included relevant terms for the setting, interventions and outcomes that align with these IRF measures. We included articles that met all three criteria. </w:t>
      </w:r>
      <w:r w:rsidR="00075C82">
        <w:rPr>
          <w:color w:val="FF0000"/>
        </w:rPr>
        <w:t xml:space="preserve">Below, </w:t>
      </w:r>
      <w:r w:rsidRPr="00F776E9">
        <w:rPr>
          <w:color w:val="FF0000"/>
        </w:rPr>
        <w:t xml:space="preserve">we outline our search strategy. Note these are only examples and are not fully comprehensive of the search terminology we used. </w:t>
      </w:r>
    </w:p>
    <w:p w14:paraId="1F71D449" w14:textId="5B83A267" w:rsidR="00F776E9" w:rsidRPr="00F776E9" w:rsidRDefault="00F776E9" w:rsidP="00F776E9">
      <w:pPr>
        <w:pStyle w:val="ListParagraph"/>
        <w:numPr>
          <w:ilvl w:val="0"/>
          <w:numId w:val="14"/>
        </w:numPr>
        <w:spacing w:after="160" w:line="259" w:lineRule="auto"/>
        <w:rPr>
          <w:color w:val="FF0000"/>
        </w:rPr>
      </w:pPr>
      <w:r w:rsidRPr="00F776E9">
        <w:rPr>
          <w:b/>
          <w:color w:val="FF0000"/>
        </w:rPr>
        <w:t>Setting search terms:</w:t>
      </w:r>
      <w:r w:rsidRPr="00F776E9">
        <w:rPr>
          <w:color w:val="FF0000"/>
        </w:rPr>
        <w:t xml:space="preserve"> IRFs are the primary setting of focus as these measures assess patient functional outcomes (mobility and self-care) in IRFs. We used a variety of terms that are commonly used to describe IRFs such as, “inpatient rehabilitation facility” “rehabilitation centers” or “intensive rehabilitation”. We also included searches for articles about “Skilled Nursing Facilities” or “SNFs” or “short-stay nursing home” as SNFs offer similar rehabilitation treatments as IRFs. More generally</w:t>
      </w:r>
      <w:r w:rsidR="00E20290">
        <w:rPr>
          <w:color w:val="FF0000"/>
        </w:rPr>
        <w:t>,</w:t>
      </w:r>
      <w:r w:rsidRPr="00F776E9">
        <w:rPr>
          <w:color w:val="FF0000"/>
        </w:rPr>
        <w:t xml:space="preserve"> we also searched for “post-acute care settings” as some research articles focus on post-acute care (PAC) settings and may be relevant to IRFs or SNFs. </w:t>
      </w:r>
    </w:p>
    <w:p w14:paraId="6CE9C00B" w14:textId="77777777" w:rsidR="00F776E9" w:rsidRPr="00F776E9" w:rsidRDefault="00F776E9" w:rsidP="00F776E9">
      <w:pPr>
        <w:pStyle w:val="ListParagraph"/>
        <w:numPr>
          <w:ilvl w:val="0"/>
          <w:numId w:val="14"/>
        </w:numPr>
        <w:spacing w:after="160" w:line="259" w:lineRule="auto"/>
        <w:rPr>
          <w:color w:val="FF0000"/>
        </w:rPr>
      </w:pPr>
      <w:r w:rsidRPr="00F776E9">
        <w:rPr>
          <w:b/>
          <w:color w:val="FF0000"/>
        </w:rPr>
        <w:lastRenderedPageBreak/>
        <w:t>Intervention search terms:</w:t>
      </w:r>
      <w:r w:rsidRPr="00F776E9">
        <w:rPr>
          <w:color w:val="FF0000"/>
        </w:rPr>
        <w:t xml:space="preserve"> We searched a variety of key terms such as “therapy” or “mobilization” or “intervention”. </w:t>
      </w:r>
    </w:p>
    <w:p w14:paraId="5E7969CB" w14:textId="77777777" w:rsidR="00F776E9" w:rsidRPr="00F776E9" w:rsidRDefault="00F776E9" w:rsidP="00F776E9">
      <w:pPr>
        <w:pStyle w:val="ListParagraph"/>
        <w:numPr>
          <w:ilvl w:val="0"/>
          <w:numId w:val="14"/>
        </w:numPr>
        <w:spacing w:after="160" w:line="259" w:lineRule="auto"/>
        <w:rPr>
          <w:color w:val="FF0000"/>
        </w:rPr>
      </w:pPr>
      <w:r w:rsidRPr="00F776E9">
        <w:rPr>
          <w:b/>
          <w:color w:val="FF0000"/>
        </w:rPr>
        <w:t>Functional outcomes:</w:t>
      </w:r>
      <w:r w:rsidRPr="00F776E9">
        <w:rPr>
          <w:color w:val="FF0000"/>
        </w:rPr>
        <w:t xml:space="preserve"> We used key words such as: “functional outcome” or “functional improvement” or “activities of daily living”.</w:t>
      </w:r>
    </w:p>
    <w:p w14:paraId="72DC7E10" w14:textId="2696F4AD" w:rsidR="00F776E9" w:rsidRDefault="00F776E9" w:rsidP="00F776E9">
      <w:pPr>
        <w:ind w:left="0" w:firstLine="0"/>
        <w:rPr>
          <w:color w:val="FF0000"/>
        </w:rPr>
      </w:pPr>
      <w:r w:rsidRPr="00F776E9">
        <w:rPr>
          <w:color w:val="FF0000"/>
        </w:rPr>
        <w:t xml:space="preserve">Exclusion criteria were pre-determined by the team before the search was conducted. Exclusion criteria were: any articles published before January 1, 2013; any articles published outside of the US that did not use US based data; articles not written in English; articles not focused on human outcomes; and any articles </w:t>
      </w:r>
      <w:r w:rsidRPr="009369C8">
        <w:rPr>
          <w:color w:val="FF0000"/>
        </w:rPr>
        <w:t>that were focused on Long-term Care Hospitals or LTCHs, and other publication types that were not research</w:t>
      </w:r>
      <w:r w:rsidR="00075C82" w:rsidRPr="009369C8">
        <w:rPr>
          <w:color w:val="FF0000"/>
        </w:rPr>
        <w:t>-</w:t>
      </w:r>
      <w:r w:rsidRPr="009369C8">
        <w:rPr>
          <w:color w:val="FF0000"/>
        </w:rPr>
        <w:t xml:space="preserve">based such as opinion pieces or commentaries were excluded. We also included </w:t>
      </w:r>
      <w:r w:rsidR="009369C8" w:rsidRPr="00586136">
        <w:rPr>
          <w:color w:val="FF0000"/>
        </w:rPr>
        <w:t xml:space="preserve">6 </w:t>
      </w:r>
      <w:r w:rsidRPr="00586136">
        <w:rPr>
          <w:color w:val="FF0000"/>
        </w:rPr>
        <w:t>additional articles</w:t>
      </w:r>
      <w:r w:rsidRPr="009369C8">
        <w:rPr>
          <w:color w:val="FF0000"/>
        </w:rPr>
        <w:t xml:space="preserve"> we found that meet our inclusion criteria that were not identified by our PubMed search.</w:t>
      </w:r>
      <w:r w:rsidRPr="00F776E9">
        <w:rPr>
          <w:color w:val="FF0000"/>
        </w:rPr>
        <w:t xml:space="preserve"> </w:t>
      </w:r>
    </w:p>
    <w:p w14:paraId="07F3F86F" w14:textId="77777777" w:rsidR="00075F7D" w:rsidRPr="00F776E9" w:rsidRDefault="00075F7D" w:rsidP="00F776E9">
      <w:pPr>
        <w:ind w:left="0" w:firstLine="0"/>
        <w:rPr>
          <w:color w:val="FF0000"/>
        </w:rPr>
      </w:pPr>
    </w:p>
    <w:p w14:paraId="0FDD2C8B" w14:textId="168918DA" w:rsidR="00F776E9" w:rsidRPr="00F776E9" w:rsidRDefault="00F776E9" w:rsidP="00F776E9">
      <w:pPr>
        <w:ind w:left="0" w:firstLine="0"/>
        <w:rPr>
          <w:color w:val="FF0000"/>
        </w:rPr>
      </w:pPr>
      <w:r w:rsidRPr="00586136">
        <w:rPr>
          <w:color w:val="FF0000"/>
        </w:rPr>
        <w:t>Our initial search yield</w:t>
      </w:r>
      <w:r w:rsidR="00075C82" w:rsidRPr="00586136">
        <w:rPr>
          <w:color w:val="FF0000"/>
        </w:rPr>
        <w:t>ed</w:t>
      </w:r>
      <w:r w:rsidRPr="00586136">
        <w:rPr>
          <w:color w:val="FF0000"/>
        </w:rPr>
        <w:t xml:space="preserve"> 181 articles.</w:t>
      </w:r>
      <w:r w:rsidRPr="009369C8">
        <w:rPr>
          <w:color w:val="FF0000"/>
        </w:rPr>
        <w:t xml:space="preserve"> For</w:t>
      </w:r>
      <w:r w:rsidRPr="00F776E9">
        <w:rPr>
          <w:color w:val="FF0000"/>
        </w:rPr>
        <w:t xml:space="preserve"> every publication identified, we assigned two coders to independently review </w:t>
      </w:r>
      <w:r w:rsidR="00E20290">
        <w:rPr>
          <w:color w:val="FF0000"/>
        </w:rPr>
        <w:t>each</w:t>
      </w:r>
      <w:r w:rsidRPr="00F776E9">
        <w:rPr>
          <w:color w:val="FF0000"/>
        </w:rPr>
        <w:t xml:space="preserve"> abstract </w:t>
      </w:r>
      <w:r w:rsidR="00075C82">
        <w:rPr>
          <w:color w:val="FF0000"/>
        </w:rPr>
        <w:t xml:space="preserve">to determine if the </w:t>
      </w:r>
      <w:r w:rsidR="00E20290">
        <w:rPr>
          <w:color w:val="FF0000"/>
        </w:rPr>
        <w:t>study</w:t>
      </w:r>
      <w:r w:rsidR="00075C82">
        <w:rPr>
          <w:color w:val="FF0000"/>
        </w:rPr>
        <w:t xml:space="preserve"> was relevant (i.e., should be included or excluded). The team met to compare decisions, and f</w:t>
      </w:r>
      <w:r w:rsidRPr="00F776E9">
        <w:rPr>
          <w:color w:val="FF0000"/>
        </w:rPr>
        <w:t xml:space="preserve">or </w:t>
      </w:r>
      <w:r w:rsidR="00075C82">
        <w:rPr>
          <w:color w:val="FF0000"/>
        </w:rPr>
        <w:t xml:space="preserve">abstracts for which </w:t>
      </w:r>
      <w:r w:rsidRPr="00F776E9">
        <w:rPr>
          <w:color w:val="FF0000"/>
        </w:rPr>
        <w:t xml:space="preserve">we disagreed, </w:t>
      </w:r>
      <w:r w:rsidR="00075C82">
        <w:rPr>
          <w:color w:val="FF0000"/>
        </w:rPr>
        <w:t xml:space="preserve">the </w:t>
      </w:r>
      <w:r w:rsidRPr="00F776E9">
        <w:rPr>
          <w:color w:val="FF0000"/>
        </w:rPr>
        <w:t xml:space="preserve">team </w:t>
      </w:r>
      <w:r w:rsidR="00075C82">
        <w:rPr>
          <w:color w:val="FF0000"/>
        </w:rPr>
        <w:t xml:space="preserve">re-reviewed the </w:t>
      </w:r>
      <w:r w:rsidRPr="00F776E9">
        <w:rPr>
          <w:color w:val="FF0000"/>
        </w:rPr>
        <w:t xml:space="preserve">abstract </w:t>
      </w:r>
      <w:r w:rsidR="00075C82">
        <w:rPr>
          <w:color w:val="FF0000"/>
        </w:rPr>
        <w:t xml:space="preserve">together </w:t>
      </w:r>
      <w:r w:rsidR="00E20290">
        <w:rPr>
          <w:color w:val="FF0000"/>
        </w:rPr>
        <w:t>and we made</w:t>
      </w:r>
      <w:r w:rsidRPr="00F776E9">
        <w:rPr>
          <w:color w:val="FF0000"/>
        </w:rPr>
        <w:t xml:space="preserve"> a </w:t>
      </w:r>
      <w:r w:rsidR="00075C82">
        <w:rPr>
          <w:color w:val="FF0000"/>
        </w:rPr>
        <w:t>consensus</w:t>
      </w:r>
      <w:r w:rsidRPr="00F776E9">
        <w:rPr>
          <w:color w:val="FF0000"/>
        </w:rPr>
        <w:t xml:space="preserve"> decision. All Case Reports were excluded</w:t>
      </w:r>
      <w:r w:rsidR="00F703D2">
        <w:rPr>
          <w:color w:val="FF0000"/>
        </w:rPr>
        <w:t xml:space="preserve">, because </w:t>
      </w:r>
      <w:r w:rsidRPr="00F776E9">
        <w:rPr>
          <w:color w:val="FF0000"/>
        </w:rPr>
        <w:t>these articles focus on one individual and the findings are not generalizable. We also excluded articles for other reasons including those that describe outcomes that are not a focus of our measures, including cognition outcomes</w:t>
      </w:r>
      <w:r w:rsidR="004338F4">
        <w:rPr>
          <w:color w:val="FF0000"/>
        </w:rPr>
        <w:t>,</w:t>
      </w:r>
      <w:r w:rsidRPr="00F776E9">
        <w:rPr>
          <w:color w:val="FF0000"/>
        </w:rPr>
        <w:t xml:space="preserve"> </w:t>
      </w:r>
      <w:r w:rsidR="004338F4">
        <w:rPr>
          <w:color w:val="FF0000"/>
        </w:rPr>
        <w:t>readmissions</w:t>
      </w:r>
      <w:r w:rsidRPr="00F776E9">
        <w:rPr>
          <w:color w:val="FF0000"/>
        </w:rPr>
        <w:t xml:space="preserve"> or discharge destination. In addition, we excluded those articles focused on outpatient or acute care settings. </w:t>
      </w:r>
    </w:p>
    <w:p w14:paraId="692380F9" w14:textId="77777777" w:rsidR="00F776E9" w:rsidRPr="00F776E9" w:rsidRDefault="00F776E9" w:rsidP="00F776E9">
      <w:pPr>
        <w:rPr>
          <w:color w:val="FF0000"/>
        </w:rPr>
      </w:pPr>
    </w:p>
    <w:bookmarkEnd w:id="21"/>
    <w:p w14:paraId="35650E7A" w14:textId="77777777" w:rsidR="00D83FD9" w:rsidRPr="00804DE9" w:rsidRDefault="00D83FD9" w:rsidP="00D83FD9">
      <w:pPr>
        <w:tabs>
          <w:tab w:val="left" w:pos="90"/>
        </w:tabs>
        <w:ind w:left="0" w:firstLine="0"/>
        <w:rPr>
          <w:color w:val="FF0000"/>
        </w:rPr>
      </w:pPr>
      <w:r w:rsidRPr="00C542D1">
        <w:rPr>
          <w:color w:val="FF0000"/>
        </w:rPr>
        <w:t xml:space="preserve">Our final scoping review results yielded </w:t>
      </w:r>
      <w:r>
        <w:rPr>
          <w:color w:val="FF0000"/>
        </w:rPr>
        <w:t>26</w:t>
      </w:r>
      <w:r w:rsidRPr="00C542D1">
        <w:rPr>
          <w:color w:val="FF0000"/>
        </w:rPr>
        <w:t xml:space="preserve"> articles for inclusion. Following our inclusion decisions,</w:t>
      </w:r>
      <w:r w:rsidRPr="006A2111">
        <w:rPr>
          <w:color w:val="FF0000"/>
        </w:rPr>
        <w:t xml:space="preserve"> we also grouped the articles by type of setting (IRF, SNF, IRF and SNF, or other), of functional outcome (self-care, mobility, motor function), and if the</w:t>
      </w:r>
      <w:r w:rsidRPr="00C66FAE">
        <w:rPr>
          <w:color w:val="FF0000"/>
        </w:rPr>
        <w:t xml:space="preserve"> study focused on a speci</w:t>
      </w:r>
      <w:r w:rsidRPr="00C542D1">
        <w:rPr>
          <w:color w:val="FF0000"/>
        </w:rPr>
        <w:t>fic diagnosis (e.g. stroke) or multiple diagnoses</w:t>
      </w:r>
      <w:r w:rsidRPr="00352893">
        <w:rPr>
          <w:color w:val="FF0000"/>
        </w:rPr>
        <w:t>. Twenty-</w:t>
      </w:r>
      <w:r>
        <w:rPr>
          <w:color w:val="FF0000"/>
        </w:rPr>
        <w:t xml:space="preserve">two </w:t>
      </w:r>
      <w:r w:rsidRPr="00352893">
        <w:rPr>
          <w:color w:val="FF0000"/>
        </w:rPr>
        <w:t>articles</w:t>
      </w:r>
      <w:r w:rsidRPr="00C542D1">
        <w:rPr>
          <w:color w:val="FF0000"/>
        </w:rPr>
        <w:t xml:space="preserve"> were included that included interventions or outcomes for motor function (mobility, self-care, and bladder)</w:t>
      </w:r>
      <w:r w:rsidRPr="00C66FAE">
        <w:rPr>
          <w:color w:val="FF0000"/>
        </w:rPr>
        <w:t>; no</w:t>
      </w:r>
      <w:r>
        <w:rPr>
          <w:color w:val="FF0000"/>
        </w:rPr>
        <w:t xml:space="preserve"> articles were identified that focused on self-care outcomes.</w:t>
      </w:r>
      <w:r w:rsidRPr="00F776E9">
        <w:rPr>
          <w:color w:val="FF0000"/>
        </w:rPr>
        <w:t xml:space="preserve"> </w:t>
      </w:r>
    </w:p>
    <w:p w14:paraId="5F78DD7B" w14:textId="77777777" w:rsidR="00F776E9" w:rsidRPr="00804DE9" w:rsidRDefault="00F776E9" w:rsidP="00584EF5">
      <w:pPr>
        <w:ind w:left="0" w:firstLine="0"/>
        <w:rPr>
          <w:color w:val="FF0000"/>
        </w:rPr>
      </w:pPr>
    </w:p>
    <w:p w14:paraId="3BA45BA4" w14:textId="5C8C192D" w:rsidR="009B7E4E" w:rsidRPr="00944F7F" w:rsidRDefault="00B95737" w:rsidP="008E1156">
      <w:pPr>
        <w:ind w:left="0" w:firstLine="0"/>
        <w:rPr>
          <w:rFonts w:eastAsia="Calibri" w:cs="Times New Roman"/>
          <w:b/>
          <w:color w:val="0033CC"/>
        </w:rPr>
      </w:pPr>
      <w:bookmarkStart w:id="41" w:name="_Hlk5107765"/>
      <w:bookmarkEnd w:id="18"/>
      <w:bookmarkEnd w:id="14"/>
      <w:r w:rsidRPr="00944F7F">
        <w:rPr>
          <w:rFonts w:eastAsia="Calibri" w:cs="Times New Roman"/>
          <w:b/>
          <w:color w:val="0033CC"/>
        </w:rPr>
        <w:t>Previous NQF Submission 2014</w:t>
      </w:r>
    </w:p>
    <w:bookmarkEnd w:id="41"/>
    <w:p w14:paraId="145DCE51" w14:textId="37E7E0E5" w:rsidR="00495839" w:rsidRPr="00944F7F" w:rsidRDefault="00495839" w:rsidP="00495839">
      <w:pPr>
        <w:tabs>
          <w:tab w:val="left" w:pos="8910"/>
        </w:tabs>
        <w:ind w:left="0" w:right="-180" w:firstLine="0"/>
        <w:rPr>
          <w:color w:val="0033CC"/>
          <w:lang w:val="en"/>
        </w:rPr>
      </w:pPr>
      <w:r w:rsidRPr="00944F7F">
        <w:rPr>
          <w:rFonts w:eastAsia="Calibri" w:cs="Times New Roman"/>
          <w:color w:val="0033CC"/>
        </w:rPr>
        <w:t>Treatments furnished by IRF clinicians focus on reducing patients’ impairments and activity limitations as well as managing patients’ medical, psychological and other health needs. The relationship between rehabilitation interventions and patients’ functional outcomes has been challenging to examine (</w:t>
      </w:r>
      <w:r w:rsidRPr="00944F7F">
        <w:rPr>
          <w:color w:val="0033CC"/>
        </w:rPr>
        <w:t>Foley et al., 2012)</w:t>
      </w:r>
      <w:r w:rsidRPr="00944F7F">
        <w:rPr>
          <w:rFonts w:eastAsia="Calibri" w:cs="Times New Roman"/>
          <w:color w:val="0033CC"/>
        </w:rPr>
        <w:t xml:space="preserve">, because rehabilitation interventions tend to be multidisciplinary, tailored to each patient’s specific needs and there are no standardized definitions and no standardized measurement of interventions. In addition, research examining the optimal “dose” of therapy has been limited in IRFs due, in part, to the provision of intensive therapy services to all patients, and concern about the lack of variability in the amount of therapy provided. The rehabilitation treatment-outcome knowledge gap is recognized, and several efforts are underway to classify interventions using </w:t>
      </w:r>
      <w:r w:rsidRPr="00944F7F">
        <w:rPr>
          <w:color w:val="0033CC"/>
          <w:lang w:val="en"/>
        </w:rPr>
        <w:t>standardized terminology in order to better understand the relationship between interventions and outcomes; that is, the active ingredients of a rehabilitation program (</w:t>
      </w:r>
      <w:r w:rsidRPr="00944F7F">
        <w:rPr>
          <w:color w:val="0033CC"/>
        </w:rPr>
        <w:t>Natale et al., 2009; Ozelie et al., 2009;  Johnson et al., 2009; Rundquist et al., 2011; Taylor-Schroeder, 2011)</w:t>
      </w:r>
      <w:r w:rsidRPr="00944F7F">
        <w:rPr>
          <w:color w:val="0033CC"/>
          <w:lang w:val="en"/>
        </w:rPr>
        <w:t xml:space="preserve">. </w:t>
      </w:r>
      <w:r w:rsidRPr="00944F7F">
        <w:rPr>
          <w:rFonts w:eastAsia="Calibri" w:cs="Times New Roman"/>
          <w:color w:val="0033CC"/>
        </w:rPr>
        <w:t xml:space="preserve">Several studies have examined the therapy dose-outcome relationship, and reported higher amounts of therapy were associated with better functional improvement (Jette, Warren &amp; Wirtalla, 2010;  </w:t>
      </w:r>
      <w:r w:rsidRPr="00944F7F">
        <w:rPr>
          <w:color w:val="0033CC"/>
        </w:rPr>
        <w:t xml:space="preserve">Lenze et al., 2012;  Ozelie et al., 2012;  </w:t>
      </w:r>
      <w:r w:rsidRPr="00944F7F">
        <w:rPr>
          <w:rFonts w:eastAsia="Calibri" w:cs="Times New Roman"/>
          <w:color w:val="0033CC"/>
        </w:rPr>
        <w:t xml:space="preserve">Wang et al., 2013; Mallinson et al, 2014; </w:t>
      </w:r>
      <w:r w:rsidRPr="00944F7F">
        <w:rPr>
          <w:color w:val="0033CC"/>
        </w:rPr>
        <w:t>Lohse, Lang &amp; Boyd, 2014</w:t>
      </w:r>
      <w:r w:rsidRPr="00944F7F">
        <w:rPr>
          <w:rFonts w:eastAsia="Calibri" w:cs="Times New Roman"/>
          <w:color w:val="0033CC"/>
        </w:rPr>
        <w:t xml:space="preserve">). In addition, O’Brien, Xue, Ingersoll &amp; Kelly </w:t>
      </w:r>
      <w:r w:rsidRPr="00944F7F">
        <w:rPr>
          <w:rFonts w:eastAsia="Calibri" w:cs="Times New Roman"/>
          <w:color w:val="0033CC"/>
        </w:rPr>
        <w:fldChar w:fldCharType="begin"/>
      </w:r>
      <w:r w:rsidRPr="00944F7F">
        <w:rPr>
          <w:rFonts w:eastAsia="Calibri" w:cs="Times New Roman"/>
          <w:color w:val="0033CC"/>
        </w:rPr>
        <w:instrText xml:space="preserve"> ADDIN EN.CITE &lt;EndNote&gt;&lt;Cite&gt;&lt;Author&gt;O&amp;apos;Brien&lt;/Author&gt;&lt;Year&gt;2013&lt;/Year&gt;&lt;RecNum&gt;95&lt;/RecNum&gt;&lt;DisplayText&gt;(O&amp;apos;Brien et al., 2013)&lt;/DisplayText&gt;&lt;record&gt;&lt;rec-number&gt;95&lt;/rec-number&gt;&lt;foreign-keys&gt;&lt;key app="EN" db-id="s0wrp5ed0pearxex996vdf2hw5a0s0r2fsdr"&gt;95&lt;/key&gt;&lt;/foreign-keys&gt;&lt;ref-type name="Journal Article"&gt;17&lt;/ref-type&gt;&lt;contributors&gt;&lt;authors&gt;&lt;author&gt;O&amp;apos;Brien, S. R.&lt;/author&gt;&lt;author&gt;Xue, Y.&lt;/author&gt;&lt;author&gt;Ingersoll, G.&lt;/author&gt;&lt;author&gt;Kelly, A.&lt;/author&gt;&lt;/authors&gt;&lt;/contributors&gt;&lt;auth-address&gt;S.R. O&amp;apos;Brien, PT, PhD, NCS, Department of Health &amp;amp; Human Services, Nazareth College, 4245 East Ave, Rochester, NY 14618 (USA). At the time of the study, Dr O&amp;apos;Brien was affiliated with the Department of Community and Preventive Medicine, University of Rochester, Rochester, New York.&lt;/auth-address&gt;&lt;titles&gt;&lt;title&gt;Shorter length of stay is associated with worse functional outcomes for Medicare beneficiaries with stroke&lt;/title&gt;&lt;secondary-title&gt;Phys Ther&lt;/secondary-title&gt;&lt;alt-title&gt;Physical therapy&lt;/alt-title&gt;&lt;/titles&gt;&lt;periodical&gt;&lt;full-title&gt;Phys Ther&lt;/full-title&gt;&lt;abbr-1&gt;Physical therapy&lt;/abbr-1&gt;&lt;/periodical&gt;&lt;alt-periodical&gt;&lt;full-title&gt;Phys Ther&lt;/full-title&gt;&lt;abbr-1&gt;Physical therapy&lt;/abbr-1&gt;&lt;/alt-periodical&gt;&lt;pages&gt;1592-602&lt;/pages&gt;&lt;volume&gt;93&lt;/volume&gt;&lt;number&gt;12&lt;/number&gt;&lt;edition&gt;2013/07/28&lt;/edition&gt;&lt;dates&gt;&lt;year&gt;2013&lt;/year&gt;&lt;pub-dates&gt;&lt;date&gt;Dec&lt;/date&gt;&lt;/pub-dates&gt;&lt;/dates&gt;&lt;isbn&gt;1538-6724 (Electronic)&amp;#xD;0031-9023 (Linking)&lt;/isbn&gt;&lt;accession-num&gt;23886846&lt;/accession-num&gt;&lt;work-type&gt;Research Support, Non-U.S. Gov&amp;apos;t&amp;#xD;Research Support, U.S. Gov&amp;apos;t, P.H.S.&lt;/work-type&gt;&lt;urls&gt;&lt;related-urls&gt;&lt;url&gt;http://www.ncbi.nlm.nih.gov/pubmed/23886846&lt;/url&gt;&lt;/related-urls&gt;&lt;/urls&gt;&lt;electronic-resource-num&gt;10.2522/ptj.20120484&lt;/electronic-resource-num&gt;&lt;language&gt;eng&lt;/language&gt;&lt;/record&gt;&lt;/Cite&gt;&lt;/EndNote&gt;</w:instrText>
      </w:r>
      <w:r w:rsidRPr="00944F7F">
        <w:rPr>
          <w:rFonts w:eastAsia="Calibri" w:cs="Times New Roman"/>
          <w:color w:val="0033CC"/>
        </w:rPr>
        <w:fldChar w:fldCharType="separate"/>
      </w:r>
      <w:r w:rsidRPr="00944F7F">
        <w:rPr>
          <w:rFonts w:eastAsia="Calibri" w:cs="Times New Roman"/>
          <w:color w:val="0033CC"/>
        </w:rPr>
        <w:t>(</w:t>
      </w:r>
      <w:hyperlink w:anchor="_ENREF_11" w:tooltip="O'Brien, 2013 #95" w:history="1">
        <w:r w:rsidRPr="00944F7F">
          <w:rPr>
            <w:rFonts w:eastAsia="Calibri" w:cs="Times New Roman"/>
            <w:color w:val="0033CC"/>
          </w:rPr>
          <w:t>2013</w:t>
        </w:r>
      </w:hyperlink>
      <w:r w:rsidRPr="00944F7F">
        <w:rPr>
          <w:rFonts w:eastAsia="Calibri" w:cs="Times New Roman"/>
          <w:color w:val="0033CC"/>
        </w:rPr>
        <w:t>)</w:t>
      </w:r>
      <w:r w:rsidRPr="00944F7F">
        <w:rPr>
          <w:rFonts w:eastAsia="Calibri" w:cs="Times New Roman"/>
          <w:color w:val="0033CC"/>
        </w:rPr>
        <w:fldChar w:fldCharType="end"/>
      </w:r>
      <w:r w:rsidRPr="00944F7F">
        <w:rPr>
          <w:rFonts w:eastAsia="Calibri" w:cs="Times New Roman"/>
          <w:color w:val="0033CC"/>
        </w:rPr>
        <w:t xml:space="preserve"> reported that shorter IRF stays were associated with lower patient functioning at discharge; the average IRF length of stays decreased 1.8 days between 2002 and 2007, and the patients in 2007 had lower functional abilities at discharge compared to patients in 2002.</w:t>
      </w:r>
    </w:p>
    <w:p w14:paraId="6DC0B25E" w14:textId="77777777" w:rsidR="00495839" w:rsidRPr="00944F7F" w:rsidRDefault="00495839" w:rsidP="00495839">
      <w:pPr>
        <w:tabs>
          <w:tab w:val="left" w:pos="8910"/>
        </w:tabs>
        <w:autoSpaceDE w:val="0"/>
        <w:autoSpaceDN w:val="0"/>
        <w:adjustRightInd w:val="0"/>
        <w:spacing w:before="240"/>
        <w:ind w:left="0" w:right="-180" w:firstLine="0"/>
        <w:rPr>
          <w:rFonts w:eastAsia="Calibri" w:cs="Times New Roman"/>
          <w:b/>
          <w:color w:val="0033CC"/>
        </w:rPr>
      </w:pPr>
      <w:r w:rsidRPr="00944F7F">
        <w:rPr>
          <w:rFonts w:eastAsia="Calibri" w:cs="Times New Roman"/>
          <w:b/>
          <w:color w:val="0033CC"/>
        </w:rPr>
        <w:lastRenderedPageBreak/>
        <w:t>Citations</w:t>
      </w:r>
    </w:p>
    <w:p w14:paraId="1487C227" w14:textId="77777777" w:rsidR="00495839" w:rsidRPr="00944F7F" w:rsidRDefault="00495839" w:rsidP="00495839">
      <w:pPr>
        <w:tabs>
          <w:tab w:val="left" w:pos="8910"/>
        </w:tabs>
        <w:autoSpaceDE w:val="0"/>
        <w:autoSpaceDN w:val="0"/>
        <w:adjustRightInd w:val="0"/>
        <w:spacing w:before="240"/>
        <w:ind w:left="0" w:right="-180" w:firstLine="0"/>
        <w:rPr>
          <w:rFonts w:cs="Times New Roman"/>
          <w:color w:val="0033CC"/>
        </w:rPr>
      </w:pPr>
      <w:r w:rsidRPr="00944F7F">
        <w:rPr>
          <w:rFonts w:cs="Times New Roman"/>
          <w:color w:val="0033CC"/>
        </w:rPr>
        <w:t xml:space="preserve">Foley, N., Pereira, S., Salter, K., Meyer, M., McClure, J. A., &amp; Teasell, R., (2012). Are recommendations regarding inpatient therapy intensity following acute stroke really evidence-based? </w:t>
      </w:r>
      <w:r w:rsidRPr="00944F7F">
        <w:rPr>
          <w:rFonts w:cs="Times New Roman"/>
          <w:i/>
          <w:iCs/>
          <w:color w:val="0033CC"/>
        </w:rPr>
        <w:t>Topics in Stroke Rehabilitation</w:t>
      </w:r>
      <w:r w:rsidRPr="00944F7F">
        <w:rPr>
          <w:rFonts w:cs="Times New Roman"/>
          <w:color w:val="0033CC"/>
        </w:rPr>
        <w:t>.  19(2):96-103.</w:t>
      </w:r>
    </w:p>
    <w:p w14:paraId="37300B57" w14:textId="77777777" w:rsidR="00495839" w:rsidRPr="00944F7F" w:rsidRDefault="00495839" w:rsidP="00495839">
      <w:pPr>
        <w:tabs>
          <w:tab w:val="left" w:pos="8910"/>
        </w:tabs>
        <w:autoSpaceDE w:val="0"/>
        <w:autoSpaceDN w:val="0"/>
        <w:adjustRightInd w:val="0"/>
        <w:spacing w:before="240"/>
        <w:ind w:left="0" w:right="-180" w:firstLine="0"/>
        <w:rPr>
          <w:rFonts w:cs="Times New Roman"/>
          <w:color w:val="0033CC"/>
        </w:rPr>
      </w:pPr>
      <w:r w:rsidRPr="00944F7F">
        <w:rPr>
          <w:rFonts w:cs="Times New Roman"/>
          <w:color w:val="0033CC"/>
        </w:rPr>
        <w:t xml:space="preserve">Jette, D. U., R. L. Warren, &amp; C. Wirtalla. (2005). The relation between therapy intensity and outcomes of rehabilitation in skilled nursing facilities. </w:t>
      </w:r>
      <w:r w:rsidRPr="00944F7F">
        <w:rPr>
          <w:rFonts w:cs="Times New Roman"/>
          <w:i/>
          <w:iCs/>
          <w:color w:val="0033CC"/>
        </w:rPr>
        <w:t xml:space="preserve">Archives of Physical Medicine and Rehabilitation, </w:t>
      </w:r>
      <w:r w:rsidRPr="00944F7F">
        <w:rPr>
          <w:rFonts w:cs="Times New Roman"/>
          <w:color w:val="0033CC"/>
        </w:rPr>
        <w:t xml:space="preserve">86 (3), 373-9. </w:t>
      </w:r>
    </w:p>
    <w:p w14:paraId="492FD2C9" w14:textId="77777777" w:rsidR="00495839" w:rsidRPr="00944F7F" w:rsidRDefault="00495839" w:rsidP="00495839">
      <w:pPr>
        <w:pStyle w:val="PlainText"/>
        <w:tabs>
          <w:tab w:val="left" w:pos="8910"/>
        </w:tabs>
        <w:ind w:right="-180"/>
        <w:rPr>
          <w:rFonts w:asciiTheme="minorHAnsi" w:hAnsiTheme="minorHAnsi"/>
          <w:color w:val="0033CC"/>
          <w:szCs w:val="22"/>
        </w:rPr>
      </w:pPr>
    </w:p>
    <w:p w14:paraId="4AB63C1D"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Johnson K., Bailey J., Rundquist J., Dimond P., McDonald CA., Reyes IA., … Gassaway J. (2009). SCIRehab Project series: the supplemental nursing taxonomy.   </w:t>
      </w:r>
      <w:r w:rsidRPr="00944F7F">
        <w:rPr>
          <w:i/>
          <w:iCs/>
          <w:color w:val="0033CC"/>
        </w:rPr>
        <w:t>Journal of Spinal Cord Medicine</w:t>
      </w:r>
      <w:r w:rsidRPr="00944F7F">
        <w:rPr>
          <w:color w:val="0033CC"/>
        </w:rPr>
        <w:t>.  32(3):329-35.</w:t>
      </w:r>
    </w:p>
    <w:p w14:paraId="4C2D0F3C" w14:textId="77777777" w:rsidR="00495839" w:rsidRPr="00944F7F" w:rsidRDefault="00495839" w:rsidP="00495839">
      <w:pPr>
        <w:pStyle w:val="PlainText"/>
        <w:tabs>
          <w:tab w:val="left" w:pos="8910"/>
        </w:tabs>
        <w:ind w:right="-180"/>
        <w:rPr>
          <w:color w:val="0033CC"/>
        </w:rPr>
      </w:pPr>
    </w:p>
    <w:p w14:paraId="77AE3D72" w14:textId="77777777" w:rsidR="00495839" w:rsidRPr="00944F7F" w:rsidRDefault="00495839" w:rsidP="00495839">
      <w:pPr>
        <w:pStyle w:val="PlainText"/>
        <w:tabs>
          <w:tab w:val="left" w:pos="450"/>
          <w:tab w:val="left" w:pos="8910"/>
        </w:tabs>
        <w:ind w:right="-180"/>
        <w:rPr>
          <w:rFonts w:asciiTheme="minorHAnsi" w:hAnsiTheme="minorHAnsi"/>
          <w:color w:val="0033CC"/>
          <w:szCs w:val="22"/>
        </w:rPr>
      </w:pPr>
      <w:r w:rsidRPr="00944F7F">
        <w:rPr>
          <w:rFonts w:asciiTheme="minorHAnsi" w:hAnsiTheme="minorHAnsi"/>
          <w:color w:val="0033CC"/>
          <w:szCs w:val="22"/>
        </w:rPr>
        <w:t xml:space="preserve">Lenze, E. J., Host, H. H., Hildebrand M. W., Morrow-Howell, N., Carpenter, B., Freedland, K. E., … Binder, E, F. (2012). Enhanced medical rehabilitation increases therapy intensity and engagement and improves functional outcomes in postacute rehabilitation of older adults: a randomized-controlled trial.  </w:t>
      </w:r>
      <w:r w:rsidRPr="00944F7F">
        <w:rPr>
          <w:rFonts w:asciiTheme="minorHAnsi" w:hAnsiTheme="minorHAnsi"/>
          <w:i/>
          <w:iCs/>
          <w:color w:val="0033CC"/>
          <w:szCs w:val="22"/>
        </w:rPr>
        <w:t>Journal of the American Medical Directors Association</w:t>
      </w:r>
      <w:r w:rsidRPr="00944F7F">
        <w:rPr>
          <w:rFonts w:asciiTheme="minorHAnsi" w:hAnsiTheme="minorHAnsi"/>
          <w:color w:val="0033CC"/>
          <w:szCs w:val="22"/>
        </w:rPr>
        <w:t>.  13(8):708-12.</w:t>
      </w:r>
    </w:p>
    <w:p w14:paraId="727837A5" w14:textId="77777777" w:rsidR="00495839" w:rsidRPr="00944F7F" w:rsidRDefault="00495839" w:rsidP="00495839">
      <w:pPr>
        <w:pStyle w:val="PlainText"/>
        <w:tabs>
          <w:tab w:val="left" w:pos="450"/>
          <w:tab w:val="left" w:pos="8910"/>
        </w:tabs>
        <w:ind w:right="-180"/>
        <w:rPr>
          <w:rFonts w:asciiTheme="minorHAnsi" w:hAnsiTheme="minorHAnsi"/>
          <w:color w:val="0033CC"/>
          <w:szCs w:val="22"/>
        </w:rPr>
      </w:pPr>
    </w:p>
    <w:p w14:paraId="08FBB140" w14:textId="77777777" w:rsidR="00495839" w:rsidRPr="00944F7F" w:rsidRDefault="00495839" w:rsidP="00495839">
      <w:pPr>
        <w:pStyle w:val="PlainText"/>
        <w:tabs>
          <w:tab w:val="left" w:pos="450"/>
          <w:tab w:val="left" w:pos="8910"/>
        </w:tabs>
        <w:ind w:right="-180"/>
        <w:rPr>
          <w:rFonts w:asciiTheme="minorHAnsi" w:hAnsiTheme="minorHAnsi"/>
          <w:color w:val="0033CC"/>
          <w:szCs w:val="22"/>
        </w:rPr>
      </w:pPr>
      <w:r w:rsidRPr="00944F7F">
        <w:rPr>
          <w:rFonts w:asciiTheme="minorHAnsi" w:hAnsiTheme="minorHAnsi"/>
          <w:color w:val="0033CC"/>
          <w:szCs w:val="22"/>
        </w:rPr>
        <w:t xml:space="preserve">Lohse, K. R., Lang, C. E., &amp; Boyd, L. A. (2014). Is more better? Using metadata to explore dose-response relationships in stroke rehabilitation. </w:t>
      </w:r>
      <w:r w:rsidRPr="00944F7F">
        <w:rPr>
          <w:rFonts w:asciiTheme="minorHAnsi" w:hAnsiTheme="minorHAnsi"/>
          <w:i/>
          <w:iCs/>
          <w:color w:val="0033CC"/>
          <w:szCs w:val="22"/>
        </w:rPr>
        <w:t>Stroke</w:t>
      </w:r>
      <w:r w:rsidRPr="00944F7F">
        <w:rPr>
          <w:rFonts w:asciiTheme="minorHAnsi" w:hAnsiTheme="minorHAnsi"/>
          <w:color w:val="0033CC"/>
          <w:szCs w:val="22"/>
        </w:rPr>
        <w:t>. 45(7):2053-8.</w:t>
      </w:r>
    </w:p>
    <w:p w14:paraId="3ACBA4EA" w14:textId="77777777" w:rsidR="00495839" w:rsidRPr="00944F7F" w:rsidRDefault="00495839" w:rsidP="00495839">
      <w:pPr>
        <w:pStyle w:val="PlainText"/>
        <w:tabs>
          <w:tab w:val="left" w:pos="450"/>
          <w:tab w:val="left" w:pos="8910"/>
        </w:tabs>
        <w:ind w:right="-180"/>
        <w:rPr>
          <w:rFonts w:asciiTheme="minorHAnsi" w:hAnsiTheme="minorHAnsi"/>
          <w:color w:val="0033CC"/>
          <w:szCs w:val="22"/>
        </w:rPr>
      </w:pPr>
    </w:p>
    <w:p w14:paraId="74E1CCAB" w14:textId="77777777" w:rsidR="00495839" w:rsidRPr="00944F7F" w:rsidRDefault="00495839" w:rsidP="00495839">
      <w:pPr>
        <w:pStyle w:val="PlainText"/>
        <w:tabs>
          <w:tab w:val="left" w:pos="450"/>
          <w:tab w:val="left" w:pos="8910"/>
        </w:tabs>
        <w:ind w:right="-180"/>
        <w:rPr>
          <w:color w:val="0033CC"/>
        </w:rPr>
      </w:pPr>
      <w:r w:rsidRPr="00944F7F">
        <w:rPr>
          <w:rFonts w:asciiTheme="minorHAnsi" w:hAnsiTheme="minorHAnsi"/>
          <w:color w:val="0033CC"/>
          <w:szCs w:val="22"/>
        </w:rPr>
        <w:t>Mallinson, T., Deutsch, A., Bateman, J., Tseng, H. Y., Manheim, L., Almagor, O., Heinemann, A., W. (2014). Comparison of discharge functional status after rehabilitation in skilled nursing, home health, and medical rehabilitation settings for patients after hip fracture repair.</w:t>
      </w:r>
      <w:r w:rsidRPr="00944F7F">
        <w:rPr>
          <w:color w:val="0033CC"/>
        </w:rPr>
        <w:t xml:space="preserve">  </w:t>
      </w:r>
      <w:r w:rsidRPr="00944F7F">
        <w:rPr>
          <w:i/>
          <w:iCs/>
          <w:color w:val="0033CC"/>
        </w:rPr>
        <w:t>Archives of Physical Medicine &amp; Rehabilitation</w:t>
      </w:r>
      <w:r w:rsidRPr="00944F7F">
        <w:rPr>
          <w:color w:val="0033CC"/>
        </w:rPr>
        <w:t>.  95(2):209-17.</w:t>
      </w:r>
    </w:p>
    <w:p w14:paraId="1575A5EC" w14:textId="77777777" w:rsidR="00495839" w:rsidRPr="00944F7F" w:rsidRDefault="00495839" w:rsidP="00495839">
      <w:pPr>
        <w:pStyle w:val="PlainText"/>
        <w:tabs>
          <w:tab w:val="left" w:pos="450"/>
          <w:tab w:val="left" w:pos="8910"/>
        </w:tabs>
        <w:ind w:right="-180"/>
        <w:rPr>
          <w:rFonts w:asciiTheme="minorHAnsi" w:hAnsiTheme="minorHAnsi"/>
          <w:color w:val="0033CC"/>
          <w:szCs w:val="22"/>
        </w:rPr>
      </w:pPr>
    </w:p>
    <w:p w14:paraId="5D6B147E" w14:textId="77777777" w:rsidR="00495839" w:rsidRPr="00944F7F" w:rsidRDefault="00495839" w:rsidP="00495839">
      <w:pPr>
        <w:pStyle w:val="PlainText"/>
        <w:tabs>
          <w:tab w:val="left" w:pos="8910"/>
        </w:tabs>
        <w:ind w:right="-180"/>
        <w:rPr>
          <w:color w:val="0033CC"/>
        </w:rPr>
      </w:pPr>
      <w:r w:rsidRPr="00944F7F">
        <w:rPr>
          <w:color w:val="0033CC"/>
        </w:rPr>
        <w:t xml:space="preserve">Natale A., Taylor S., LaBarbera J., Bensimon L., McDowell S., Mumma S.L., … Gassaway J. (2009). SCIRehab Project series: the physical therapy taxonomy. </w:t>
      </w:r>
      <w:r w:rsidRPr="00944F7F">
        <w:rPr>
          <w:i/>
          <w:iCs/>
          <w:color w:val="0033CC"/>
        </w:rPr>
        <w:t>Journal of Spinal Cord Medicine</w:t>
      </w:r>
      <w:r w:rsidRPr="00944F7F">
        <w:rPr>
          <w:color w:val="0033CC"/>
        </w:rPr>
        <w:t>.  32(3):270-82.</w:t>
      </w:r>
    </w:p>
    <w:p w14:paraId="6FFE03BB" w14:textId="77777777" w:rsidR="00495839" w:rsidRPr="00944F7F" w:rsidRDefault="00495839" w:rsidP="00495839">
      <w:pPr>
        <w:pStyle w:val="PlainText"/>
        <w:tabs>
          <w:tab w:val="left" w:pos="450"/>
          <w:tab w:val="left" w:pos="8910"/>
        </w:tabs>
        <w:ind w:right="-180"/>
        <w:rPr>
          <w:color w:val="0033CC"/>
        </w:rPr>
      </w:pPr>
    </w:p>
    <w:p w14:paraId="7EE21497"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O'Brien, S. R., Xue, Y., Ingersoll, G., &amp; Kelly, A. (2013). Shorter length of stay is associated with worse functional outcomes for Medicare beneficiaries with stroke. </w:t>
      </w:r>
      <w:r w:rsidRPr="00944F7F">
        <w:rPr>
          <w:i/>
          <w:iCs/>
          <w:color w:val="0033CC"/>
        </w:rPr>
        <w:t>Physical Therapy, 93</w:t>
      </w:r>
      <w:r w:rsidRPr="00944F7F">
        <w:rPr>
          <w:i/>
          <w:color w:val="0033CC"/>
        </w:rPr>
        <w:t>,</w:t>
      </w:r>
      <w:r w:rsidRPr="00944F7F">
        <w:rPr>
          <w:color w:val="0033CC"/>
        </w:rPr>
        <w:t xml:space="preserve"> 1592–1602. </w:t>
      </w:r>
    </w:p>
    <w:p w14:paraId="423CE834" w14:textId="77777777" w:rsidR="00495839" w:rsidRPr="00944F7F" w:rsidRDefault="00495839" w:rsidP="00495839">
      <w:pPr>
        <w:pStyle w:val="PlainText"/>
        <w:tabs>
          <w:tab w:val="left" w:pos="450"/>
          <w:tab w:val="left" w:pos="8910"/>
        </w:tabs>
        <w:ind w:right="-180"/>
        <w:rPr>
          <w:color w:val="0033CC"/>
        </w:rPr>
      </w:pPr>
    </w:p>
    <w:p w14:paraId="35A4FCC4" w14:textId="77777777" w:rsidR="00495839" w:rsidRPr="00944F7F" w:rsidRDefault="00495839" w:rsidP="00495839">
      <w:pPr>
        <w:pStyle w:val="PlainText"/>
        <w:tabs>
          <w:tab w:val="left" w:pos="450"/>
          <w:tab w:val="left" w:pos="8910"/>
        </w:tabs>
        <w:ind w:right="-180"/>
        <w:rPr>
          <w:color w:val="0033CC"/>
        </w:rPr>
      </w:pPr>
      <w:r w:rsidRPr="00944F7F">
        <w:rPr>
          <w:color w:val="0033CC"/>
        </w:rPr>
        <w:t>Ozelie R., Sipple C., Foy T., Cantoni K., Kellogg K., Lookingbill J., … Gassaway J. (2009).</w:t>
      </w:r>
    </w:p>
    <w:p w14:paraId="1581B7EF"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SCIRehab Project series: the occupational therapy taxonomy.  </w:t>
      </w:r>
      <w:r w:rsidRPr="00944F7F">
        <w:rPr>
          <w:i/>
          <w:iCs/>
          <w:color w:val="0033CC"/>
        </w:rPr>
        <w:t>Journal of Spinal Cord Medicine</w:t>
      </w:r>
      <w:r w:rsidRPr="00944F7F">
        <w:rPr>
          <w:color w:val="0033CC"/>
        </w:rPr>
        <w:t>.  32(3):283-97.</w:t>
      </w:r>
    </w:p>
    <w:p w14:paraId="2C79FF4D" w14:textId="77777777" w:rsidR="00495839" w:rsidRPr="00944F7F" w:rsidRDefault="00495839" w:rsidP="00495839">
      <w:pPr>
        <w:pStyle w:val="PlainText"/>
        <w:tabs>
          <w:tab w:val="left" w:pos="450"/>
          <w:tab w:val="left" w:pos="8910"/>
        </w:tabs>
        <w:ind w:right="-180"/>
        <w:rPr>
          <w:color w:val="0033CC"/>
        </w:rPr>
      </w:pPr>
    </w:p>
    <w:p w14:paraId="5F43FEA5"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Ozelie R., Gassaway J., Buchman E., Thimmaiah D., Heisler L., Cantoni K., … Whiteneck G. (2012). Relationship of occupational therapy inpatient rehabilitation interventions and patient characteristics to outcomes following spinal cord injury: the SCIRehab project. </w:t>
      </w:r>
      <w:r w:rsidRPr="00944F7F">
        <w:rPr>
          <w:i/>
          <w:iCs/>
          <w:color w:val="0033CC"/>
        </w:rPr>
        <w:t>Journal of Spinal Cord Medicine</w:t>
      </w:r>
      <w:r w:rsidRPr="00944F7F">
        <w:rPr>
          <w:color w:val="0033CC"/>
        </w:rPr>
        <w:t>.  35(6):527-46.</w:t>
      </w:r>
    </w:p>
    <w:p w14:paraId="4E8CD955" w14:textId="77777777" w:rsidR="00495839" w:rsidRPr="00944F7F" w:rsidRDefault="00495839" w:rsidP="00495839">
      <w:pPr>
        <w:pStyle w:val="PlainText"/>
        <w:tabs>
          <w:tab w:val="left" w:pos="450"/>
          <w:tab w:val="left" w:pos="8910"/>
        </w:tabs>
        <w:ind w:right="-180"/>
        <w:rPr>
          <w:color w:val="0033CC"/>
        </w:rPr>
      </w:pPr>
    </w:p>
    <w:p w14:paraId="0C7A601C"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Rundquist J., Gassaway J., Bailey J., Lingefelt P., Reyes IA., &amp; Thomas J. (2011). The SCIRehab project: treatment time spent in SCI rehabilitation. Nursing bedside education and care management time during inpatient spinal cord injury rehabilitation. </w:t>
      </w:r>
      <w:r w:rsidRPr="00944F7F">
        <w:rPr>
          <w:i/>
          <w:iCs/>
          <w:color w:val="0033CC"/>
        </w:rPr>
        <w:t>Journal of Spinal Cord Medicine</w:t>
      </w:r>
      <w:r w:rsidRPr="00944F7F">
        <w:rPr>
          <w:color w:val="0033CC"/>
        </w:rPr>
        <w:t>.  34(2):205-15.</w:t>
      </w:r>
    </w:p>
    <w:p w14:paraId="4DC5B790" w14:textId="77777777" w:rsidR="00495839" w:rsidRPr="00944F7F" w:rsidRDefault="00495839" w:rsidP="00495839">
      <w:pPr>
        <w:pStyle w:val="PlainText"/>
        <w:tabs>
          <w:tab w:val="left" w:pos="450"/>
          <w:tab w:val="left" w:pos="8910"/>
        </w:tabs>
        <w:ind w:right="-180"/>
        <w:rPr>
          <w:color w:val="0033CC"/>
        </w:rPr>
      </w:pPr>
    </w:p>
    <w:p w14:paraId="351FDB4A" w14:textId="77777777" w:rsidR="00495839" w:rsidRPr="00944F7F" w:rsidRDefault="00495839" w:rsidP="00495839">
      <w:pPr>
        <w:pStyle w:val="PlainText"/>
        <w:tabs>
          <w:tab w:val="left" w:pos="450"/>
          <w:tab w:val="left" w:pos="8910"/>
        </w:tabs>
        <w:ind w:right="-180"/>
        <w:rPr>
          <w:color w:val="0033CC"/>
        </w:rPr>
      </w:pPr>
      <w:r w:rsidRPr="00944F7F">
        <w:rPr>
          <w:color w:val="0033CC"/>
        </w:rPr>
        <w:t xml:space="preserve">Taylor-Schroeder S., LaBarbera J., McDowell S., Zanca J.M.,  Natale A.,  Mumma S., … Backus D. (2011). The SCIRehab project: treatment time spent in SCI rehabilitation. Physical therapy treatment time during inpatient spinal cord injury rehabilitation. </w:t>
      </w:r>
      <w:r w:rsidRPr="00944F7F">
        <w:rPr>
          <w:i/>
          <w:iCs/>
          <w:color w:val="0033CC"/>
        </w:rPr>
        <w:t xml:space="preserve"> Journal of Spinal Cord Medicine</w:t>
      </w:r>
      <w:r w:rsidRPr="00944F7F">
        <w:rPr>
          <w:color w:val="0033CC"/>
        </w:rPr>
        <w:t>.  34(2):149-61.</w:t>
      </w:r>
    </w:p>
    <w:p w14:paraId="222C86C4" w14:textId="77777777" w:rsidR="00495839" w:rsidRPr="00944F7F" w:rsidRDefault="00495839" w:rsidP="00495839">
      <w:pPr>
        <w:tabs>
          <w:tab w:val="left" w:pos="8910"/>
        </w:tabs>
        <w:autoSpaceDE w:val="0"/>
        <w:autoSpaceDN w:val="0"/>
        <w:adjustRightInd w:val="0"/>
        <w:spacing w:before="240"/>
        <w:ind w:left="0" w:right="-180" w:firstLine="0"/>
        <w:rPr>
          <w:rFonts w:cs="Times New Roman"/>
          <w:color w:val="0033CC"/>
        </w:rPr>
      </w:pPr>
      <w:r w:rsidRPr="00944F7F">
        <w:rPr>
          <w:rFonts w:cs="Times New Roman"/>
          <w:color w:val="0033CC"/>
        </w:rPr>
        <w:lastRenderedPageBreak/>
        <w:t xml:space="preserve">Wang, H., Camicia, M., Terdiman, J., Mannava, M. K., Sidney, S., &amp; Sandel, M. E. (2013). Daily treatment time and functional gains of stroke patients during inpatient rehabilitation. </w:t>
      </w:r>
      <w:r w:rsidRPr="00944F7F">
        <w:rPr>
          <w:rFonts w:cs="Times New Roman"/>
          <w:i/>
          <w:iCs/>
          <w:color w:val="0033CC"/>
        </w:rPr>
        <w:t>Physical Medicine &amp; Rehabilitation, 5</w:t>
      </w:r>
      <w:r w:rsidRPr="00944F7F">
        <w:rPr>
          <w:rFonts w:cs="Times New Roman"/>
          <w:color w:val="0033CC"/>
        </w:rPr>
        <w:t xml:space="preserve">(2), 122-128. </w:t>
      </w:r>
    </w:p>
    <w:p w14:paraId="16B0B6B4" w14:textId="433B68E7" w:rsidR="00495839" w:rsidRPr="00944F7F" w:rsidRDefault="00495839" w:rsidP="002E2177">
      <w:pPr>
        <w:ind w:left="0" w:firstLine="0"/>
        <w:rPr>
          <w:iCs/>
          <w:color w:val="0033CC"/>
        </w:rPr>
      </w:pPr>
    </w:p>
    <w:p w14:paraId="5934448D" w14:textId="4536BEDF" w:rsidR="00D80DB2" w:rsidRPr="00944F7F" w:rsidRDefault="00D80DB2" w:rsidP="002E2177">
      <w:pPr>
        <w:ind w:left="0" w:firstLine="0"/>
        <w:rPr>
          <w:iCs/>
          <w:color w:val="0033CC"/>
        </w:rPr>
      </w:pPr>
    </w:p>
    <w:p w14:paraId="60454F32" w14:textId="5DFC175D" w:rsidR="00D80DB2" w:rsidRPr="00944F7F" w:rsidRDefault="00D80DB2" w:rsidP="002E2177">
      <w:pPr>
        <w:ind w:left="0" w:firstLine="0"/>
        <w:rPr>
          <w:iCs/>
          <w:color w:val="0033CC"/>
        </w:rPr>
      </w:pPr>
    </w:p>
    <w:p w14:paraId="02FA2D9F" w14:textId="77777777" w:rsidR="00D80DB2" w:rsidRPr="00944F7F" w:rsidRDefault="00D80DB2" w:rsidP="00D80DB2">
      <w:pPr>
        <w:tabs>
          <w:tab w:val="left" w:pos="8910"/>
        </w:tabs>
        <w:ind w:left="0" w:right="-180" w:firstLine="0"/>
        <w:rPr>
          <w:rFonts w:ascii="Calibri" w:eastAsia="Calibri" w:hAnsi="Calibri" w:cs="Times New Roman"/>
          <w:color w:val="0033CC"/>
        </w:rPr>
      </w:pPr>
      <w:r w:rsidRPr="00944F7F">
        <w:rPr>
          <w:rFonts w:ascii="Calibri" w:eastAsia="Calibri" w:hAnsi="Calibri" w:cs="Times New Roman"/>
          <w:color w:val="0033CC"/>
        </w:rPr>
        <w:t xml:space="preserve">We identified evidence from literature searches using PubMed and the Cumulative Index of Nursing and Allied Health Literature (CINAHL) and in reviews of references cited in the relevant identified studies. </w:t>
      </w:r>
    </w:p>
    <w:p w14:paraId="2B1941B3" w14:textId="77777777" w:rsidR="00D80DB2" w:rsidRPr="00944F7F" w:rsidRDefault="00D80DB2" w:rsidP="002E2177">
      <w:pPr>
        <w:ind w:left="0" w:firstLine="0"/>
        <w:rPr>
          <w:iCs/>
          <w:color w:val="0033CC"/>
        </w:rPr>
      </w:pPr>
    </w:p>
    <w:p w14:paraId="2A92A7D3"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Foley, N., Pereira, S., Salter, K., Meyer, M., McClure, J. A., &amp; Teasell, R., (2012). Are recommendations regarding inpatient therapy intensity following acute stroke really evidence-based? </w:t>
      </w:r>
      <w:r w:rsidRPr="00944F7F">
        <w:rPr>
          <w:rFonts w:cs="Times New Roman"/>
          <w:i/>
          <w:iCs/>
          <w:color w:val="0033CC"/>
        </w:rPr>
        <w:t>Topics in Stroke Rehabilitation</w:t>
      </w:r>
      <w:r w:rsidRPr="00944F7F">
        <w:rPr>
          <w:rFonts w:cs="Times New Roman"/>
          <w:color w:val="0033CC"/>
        </w:rPr>
        <w:t>.  19(2):96-103.</w:t>
      </w:r>
    </w:p>
    <w:p w14:paraId="573D08BE" w14:textId="77777777" w:rsidR="00D80DB2" w:rsidRPr="00944F7F" w:rsidRDefault="00D80DB2" w:rsidP="00D80DB2">
      <w:pPr>
        <w:pStyle w:val="PlainText"/>
        <w:tabs>
          <w:tab w:val="left" w:pos="8910"/>
        </w:tabs>
        <w:ind w:left="360" w:right="-180"/>
        <w:rPr>
          <w:rFonts w:asciiTheme="minorHAnsi" w:hAnsiTheme="minorHAnsi"/>
          <w:color w:val="0033CC"/>
          <w:szCs w:val="22"/>
        </w:rPr>
      </w:pPr>
      <w:r w:rsidRPr="00944F7F">
        <w:rPr>
          <w:rFonts w:asciiTheme="minorHAnsi" w:hAnsiTheme="minorHAnsi"/>
          <w:color w:val="0033CC"/>
          <w:szCs w:val="22"/>
        </w:rPr>
        <w:t>Six clinical practice guidelines were retrieved and examined to determine what recommendation, if any, had been made regarding the daily provision of therapy during inpatient rehabilitation. All studies cited by the guideline authors to support their recommendations were identified and retrieved. Studies in which treatment was (a) focused on motor recovery, (b) initiated during inpatient rehabilitation, and (c) provided within 3 months of stroke onset were reviewed in greater detail.  Three of the 6 identified guidelines recommended daily minimum amounts of therapy, ranging from 45 to 60 minutes each day of occupational and physiotherapy, and 3 made general statements indicating that increased intensity of therapy was either recommended or was not recommended. We believe the evidence base cannot support a specific recommendation related to therapy intensity during inpatient rehabilitation following stroke.</w:t>
      </w:r>
    </w:p>
    <w:p w14:paraId="5B85389D" w14:textId="77777777" w:rsidR="00D80DB2" w:rsidRPr="00944F7F" w:rsidRDefault="00D80DB2" w:rsidP="00D80DB2">
      <w:pPr>
        <w:tabs>
          <w:tab w:val="left" w:pos="8910"/>
        </w:tabs>
        <w:autoSpaceDE w:val="0"/>
        <w:autoSpaceDN w:val="0"/>
        <w:adjustRightInd w:val="0"/>
        <w:ind w:left="0" w:right="-180" w:firstLine="0"/>
        <w:rPr>
          <w:rFonts w:cs="Times New Roman"/>
          <w:color w:val="0033CC"/>
        </w:rPr>
      </w:pPr>
    </w:p>
    <w:p w14:paraId="20D9C5D7"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Jette, D. U., R. L. Warren, &amp; C. Wirtalla. (2005). The relation between therapy intensity and outcomes of rehabilitation in skilled nursing facilities. </w:t>
      </w:r>
      <w:r w:rsidRPr="00944F7F">
        <w:rPr>
          <w:rFonts w:cs="Times New Roman"/>
          <w:i/>
          <w:iCs/>
          <w:color w:val="0033CC"/>
        </w:rPr>
        <w:t xml:space="preserve">Archives of Physical Medicine and Rehabilitation, </w:t>
      </w:r>
      <w:r w:rsidRPr="00944F7F">
        <w:rPr>
          <w:rFonts w:cs="Times New Roman"/>
          <w:color w:val="0033CC"/>
        </w:rPr>
        <w:t xml:space="preserve">86 (3), 373-9. </w:t>
      </w:r>
    </w:p>
    <w:p w14:paraId="5D8784AC"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32F9A3D6"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The aim of the study is to examine the relation between therapy intensity, including physical therapy, occupational therapy, and speech and language therapy, provided in a skilled nursing facility setting and patients' outcomes. Higher physical therapy and occupational therapy intensities were associated with greater odds of improving by at least 1 stage in mobility and activities of daily living functional independence across each condition. The speech and language therapy intensity was associated with improved motor and executive control functional stages for patients with stroke. Therapy intensities accounted for small proportions of model variances in all outcomes. Higher therapy intensity was associated with better outcomes as they relate to LOS and functional improvement for patients who have stroke, orthopedic conditions, and cardiovascular and pulmonary conditions and are receiving rehabilitation in skilled nursing facilities.</w:t>
      </w:r>
    </w:p>
    <w:p w14:paraId="2E0F0B0E" w14:textId="77777777" w:rsidR="00D80DB2" w:rsidRPr="00944F7F" w:rsidRDefault="00D80DB2" w:rsidP="00D80DB2">
      <w:pPr>
        <w:pStyle w:val="ListParagraph"/>
        <w:tabs>
          <w:tab w:val="left" w:pos="8910"/>
        </w:tabs>
        <w:spacing w:line="240" w:lineRule="auto"/>
        <w:ind w:right="-180"/>
        <w:rPr>
          <w:rFonts w:cs="Times New Roman"/>
          <w:color w:val="0033CC"/>
        </w:rPr>
      </w:pPr>
    </w:p>
    <w:p w14:paraId="1227E86A"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Johnson K., Bailey J., Rundquist J., Dimond P., McDonald CA., Reyes IA., … Gassaway J. (2009). SCIRehab Project series: the supplemental nursing taxonomy.   </w:t>
      </w:r>
      <w:r w:rsidRPr="00944F7F">
        <w:rPr>
          <w:rFonts w:cs="Times New Roman"/>
          <w:i/>
          <w:iCs/>
          <w:color w:val="0033CC"/>
        </w:rPr>
        <w:t>Journal of Spinal Cord Medicine</w:t>
      </w:r>
      <w:r w:rsidRPr="00944F7F">
        <w:rPr>
          <w:rFonts w:cs="Times New Roman"/>
          <w:color w:val="0033CC"/>
        </w:rPr>
        <w:t>.  32(3):329-35.</w:t>
      </w:r>
    </w:p>
    <w:p w14:paraId="200BD332" w14:textId="77777777" w:rsidR="00D80DB2" w:rsidRPr="00944F7F" w:rsidRDefault="00D80DB2" w:rsidP="00D80DB2">
      <w:pPr>
        <w:tabs>
          <w:tab w:val="left" w:pos="8910"/>
        </w:tabs>
        <w:autoSpaceDE w:val="0"/>
        <w:autoSpaceDN w:val="0"/>
        <w:adjustRightInd w:val="0"/>
        <w:ind w:right="-180" w:firstLine="0"/>
        <w:rPr>
          <w:rFonts w:cs="Times New Roman"/>
          <w:color w:val="0033CC"/>
        </w:rPr>
      </w:pPr>
      <w:r w:rsidRPr="00944F7F">
        <w:rPr>
          <w:rFonts w:cs="Times New Roman"/>
          <w:color w:val="0033CC"/>
        </w:rPr>
        <w:t xml:space="preserve">Spinal cord injury rehabilitation nurses document the occurrence of educational and care management efforts in traditional nursing documentation methods but not the intensity (or dose) of such interactions. This article describes a process to capture these nursing interventions. Nurses at 6 US inpatient spinal cord injury centers developed a taxonomy of nursing patient education efforts and care management. This was subsequently incorporated into a point-of-care documentation system </w:t>
      </w:r>
      <w:r w:rsidRPr="00944F7F">
        <w:rPr>
          <w:rFonts w:cs="Times New Roman"/>
          <w:color w:val="0033CC"/>
        </w:rPr>
        <w:lastRenderedPageBreak/>
        <w:t xml:space="preserve">and used to capture details of nursing care for 1,500 Spinal cord injury rehabilitation patients. The taxonomy consists of 10 education and 3 care management categories. The point-of-care system includes time spent on each category along with an indication of whether the patient and/or family received the education/care management. In addition, a subjective measure of patient participation in nursing activities is included.  </w:t>
      </w:r>
    </w:p>
    <w:p w14:paraId="00B1F0D9" w14:textId="77777777" w:rsidR="00D80DB2" w:rsidRPr="00944F7F" w:rsidRDefault="00D80DB2" w:rsidP="00D80DB2">
      <w:pPr>
        <w:pStyle w:val="ListParagraph"/>
        <w:tabs>
          <w:tab w:val="left" w:pos="8910"/>
        </w:tabs>
        <w:spacing w:line="240" w:lineRule="auto"/>
        <w:ind w:right="-180"/>
        <w:rPr>
          <w:rFonts w:cs="Times New Roman"/>
          <w:color w:val="0033CC"/>
        </w:rPr>
      </w:pPr>
    </w:p>
    <w:p w14:paraId="4571537A"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Lenze, E. J., Host, H. H., Hildebrand M. W., Morrow-Howell, N., Carpenter, B., Freedland, K. E., Binder, E, F. (2012). Enhanced medical rehabilitation increases therapy intensity and engagement and improves functional outcomes in postacute rehabilitation of older adults: a randomized-controlled trial.  </w:t>
      </w:r>
      <w:r w:rsidRPr="00944F7F">
        <w:rPr>
          <w:rFonts w:cs="Times New Roman"/>
          <w:i/>
          <w:iCs/>
          <w:color w:val="0033CC"/>
        </w:rPr>
        <w:t>Journal of the American Medical Directors Association</w:t>
      </w:r>
      <w:r w:rsidRPr="00944F7F">
        <w:rPr>
          <w:rFonts w:cs="Times New Roman"/>
          <w:color w:val="0033CC"/>
        </w:rPr>
        <w:t>. 13(8):708-12.</w:t>
      </w:r>
    </w:p>
    <w:p w14:paraId="279C5454"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335BD3C3"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 xml:space="preserve">This study tested Enhanced Medical Rehabilitation, an intervention designed to increase patient engagement in, and intensity of, daily physical and occupational therapy sessions in a skilled nursing facility. This was a randomized controlled trial of Enhanced Medical Rehabilitation versus standard-of-care rehabilitation. Participants were 26 older adults admitted from a hospital for postacute rehabilitation. Participants randomized to Enhanced Medical Rehabilitation had higher intensity therapy and were more engaged in their rehabilitation sessions; they had more improvement in gait speed and 6-minute walk, with a trend for better improvement of Barthel Index, compared with participants randomized to standard-of-care rehabilitation. Higher intensity and patient engagement in the postacute rehabilitation setting is achievable, with resultant better functional outcomes for older adults.  </w:t>
      </w:r>
    </w:p>
    <w:p w14:paraId="64D7B0FC" w14:textId="77777777" w:rsidR="00D80DB2" w:rsidRPr="00944F7F" w:rsidRDefault="00D80DB2" w:rsidP="00D80DB2">
      <w:pPr>
        <w:pStyle w:val="ListParagraph"/>
        <w:tabs>
          <w:tab w:val="left" w:pos="8910"/>
        </w:tabs>
        <w:spacing w:line="240" w:lineRule="auto"/>
        <w:ind w:right="-180"/>
        <w:rPr>
          <w:rFonts w:cs="Times New Roman"/>
          <w:color w:val="0033CC"/>
        </w:rPr>
      </w:pPr>
    </w:p>
    <w:p w14:paraId="41ADA8E3"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Lohse, K. R., Lang, C. E., &amp; Boyd, L. A. (2014). Is more better? Using metadata to explore dose-response relationships in stroke rehabilitation. </w:t>
      </w:r>
      <w:r w:rsidRPr="00944F7F">
        <w:rPr>
          <w:rFonts w:cs="Times New Roman"/>
          <w:i/>
          <w:iCs/>
          <w:color w:val="0033CC"/>
        </w:rPr>
        <w:t>Stroke</w:t>
      </w:r>
      <w:r w:rsidRPr="00944F7F">
        <w:rPr>
          <w:rFonts w:cs="Times New Roman"/>
          <w:color w:val="0033CC"/>
        </w:rPr>
        <w:t>. 45(7):2053-8.</w:t>
      </w:r>
    </w:p>
    <w:p w14:paraId="3E34D12D" w14:textId="77777777" w:rsidR="00D80DB2" w:rsidRPr="00944F7F" w:rsidRDefault="00D80DB2" w:rsidP="00D80DB2">
      <w:pPr>
        <w:pStyle w:val="ListParagraph"/>
        <w:tabs>
          <w:tab w:val="left" w:pos="8910"/>
        </w:tabs>
        <w:spacing w:line="240" w:lineRule="auto"/>
        <w:ind w:left="360" w:right="-180" w:firstLine="0"/>
        <w:rPr>
          <w:rFonts w:cs="Times New Roman"/>
          <w:color w:val="0033CC"/>
        </w:rPr>
      </w:pPr>
    </w:p>
    <w:p w14:paraId="0B49747B" w14:textId="77777777" w:rsidR="00D80DB2" w:rsidRPr="00944F7F" w:rsidRDefault="00D80DB2" w:rsidP="00D80DB2">
      <w:pPr>
        <w:pStyle w:val="ListParagraph"/>
        <w:tabs>
          <w:tab w:val="left" w:pos="8820"/>
          <w:tab w:val="left" w:pos="8910"/>
        </w:tabs>
        <w:spacing w:line="240" w:lineRule="auto"/>
        <w:ind w:left="360" w:right="-180" w:firstLine="0"/>
        <w:rPr>
          <w:rFonts w:cs="Times New Roman"/>
          <w:color w:val="0033CC"/>
        </w:rPr>
      </w:pPr>
      <w:r w:rsidRPr="00944F7F">
        <w:rPr>
          <w:rFonts w:cs="Times New Roman"/>
          <w:color w:val="0033CC"/>
        </w:rPr>
        <w:t xml:space="preserve">The primary objective of this meta-analysis was to explore the relationship between time scheduled for therapy and improvement in motor therapy for adults after stroke by (1) comparing high doses to low doses and (2) using metaregression to quantify the dose-response relationship further. Databases were searched to find randomized controlled trials that were not dosage matched for total time scheduled for therapy. Regression models were used to predict improvement during therapy as a function of total time scheduled for therapy and years after stroke. Overall, treatment groups receiving more therapy improved beyond control groups that received less. There is a positive relationship between the time scheduled for therapy and therapy outcomes. </w:t>
      </w:r>
      <w:r w:rsidRPr="00944F7F">
        <w:rPr>
          <w:rFonts w:cs="Times New Roman"/>
          <w:color w:val="0033CC"/>
        </w:rPr>
        <w:br w:type="page"/>
      </w:r>
    </w:p>
    <w:p w14:paraId="1C0650F4"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lastRenderedPageBreak/>
        <w:t xml:space="preserve">Mallinson, T., Deutsch, A., Bateman, J., Tseng, H. Y., Manheim, L., Almagor, O., Heinemann, A., W. (2014). Comparison of discharge functional status after rehabilitation in skilled nursing, home health, and medical rehabilitation settings for patients after hip fracture repair.  </w:t>
      </w:r>
      <w:r w:rsidRPr="00944F7F">
        <w:rPr>
          <w:rFonts w:cs="Times New Roman"/>
          <w:i/>
          <w:iCs/>
          <w:color w:val="0033CC"/>
        </w:rPr>
        <w:t>Archives of Physical Medicine &amp; Rehabilitation</w:t>
      </w:r>
      <w:r w:rsidRPr="00944F7F">
        <w:rPr>
          <w:rFonts w:cs="Times New Roman"/>
          <w:color w:val="0033CC"/>
        </w:rPr>
        <w:t>.  95(2):209-17.</w:t>
      </w:r>
    </w:p>
    <w:p w14:paraId="395C51F2" w14:textId="77777777" w:rsidR="00D80DB2" w:rsidRPr="00944F7F" w:rsidRDefault="00D80DB2" w:rsidP="00D80DB2">
      <w:pPr>
        <w:pStyle w:val="PlainText"/>
        <w:tabs>
          <w:tab w:val="left" w:pos="8910"/>
        </w:tabs>
        <w:ind w:left="360" w:right="-180"/>
        <w:rPr>
          <w:rFonts w:asciiTheme="minorHAnsi" w:hAnsiTheme="minorHAnsi"/>
          <w:color w:val="0033CC"/>
          <w:szCs w:val="22"/>
        </w:rPr>
      </w:pPr>
      <w:r w:rsidRPr="00944F7F">
        <w:rPr>
          <w:rFonts w:asciiTheme="minorHAnsi" w:hAnsiTheme="minorHAnsi"/>
          <w:color w:val="0033CC"/>
          <w:szCs w:val="22"/>
        </w:rPr>
        <w:t xml:space="preserve">The aim of this study was to examine differences in rehabilitation outcomes across 3 post-acute care rehabilitation settings for patients after hip fracture repair. Participants were patients (N=181) receiving rehabilitation following hip fracture. Inpatient rehabilitation facility and home health agency patients had lower self-care function at discharge relative to skilled nursing facility patients controlling for patient characteristics, severity, comorbidities, and services. Inpatient rehabilitation facility and skilled nursing facility patients received about the same total minutes of therapy over their PAC stays (~2100 min on average), whereas home health patients received only approximately 25% as many minutes. Setting-specific effects varied depending on whether self-care or mobility was the outcome of focus. </w:t>
      </w:r>
    </w:p>
    <w:p w14:paraId="25C07853" w14:textId="77777777" w:rsidR="00D80DB2" w:rsidRPr="00944F7F" w:rsidRDefault="00D80DB2" w:rsidP="00D80DB2">
      <w:pPr>
        <w:tabs>
          <w:tab w:val="left" w:pos="8910"/>
        </w:tabs>
        <w:ind w:right="-180"/>
        <w:rPr>
          <w:rFonts w:eastAsiaTheme="minorEastAsia" w:cs="Times New Roman"/>
          <w:color w:val="0033CC"/>
        </w:rPr>
      </w:pPr>
    </w:p>
    <w:p w14:paraId="63D4BF99"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Natale A., Taylor S., LaBarbera J., Bensimon L., McDowell S., Mumma S.L., … Gassaway J. (2009). SCIRehab Project series: the physical therapy taxonomy.  </w:t>
      </w:r>
      <w:r w:rsidRPr="00944F7F">
        <w:rPr>
          <w:rFonts w:cs="Times New Roman"/>
          <w:i/>
          <w:iCs/>
          <w:color w:val="0033CC"/>
        </w:rPr>
        <w:t>Journal of Spinal Cord Medicine</w:t>
      </w:r>
      <w:r w:rsidRPr="00944F7F">
        <w:rPr>
          <w:rFonts w:cs="Times New Roman"/>
          <w:color w:val="0033CC"/>
        </w:rPr>
        <w:t>.  32(3):270-82.</w:t>
      </w:r>
    </w:p>
    <w:p w14:paraId="73C73A4E"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3D14A77D"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The objective of this study was to describe a taxonomy (system to categorize and classify interventions) to examine the effects of physical therapy interventions on rehabilitation outcomes. Physical therapy clinicians and researchers from 6 centers developed a taxonomy to describe details of each PT session. The physical therapy taxonomy consists of 19 treatment activities (e. g., bed mobility, transfers, wheelchair mobility, strengthening and stretching exercises) and supplementary information to describe the associated therapeutic interventions. The detailed physical therapy taxonomy documentation process, which offers efficiency in data collection, is being used for all physical therapy sessions with 1,500 patients with acute traumatic spinal cord injury at the 6 participating centers.</w:t>
      </w:r>
    </w:p>
    <w:p w14:paraId="5C6A48A4" w14:textId="77777777" w:rsidR="00D80DB2" w:rsidRPr="00944F7F" w:rsidRDefault="00D80DB2" w:rsidP="00D80DB2">
      <w:pPr>
        <w:pStyle w:val="ListParagraph"/>
        <w:tabs>
          <w:tab w:val="left" w:pos="8910"/>
        </w:tabs>
        <w:spacing w:line="240" w:lineRule="auto"/>
        <w:ind w:right="-180"/>
        <w:rPr>
          <w:rFonts w:cs="Times New Roman"/>
          <w:color w:val="0033CC"/>
        </w:rPr>
      </w:pPr>
    </w:p>
    <w:p w14:paraId="74719A6F"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O'Brien, S. R., Xue, Y., Ingersoll, G., &amp; Kelly, A. (2013). Shorter length of stay is associated with worse functional outcomes for Medicare beneficiaries with stroke. </w:t>
      </w:r>
      <w:r w:rsidRPr="00944F7F">
        <w:rPr>
          <w:rFonts w:cs="Times New Roman"/>
          <w:i/>
          <w:iCs/>
          <w:color w:val="0033CC"/>
        </w:rPr>
        <w:t>Physical Therapy, 93</w:t>
      </w:r>
      <w:r w:rsidRPr="00944F7F">
        <w:rPr>
          <w:rFonts w:cs="Times New Roman"/>
          <w:i/>
          <w:color w:val="0033CC"/>
        </w:rPr>
        <w:t>,</w:t>
      </w:r>
      <w:r w:rsidRPr="00944F7F">
        <w:rPr>
          <w:rFonts w:cs="Times New Roman"/>
          <w:color w:val="0033CC"/>
        </w:rPr>
        <w:t xml:space="preserve"> 1592–1602. </w:t>
      </w:r>
    </w:p>
    <w:p w14:paraId="453E92E1"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0C9593A3"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This study examined the trends and associations between length of stay and discharge outcomes in Medicare beneficiaries with stroke treated in IRFs. Medicare beneficiaries with stroke treated in IRFs experienced shorter length of stay, had worsening admission and discharge function, and had fewer community discharges. Worsening admission function and shorter length of stay may contribute to worsening discharge outcomes, which may indicate a lack of readiness for IRF treatment and that facility-level factors may be playing a role in shorter length of stay.</w:t>
      </w:r>
    </w:p>
    <w:p w14:paraId="614D9C25" w14:textId="77777777" w:rsidR="00D80DB2" w:rsidRPr="00944F7F" w:rsidRDefault="00D80DB2" w:rsidP="00D80DB2">
      <w:pPr>
        <w:pStyle w:val="ListParagraph"/>
        <w:tabs>
          <w:tab w:val="left" w:pos="8910"/>
        </w:tabs>
        <w:spacing w:line="240" w:lineRule="auto"/>
        <w:ind w:right="-180"/>
        <w:rPr>
          <w:rFonts w:cs="Times New Roman"/>
          <w:color w:val="0033CC"/>
        </w:rPr>
      </w:pPr>
    </w:p>
    <w:p w14:paraId="796C1FAA"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Ozelie R., Sipple C., Foy T., Cantoni K., Kellogg K., Lookingbill J., … Gassaway J. (2009). SCIRehab Project series: the occupational therapy taxonomy. </w:t>
      </w:r>
      <w:r w:rsidRPr="00944F7F">
        <w:rPr>
          <w:rFonts w:cs="Times New Roman"/>
          <w:i/>
          <w:iCs/>
          <w:color w:val="0033CC"/>
        </w:rPr>
        <w:t>Journal of Spinal Cord Medicine</w:t>
      </w:r>
      <w:r w:rsidRPr="00944F7F">
        <w:rPr>
          <w:rFonts w:cs="Times New Roman"/>
          <w:color w:val="0033CC"/>
        </w:rPr>
        <w:t>. 32(3):283-97.</w:t>
      </w:r>
    </w:p>
    <w:p w14:paraId="4407AFFF"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75F7B18F"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 xml:space="preserve">Occupational therapy clinicians and researchers from 6 spinal cord injury rehabilitation centers developed a taxonomy to describe details of each occupational therapy session. The occupational therapy taxonomy consists of 26 occupational therapy activities (e. g., training on activities of daily living, communication, home management skills, wheelchair mobility, bed mobility, transfers, balance, strengthening, stretching, equipment evaluation, and community reintegration). Treatment descriptions are enhanced further with identification of assistance needs, patient direction of care, </w:t>
      </w:r>
      <w:r w:rsidRPr="00944F7F">
        <w:rPr>
          <w:rFonts w:cs="Times New Roman"/>
          <w:color w:val="0033CC"/>
        </w:rPr>
        <w:lastRenderedPageBreak/>
        <w:t>and family involvement, which help to describe and guide occupational therapy activity selection. The electronic documentation system is being used at 6 centers for all occupational therapy sessions with 1,500 patients with acute traumatic spinal cord injury.</w:t>
      </w:r>
    </w:p>
    <w:p w14:paraId="3A63B8AE" w14:textId="77777777" w:rsidR="00D80DB2" w:rsidRPr="00944F7F" w:rsidRDefault="00D80DB2" w:rsidP="00D80DB2">
      <w:pPr>
        <w:pStyle w:val="ListParagraph"/>
        <w:tabs>
          <w:tab w:val="left" w:pos="8910"/>
        </w:tabs>
        <w:spacing w:line="240" w:lineRule="auto"/>
        <w:ind w:right="-180"/>
        <w:rPr>
          <w:rFonts w:cs="Times New Roman"/>
          <w:color w:val="0033CC"/>
        </w:rPr>
      </w:pPr>
    </w:p>
    <w:p w14:paraId="1EB0BD43"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Ozelie R., Gassaway J., Buchman E., Thimmaiah D., Heisler L., Cantoni K., … Whiteneck G. (2012). Relationship of occupational therapy inpatient rehabilitation interventions and patient characteristics to outcomes following spinal cord injury: the SCIRehab project. </w:t>
      </w:r>
      <w:r w:rsidRPr="00944F7F">
        <w:rPr>
          <w:rFonts w:cs="Times New Roman"/>
          <w:i/>
          <w:iCs/>
          <w:color w:val="0033CC"/>
        </w:rPr>
        <w:t>Journal of Spinal Cord Medicine</w:t>
      </w:r>
      <w:r w:rsidRPr="00944F7F">
        <w:rPr>
          <w:rFonts w:cs="Times New Roman"/>
          <w:color w:val="0033CC"/>
        </w:rPr>
        <w:t>.  35(6):527-46.</w:t>
      </w:r>
    </w:p>
    <w:p w14:paraId="7D5962D7"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6931D873"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Occupational therapists at 6 inpatient rehabilitation centers documented detailed information about treatment provided. Occupational therapy treatment variables explain a small amount of variation in FIM outcomes for the full sample and significantly more in two functionally homogeneous subgroups. For patients with motor complete paraplegia, more time spent in clothing management and hygiene related to toileting was a strong predictor of higher scores on the lower body items of the self-care function. Among patients with motor complete low tetraplegia, higher scores for the FIM lower body self-care items were associated with more time spent on lower body dressing, manual wheelchair mobility training, and bathing training. The impact of occupational therapy treatment on functional outcomes is more evident when examining more homogeneous patient groupings and outcomes specific to the groupings.</w:t>
      </w:r>
    </w:p>
    <w:p w14:paraId="3849A7D8" w14:textId="77777777" w:rsidR="00D80DB2" w:rsidRPr="00944F7F" w:rsidRDefault="00D80DB2" w:rsidP="00D80DB2">
      <w:pPr>
        <w:pStyle w:val="ListParagraph"/>
        <w:tabs>
          <w:tab w:val="left" w:pos="8910"/>
        </w:tabs>
        <w:spacing w:line="240" w:lineRule="auto"/>
        <w:ind w:right="-180"/>
        <w:rPr>
          <w:rFonts w:cs="Times New Roman"/>
          <w:color w:val="0033CC"/>
        </w:rPr>
      </w:pPr>
    </w:p>
    <w:p w14:paraId="7CB8CACE"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Rundquist J., Gassaway J., Bailey J., Lingefelt P., Reyes IA., &amp; Thomas J. The SCIRehab project: treatment time spent in SCI rehabilitation. Nursing bedside education and care management time during inpatient spinal cord injury rehabilitation. </w:t>
      </w:r>
      <w:r w:rsidRPr="00944F7F">
        <w:rPr>
          <w:rFonts w:cs="Times New Roman"/>
          <w:i/>
          <w:iCs/>
          <w:color w:val="0033CC"/>
        </w:rPr>
        <w:t>Journal of Spinal Cord Medicine</w:t>
      </w:r>
      <w:r w:rsidRPr="00944F7F">
        <w:rPr>
          <w:rFonts w:cs="Times New Roman"/>
          <w:color w:val="0033CC"/>
        </w:rPr>
        <w:t>.  34(2):205-15, 2011.</w:t>
      </w:r>
    </w:p>
    <w:p w14:paraId="584929A9"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09D016BC"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 xml:space="preserve">Nurses providing usual care to patients with spinal cord injury documented the content and amount of time spent on each bedside interaction including details of education or care management for 42 048 shifts of nursing care. The mean number of minutes per week was 264.3. The time that nurses spent on each activity was significantly different in each neurological injury group. Fifty percent of care management time was devoted to psychosocial support, while medication, skin care, bladder, bowel, and pain management were the main education topics. Nurses in spinal cord injury rehabilitation spend a significant amount of time providing education and psychosocial support to patients and their families. Quantification of these interventions will allow researchers to discern whether there are pertinent associations between the time spent on bedside activities and patient outcomes. </w:t>
      </w:r>
    </w:p>
    <w:p w14:paraId="0F04D1B6"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46EDFB6C"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Taylor-Schroeder S., LaBarbera J., McDowell S., Zanca J.M.,  Natale A.,  Mumma S., … Backus D. (2011). The SCIRehab project: treatment time spent in SCI rehabilitation. Physical therapy treatment time during inpatient spinal cord injury rehabilitation. </w:t>
      </w:r>
      <w:r w:rsidRPr="00944F7F">
        <w:rPr>
          <w:rFonts w:cs="Times New Roman"/>
          <w:i/>
          <w:iCs/>
          <w:color w:val="0033CC"/>
        </w:rPr>
        <w:t xml:space="preserve"> Journal of Spinal Cord Medicine</w:t>
      </w:r>
      <w:r w:rsidRPr="00944F7F">
        <w:rPr>
          <w:rFonts w:cs="Times New Roman"/>
          <w:color w:val="0033CC"/>
        </w:rPr>
        <w:t>.  34(2):149-61.</w:t>
      </w:r>
    </w:p>
    <w:p w14:paraId="32D342F0"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p>
    <w:p w14:paraId="6DBBCFD2" w14:textId="77777777" w:rsidR="00D80DB2" w:rsidRPr="00944F7F" w:rsidRDefault="00D80DB2" w:rsidP="00D80DB2">
      <w:pPr>
        <w:pStyle w:val="ListParagraph"/>
        <w:tabs>
          <w:tab w:val="left" w:pos="8910"/>
        </w:tabs>
        <w:autoSpaceDE w:val="0"/>
        <w:autoSpaceDN w:val="0"/>
        <w:adjustRightInd w:val="0"/>
        <w:spacing w:line="240" w:lineRule="auto"/>
        <w:ind w:left="360" w:right="-180" w:firstLine="0"/>
        <w:rPr>
          <w:rFonts w:cs="Times New Roman"/>
          <w:color w:val="0033CC"/>
        </w:rPr>
      </w:pPr>
      <w:r w:rsidRPr="00944F7F">
        <w:rPr>
          <w:rFonts w:cs="Times New Roman"/>
          <w:color w:val="0033CC"/>
        </w:rPr>
        <w:t xml:space="preserve">Physical therapists documented details, including time spent, of treatment provided during 37,306 physical therapy sessions that occurred during inpatient SCI rehabilitation. SCIRehab patients received a mean total of 55.3 hours of physical therapy over the course of their rehabilitation stay. Significant differences among four neurologic groups were seen in the amount of time spent on most activities, including the most common physical therapy activities of strengthening exercises, stretching, transfer training, wheelchair mobility training, and gait training. Most physical therapy work (77%) was provided in individual therapy sessions; the remaining 23% was done in group settings. Patient and injury characteristics explained only some of the variations seen in time spent on wheelchair mobility, transfer and bed mobility training, and range of motion/stretching. Significant variation was seen in time spent on physical therapy activities within and among injury groups. </w:t>
      </w:r>
    </w:p>
    <w:p w14:paraId="592094F0" w14:textId="77777777" w:rsidR="00D80DB2" w:rsidRPr="00944F7F" w:rsidRDefault="00D80DB2" w:rsidP="00D80DB2">
      <w:pPr>
        <w:pStyle w:val="ListParagraph"/>
        <w:tabs>
          <w:tab w:val="left" w:pos="8910"/>
        </w:tabs>
        <w:spacing w:line="240" w:lineRule="auto"/>
        <w:ind w:right="-180"/>
        <w:rPr>
          <w:rFonts w:cs="Times New Roman"/>
          <w:color w:val="0033CC"/>
        </w:rPr>
      </w:pPr>
    </w:p>
    <w:p w14:paraId="51FE9985" w14:textId="77777777" w:rsidR="00D80DB2" w:rsidRPr="00944F7F" w:rsidRDefault="00D80DB2" w:rsidP="00D80DB2">
      <w:pPr>
        <w:pStyle w:val="ListParagraph"/>
        <w:numPr>
          <w:ilvl w:val="0"/>
          <w:numId w:val="12"/>
        </w:numPr>
        <w:tabs>
          <w:tab w:val="left" w:pos="8910"/>
        </w:tabs>
        <w:autoSpaceDE w:val="0"/>
        <w:autoSpaceDN w:val="0"/>
        <w:adjustRightInd w:val="0"/>
        <w:spacing w:line="240" w:lineRule="auto"/>
        <w:ind w:right="-180"/>
        <w:rPr>
          <w:rFonts w:cs="Times New Roman"/>
          <w:color w:val="0033CC"/>
        </w:rPr>
      </w:pPr>
      <w:r w:rsidRPr="00944F7F">
        <w:rPr>
          <w:rFonts w:cs="Times New Roman"/>
          <w:color w:val="0033CC"/>
        </w:rPr>
        <w:t xml:space="preserve">Wang, H., Camicia, M., Terdiman, J., Mannava, M. K., Sidney, S., &amp; Sandel, M. E. (2013). Daily treatment time and functional gains of stroke patients during inpatient rehabilitation. </w:t>
      </w:r>
      <w:r w:rsidRPr="00944F7F">
        <w:rPr>
          <w:rFonts w:cs="Times New Roman"/>
          <w:i/>
          <w:iCs/>
          <w:color w:val="0033CC"/>
        </w:rPr>
        <w:t>Physical Medicine &amp; Rehabilitation, 5</w:t>
      </w:r>
      <w:r w:rsidRPr="00944F7F">
        <w:rPr>
          <w:rFonts w:cs="Times New Roman"/>
          <w:color w:val="0033CC"/>
        </w:rPr>
        <w:t xml:space="preserve">(2), 122-128. </w:t>
      </w:r>
    </w:p>
    <w:p w14:paraId="2F547775" w14:textId="77777777" w:rsidR="00D80DB2" w:rsidRPr="00944F7F" w:rsidRDefault="00D80DB2" w:rsidP="00D80DB2">
      <w:pPr>
        <w:pStyle w:val="NormalWeb"/>
        <w:shd w:val="clear" w:color="auto" w:fill="FFFFFF"/>
        <w:tabs>
          <w:tab w:val="left" w:pos="360"/>
          <w:tab w:val="left" w:pos="8910"/>
        </w:tabs>
        <w:ind w:left="360" w:right="-180"/>
        <w:rPr>
          <w:rFonts w:asciiTheme="minorHAnsi" w:hAnsiTheme="minorHAnsi" w:cs="Arial"/>
          <w:color w:val="0033CC"/>
          <w:sz w:val="22"/>
          <w:szCs w:val="22"/>
        </w:rPr>
      </w:pPr>
      <w:r w:rsidRPr="00944F7F">
        <w:rPr>
          <w:rFonts w:asciiTheme="minorHAnsi" w:hAnsiTheme="minorHAnsi" w:cs="Arial"/>
          <w:color w:val="0033CC"/>
          <w:sz w:val="22"/>
          <w:szCs w:val="22"/>
        </w:rPr>
        <w:t>The average total minutes of rehabilitation therapy per day, including physical therapy, occupation therapy, speech and language therapy for 360 patients who had a stroke and were discharged from the IRH in 2007 was 190.3 minutes. The mean total functional gain was 26.0. A longer daily therapeutic duration was significantly associated with total functional gain. Patients who received a total therapy time of &lt;3.0 hours per day had significantly lower total functional gain than did those treated ≥3.0 hours. No significant difference in total functional gain was found between patients treated ≥3.0 but &lt;3.5 hours and ≥3.5 hours per day. The daily treatment time of physical therapy, occupational therapy, and speech and language therapy also was significantly associated with corresponding subscale functional gains. The study demonstrated a significant relationship between daily therapeutic duration and functional gain during the inpatient rehabilitation facility stay and showed treatment time thresholds for optimal functional outcomes for patients in inpatient rehabilitation who had a stroke.</w:t>
      </w:r>
    </w:p>
    <w:p w14:paraId="55B8DA65" w14:textId="77777777" w:rsidR="00676BD4" w:rsidRDefault="00676BD4" w:rsidP="002E2177">
      <w:pPr>
        <w:ind w:left="0" w:firstLine="0"/>
        <w:rPr>
          <w:i/>
          <w:iCs/>
          <w:highlight w:val="green"/>
          <w:u w:val="single"/>
        </w:rPr>
      </w:pPr>
    </w:p>
    <w:p w14:paraId="55B8DA66" w14:textId="34F29059" w:rsidR="00C41794" w:rsidRPr="003B1CC5" w:rsidRDefault="002B06BD" w:rsidP="00C41794">
      <w:pPr>
        <w:ind w:left="0" w:firstLine="0"/>
        <w:rPr>
          <w:b/>
          <w:iCs/>
        </w:rPr>
      </w:pPr>
      <w:bookmarkStart w:id="42" w:name="Section1a3"/>
      <w:bookmarkEnd w:id="42"/>
      <w:r w:rsidRPr="003B1CC5">
        <w:rPr>
          <w:b/>
          <w:iCs/>
          <w:color w:val="0000FF"/>
        </w:rPr>
        <w:t>1a.3.</w:t>
      </w:r>
      <w:r w:rsidRPr="003B1CC5">
        <w:rPr>
          <w:i/>
          <w:iCs/>
          <w:color w:val="0000FF"/>
        </w:rPr>
        <w:t xml:space="preserve"> </w:t>
      </w:r>
      <w:r w:rsidR="00C41794">
        <w:rPr>
          <w:b/>
          <w:iCs/>
          <w:color w:val="0000FF"/>
        </w:rPr>
        <w:t>SYSTEMATIC REVIEW</w:t>
      </w:r>
      <w:r w:rsidR="00AB4ECE">
        <w:rPr>
          <w:b/>
          <w:iCs/>
          <w:color w:val="0000FF"/>
        </w:rPr>
        <w:t>(SR)</w:t>
      </w:r>
      <w:r w:rsidR="00C41794">
        <w:rPr>
          <w:b/>
          <w:iCs/>
          <w:color w:val="0000FF"/>
        </w:rPr>
        <w:t xml:space="preserve"> OF THE EVIDENCE (</w:t>
      </w:r>
      <w:r w:rsidR="00C41794" w:rsidRPr="00F90F82">
        <w:rPr>
          <w:b/>
          <w:iCs/>
        </w:rPr>
        <w:t>for</w:t>
      </w:r>
      <w:r w:rsidR="00C41794">
        <w:rPr>
          <w:b/>
          <w:iCs/>
          <w:caps/>
        </w:rPr>
        <w:t xml:space="preserve"> </w:t>
      </w:r>
      <w:r w:rsidR="00C41794" w:rsidRPr="003B1CC5">
        <w:rPr>
          <w:b/>
          <w:iCs/>
          <w:caps/>
        </w:rPr>
        <w:t>intermediate outcome, PROCESS, or STRUCTURE PERFORMANCE measure</w:t>
      </w:r>
      <w:r w:rsidR="00C41794">
        <w:rPr>
          <w:b/>
          <w:iCs/>
          <w:caps/>
        </w:rPr>
        <w:t>s</w:t>
      </w:r>
      <w:r w:rsidR="003D6721">
        <w:rPr>
          <w:b/>
          <w:iCs/>
          <w:caps/>
        </w:rPr>
        <w:t>, including those that are instrument-based</w:t>
      </w:r>
      <w:r w:rsidR="00C41794">
        <w:rPr>
          <w:b/>
          <w:iCs/>
          <w:caps/>
        </w:rPr>
        <w:t>)</w:t>
      </w:r>
      <w:r w:rsidR="00C41794" w:rsidRPr="003B1CC5">
        <w:rPr>
          <w:b/>
          <w:iCs/>
        </w:rPr>
        <w:t xml:space="preserve"> </w:t>
      </w:r>
      <w:r w:rsidR="00C41794">
        <w:rPr>
          <w:b/>
          <w:iCs/>
        </w:rPr>
        <w:t>If the evidence is not based on a system</w:t>
      </w:r>
      <w:r w:rsidR="00AB4ECE">
        <w:rPr>
          <w:b/>
          <w:iCs/>
        </w:rPr>
        <w:t>a</w:t>
      </w:r>
      <w:r w:rsidR="00C41794">
        <w:rPr>
          <w:b/>
          <w:iCs/>
        </w:rPr>
        <w:t>tic review go to section 1a.4)</w:t>
      </w:r>
      <w:r w:rsidR="00AB4ECE">
        <w:rPr>
          <w:b/>
          <w:iCs/>
        </w:rPr>
        <w:t xml:space="preserve"> If you wish to include more than one systematic review, add </w:t>
      </w:r>
      <w:r w:rsidR="000F4A7F">
        <w:rPr>
          <w:b/>
          <w:iCs/>
        </w:rPr>
        <w:t>additional tables.</w:t>
      </w:r>
      <w:r w:rsidR="00AB4ECE">
        <w:rPr>
          <w:b/>
          <w:iCs/>
        </w:rPr>
        <w:t xml:space="preserve"> </w:t>
      </w:r>
    </w:p>
    <w:p w14:paraId="55B8DA67" w14:textId="77777777" w:rsidR="00496AF8" w:rsidRDefault="00496AF8" w:rsidP="002E2177">
      <w:pPr>
        <w:ind w:left="0" w:firstLine="0"/>
        <w:rPr>
          <w:i/>
          <w:iCs/>
        </w:rPr>
      </w:pPr>
    </w:p>
    <w:p w14:paraId="55B8DA68" w14:textId="77777777" w:rsidR="00A9011D" w:rsidRPr="00A9011D" w:rsidRDefault="00A9011D" w:rsidP="00A9011D">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55B8DA69" w14:textId="77777777" w:rsidR="00A9011D" w:rsidRPr="00A9011D" w:rsidRDefault="00EC1225" w:rsidP="00A9011D">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Pr>
          <w:rFonts w:ascii="Times New Roman" w:eastAsia="Arial Unicode MS" w:hAnsi="Times New Roman" w:cs="Mangal"/>
          <w:color w:val="0000FF"/>
          <w:kern w:val="1"/>
          <w:sz w:val="24"/>
          <w:szCs w:val="24"/>
          <w:lang w:eastAsia="hi-IN" w:bidi="hi-IN"/>
        </w:rPr>
        <w:t xml:space="preserve"> </w:t>
      </w:r>
      <w:r w:rsidR="00A9011D" w:rsidRPr="00A9011D">
        <w:rPr>
          <w:rFonts w:ascii="Calibri" w:eastAsia="Calibri" w:hAnsi="Calibri" w:cs="Times New Roman"/>
        </w:rPr>
        <w:t xml:space="preserve">Clinical Practice Guideline recommendation </w:t>
      </w:r>
      <w:r>
        <w:rPr>
          <w:rFonts w:ascii="Calibri" w:eastAsia="Calibri" w:hAnsi="Calibri" w:cs="Times New Roman"/>
        </w:rPr>
        <w:t xml:space="preserve"> (with evidence review)</w:t>
      </w:r>
    </w:p>
    <w:p w14:paraId="55B8DA6A" w14:textId="77777777" w:rsidR="00A9011D" w:rsidRPr="00A9011D" w:rsidRDefault="00A9011D" w:rsidP="00A9011D">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55B8DA6B" w14:textId="77777777" w:rsidR="00A9011D" w:rsidRPr="00A9011D" w:rsidRDefault="00A9011D" w:rsidP="00A9011D">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systematic review and grading of the body of evidence (</w:t>
      </w:r>
      <w:r w:rsidRPr="00A9011D">
        <w:rPr>
          <w:rFonts w:ascii="Calibri" w:eastAsia="Calibri" w:hAnsi="Calibri" w:cs="Times New Roman"/>
          <w:i/>
        </w:rPr>
        <w:t>e.g., Cochrane Collaboration, AHRQ Evidence Practice Center</w:t>
      </w:r>
      <w:r w:rsidRPr="00A9011D">
        <w:rPr>
          <w:rFonts w:ascii="Calibri" w:eastAsia="Calibri" w:hAnsi="Calibri" w:cs="Times New Roman"/>
        </w:rPr>
        <w:t xml:space="preserve">) </w:t>
      </w:r>
    </w:p>
    <w:p w14:paraId="55B8DA6C" w14:textId="7A40586C" w:rsidR="00A9011D" w:rsidRPr="000F4A7F" w:rsidRDefault="00B070F9" w:rsidP="002E2177">
      <w:pPr>
        <w:ind w:left="0" w:firstLine="0"/>
        <w:rPr>
          <w:rFonts w:ascii="Calibri" w:eastAsia="Calibri" w:hAnsi="Calibri" w:cs="Times New Roman"/>
        </w:rPr>
      </w:pPr>
      <w:sdt>
        <w:sdtPr>
          <w:rPr>
            <w:rFonts w:ascii="Times New Roman" w:eastAsia="Arial Unicode MS" w:hAnsi="Times New Roman" w:cs="Mangal" w:hint="eastAsia"/>
            <w:color w:val="0000FF"/>
            <w:kern w:val="1"/>
            <w:sz w:val="24"/>
            <w:szCs w:val="24"/>
            <w:lang w:eastAsia="hi-IN" w:bidi="hi-IN"/>
          </w:rPr>
          <w:id w:val="-1441447180"/>
          <w14:checkbox>
            <w14:checked w14:val="0"/>
            <w14:checkedState w14:val="2612" w14:font="MS Gothic"/>
            <w14:uncheckedState w14:val="2610" w14:font="MS Gothic"/>
          </w14:checkbox>
        </w:sdtPr>
        <w:sdtEndPr/>
        <w:sdtContent>
          <w:r w:rsidR="00D80DB2">
            <w:rPr>
              <w:rFonts w:ascii="MS Gothic" w:eastAsia="MS Gothic" w:hAnsi="MS Gothic" w:cs="Mangal" w:hint="eastAsia"/>
              <w:color w:val="0000FF"/>
              <w:kern w:val="1"/>
              <w:sz w:val="24"/>
              <w:szCs w:val="24"/>
              <w:lang w:eastAsia="hi-IN" w:bidi="hi-IN"/>
            </w:rPr>
            <w:t>☐</w:t>
          </w:r>
        </w:sdtContent>
      </w:sdt>
      <w:r w:rsidR="00A9011D" w:rsidRPr="00A9011D">
        <w:rPr>
          <w:rFonts w:ascii="Calibri" w:eastAsia="Calibri" w:hAnsi="Calibri" w:cs="Times New Roman"/>
        </w:rPr>
        <w:t xml:space="preserve"> Other </w:t>
      </w:r>
    </w:p>
    <w:p w14:paraId="55B8DA6D" w14:textId="0180F28B" w:rsidR="00A9011D" w:rsidRDefault="00A9011D" w:rsidP="002E2177">
      <w:pPr>
        <w:ind w:left="0" w:firstLine="0"/>
        <w:rPr>
          <w:i/>
          <w:iCs/>
        </w:rPr>
      </w:pPr>
    </w:p>
    <w:p w14:paraId="4AE56FCD" w14:textId="78DE87C8" w:rsidR="00FC2B55" w:rsidRPr="00FC2B55" w:rsidRDefault="00FC2B55" w:rsidP="002E2177">
      <w:pPr>
        <w:ind w:left="0" w:firstLine="0"/>
        <w:rPr>
          <w:iCs/>
          <w:color w:val="FF0000"/>
        </w:rPr>
      </w:pPr>
      <w:bookmarkStart w:id="43" w:name="_Hlk5634906"/>
      <w:r w:rsidRPr="00FC2B55">
        <w:rPr>
          <w:iCs/>
          <w:color w:val="FF0000"/>
        </w:rPr>
        <w:t>Not Applicable.  This measure is an outcome measure.</w:t>
      </w:r>
      <w:bookmarkEnd w:id="43"/>
    </w:p>
    <w:p w14:paraId="55B8DA6E" w14:textId="77777777" w:rsidR="004E7215" w:rsidRPr="003B1CC5" w:rsidRDefault="004E7215" w:rsidP="002E2177">
      <w:pPr>
        <w:ind w:left="0" w:firstLine="0"/>
        <w:rPr>
          <w:i/>
          <w:iCs/>
        </w:rPr>
      </w:pPr>
    </w:p>
    <w:tbl>
      <w:tblPr>
        <w:tblStyle w:val="TableGrid"/>
        <w:tblW w:w="0" w:type="auto"/>
        <w:tblLook w:val="04A0" w:firstRow="1" w:lastRow="0" w:firstColumn="1" w:lastColumn="0" w:noHBand="0" w:noVBand="1"/>
      </w:tblPr>
      <w:tblGrid>
        <w:gridCol w:w="4068"/>
        <w:gridCol w:w="5130"/>
      </w:tblGrid>
      <w:tr w:rsidR="00AB4ECE" w14:paraId="55B8DA76" w14:textId="77777777" w:rsidTr="001031D2">
        <w:tc>
          <w:tcPr>
            <w:tcW w:w="4068" w:type="dxa"/>
            <w:shd w:val="clear" w:color="auto" w:fill="auto"/>
          </w:tcPr>
          <w:p w14:paraId="55B8DA6F" w14:textId="77777777" w:rsidR="00AB4ECE" w:rsidRPr="00AB4ECE" w:rsidRDefault="00AB4ECE" w:rsidP="002E2177">
            <w:pPr>
              <w:ind w:left="0" w:firstLine="0"/>
              <w:rPr>
                <w:b/>
              </w:rPr>
            </w:pPr>
            <w:r w:rsidRPr="00AB4ECE">
              <w:rPr>
                <w:b/>
              </w:rPr>
              <w:t>Source of Systematic Review:</w:t>
            </w:r>
          </w:p>
          <w:p w14:paraId="55B8DA70" w14:textId="77777777" w:rsidR="00AB4ECE" w:rsidRPr="00AB4ECE" w:rsidRDefault="00AB4ECE" w:rsidP="00AB4ECE">
            <w:pPr>
              <w:pStyle w:val="ListParagraph"/>
              <w:numPr>
                <w:ilvl w:val="0"/>
                <w:numId w:val="9"/>
              </w:numPr>
              <w:rPr>
                <w:b/>
              </w:rPr>
            </w:pPr>
            <w:r w:rsidRPr="00AB4ECE">
              <w:rPr>
                <w:b/>
              </w:rPr>
              <w:t>Title</w:t>
            </w:r>
          </w:p>
          <w:p w14:paraId="55B8DA71" w14:textId="77777777" w:rsidR="00AB4ECE" w:rsidRPr="00AB4ECE" w:rsidRDefault="00AB4ECE" w:rsidP="00AB4ECE">
            <w:pPr>
              <w:pStyle w:val="ListParagraph"/>
              <w:numPr>
                <w:ilvl w:val="0"/>
                <w:numId w:val="9"/>
              </w:numPr>
              <w:rPr>
                <w:b/>
              </w:rPr>
            </w:pPr>
            <w:r w:rsidRPr="00AB4ECE">
              <w:rPr>
                <w:b/>
              </w:rPr>
              <w:t>Author</w:t>
            </w:r>
          </w:p>
          <w:p w14:paraId="55B8DA72" w14:textId="77777777" w:rsidR="00AB4ECE" w:rsidRPr="00AB4ECE" w:rsidRDefault="00AB4ECE" w:rsidP="00AB4ECE">
            <w:pPr>
              <w:pStyle w:val="ListParagraph"/>
              <w:numPr>
                <w:ilvl w:val="0"/>
                <w:numId w:val="9"/>
              </w:numPr>
              <w:rPr>
                <w:b/>
              </w:rPr>
            </w:pPr>
            <w:r w:rsidRPr="00AB4ECE">
              <w:rPr>
                <w:b/>
              </w:rPr>
              <w:t>Date</w:t>
            </w:r>
          </w:p>
          <w:p w14:paraId="55B8DA73" w14:textId="77777777" w:rsidR="00AB4ECE" w:rsidRPr="00AB4ECE" w:rsidRDefault="00AB4ECE" w:rsidP="00AB4ECE">
            <w:pPr>
              <w:pStyle w:val="ListParagraph"/>
              <w:numPr>
                <w:ilvl w:val="0"/>
                <w:numId w:val="9"/>
              </w:numPr>
              <w:rPr>
                <w:b/>
              </w:rPr>
            </w:pPr>
            <w:r w:rsidRPr="00AB4ECE">
              <w:rPr>
                <w:b/>
              </w:rPr>
              <w:t>Citation, including page number</w:t>
            </w:r>
          </w:p>
          <w:p w14:paraId="55B8DA74" w14:textId="77777777" w:rsidR="00AB4ECE" w:rsidRPr="00AB4ECE" w:rsidRDefault="00AB4ECE" w:rsidP="00AB4ECE">
            <w:pPr>
              <w:pStyle w:val="ListParagraph"/>
              <w:numPr>
                <w:ilvl w:val="0"/>
                <w:numId w:val="9"/>
              </w:numPr>
              <w:rPr>
                <w:b/>
              </w:rPr>
            </w:pPr>
            <w:r w:rsidRPr="00AB4ECE">
              <w:rPr>
                <w:b/>
              </w:rPr>
              <w:t>URL</w:t>
            </w:r>
          </w:p>
        </w:tc>
        <w:tc>
          <w:tcPr>
            <w:tcW w:w="5130" w:type="dxa"/>
            <w:shd w:val="clear" w:color="auto" w:fill="auto"/>
          </w:tcPr>
          <w:p w14:paraId="55B8DA75" w14:textId="77777777" w:rsidR="00AB4ECE" w:rsidRPr="00AB4ECE" w:rsidRDefault="00AB4ECE" w:rsidP="002E2177">
            <w:pPr>
              <w:ind w:left="0" w:firstLine="0"/>
              <w:rPr>
                <w:b/>
              </w:rPr>
            </w:pPr>
          </w:p>
        </w:tc>
      </w:tr>
      <w:tr w:rsidR="00AB4ECE" w14:paraId="55B8DA79" w14:textId="77777777" w:rsidTr="001031D2">
        <w:tc>
          <w:tcPr>
            <w:tcW w:w="4068" w:type="dxa"/>
            <w:shd w:val="clear" w:color="auto" w:fill="auto"/>
          </w:tcPr>
          <w:p w14:paraId="55B8DA77" w14:textId="77777777" w:rsidR="00AB4ECE" w:rsidRDefault="00AB4ECE" w:rsidP="002E2177">
            <w:pPr>
              <w:ind w:left="0" w:firstLine="0"/>
            </w:pPr>
            <w:r>
              <w:lastRenderedPageBreak/>
              <w:t>Quote the guideline or recommendation verbatim about the process, structure or intermediate outcome being measured.</w:t>
            </w:r>
            <w:r w:rsidR="000E5C93">
              <w:t xml:space="preserve"> If not a guideline, summarize the conclusions from the SR.</w:t>
            </w:r>
          </w:p>
        </w:tc>
        <w:tc>
          <w:tcPr>
            <w:tcW w:w="5130" w:type="dxa"/>
            <w:shd w:val="clear" w:color="auto" w:fill="auto"/>
          </w:tcPr>
          <w:p w14:paraId="55B8DA78" w14:textId="77777777" w:rsidR="00AB4ECE" w:rsidRDefault="00AB4ECE" w:rsidP="002E2177">
            <w:pPr>
              <w:ind w:left="0" w:firstLine="0"/>
            </w:pPr>
          </w:p>
        </w:tc>
      </w:tr>
      <w:tr w:rsidR="00AB4ECE" w14:paraId="55B8DA7C" w14:textId="77777777" w:rsidTr="001031D2">
        <w:tc>
          <w:tcPr>
            <w:tcW w:w="4068" w:type="dxa"/>
            <w:shd w:val="clear" w:color="auto" w:fill="auto"/>
          </w:tcPr>
          <w:p w14:paraId="55B8DA7A" w14:textId="77777777" w:rsidR="00AB4ECE" w:rsidRDefault="00AB4ECE" w:rsidP="00E42FAA">
            <w:pPr>
              <w:ind w:left="0" w:firstLine="0"/>
            </w:pPr>
            <w:r>
              <w:t xml:space="preserve">Grade assigned to the </w:t>
            </w:r>
            <w:r w:rsidRPr="004E7215">
              <w:rPr>
                <w:b/>
              </w:rPr>
              <w:t>evidence</w:t>
            </w:r>
            <w:r>
              <w:t xml:space="preserve"> associated with the recommendation with the definition of the grade</w:t>
            </w:r>
          </w:p>
        </w:tc>
        <w:tc>
          <w:tcPr>
            <w:tcW w:w="5130" w:type="dxa"/>
            <w:shd w:val="clear" w:color="auto" w:fill="auto"/>
          </w:tcPr>
          <w:p w14:paraId="55B8DA7B" w14:textId="77777777" w:rsidR="00AB4ECE" w:rsidRDefault="00AB4ECE" w:rsidP="002E2177">
            <w:pPr>
              <w:ind w:left="0" w:firstLine="0"/>
            </w:pPr>
          </w:p>
        </w:tc>
      </w:tr>
      <w:tr w:rsidR="00AB4ECE" w14:paraId="55B8DA7F" w14:textId="77777777" w:rsidTr="001031D2">
        <w:tc>
          <w:tcPr>
            <w:tcW w:w="4068" w:type="dxa"/>
            <w:shd w:val="clear" w:color="auto" w:fill="auto"/>
          </w:tcPr>
          <w:p w14:paraId="55B8DA7D" w14:textId="77777777" w:rsidR="00AB4ECE" w:rsidRDefault="00AB4ECE" w:rsidP="00E42FAA">
            <w:pPr>
              <w:ind w:left="0" w:firstLine="0"/>
            </w:pPr>
            <w:r>
              <w:t>Provide all other grades and definitions from the evidence grading system</w:t>
            </w:r>
          </w:p>
        </w:tc>
        <w:tc>
          <w:tcPr>
            <w:tcW w:w="5130" w:type="dxa"/>
            <w:shd w:val="clear" w:color="auto" w:fill="auto"/>
          </w:tcPr>
          <w:p w14:paraId="55B8DA7E" w14:textId="77777777" w:rsidR="00AB4ECE" w:rsidRDefault="00AB4ECE" w:rsidP="002E2177">
            <w:pPr>
              <w:ind w:left="0" w:firstLine="0"/>
            </w:pPr>
          </w:p>
        </w:tc>
      </w:tr>
      <w:tr w:rsidR="00AB4ECE" w14:paraId="55B8DA82" w14:textId="77777777" w:rsidTr="001031D2">
        <w:tc>
          <w:tcPr>
            <w:tcW w:w="4068" w:type="dxa"/>
            <w:shd w:val="clear" w:color="auto" w:fill="auto"/>
          </w:tcPr>
          <w:p w14:paraId="55B8DA80" w14:textId="77777777" w:rsidR="00AB4ECE" w:rsidRDefault="00AB4ECE" w:rsidP="00E42FAA">
            <w:pPr>
              <w:ind w:left="0" w:firstLine="0"/>
            </w:pPr>
            <w:r>
              <w:t xml:space="preserve">Grade assigned to the </w:t>
            </w:r>
            <w:r w:rsidRPr="004E7215">
              <w:rPr>
                <w:b/>
              </w:rPr>
              <w:t>recommendation</w:t>
            </w:r>
            <w:r>
              <w:t xml:space="preserve"> with definition of the grade</w:t>
            </w:r>
          </w:p>
        </w:tc>
        <w:tc>
          <w:tcPr>
            <w:tcW w:w="5130" w:type="dxa"/>
            <w:shd w:val="clear" w:color="auto" w:fill="auto"/>
          </w:tcPr>
          <w:p w14:paraId="55B8DA81" w14:textId="77777777" w:rsidR="00AB4ECE" w:rsidRDefault="00AB4ECE" w:rsidP="002E2177">
            <w:pPr>
              <w:ind w:left="0" w:firstLine="0"/>
            </w:pPr>
          </w:p>
        </w:tc>
      </w:tr>
      <w:tr w:rsidR="00AB4ECE" w14:paraId="55B8DA85" w14:textId="77777777" w:rsidTr="001031D2">
        <w:tc>
          <w:tcPr>
            <w:tcW w:w="4068" w:type="dxa"/>
            <w:shd w:val="clear" w:color="auto" w:fill="auto"/>
          </w:tcPr>
          <w:p w14:paraId="55B8DA83" w14:textId="77777777" w:rsidR="00AB4ECE" w:rsidRDefault="00AB4ECE" w:rsidP="00E42FAA">
            <w:pPr>
              <w:ind w:left="0" w:firstLine="0"/>
            </w:pPr>
            <w:r>
              <w:t>Provide all other grades and definitions from the recommendation grading system</w:t>
            </w:r>
          </w:p>
        </w:tc>
        <w:tc>
          <w:tcPr>
            <w:tcW w:w="5130" w:type="dxa"/>
            <w:shd w:val="clear" w:color="auto" w:fill="auto"/>
          </w:tcPr>
          <w:p w14:paraId="55B8DA84" w14:textId="77777777" w:rsidR="00AB4ECE" w:rsidRDefault="00AB4ECE" w:rsidP="002E2177">
            <w:pPr>
              <w:ind w:left="0" w:firstLine="0"/>
            </w:pPr>
          </w:p>
        </w:tc>
      </w:tr>
      <w:tr w:rsidR="00AB4ECE" w14:paraId="55B8DA8A" w14:textId="77777777" w:rsidTr="001031D2">
        <w:tc>
          <w:tcPr>
            <w:tcW w:w="4068" w:type="dxa"/>
            <w:shd w:val="clear" w:color="auto" w:fill="auto"/>
          </w:tcPr>
          <w:p w14:paraId="55B8DA86" w14:textId="77777777" w:rsidR="00AB4ECE" w:rsidRDefault="000E5C93" w:rsidP="002E2177">
            <w:pPr>
              <w:ind w:left="0" w:firstLine="0"/>
            </w:pPr>
            <w:r>
              <w:t>Body of evidence:</w:t>
            </w:r>
          </w:p>
          <w:p w14:paraId="55B8DA87" w14:textId="77777777" w:rsidR="000E5C93" w:rsidRDefault="000E5C93" w:rsidP="000E5C93">
            <w:pPr>
              <w:pStyle w:val="ListParagraph"/>
              <w:numPr>
                <w:ilvl w:val="0"/>
                <w:numId w:val="10"/>
              </w:numPr>
            </w:pPr>
            <w:r>
              <w:t>Quantity – how many studies?</w:t>
            </w:r>
          </w:p>
          <w:p w14:paraId="55B8DA88" w14:textId="77777777" w:rsidR="000E5C93" w:rsidRDefault="000E5C93" w:rsidP="000E5C93">
            <w:pPr>
              <w:pStyle w:val="ListParagraph"/>
              <w:numPr>
                <w:ilvl w:val="0"/>
                <w:numId w:val="10"/>
              </w:numPr>
            </w:pPr>
            <w:r>
              <w:t>Quality – what type of studies?</w:t>
            </w:r>
          </w:p>
        </w:tc>
        <w:tc>
          <w:tcPr>
            <w:tcW w:w="5130" w:type="dxa"/>
            <w:shd w:val="clear" w:color="auto" w:fill="auto"/>
          </w:tcPr>
          <w:p w14:paraId="55B8DA89" w14:textId="77777777" w:rsidR="00AB4ECE" w:rsidRDefault="00AB4ECE" w:rsidP="002E2177">
            <w:pPr>
              <w:ind w:left="0" w:firstLine="0"/>
            </w:pPr>
          </w:p>
        </w:tc>
      </w:tr>
      <w:tr w:rsidR="00AB4ECE" w14:paraId="55B8DA8D" w14:textId="77777777" w:rsidTr="001031D2">
        <w:tc>
          <w:tcPr>
            <w:tcW w:w="4068" w:type="dxa"/>
            <w:shd w:val="clear" w:color="auto" w:fill="auto"/>
          </w:tcPr>
          <w:p w14:paraId="55B8DA8B" w14:textId="77777777" w:rsidR="00AB4ECE" w:rsidRDefault="000E5C93" w:rsidP="002E2177">
            <w:pPr>
              <w:ind w:left="0" w:firstLine="0"/>
            </w:pPr>
            <w:r>
              <w:t xml:space="preserve">Estimates of benefit and consistency across studies </w:t>
            </w:r>
          </w:p>
        </w:tc>
        <w:tc>
          <w:tcPr>
            <w:tcW w:w="5130" w:type="dxa"/>
            <w:shd w:val="clear" w:color="auto" w:fill="auto"/>
          </w:tcPr>
          <w:p w14:paraId="55B8DA8C" w14:textId="77777777" w:rsidR="00AB4ECE" w:rsidRDefault="00AB4ECE" w:rsidP="002E2177">
            <w:pPr>
              <w:ind w:left="0" w:firstLine="0"/>
            </w:pPr>
          </w:p>
        </w:tc>
      </w:tr>
      <w:tr w:rsidR="000E5C93" w14:paraId="55B8DA90" w14:textId="77777777" w:rsidTr="001031D2">
        <w:tc>
          <w:tcPr>
            <w:tcW w:w="4068" w:type="dxa"/>
            <w:shd w:val="clear" w:color="auto" w:fill="auto"/>
          </w:tcPr>
          <w:p w14:paraId="55B8DA8E" w14:textId="77777777" w:rsidR="000E5C93" w:rsidRDefault="000E5C93" w:rsidP="002E2177">
            <w:pPr>
              <w:ind w:left="0" w:firstLine="0"/>
            </w:pPr>
            <w:r>
              <w:t>What harms were identified?</w:t>
            </w:r>
          </w:p>
        </w:tc>
        <w:tc>
          <w:tcPr>
            <w:tcW w:w="5130" w:type="dxa"/>
            <w:shd w:val="clear" w:color="auto" w:fill="auto"/>
          </w:tcPr>
          <w:p w14:paraId="55B8DA8F" w14:textId="77777777" w:rsidR="000E5C93" w:rsidRDefault="000E5C93" w:rsidP="002E2177">
            <w:pPr>
              <w:ind w:left="0" w:firstLine="0"/>
            </w:pPr>
          </w:p>
        </w:tc>
      </w:tr>
      <w:tr w:rsidR="000E5C93" w14:paraId="55B8DA93" w14:textId="77777777" w:rsidTr="001031D2">
        <w:tc>
          <w:tcPr>
            <w:tcW w:w="4068" w:type="dxa"/>
            <w:shd w:val="clear" w:color="auto" w:fill="auto"/>
          </w:tcPr>
          <w:p w14:paraId="55B8DA91" w14:textId="77777777" w:rsidR="000E5C93" w:rsidRDefault="000E5C93" w:rsidP="000E5C93">
            <w:pPr>
              <w:ind w:left="0" w:firstLine="0"/>
            </w:pPr>
            <w:r>
              <w:t>Identify any new studies conducted since the SR. Do the new studies change the conclusions from the SR?</w:t>
            </w:r>
          </w:p>
        </w:tc>
        <w:tc>
          <w:tcPr>
            <w:tcW w:w="5130" w:type="dxa"/>
            <w:shd w:val="clear" w:color="auto" w:fill="auto"/>
          </w:tcPr>
          <w:p w14:paraId="55B8DA92" w14:textId="77777777" w:rsidR="000E5C93" w:rsidRDefault="000E5C93" w:rsidP="002E2177">
            <w:pPr>
              <w:ind w:left="0" w:firstLine="0"/>
            </w:pPr>
          </w:p>
        </w:tc>
      </w:tr>
    </w:tbl>
    <w:p w14:paraId="55B8DA94" w14:textId="77777777" w:rsidR="007C1887" w:rsidRPr="003B1CC5" w:rsidRDefault="007C1887" w:rsidP="002E2177">
      <w:pPr>
        <w:ind w:left="0" w:firstLine="0"/>
      </w:pPr>
    </w:p>
    <w:p w14:paraId="55B8DA95" w14:textId="77777777" w:rsidR="0094689F" w:rsidRPr="003B1CC5" w:rsidRDefault="00925F11" w:rsidP="002E2177">
      <w:pPr>
        <w:ind w:left="0" w:firstLine="0"/>
        <w:rPr>
          <w:b/>
          <w:color w:val="0070C0"/>
        </w:rPr>
      </w:pPr>
      <w:r w:rsidRPr="003B1CC5">
        <w:rPr>
          <w:b/>
          <w:iCs/>
          <w:caps/>
        </w:rPr>
        <w:t>________________________</w:t>
      </w:r>
    </w:p>
    <w:p w14:paraId="55B8DA96" w14:textId="77777777" w:rsidR="00837121" w:rsidRPr="003B1CC5" w:rsidRDefault="000E5C93" w:rsidP="002E2177">
      <w:pPr>
        <w:ind w:left="0" w:firstLine="0"/>
        <w:rPr>
          <w:b/>
        </w:rPr>
      </w:pPr>
      <w:bookmarkStart w:id="44" w:name="Section1a8"/>
      <w:bookmarkEnd w:id="44"/>
      <w:r>
        <w:rPr>
          <w:b/>
          <w:color w:val="0000FF"/>
        </w:rPr>
        <w:t>1a.4</w:t>
      </w:r>
      <w:r w:rsidR="00837121" w:rsidRPr="003B1CC5">
        <w:rPr>
          <w:b/>
          <w:color w:val="0000FF"/>
        </w:rPr>
        <w:t xml:space="preserve"> </w:t>
      </w:r>
      <w:r w:rsidR="00837121" w:rsidRPr="003B1CC5">
        <w:rPr>
          <w:b/>
        </w:rPr>
        <w:t>OTHER SOURCE OF EVIDENCE</w:t>
      </w:r>
    </w:p>
    <w:p w14:paraId="55B8DA97" w14:textId="77777777" w:rsidR="00837121" w:rsidRPr="003B1CC5" w:rsidRDefault="00837121" w:rsidP="002E2177">
      <w:pPr>
        <w:ind w:left="0" w:firstLine="0"/>
        <w:rPr>
          <w:i/>
        </w:rPr>
      </w:pPr>
      <w:r w:rsidRPr="003B1CC5">
        <w:rPr>
          <w:i/>
        </w:rPr>
        <w:t xml:space="preserve">If source of evidence is </w:t>
      </w:r>
      <w:r w:rsidR="002B06BD" w:rsidRPr="003B1CC5">
        <w:rPr>
          <w:i/>
        </w:rPr>
        <w:t xml:space="preserve">NOT </w:t>
      </w:r>
      <w:r w:rsidRPr="003B1CC5">
        <w:rPr>
          <w:i/>
        </w:rPr>
        <w:t xml:space="preserve">from a clinical practice guideline, USPSTF, or systematic review, please describe the evidence on which you are basing </w:t>
      </w:r>
      <w:r w:rsidR="00EE1F87" w:rsidRPr="003B1CC5">
        <w:rPr>
          <w:i/>
        </w:rPr>
        <w:t xml:space="preserve">the </w:t>
      </w:r>
      <w:r w:rsidRPr="003B1CC5">
        <w:rPr>
          <w:i/>
        </w:rPr>
        <w:t>performance measure.</w:t>
      </w:r>
    </w:p>
    <w:p w14:paraId="32E8717E" w14:textId="77777777" w:rsidR="00944691" w:rsidRPr="003B1CC5" w:rsidRDefault="00944691" w:rsidP="002E2177">
      <w:pPr>
        <w:ind w:left="0" w:firstLine="0"/>
      </w:pPr>
    </w:p>
    <w:p w14:paraId="55B8DA99" w14:textId="118D1874" w:rsidR="000E5C93" w:rsidRDefault="000E5C93" w:rsidP="002E2177">
      <w:pPr>
        <w:ind w:left="0" w:firstLine="0"/>
      </w:pPr>
      <w:r>
        <w:rPr>
          <w:b/>
          <w:color w:val="0000FF"/>
        </w:rPr>
        <w:t>1a.4</w:t>
      </w:r>
      <w:r w:rsidR="00837121" w:rsidRPr="003B1CC5">
        <w:rPr>
          <w:b/>
          <w:color w:val="0000FF"/>
        </w:rPr>
        <w:t>.1</w:t>
      </w:r>
      <w:r w:rsidR="00837121" w:rsidRPr="003B1CC5">
        <w:rPr>
          <w:color w:val="0070C0"/>
        </w:rPr>
        <w:t xml:space="preserve"> </w:t>
      </w:r>
      <w:r w:rsidRPr="000E5C93">
        <w:rPr>
          <w:b/>
        </w:rPr>
        <w:t>B</w:t>
      </w:r>
      <w:r>
        <w:rPr>
          <w:b/>
        </w:rPr>
        <w:t xml:space="preserve">riefly </w:t>
      </w:r>
      <w:r w:rsidR="00E42FAA">
        <w:rPr>
          <w:b/>
        </w:rPr>
        <w:t>SYNTHESIZE</w:t>
      </w:r>
      <w:r w:rsidR="00E42FAA" w:rsidRPr="000E5C93">
        <w:rPr>
          <w:b/>
        </w:rPr>
        <w:t xml:space="preserve"> </w:t>
      </w:r>
      <w:r>
        <w:rPr>
          <w:b/>
        </w:rPr>
        <w:t xml:space="preserve">the evidence that supports the measure. </w:t>
      </w:r>
      <w:r>
        <w:t>A list of references without a summary is not acceptable.</w:t>
      </w:r>
    </w:p>
    <w:p w14:paraId="3E59BF57" w14:textId="77777777" w:rsidR="00FC2B55" w:rsidRDefault="00FC2B55" w:rsidP="00FC2B55">
      <w:pPr>
        <w:ind w:left="0" w:firstLine="0"/>
        <w:rPr>
          <w:iCs/>
          <w:color w:val="FF0000"/>
        </w:rPr>
      </w:pPr>
    </w:p>
    <w:p w14:paraId="643B7438" w14:textId="57E66FBE" w:rsidR="00FC2B55" w:rsidRPr="00FC2B55" w:rsidRDefault="00FC2B55" w:rsidP="00FC2B55">
      <w:pPr>
        <w:ind w:left="0" w:firstLine="0"/>
        <w:rPr>
          <w:iCs/>
          <w:color w:val="FF0000"/>
        </w:rPr>
      </w:pPr>
      <w:bookmarkStart w:id="45" w:name="_Hlk5635104"/>
      <w:r w:rsidRPr="00FC2B55">
        <w:rPr>
          <w:iCs/>
          <w:color w:val="FF0000"/>
        </w:rPr>
        <w:t>Not Applicable.  This measure is an outcome measure.</w:t>
      </w:r>
    </w:p>
    <w:bookmarkEnd w:id="45"/>
    <w:p w14:paraId="6CEFDF4C" w14:textId="77777777" w:rsidR="00D80DB2" w:rsidRPr="000E5C93" w:rsidRDefault="00D80DB2" w:rsidP="002E2177">
      <w:pPr>
        <w:ind w:left="0" w:firstLine="0"/>
        <w:rPr>
          <w:color w:val="0070C0"/>
        </w:rPr>
      </w:pPr>
    </w:p>
    <w:p w14:paraId="55B8DA9B" w14:textId="7887581D" w:rsidR="00837121" w:rsidRDefault="000E5C93" w:rsidP="002E2177">
      <w:pPr>
        <w:ind w:left="0" w:firstLine="0"/>
        <w:rPr>
          <w:b/>
        </w:rPr>
      </w:pPr>
      <w:r w:rsidRPr="000E5C93">
        <w:rPr>
          <w:b/>
          <w:color w:val="5D8C81" w:themeColor="accent1" w:themeShade="80"/>
        </w:rPr>
        <w:t xml:space="preserve">1a.4.2 </w:t>
      </w:r>
      <w:r w:rsidR="00837121" w:rsidRPr="003B1CC5">
        <w:rPr>
          <w:b/>
        </w:rPr>
        <w:t>What process was used to identify the evidence?</w:t>
      </w:r>
    </w:p>
    <w:p w14:paraId="55B8DA9C" w14:textId="140E34FD" w:rsidR="00837121" w:rsidRDefault="00837121" w:rsidP="002E2177">
      <w:pPr>
        <w:ind w:left="0" w:firstLine="0"/>
      </w:pPr>
    </w:p>
    <w:p w14:paraId="0A03A5DC" w14:textId="77777777" w:rsidR="00FC2B55" w:rsidRPr="00FC2B55" w:rsidRDefault="00FC2B55" w:rsidP="00FC2B55">
      <w:pPr>
        <w:ind w:left="0" w:firstLine="0"/>
        <w:rPr>
          <w:iCs/>
          <w:color w:val="FF0000"/>
        </w:rPr>
      </w:pPr>
      <w:r w:rsidRPr="00FC2B55">
        <w:rPr>
          <w:iCs/>
          <w:color w:val="FF0000"/>
        </w:rPr>
        <w:t>Not Applicable.  This measure is an outcome measure.</w:t>
      </w:r>
    </w:p>
    <w:p w14:paraId="00139339" w14:textId="77777777" w:rsidR="00FC2B55" w:rsidRPr="003B1CC5" w:rsidRDefault="00FC2B55" w:rsidP="002E2177">
      <w:pPr>
        <w:ind w:left="0" w:firstLine="0"/>
      </w:pPr>
    </w:p>
    <w:p w14:paraId="55B8DA9D" w14:textId="66C34531" w:rsidR="00837121" w:rsidRDefault="000E5C93" w:rsidP="002E2177">
      <w:pPr>
        <w:ind w:left="0" w:firstLine="0"/>
        <w:rPr>
          <w:b/>
        </w:rPr>
      </w:pPr>
      <w:r>
        <w:rPr>
          <w:b/>
          <w:color w:val="0000FF"/>
        </w:rPr>
        <w:t>1a.4.3</w:t>
      </w:r>
      <w:r w:rsidR="00837121" w:rsidRPr="003B1CC5">
        <w:rPr>
          <w:b/>
          <w:color w:val="0000FF"/>
        </w:rPr>
        <w:t>.</w:t>
      </w:r>
      <w:r w:rsidR="00837121" w:rsidRPr="003B1CC5">
        <w:rPr>
          <w:color w:val="0070C0"/>
        </w:rPr>
        <w:t xml:space="preserve"> </w:t>
      </w:r>
      <w:r w:rsidR="006C7F30" w:rsidRPr="003B1CC5">
        <w:rPr>
          <w:b/>
        </w:rPr>
        <w:t>Provide the citation</w:t>
      </w:r>
      <w:r>
        <w:rPr>
          <w:b/>
        </w:rPr>
        <w:t>(s)</w:t>
      </w:r>
      <w:r w:rsidR="009E6B86" w:rsidRPr="003B1CC5">
        <w:rPr>
          <w:b/>
        </w:rPr>
        <w:t xml:space="preserve"> </w:t>
      </w:r>
      <w:r>
        <w:rPr>
          <w:b/>
        </w:rPr>
        <w:t>for the</w:t>
      </w:r>
      <w:r w:rsidR="006C7F30" w:rsidRPr="003B1CC5">
        <w:rPr>
          <w:b/>
        </w:rPr>
        <w:t xml:space="preserve"> evidence.</w:t>
      </w:r>
    </w:p>
    <w:p w14:paraId="6C424E40" w14:textId="3E3ACE7A" w:rsidR="00495839" w:rsidRDefault="00495839" w:rsidP="002E2177">
      <w:pPr>
        <w:ind w:left="0" w:firstLine="0"/>
        <w:rPr>
          <w:b/>
        </w:rPr>
      </w:pPr>
    </w:p>
    <w:p w14:paraId="0A90C703" w14:textId="77777777" w:rsidR="00FC2B55" w:rsidRPr="00FC2B55" w:rsidRDefault="00FC2B55" w:rsidP="00FC2B55">
      <w:pPr>
        <w:ind w:left="0" w:firstLine="0"/>
        <w:rPr>
          <w:iCs/>
          <w:color w:val="FF0000"/>
        </w:rPr>
      </w:pPr>
      <w:r w:rsidRPr="00FC2B55">
        <w:rPr>
          <w:iCs/>
          <w:color w:val="FF0000"/>
        </w:rPr>
        <w:t>Not Applicable.  This measure is an outcome measure.</w:t>
      </w:r>
    </w:p>
    <w:p w14:paraId="710FE9FF" w14:textId="77777777" w:rsidR="00FC2B55" w:rsidRDefault="00FC2B55" w:rsidP="002E2177">
      <w:pPr>
        <w:ind w:left="0" w:firstLine="0"/>
        <w:rPr>
          <w:b/>
        </w:rPr>
      </w:pPr>
    </w:p>
    <w:p w14:paraId="53EC181A" w14:textId="77777777" w:rsidR="00495839" w:rsidRDefault="00495839" w:rsidP="00495839">
      <w:pPr>
        <w:tabs>
          <w:tab w:val="left" w:pos="8910"/>
        </w:tabs>
        <w:ind w:left="0" w:right="-180" w:firstLine="0"/>
        <w:rPr>
          <w:b/>
        </w:rPr>
      </w:pPr>
    </w:p>
    <w:p w14:paraId="772A9782" w14:textId="77777777" w:rsidR="00495839" w:rsidRPr="001B772D" w:rsidRDefault="00495839" w:rsidP="00495839">
      <w:pPr>
        <w:tabs>
          <w:tab w:val="left" w:pos="8910"/>
        </w:tabs>
        <w:autoSpaceDE w:val="0"/>
        <w:autoSpaceDN w:val="0"/>
        <w:adjustRightInd w:val="0"/>
        <w:ind w:left="0" w:right="-180" w:firstLine="0"/>
      </w:pPr>
    </w:p>
    <w:p w14:paraId="720C10C4" w14:textId="77777777" w:rsidR="00495839" w:rsidRPr="001B772D" w:rsidRDefault="00495839" w:rsidP="002E2177">
      <w:pPr>
        <w:ind w:left="0" w:firstLine="0"/>
      </w:pPr>
    </w:p>
    <w:sectPr w:rsidR="00495839" w:rsidRPr="001B772D">
      <w:headerReference w:type="default" r:id="rId23"/>
      <w:footerReference w:type="default" r:id="rId24"/>
      <w:pgSz w:w="12240" w:h="15840"/>
      <w:pgMar w:top="1440" w:right="1440" w:bottom="1440"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73B3DB8" w16cid:durableId="20630414"/>
  <w16cid:commentId w16cid:paraId="73CE7560" w16cid:durableId="2063FF99"/>
  <w16cid:commentId w16cid:paraId="44141BC6" w16cid:durableId="2063040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B8DAA0" w14:textId="77777777" w:rsidR="00336652" w:rsidRDefault="00336652" w:rsidP="007E37A5">
      <w:r>
        <w:separator/>
      </w:r>
    </w:p>
  </w:endnote>
  <w:endnote w:type="continuationSeparator" w:id="0">
    <w:p w14:paraId="55B8DAA1" w14:textId="77777777" w:rsidR="00336652" w:rsidRDefault="00336652" w:rsidP="007E3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Melior">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8DAA3" w14:textId="278EF352" w:rsidR="00336652" w:rsidRDefault="00336652">
    <w:pPr>
      <w:pStyle w:val="Footer"/>
    </w:pPr>
    <w:r w:rsidRPr="00395263">
      <w:t xml:space="preserve">Version </w:t>
    </w:r>
    <w:r>
      <w:t xml:space="preserve">7.1 </w:t>
    </w:r>
    <w:r w:rsidRPr="00395263">
      <w:t xml:space="preserve"> </w:t>
    </w:r>
    <w:r>
      <w:t>9/6/17</w:t>
    </w:r>
    <w:r w:rsidRPr="00395263">
      <w:ptab w:relativeTo="margin" w:alignment="center" w:leader="none"/>
    </w:r>
    <w:r w:rsidRPr="00395263">
      <w:ptab w:relativeTo="margin" w:alignment="right" w:leader="none"/>
    </w:r>
    <w:r w:rsidRPr="00395263">
      <w:fldChar w:fldCharType="begin"/>
    </w:r>
    <w:r w:rsidRPr="00395263">
      <w:instrText xml:space="preserve"> PAGE   \* MERGEFORMAT </w:instrText>
    </w:r>
    <w:r w:rsidRPr="00395263">
      <w:fldChar w:fldCharType="separate"/>
    </w:r>
    <w:r w:rsidR="00B070F9">
      <w:rPr>
        <w:noProof/>
      </w:rPr>
      <w:t>27</w:t>
    </w:r>
    <w:r w:rsidRPr="00395263">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B8DA9E" w14:textId="77777777" w:rsidR="00336652" w:rsidRDefault="00336652" w:rsidP="007E37A5">
      <w:r>
        <w:separator/>
      </w:r>
    </w:p>
  </w:footnote>
  <w:footnote w:type="continuationSeparator" w:id="0">
    <w:p w14:paraId="55B8DA9F" w14:textId="77777777" w:rsidR="00336652" w:rsidRDefault="00336652" w:rsidP="007E37A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8DAA2" w14:textId="77777777" w:rsidR="00336652" w:rsidRDefault="00336652" w:rsidP="007E37A5">
    <w:pPr>
      <w:pStyle w:val="Header"/>
      <w:ind w:left="0" w:firstLine="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1D18C8"/>
    <w:multiLevelType w:val="hybridMultilevel"/>
    <w:tmpl w:val="CD8AC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F497A90"/>
    <w:multiLevelType w:val="hybridMultilevel"/>
    <w:tmpl w:val="F0D812C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25155827"/>
    <w:multiLevelType w:val="hybridMultilevel"/>
    <w:tmpl w:val="56464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BC855C2"/>
    <w:multiLevelType w:val="hybridMultilevel"/>
    <w:tmpl w:val="56F0A8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381A0FA6"/>
    <w:multiLevelType w:val="hybridMultilevel"/>
    <w:tmpl w:val="0E1458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41D0131D"/>
    <w:multiLevelType w:val="hybridMultilevel"/>
    <w:tmpl w:val="10A637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E22008"/>
    <w:multiLevelType w:val="hybridMultilevel"/>
    <w:tmpl w:val="29FE3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2EF5FC6"/>
    <w:multiLevelType w:val="hybridMultilevel"/>
    <w:tmpl w:val="FCA63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69907C92"/>
    <w:multiLevelType w:val="hybridMultilevel"/>
    <w:tmpl w:val="A34A0150"/>
    <w:lvl w:ilvl="0" w:tplc="D78A6B5C">
      <w:start w:val="1"/>
      <w:numFmt w:val="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C733C7D"/>
    <w:multiLevelType w:val="hybridMultilevel"/>
    <w:tmpl w:val="E556B738"/>
    <w:lvl w:ilvl="0" w:tplc="D600412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750F11DF"/>
    <w:multiLevelType w:val="hybridMultilevel"/>
    <w:tmpl w:val="A4CEF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2"/>
  </w:num>
  <w:num w:numId="4">
    <w:abstractNumId w:val="3"/>
  </w:num>
  <w:num w:numId="5">
    <w:abstractNumId w:val="5"/>
  </w:num>
  <w:num w:numId="6">
    <w:abstractNumId w:val="4"/>
  </w:num>
  <w:num w:numId="7">
    <w:abstractNumId w:val="11"/>
  </w:num>
  <w:num w:numId="8">
    <w:abstractNumId w:val="10"/>
  </w:num>
  <w:num w:numId="9">
    <w:abstractNumId w:val="13"/>
  </w:num>
  <w:num w:numId="10">
    <w:abstractNumId w:val="0"/>
  </w:num>
  <w:num w:numId="11">
    <w:abstractNumId w:val="8"/>
  </w:num>
  <w:num w:numId="12">
    <w:abstractNumId w:val="1"/>
  </w:num>
  <w:num w:numId="13">
    <w:abstractNumId w:val="7"/>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249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6AF8"/>
    <w:rsid w:val="00015986"/>
    <w:rsid w:val="000160E6"/>
    <w:rsid w:val="00024526"/>
    <w:rsid w:val="0003064F"/>
    <w:rsid w:val="00030F43"/>
    <w:rsid w:val="00037F0C"/>
    <w:rsid w:val="00040DCF"/>
    <w:rsid w:val="00052C0B"/>
    <w:rsid w:val="000556BF"/>
    <w:rsid w:val="0006020F"/>
    <w:rsid w:val="00060300"/>
    <w:rsid w:val="00061CF3"/>
    <w:rsid w:val="00063601"/>
    <w:rsid w:val="000637F4"/>
    <w:rsid w:val="00073079"/>
    <w:rsid w:val="0007593F"/>
    <w:rsid w:val="00075C82"/>
    <w:rsid w:val="00075F7D"/>
    <w:rsid w:val="000831B2"/>
    <w:rsid w:val="00091650"/>
    <w:rsid w:val="00095EC9"/>
    <w:rsid w:val="00096A37"/>
    <w:rsid w:val="000A0810"/>
    <w:rsid w:val="000A2395"/>
    <w:rsid w:val="000A54E8"/>
    <w:rsid w:val="000A76BC"/>
    <w:rsid w:val="000B2556"/>
    <w:rsid w:val="000B627F"/>
    <w:rsid w:val="000C6B95"/>
    <w:rsid w:val="000C74E5"/>
    <w:rsid w:val="000D649E"/>
    <w:rsid w:val="000D6D06"/>
    <w:rsid w:val="000E353F"/>
    <w:rsid w:val="000E4ED1"/>
    <w:rsid w:val="000E5C93"/>
    <w:rsid w:val="000F4A7F"/>
    <w:rsid w:val="001031D2"/>
    <w:rsid w:val="00114848"/>
    <w:rsid w:val="001153CE"/>
    <w:rsid w:val="00120934"/>
    <w:rsid w:val="00131F94"/>
    <w:rsid w:val="00132070"/>
    <w:rsid w:val="001406AF"/>
    <w:rsid w:val="00141875"/>
    <w:rsid w:val="0014210A"/>
    <w:rsid w:val="0014347E"/>
    <w:rsid w:val="00154438"/>
    <w:rsid w:val="001551F6"/>
    <w:rsid w:val="0015535B"/>
    <w:rsid w:val="00162036"/>
    <w:rsid w:val="001632DD"/>
    <w:rsid w:val="00163D22"/>
    <w:rsid w:val="001736B7"/>
    <w:rsid w:val="00176E60"/>
    <w:rsid w:val="001845DB"/>
    <w:rsid w:val="00192536"/>
    <w:rsid w:val="00194913"/>
    <w:rsid w:val="00194D9A"/>
    <w:rsid w:val="001A196B"/>
    <w:rsid w:val="001A6D05"/>
    <w:rsid w:val="001B1380"/>
    <w:rsid w:val="001B38BF"/>
    <w:rsid w:val="001B714C"/>
    <w:rsid w:val="001B772D"/>
    <w:rsid w:val="001C464C"/>
    <w:rsid w:val="001C5583"/>
    <w:rsid w:val="001C5D74"/>
    <w:rsid w:val="001D5B5D"/>
    <w:rsid w:val="001E6153"/>
    <w:rsid w:val="001F7984"/>
    <w:rsid w:val="00201FF9"/>
    <w:rsid w:val="00202D20"/>
    <w:rsid w:val="00205857"/>
    <w:rsid w:val="00212031"/>
    <w:rsid w:val="00216150"/>
    <w:rsid w:val="00216AF6"/>
    <w:rsid w:val="00232295"/>
    <w:rsid w:val="00235ADC"/>
    <w:rsid w:val="00236F87"/>
    <w:rsid w:val="00240196"/>
    <w:rsid w:val="00251C77"/>
    <w:rsid w:val="00265702"/>
    <w:rsid w:val="002662B2"/>
    <w:rsid w:val="002717C7"/>
    <w:rsid w:val="00285EDB"/>
    <w:rsid w:val="002875E9"/>
    <w:rsid w:val="00287EB3"/>
    <w:rsid w:val="002A3D14"/>
    <w:rsid w:val="002A47BA"/>
    <w:rsid w:val="002A6777"/>
    <w:rsid w:val="002B06BD"/>
    <w:rsid w:val="002C0E48"/>
    <w:rsid w:val="002C4C76"/>
    <w:rsid w:val="002C6F04"/>
    <w:rsid w:val="002D2ADD"/>
    <w:rsid w:val="002E2177"/>
    <w:rsid w:val="002E2360"/>
    <w:rsid w:val="002E2E41"/>
    <w:rsid w:val="002E78CD"/>
    <w:rsid w:val="002F0054"/>
    <w:rsid w:val="002F20A7"/>
    <w:rsid w:val="003008F4"/>
    <w:rsid w:val="00302B1D"/>
    <w:rsid w:val="00306EB4"/>
    <w:rsid w:val="00307FA5"/>
    <w:rsid w:val="003142C5"/>
    <w:rsid w:val="00324D64"/>
    <w:rsid w:val="00336652"/>
    <w:rsid w:val="00336657"/>
    <w:rsid w:val="00345CB8"/>
    <w:rsid w:val="00352893"/>
    <w:rsid w:val="00352B52"/>
    <w:rsid w:val="0035760D"/>
    <w:rsid w:val="00363ECC"/>
    <w:rsid w:val="00367017"/>
    <w:rsid w:val="00367F53"/>
    <w:rsid w:val="00382151"/>
    <w:rsid w:val="0039020B"/>
    <w:rsid w:val="00395263"/>
    <w:rsid w:val="003956E0"/>
    <w:rsid w:val="0039609A"/>
    <w:rsid w:val="00397500"/>
    <w:rsid w:val="003A1C62"/>
    <w:rsid w:val="003B1CC5"/>
    <w:rsid w:val="003B42B4"/>
    <w:rsid w:val="003B65CE"/>
    <w:rsid w:val="003C3C84"/>
    <w:rsid w:val="003D4EFA"/>
    <w:rsid w:val="003D6721"/>
    <w:rsid w:val="003E039E"/>
    <w:rsid w:val="003F1453"/>
    <w:rsid w:val="0040230E"/>
    <w:rsid w:val="00407AA3"/>
    <w:rsid w:val="0041662F"/>
    <w:rsid w:val="00422917"/>
    <w:rsid w:val="004338F4"/>
    <w:rsid w:val="00433C06"/>
    <w:rsid w:val="00440687"/>
    <w:rsid w:val="0044131D"/>
    <w:rsid w:val="00441ADA"/>
    <w:rsid w:val="00447D66"/>
    <w:rsid w:val="00451054"/>
    <w:rsid w:val="00454E2D"/>
    <w:rsid w:val="00457E46"/>
    <w:rsid w:val="00463ACF"/>
    <w:rsid w:val="0047741E"/>
    <w:rsid w:val="00480819"/>
    <w:rsid w:val="004922E4"/>
    <w:rsid w:val="00495839"/>
    <w:rsid w:val="00496AF8"/>
    <w:rsid w:val="004A575D"/>
    <w:rsid w:val="004B65C6"/>
    <w:rsid w:val="004C4283"/>
    <w:rsid w:val="004D1DC7"/>
    <w:rsid w:val="004E7215"/>
    <w:rsid w:val="004E7BED"/>
    <w:rsid w:val="004F48A5"/>
    <w:rsid w:val="004F7D7E"/>
    <w:rsid w:val="005006EB"/>
    <w:rsid w:val="00500B0C"/>
    <w:rsid w:val="0052656A"/>
    <w:rsid w:val="00530B83"/>
    <w:rsid w:val="00534D24"/>
    <w:rsid w:val="00537150"/>
    <w:rsid w:val="00540984"/>
    <w:rsid w:val="00543851"/>
    <w:rsid w:val="00550A80"/>
    <w:rsid w:val="0055559D"/>
    <w:rsid w:val="005569AE"/>
    <w:rsid w:val="00584EF5"/>
    <w:rsid w:val="005857F8"/>
    <w:rsid w:val="00586136"/>
    <w:rsid w:val="005B0D18"/>
    <w:rsid w:val="005B12C3"/>
    <w:rsid w:val="005B409D"/>
    <w:rsid w:val="005B75C0"/>
    <w:rsid w:val="005C23C8"/>
    <w:rsid w:val="005D0FDB"/>
    <w:rsid w:val="005D25E9"/>
    <w:rsid w:val="005D6D59"/>
    <w:rsid w:val="005E4174"/>
    <w:rsid w:val="005F7F66"/>
    <w:rsid w:val="0061327A"/>
    <w:rsid w:val="00617390"/>
    <w:rsid w:val="00623420"/>
    <w:rsid w:val="00634768"/>
    <w:rsid w:val="0063596F"/>
    <w:rsid w:val="00646D65"/>
    <w:rsid w:val="006526A4"/>
    <w:rsid w:val="006669E8"/>
    <w:rsid w:val="006709EB"/>
    <w:rsid w:val="00672824"/>
    <w:rsid w:val="00676BD4"/>
    <w:rsid w:val="0068184A"/>
    <w:rsid w:val="006A0249"/>
    <w:rsid w:val="006A17C3"/>
    <w:rsid w:val="006A2111"/>
    <w:rsid w:val="006A70A9"/>
    <w:rsid w:val="006B5C51"/>
    <w:rsid w:val="006C7F30"/>
    <w:rsid w:val="006D43FF"/>
    <w:rsid w:val="006E0FA1"/>
    <w:rsid w:val="006E328F"/>
    <w:rsid w:val="006E6FDD"/>
    <w:rsid w:val="006F4B7F"/>
    <w:rsid w:val="006F760B"/>
    <w:rsid w:val="00701CC3"/>
    <w:rsid w:val="00701CE8"/>
    <w:rsid w:val="00724801"/>
    <w:rsid w:val="00734949"/>
    <w:rsid w:val="0073564D"/>
    <w:rsid w:val="00736AEC"/>
    <w:rsid w:val="00736E0F"/>
    <w:rsid w:val="007434FA"/>
    <w:rsid w:val="00755C92"/>
    <w:rsid w:val="007573F0"/>
    <w:rsid w:val="007575EC"/>
    <w:rsid w:val="00765156"/>
    <w:rsid w:val="00767669"/>
    <w:rsid w:val="00773485"/>
    <w:rsid w:val="00776E8F"/>
    <w:rsid w:val="00776F6D"/>
    <w:rsid w:val="00797895"/>
    <w:rsid w:val="007A2EAF"/>
    <w:rsid w:val="007A306D"/>
    <w:rsid w:val="007A37DD"/>
    <w:rsid w:val="007B4916"/>
    <w:rsid w:val="007C0297"/>
    <w:rsid w:val="007C1887"/>
    <w:rsid w:val="007D4775"/>
    <w:rsid w:val="007D5DC6"/>
    <w:rsid w:val="007E136A"/>
    <w:rsid w:val="007E37A5"/>
    <w:rsid w:val="007F2B27"/>
    <w:rsid w:val="007F49D8"/>
    <w:rsid w:val="0080347A"/>
    <w:rsid w:val="00804DE9"/>
    <w:rsid w:val="00805940"/>
    <w:rsid w:val="00811358"/>
    <w:rsid w:val="0081448B"/>
    <w:rsid w:val="0081599C"/>
    <w:rsid w:val="0082276B"/>
    <w:rsid w:val="00837121"/>
    <w:rsid w:val="00840DA7"/>
    <w:rsid w:val="008471E5"/>
    <w:rsid w:val="00850C35"/>
    <w:rsid w:val="00851466"/>
    <w:rsid w:val="00863E43"/>
    <w:rsid w:val="00864018"/>
    <w:rsid w:val="008647C3"/>
    <w:rsid w:val="008659ED"/>
    <w:rsid w:val="008671C5"/>
    <w:rsid w:val="008708DC"/>
    <w:rsid w:val="00870987"/>
    <w:rsid w:val="0087564A"/>
    <w:rsid w:val="00881160"/>
    <w:rsid w:val="0088371C"/>
    <w:rsid w:val="00886CF1"/>
    <w:rsid w:val="00897C92"/>
    <w:rsid w:val="00897D0C"/>
    <w:rsid w:val="008A45F3"/>
    <w:rsid w:val="008B51D9"/>
    <w:rsid w:val="008B5203"/>
    <w:rsid w:val="008B652E"/>
    <w:rsid w:val="008C372A"/>
    <w:rsid w:val="008C39DB"/>
    <w:rsid w:val="008D05B7"/>
    <w:rsid w:val="008D2496"/>
    <w:rsid w:val="008E1156"/>
    <w:rsid w:val="008F1DC6"/>
    <w:rsid w:val="008F6F51"/>
    <w:rsid w:val="009054A7"/>
    <w:rsid w:val="00905C5B"/>
    <w:rsid w:val="00906885"/>
    <w:rsid w:val="00912BF5"/>
    <w:rsid w:val="00914702"/>
    <w:rsid w:val="00923295"/>
    <w:rsid w:val="00925F11"/>
    <w:rsid w:val="009316B6"/>
    <w:rsid w:val="00935265"/>
    <w:rsid w:val="009369C8"/>
    <w:rsid w:val="00943F53"/>
    <w:rsid w:val="00944691"/>
    <w:rsid w:val="00944F7F"/>
    <w:rsid w:val="0094689F"/>
    <w:rsid w:val="009477D6"/>
    <w:rsid w:val="00952557"/>
    <w:rsid w:val="00953ED3"/>
    <w:rsid w:val="00965FF6"/>
    <w:rsid w:val="00981199"/>
    <w:rsid w:val="00982404"/>
    <w:rsid w:val="009846D6"/>
    <w:rsid w:val="0098657F"/>
    <w:rsid w:val="009A3236"/>
    <w:rsid w:val="009B1947"/>
    <w:rsid w:val="009B5A93"/>
    <w:rsid w:val="009B5BEA"/>
    <w:rsid w:val="009B7E4E"/>
    <w:rsid w:val="009C291F"/>
    <w:rsid w:val="009D00FC"/>
    <w:rsid w:val="009D5132"/>
    <w:rsid w:val="009D5E95"/>
    <w:rsid w:val="009D7AC0"/>
    <w:rsid w:val="009E37BD"/>
    <w:rsid w:val="009E4C91"/>
    <w:rsid w:val="009E6B86"/>
    <w:rsid w:val="009F0103"/>
    <w:rsid w:val="00A03301"/>
    <w:rsid w:val="00A12762"/>
    <w:rsid w:val="00A13867"/>
    <w:rsid w:val="00A20271"/>
    <w:rsid w:val="00A26FED"/>
    <w:rsid w:val="00A421D4"/>
    <w:rsid w:val="00A421E9"/>
    <w:rsid w:val="00A44E7B"/>
    <w:rsid w:val="00A44FF0"/>
    <w:rsid w:val="00A475C0"/>
    <w:rsid w:val="00A50E55"/>
    <w:rsid w:val="00A6344C"/>
    <w:rsid w:val="00A67EB1"/>
    <w:rsid w:val="00A72A39"/>
    <w:rsid w:val="00A9011D"/>
    <w:rsid w:val="00A91A47"/>
    <w:rsid w:val="00A91E89"/>
    <w:rsid w:val="00A9496F"/>
    <w:rsid w:val="00A95D2B"/>
    <w:rsid w:val="00AA5587"/>
    <w:rsid w:val="00AB4ECE"/>
    <w:rsid w:val="00AB65F1"/>
    <w:rsid w:val="00AB6A8F"/>
    <w:rsid w:val="00AC1E53"/>
    <w:rsid w:val="00AC3F27"/>
    <w:rsid w:val="00AD704A"/>
    <w:rsid w:val="00AD79C8"/>
    <w:rsid w:val="00AE382F"/>
    <w:rsid w:val="00AE69FD"/>
    <w:rsid w:val="00AE6CE0"/>
    <w:rsid w:val="00AF08E4"/>
    <w:rsid w:val="00B041AE"/>
    <w:rsid w:val="00B058A6"/>
    <w:rsid w:val="00B070F9"/>
    <w:rsid w:val="00B117D0"/>
    <w:rsid w:val="00B13998"/>
    <w:rsid w:val="00B314B7"/>
    <w:rsid w:val="00B32E73"/>
    <w:rsid w:val="00B35C5F"/>
    <w:rsid w:val="00B40BFC"/>
    <w:rsid w:val="00B439DD"/>
    <w:rsid w:val="00B52E0F"/>
    <w:rsid w:val="00B637A5"/>
    <w:rsid w:val="00B726CB"/>
    <w:rsid w:val="00B74629"/>
    <w:rsid w:val="00B91F58"/>
    <w:rsid w:val="00B95737"/>
    <w:rsid w:val="00BA579E"/>
    <w:rsid w:val="00BB48AE"/>
    <w:rsid w:val="00BB6714"/>
    <w:rsid w:val="00BD17FF"/>
    <w:rsid w:val="00BD1894"/>
    <w:rsid w:val="00BD3BB5"/>
    <w:rsid w:val="00BE2295"/>
    <w:rsid w:val="00BE4539"/>
    <w:rsid w:val="00BE6373"/>
    <w:rsid w:val="00BF533A"/>
    <w:rsid w:val="00BF712B"/>
    <w:rsid w:val="00C11F7A"/>
    <w:rsid w:val="00C20493"/>
    <w:rsid w:val="00C277B9"/>
    <w:rsid w:val="00C41794"/>
    <w:rsid w:val="00C46677"/>
    <w:rsid w:val="00C5180E"/>
    <w:rsid w:val="00C542D1"/>
    <w:rsid w:val="00C54E40"/>
    <w:rsid w:val="00C55F56"/>
    <w:rsid w:val="00C57BA4"/>
    <w:rsid w:val="00C613EB"/>
    <w:rsid w:val="00C66FAE"/>
    <w:rsid w:val="00C71C1A"/>
    <w:rsid w:val="00C84623"/>
    <w:rsid w:val="00C90CB0"/>
    <w:rsid w:val="00C97660"/>
    <w:rsid w:val="00CB06C9"/>
    <w:rsid w:val="00CB1E41"/>
    <w:rsid w:val="00CB24EE"/>
    <w:rsid w:val="00CB271C"/>
    <w:rsid w:val="00CB3B65"/>
    <w:rsid w:val="00CB68C2"/>
    <w:rsid w:val="00CC0F87"/>
    <w:rsid w:val="00CE4F96"/>
    <w:rsid w:val="00CF0AB1"/>
    <w:rsid w:val="00CF3714"/>
    <w:rsid w:val="00CF456D"/>
    <w:rsid w:val="00CF4B9B"/>
    <w:rsid w:val="00CF55E6"/>
    <w:rsid w:val="00CF772F"/>
    <w:rsid w:val="00CF7ACC"/>
    <w:rsid w:val="00D0004F"/>
    <w:rsid w:val="00D02897"/>
    <w:rsid w:val="00D048DB"/>
    <w:rsid w:val="00D058F6"/>
    <w:rsid w:val="00D1186C"/>
    <w:rsid w:val="00D14F0B"/>
    <w:rsid w:val="00D178CA"/>
    <w:rsid w:val="00D204DB"/>
    <w:rsid w:val="00D2774C"/>
    <w:rsid w:val="00D3311C"/>
    <w:rsid w:val="00D435F9"/>
    <w:rsid w:val="00D53405"/>
    <w:rsid w:val="00D5457B"/>
    <w:rsid w:val="00D625BE"/>
    <w:rsid w:val="00D66380"/>
    <w:rsid w:val="00D71C39"/>
    <w:rsid w:val="00D72995"/>
    <w:rsid w:val="00D72C94"/>
    <w:rsid w:val="00D73685"/>
    <w:rsid w:val="00D7679E"/>
    <w:rsid w:val="00D80DB2"/>
    <w:rsid w:val="00D83FD9"/>
    <w:rsid w:val="00DA260D"/>
    <w:rsid w:val="00DA3001"/>
    <w:rsid w:val="00DA7FA2"/>
    <w:rsid w:val="00DB35CA"/>
    <w:rsid w:val="00DC2D8D"/>
    <w:rsid w:val="00DC7F67"/>
    <w:rsid w:val="00DE1F5D"/>
    <w:rsid w:val="00DE50D8"/>
    <w:rsid w:val="00DF278A"/>
    <w:rsid w:val="00DF2DA5"/>
    <w:rsid w:val="00E02229"/>
    <w:rsid w:val="00E1664B"/>
    <w:rsid w:val="00E201F3"/>
    <w:rsid w:val="00E20290"/>
    <w:rsid w:val="00E234E9"/>
    <w:rsid w:val="00E30D12"/>
    <w:rsid w:val="00E3394E"/>
    <w:rsid w:val="00E35241"/>
    <w:rsid w:val="00E35886"/>
    <w:rsid w:val="00E41417"/>
    <w:rsid w:val="00E42FAA"/>
    <w:rsid w:val="00E439E1"/>
    <w:rsid w:val="00E50678"/>
    <w:rsid w:val="00E536D3"/>
    <w:rsid w:val="00E57BE2"/>
    <w:rsid w:val="00E6145B"/>
    <w:rsid w:val="00E621C9"/>
    <w:rsid w:val="00E62A95"/>
    <w:rsid w:val="00E703C9"/>
    <w:rsid w:val="00E71BAB"/>
    <w:rsid w:val="00E746A2"/>
    <w:rsid w:val="00E852D8"/>
    <w:rsid w:val="00E90D06"/>
    <w:rsid w:val="00E97E59"/>
    <w:rsid w:val="00EA79C9"/>
    <w:rsid w:val="00EB068E"/>
    <w:rsid w:val="00EB66AC"/>
    <w:rsid w:val="00EC0C32"/>
    <w:rsid w:val="00EC1225"/>
    <w:rsid w:val="00EC2247"/>
    <w:rsid w:val="00EC626A"/>
    <w:rsid w:val="00EE1F87"/>
    <w:rsid w:val="00EE3931"/>
    <w:rsid w:val="00EE422A"/>
    <w:rsid w:val="00EE5AF6"/>
    <w:rsid w:val="00EF2CEF"/>
    <w:rsid w:val="00EF3264"/>
    <w:rsid w:val="00F1092D"/>
    <w:rsid w:val="00F30189"/>
    <w:rsid w:val="00F352BB"/>
    <w:rsid w:val="00F42C20"/>
    <w:rsid w:val="00F431D8"/>
    <w:rsid w:val="00F44DC1"/>
    <w:rsid w:val="00F56DF3"/>
    <w:rsid w:val="00F63E8D"/>
    <w:rsid w:val="00F67706"/>
    <w:rsid w:val="00F703D2"/>
    <w:rsid w:val="00F75B30"/>
    <w:rsid w:val="00F776E9"/>
    <w:rsid w:val="00F81FE3"/>
    <w:rsid w:val="00F8696C"/>
    <w:rsid w:val="00F90F82"/>
    <w:rsid w:val="00F92D75"/>
    <w:rsid w:val="00F97327"/>
    <w:rsid w:val="00FA296F"/>
    <w:rsid w:val="00FA2BA7"/>
    <w:rsid w:val="00FA6CCA"/>
    <w:rsid w:val="00FA7323"/>
    <w:rsid w:val="00FB1299"/>
    <w:rsid w:val="00FB31DC"/>
    <w:rsid w:val="00FC2B55"/>
    <w:rsid w:val="00FC32D3"/>
    <w:rsid w:val="00FD4D82"/>
    <w:rsid w:val="00FE57AE"/>
    <w:rsid w:val="00FE6F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4929"/>
    <o:shapelayout v:ext="edit">
      <o:idmap v:ext="edit" data="1"/>
    </o:shapelayout>
  </w:shapeDefaults>
  <w:decimalSymbol w:val="."/>
  <w:listSeparator w:val=","/>
  <w14:docId w14:val="55B8DA2C"/>
  <w15:docId w15:val="{6ADE2CA3-07E1-4F1F-9A54-EA97C824F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ind w:left="360" w:hanging="36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2E41"/>
  </w:style>
  <w:style w:type="paragraph" w:styleId="Heading2">
    <w:name w:val="heading 2"/>
    <w:basedOn w:val="Normal"/>
    <w:next w:val="Normal"/>
    <w:link w:val="Heading2Char"/>
    <w:uiPriority w:val="9"/>
    <w:semiHidden/>
    <w:unhideWhenUsed/>
    <w:qFormat/>
    <w:rsid w:val="008659ED"/>
    <w:pPr>
      <w:keepNext/>
      <w:keepLines/>
      <w:spacing w:before="200"/>
      <w:outlineLvl w:val="1"/>
    </w:pPr>
    <w:rPr>
      <w:rFonts w:asciiTheme="majorHAnsi" w:eastAsiaTheme="majorEastAsia" w:hAnsiTheme="majorHAnsi" w:cstheme="majorBidi"/>
      <w:b/>
      <w:bCs/>
      <w:color w:val="E4EDEB" w:themeColor="accent1"/>
      <w:sz w:val="26"/>
      <w:szCs w:val="26"/>
    </w:rPr>
  </w:style>
  <w:style w:type="paragraph" w:styleId="Heading3">
    <w:name w:val="heading 3"/>
    <w:basedOn w:val="Heading2"/>
    <w:next w:val="Normal"/>
    <w:link w:val="Heading3Char"/>
    <w:uiPriority w:val="9"/>
    <w:qFormat/>
    <w:rsid w:val="008659ED"/>
    <w:pPr>
      <w:keepNext w:val="0"/>
      <w:keepLines w:val="0"/>
      <w:spacing w:before="0"/>
      <w:ind w:left="0" w:firstLine="0"/>
      <w:outlineLvl w:val="2"/>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96AF8"/>
    <w:pPr>
      <w:spacing w:after="200" w:line="276" w:lineRule="auto"/>
      <w:ind w:left="720"/>
      <w:contextualSpacing/>
    </w:pPr>
    <w:rPr>
      <w:rFonts w:eastAsiaTheme="minorEastAsia"/>
    </w:rPr>
  </w:style>
  <w:style w:type="character" w:styleId="PlaceholderText">
    <w:name w:val="Placeholder Text"/>
    <w:basedOn w:val="DefaultParagraphFont"/>
    <w:uiPriority w:val="99"/>
    <w:semiHidden/>
    <w:rsid w:val="00496AF8"/>
    <w:rPr>
      <w:color w:val="808080"/>
    </w:rPr>
  </w:style>
  <w:style w:type="character" w:styleId="Hyperlink">
    <w:name w:val="Hyperlink"/>
    <w:basedOn w:val="DefaultParagraphFont"/>
    <w:uiPriority w:val="99"/>
    <w:unhideWhenUsed/>
    <w:rsid w:val="00496AF8"/>
    <w:rPr>
      <w:color w:val="F7B615" w:themeColor="hyperlink"/>
      <w:u w:val="single"/>
    </w:rPr>
  </w:style>
  <w:style w:type="character" w:customStyle="1" w:styleId="Style1">
    <w:name w:val="Style1"/>
    <w:basedOn w:val="DefaultParagraphFont"/>
    <w:uiPriority w:val="1"/>
    <w:rsid w:val="00496AF8"/>
    <w:rPr>
      <w:rFonts w:asciiTheme="minorHAnsi" w:hAnsiTheme="minorHAnsi"/>
      <w:color w:val="0000FF"/>
      <w:sz w:val="22"/>
    </w:rPr>
  </w:style>
  <w:style w:type="character" w:customStyle="1" w:styleId="Style2">
    <w:name w:val="Style2"/>
    <w:basedOn w:val="DefaultParagraphFont"/>
    <w:uiPriority w:val="1"/>
    <w:rsid w:val="00496AF8"/>
    <w:rPr>
      <w:rFonts w:asciiTheme="minorHAnsi" w:hAnsiTheme="minorHAnsi"/>
      <w:color w:val="0000FF"/>
      <w:sz w:val="22"/>
      <w:u w:val="single"/>
    </w:rPr>
  </w:style>
  <w:style w:type="table" w:styleId="TableGrid">
    <w:name w:val="Table Grid"/>
    <w:basedOn w:val="TableNormal"/>
    <w:uiPriority w:val="59"/>
    <w:rsid w:val="00496A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6677"/>
    <w:rPr>
      <w:color w:val="704404" w:themeColor="followedHyperlink"/>
      <w:u w:val="single"/>
    </w:rPr>
  </w:style>
  <w:style w:type="paragraph" w:styleId="Header">
    <w:name w:val="header"/>
    <w:basedOn w:val="Normal"/>
    <w:link w:val="HeaderChar"/>
    <w:uiPriority w:val="99"/>
    <w:unhideWhenUsed/>
    <w:rsid w:val="007E37A5"/>
    <w:pPr>
      <w:tabs>
        <w:tab w:val="center" w:pos="4680"/>
        <w:tab w:val="right" w:pos="9360"/>
      </w:tabs>
    </w:pPr>
  </w:style>
  <w:style w:type="character" w:customStyle="1" w:styleId="HeaderChar">
    <w:name w:val="Header Char"/>
    <w:basedOn w:val="DefaultParagraphFont"/>
    <w:link w:val="Header"/>
    <w:uiPriority w:val="99"/>
    <w:rsid w:val="007E37A5"/>
  </w:style>
  <w:style w:type="paragraph" w:styleId="Footer">
    <w:name w:val="footer"/>
    <w:basedOn w:val="Normal"/>
    <w:link w:val="FooterChar"/>
    <w:uiPriority w:val="99"/>
    <w:unhideWhenUsed/>
    <w:rsid w:val="007E37A5"/>
    <w:pPr>
      <w:tabs>
        <w:tab w:val="center" w:pos="4680"/>
        <w:tab w:val="right" w:pos="9360"/>
      </w:tabs>
    </w:pPr>
  </w:style>
  <w:style w:type="character" w:customStyle="1" w:styleId="FooterChar">
    <w:name w:val="Footer Char"/>
    <w:basedOn w:val="DefaultParagraphFont"/>
    <w:link w:val="Footer"/>
    <w:uiPriority w:val="99"/>
    <w:rsid w:val="007E37A5"/>
  </w:style>
  <w:style w:type="character" w:customStyle="1" w:styleId="Style3">
    <w:name w:val="Style3"/>
    <w:basedOn w:val="DefaultParagraphFont"/>
    <w:uiPriority w:val="1"/>
    <w:rsid w:val="007E37A5"/>
    <w:rPr>
      <w:rFonts w:asciiTheme="minorHAnsi" w:hAnsiTheme="minorHAnsi"/>
      <w:color w:val="291901" w:themeColor="background1" w:themeShade="80"/>
      <w:sz w:val="22"/>
    </w:rPr>
  </w:style>
  <w:style w:type="character" w:styleId="CommentReference">
    <w:name w:val="annotation reference"/>
    <w:basedOn w:val="DefaultParagraphFont"/>
    <w:uiPriority w:val="99"/>
    <w:semiHidden/>
    <w:unhideWhenUsed/>
    <w:rsid w:val="002A47BA"/>
    <w:rPr>
      <w:sz w:val="16"/>
      <w:szCs w:val="16"/>
    </w:rPr>
  </w:style>
  <w:style w:type="paragraph" w:styleId="CommentText">
    <w:name w:val="annotation text"/>
    <w:basedOn w:val="Normal"/>
    <w:link w:val="CommentTextChar"/>
    <w:uiPriority w:val="99"/>
    <w:unhideWhenUsed/>
    <w:rsid w:val="002A47BA"/>
    <w:rPr>
      <w:sz w:val="20"/>
      <w:szCs w:val="20"/>
    </w:rPr>
  </w:style>
  <w:style w:type="character" w:customStyle="1" w:styleId="CommentTextChar">
    <w:name w:val="Comment Text Char"/>
    <w:basedOn w:val="DefaultParagraphFont"/>
    <w:link w:val="CommentText"/>
    <w:uiPriority w:val="99"/>
    <w:rsid w:val="002A47BA"/>
    <w:rPr>
      <w:sz w:val="20"/>
      <w:szCs w:val="20"/>
    </w:rPr>
  </w:style>
  <w:style w:type="paragraph" w:styleId="CommentSubject">
    <w:name w:val="annotation subject"/>
    <w:basedOn w:val="CommentText"/>
    <w:next w:val="CommentText"/>
    <w:link w:val="CommentSubjectChar"/>
    <w:uiPriority w:val="99"/>
    <w:semiHidden/>
    <w:unhideWhenUsed/>
    <w:rsid w:val="002A47BA"/>
    <w:rPr>
      <w:b/>
      <w:bCs/>
    </w:rPr>
  </w:style>
  <w:style w:type="character" w:customStyle="1" w:styleId="CommentSubjectChar">
    <w:name w:val="Comment Subject Char"/>
    <w:basedOn w:val="CommentTextChar"/>
    <w:link w:val="CommentSubject"/>
    <w:uiPriority w:val="99"/>
    <w:semiHidden/>
    <w:rsid w:val="002A47BA"/>
    <w:rPr>
      <w:b/>
      <w:bCs/>
      <w:sz w:val="20"/>
      <w:szCs w:val="20"/>
    </w:rPr>
  </w:style>
  <w:style w:type="paragraph" w:styleId="Revision">
    <w:name w:val="Revision"/>
    <w:hidden/>
    <w:uiPriority w:val="99"/>
    <w:semiHidden/>
    <w:rsid w:val="002A47BA"/>
    <w:pPr>
      <w:ind w:left="0" w:firstLine="0"/>
    </w:pPr>
  </w:style>
  <w:style w:type="paragraph" w:styleId="BalloonText">
    <w:name w:val="Balloon Text"/>
    <w:basedOn w:val="Normal"/>
    <w:link w:val="BalloonTextChar"/>
    <w:uiPriority w:val="99"/>
    <w:semiHidden/>
    <w:unhideWhenUsed/>
    <w:rsid w:val="002A47BA"/>
    <w:rPr>
      <w:rFonts w:ascii="Tahoma" w:hAnsi="Tahoma" w:cs="Tahoma"/>
      <w:sz w:val="16"/>
      <w:szCs w:val="16"/>
    </w:rPr>
  </w:style>
  <w:style w:type="character" w:customStyle="1" w:styleId="BalloonTextChar">
    <w:name w:val="Balloon Text Char"/>
    <w:basedOn w:val="DefaultParagraphFont"/>
    <w:link w:val="BalloonText"/>
    <w:uiPriority w:val="99"/>
    <w:semiHidden/>
    <w:rsid w:val="002A47BA"/>
    <w:rPr>
      <w:rFonts w:ascii="Tahoma" w:hAnsi="Tahoma" w:cs="Tahoma"/>
      <w:sz w:val="16"/>
      <w:szCs w:val="16"/>
    </w:rPr>
  </w:style>
  <w:style w:type="paragraph" w:styleId="FootnoteText">
    <w:name w:val="footnote text"/>
    <w:basedOn w:val="Normal"/>
    <w:link w:val="FootnoteTextChar"/>
    <w:semiHidden/>
    <w:rsid w:val="00765156"/>
    <w:pPr>
      <w:ind w:left="0" w:firstLine="0"/>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765156"/>
    <w:rPr>
      <w:rFonts w:ascii="Times New Roman" w:eastAsia="Calibri" w:hAnsi="Times New Roman" w:cs="Times New Roman"/>
      <w:sz w:val="20"/>
      <w:szCs w:val="20"/>
    </w:rPr>
  </w:style>
  <w:style w:type="character" w:customStyle="1" w:styleId="Heading3Char">
    <w:name w:val="Heading 3 Char"/>
    <w:basedOn w:val="DefaultParagraphFont"/>
    <w:link w:val="Heading3"/>
    <w:uiPriority w:val="9"/>
    <w:rsid w:val="008659ED"/>
    <w:rPr>
      <w:rFonts w:ascii="Calibri" w:eastAsia="Calibri" w:hAnsi="Calibri" w:cs="Calibri"/>
      <w:b/>
      <w:bCs/>
    </w:rPr>
  </w:style>
  <w:style w:type="character" w:customStyle="1" w:styleId="Heading2Char">
    <w:name w:val="Heading 2 Char"/>
    <w:basedOn w:val="DefaultParagraphFont"/>
    <w:link w:val="Heading2"/>
    <w:uiPriority w:val="9"/>
    <w:semiHidden/>
    <w:rsid w:val="008659ED"/>
    <w:rPr>
      <w:rFonts w:asciiTheme="majorHAnsi" w:eastAsiaTheme="majorEastAsia" w:hAnsiTheme="majorHAnsi" w:cstheme="majorBidi"/>
      <w:b/>
      <w:bCs/>
      <w:color w:val="E4EDEB" w:themeColor="accent1"/>
      <w:sz w:val="26"/>
      <w:szCs w:val="26"/>
    </w:rPr>
  </w:style>
  <w:style w:type="character" w:customStyle="1" w:styleId="ListParagraphChar">
    <w:name w:val="List Paragraph Char"/>
    <w:basedOn w:val="DefaultParagraphFont"/>
    <w:link w:val="ListParagraph"/>
    <w:uiPriority w:val="34"/>
    <w:locked/>
    <w:rsid w:val="00B35C5F"/>
    <w:rPr>
      <w:rFonts w:eastAsiaTheme="minorEastAsia"/>
    </w:rPr>
  </w:style>
  <w:style w:type="paragraph" w:styleId="PlainText">
    <w:name w:val="Plain Text"/>
    <w:basedOn w:val="Normal"/>
    <w:link w:val="PlainTextChar"/>
    <w:uiPriority w:val="99"/>
    <w:unhideWhenUsed/>
    <w:rsid w:val="00495839"/>
    <w:pPr>
      <w:ind w:left="0" w:firstLine="0"/>
    </w:pPr>
    <w:rPr>
      <w:rFonts w:ascii="Calibri" w:hAnsi="Calibri"/>
      <w:szCs w:val="21"/>
    </w:rPr>
  </w:style>
  <w:style w:type="character" w:customStyle="1" w:styleId="PlainTextChar">
    <w:name w:val="Plain Text Char"/>
    <w:basedOn w:val="DefaultParagraphFont"/>
    <w:link w:val="PlainText"/>
    <w:uiPriority w:val="99"/>
    <w:rsid w:val="00495839"/>
    <w:rPr>
      <w:rFonts w:ascii="Calibri" w:hAnsi="Calibri"/>
      <w:szCs w:val="21"/>
    </w:rPr>
  </w:style>
  <w:style w:type="paragraph" w:styleId="NormalWeb">
    <w:name w:val="Normal (Web)"/>
    <w:basedOn w:val="Normal"/>
    <w:uiPriority w:val="99"/>
    <w:unhideWhenUsed/>
    <w:rsid w:val="00495839"/>
    <w:pPr>
      <w:spacing w:before="100" w:beforeAutospacing="1" w:after="100" w:afterAutospacing="1"/>
      <w:ind w:left="0" w:firstLine="0"/>
    </w:pPr>
    <w:rPr>
      <w:rFonts w:ascii="Times New Roman" w:eastAsia="Times New Roman" w:hAnsi="Times New Roman" w:cs="Times New Roman"/>
      <w:sz w:val="24"/>
      <w:szCs w:val="24"/>
    </w:rPr>
  </w:style>
  <w:style w:type="paragraph" w:customStyle="1" w:styleId="EndNoteBibliography">
    <w:name w:val="EndNote Bibliography"/>
    <w:basedOn w:val="Normal"/>
    <w:link w:val="EndNoteBibliographyChar"/>
    <w:rsid w:val="00EC626A"/>
    <w:rPr>
      <w:rFonts w:ascii="Calibri" w:hAnsi="Calibri"/>
      <w:noProof/>
    </w:rPr>
  </w:style>
  <w:style w:type="character" w:customStyle="1" w:styleId="EndNoteBibliographyChar">
    <w:name w:val="EndNote Bibliography Char"/>
    <w:basedOn w:val="DefaultParagraphFont"/>
    <w:link w:val="EndNoteBibliography"/>
    <w:rsid w:val="00EC626A"/>
    <w:rPr>
      <w:rFonts w:ascii="Calibri" w:hAnsi="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1363677">
      <w:bodyDiv w:val="1"/>
      <w:marLeft w:val="0"/>
      <w:marRight w:val="0"/>
      <w:marTop w:val="0"/>
      <w:marBottom w:val="0"/>
      <w:divBdr>
        <w:top w:val="none" w:sz="0" w:space="0" w:color="auto"/>
        <w:left w:val="none" w:sz="0" w:space="0" w:color="auto"/>
        <w:bottom w:val="none" w:sz="0" w:space="0" w:color="auto"/>
        <w:right w:val="none" w:sz="0" w:space="0" w:color="auto"/>
      </w:divBdr>
      <w:divsChild>
        <w:div w:id="503933001">
          <w:marLeft w:val="0"/>
          <w:marRight w:val="1"/>
          <w:marTop w:val="0"/>
          <w:marBottom w:val="0"/>
          <w:divBdr>
            <w:top w:val="none" w:sz="0" w:space="0" w:color="auto"/>
            <w:left w:val="none" w:sz="0" w:space="0" w:color="auto"/>
            <w:bottom w:val="none" w:sz="0" w:space="0" w:color="auto"/>
            <w:right w:val="none" w:sz="0" w:space="0" w:color="auto"/>
          </w:divBdr>
          <w:divsChild>
            <w:div w:id="1872840509">
              <w:marLeft w:val="0"/>
              <w:marRight w:val="0"/>
              <w:marTop w:val="0"/>
              <w:marBottom w:val="0"/>
              <w:divBdr>
                <w:top w:val="none" w:sz="0" w:space="0" w:color="auto"/>
                <w:left w:val="none" w:sz="0" w:space="0" w:color="auto"/>
                <w:bottom w:val="none" w:sz="0" w:space="0" w:color="auto"/>
                <w:right w:val="none" w:sz="0" w:space="0" w:color="auto"/>
              </w:divBdr>
              <w:divsChild>
                <w:div w:id="780075848">
                  <w:marLeft w:val="0"/>
                  <w:marRight w:val="1"/>
                  <w:marTop w:val="0"/>
                  <w:marBottom w:val="0"/>
                  <w:divBdr>
                    <w:top w:val="none" w:sz="0" w:space="0" w:color="auto"/>
                    <w:left w:val="none" w:sz="0" w:space="0" w:color="auto"/>
                    <w:bottom w:val="none" w:sz="0" w:space="0" w:color="auto"/>
                    <w:right w:val="none" w:sz="0" w:space="0" w:color="auto"/>
                  </w:divBdr>
                  <w:divsChild>
                    <w:div w:id="1975212493">
                      <w:marLeft w:val="0"/>
                      <w:marRight w:val="0"/>
                      <w:marTop w:val="0"/>
                      <w:marBottom w:val="0"/>
                      <w:divBdr>
                        <w:top w:val="none" w:sz="0" w:space="0" w:color="auto"/>
                        <w:left w:val="none" w:sz="0" w:space="0" w:color="auto"/>
                        <w:bottom w:val="none" w:sz="0" w:space="0" w:color="auto"/>
                        <w:right w:val="none" w:sz="0" w:space="0" w:color="auto"/>
                      </w:divBdr>
                      <w:divsChild>
                        <w:div w:id="822282298">
                          <w:marLeft w:val="0"/>
                          <w:marRight w:val="0"/>
                          <w:marTop w:val="0"/>
                          <w:marBottom w:val="0"/>
                          <w:divBdr>
                            <w:top w:val="none" w:sz="0" w:space="0" w:color="auto"/>
                            <w:left w:val="none" w:sz="0" w:space="0" w:color="auto"/>
                            <w:bottom w:val="none" w:sz="0" w:space="0" w:color="auto"/>
                            <w:right w:val="none" w:sz="0" w:space="0" w:color="auto"/>
                          </w:divBdr>
                        </w:div>
                        <w:div w:id="1377123067">
                          <w:marLeft w:val="0"/>
                          <w:marRight w:val="0"/>
                          <w:marTop w:val="0"/>
                          <w:marBottom w:val="0"/>
                          <w:divBdr>
                            <w:top w:val="none" w:sz="0" w:space="0" w:color="auto"/>
                            <w:left w:val="none" w:sz="0" w:space="0" w:color="auto"/>
                            <w:bottom w:val="none" w:sz="0" w:space="0" w:color="auto"/>
                            <w:right w:val="none" w:sz="0" w:space="0" w:color="auto"/>
                          </w:divBdr>
                          <w:divsChild>
                            <w:div w:id="578910365">
                              <w:marLeft w:val="0"/>
                              <w:marRight w:val="0"/>
                              <w:marTop w:val="0"/>
                              <w:marBottom w:val="0"/>
                              <w:divBdr>
                                <w:top w:val="none" w:sz="0" w:space="0" w:color="auto"/>
                                <w:left w:val="none" w:sz="0" w:space="0" w:color="auto"/>
                                <w:bottom w:val="none" w:sz="0" w:space="0" w:color="auto"/>
                                <w:right w:val="none" w:sz="0" w:space="0" w:color="auto"/>
                              </w:divBdr>
                            </w:div>
                          </w:divsChild>
                        </w:div>
                        <w:div w:id="1626152828">
                          <w:marLeft w:val="0"/>
                          <w:marRight w:val="0"/>
                          <w:marTop w:val="0"/>
                          <w:marBottom w:val="0"/>
                          <w:divBdr>
                            <w:top w:val="none" w:sz="0" w:space="0" w:color="auto"/>
                            <w:left w:val="none" w:sz="0" w:space="0" w:color="auto"/>
                            <w:bottom w:val="none" w:sz="0" w:space="0" w:color="auto"/>
                            <w:right w:val="none" w:sz="0" w:space="0" w:color="auto"/>
                          </w:divBdr>
                          <w:divsChild>
                            <w:div w:id="860364081">
                              <w:marLeft w:val="0"/>
                              <w:marRight w:val="0"/>
                              <w:marTop w:val="120"/>
                              <w:marBottom w:val="360"/>
                              <w:divBdr>
                                <w:top w:val="none" w:sz="0" w:space="0" w:color="auto"/>
                                <w:left w:val="none" w:sz="0" w:space="0" w:color="auto"/>
                                <w:bottom w:val="none" w:sz="0" w:space="0" w:color="auto"/>
                                <w:right w:val="none" w:sz="0" w:space="0" w:color="auto"/>
                              </w:divBdr>
                              <w:divsChild>
                                <w:div w:id="142313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gradeworkinggroup.org" TargetMode="External"/><Relationship Id="rId18" Type="http://schemas.openxmlformats.org/officeDocument/2006/relationships/hyperlink" Target="https://www.ncbi.nlm.nih.gov/pubmed/?term=Jung%20HY%5BAuthor%5D&amp;cauthor=true&amp;cauthor_uid=26586858" TargetMode="External"/><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hyperlink" Target="https://www.ncbi.nlm.nih.gov/pubmed/?term=Mor%20V%5BAuthor%5D&amp;cauthor=true&amp;cauthor_uid=26586858" TargetMode="External"/><Relationship Id="rId7" Type="http://schemas.openxmlformats.org/officeDocument/2006/relationships/styles" Target="styles.xml"/><Relationship Id="rId12" Type="http://schemas.openxmlformats.org/officeDocument/2006/relationships/hyperlink" Target="http://www.qualityforum.org/Measuring_Performance/Submitting_Standards.aspx" TargetMode="External"/><Relationship Id="rId17" Type="http://schemas.openxmlformats.org/officeDocument/2006/relationships/image" Target="media/image2.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s://www.ncbi.nlm.nih.gov/pubmed/?term=Grabowski%20DC%5BAuthor%5D&amp;cauthor=true&amp;cauthor_uid=26586858"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aqaalliance.org/files/PrinciplesofEfficiencyMeasurementApril2006.doc" TargetMode="External"/><Relationship Id="rId23" Type="http://schemas.openxmlformats.org/officeDocument/2006/relationships/header" Target="header1.xml"/><Relationship Id="rId28" Type="http://schemas.microsoft.com/office/2016/09/relationships/commentsIds" Target="commentsIds.xml"/><Relationship Id="rId10" Type="http://schemas.openxmlformats.org/officeDocument/2006/relationships/footnotes" Target="footnotes.xml"/><Relationship Id="rId19" Type="http://schemas.openxmlformats.org/officeDocument/2006/relationships/hyperlink" Target="https://www.ncbi.nlm.nih.gov/pubmed/?term=Trivedi%20AN%5BAuthor%5D&amp;cauthor=true&amp;cauthor_uid=26586858"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qualityforum.org/Publications/2010/01/Measurement_Framework__Evaluating_Efficiency_Across_Patient-Focused_Episodes_of_Care.aspx" TargetMode="External"/><Relationship Id="rId22" Type="http://schemas.openxmlformats.org/officeDocument/2006/relationships/hyperlink" Target="https://www.ncbi.nlm.nih.gov/pubmed/?term=Functional+outcomes+of+persons+who+underwent+dysvascular+lower+extremity+amputations%3A+effect+of+postacute+rehabilitation+setting" TargetMode="External"/><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61E91D4220034A64A72268AE9C6EBC95"/>
        <w:category>
          <w:name w:val="General"/>
          <w:gallery w:val="placeholder"/>
        </w:category>
        <w:types>
          <w:type w:val="bbPlcHdr"/>
        </w:types>
        <w:behaviors>
          <w:behavior w:val="content"/>
        </w:behaviors>
        <w:guid w:val="{16E6F6D5-FBA9-4F7A-993E-1061F6F5ECD2}"/>
      </w:docPartPr>
      <w:docPartBody>
        <w:p w:rsidR="00C2797F" w:rsidRDefault="005F21F3" w:rsidP="005F21F3">
          <w:pPr>
            <w:pStyle w:val="61E91D4220034A64A72268AE9C6EBC955"/>
          </w:pPr>
          <w:r w:rsidRPr="003B1CC5">
            <w:rPr>
              <w:rStyle w:val="PlaceholderText"/>
              <w:rFonts w:cstheme="minorHAnsi"/>
              <w:color w:val="A6A6A6" w:themeColor="background1" w:themeShade="A6"/>
            </w:rPr>
            <w:t>Click here to enter measure title</w:t>
          </w:r>
        </w:p>
      </w:docPartBody>
    </w:docPart>
    <w:docPart>
      <w:docPartPr>
        <w:name w:val="6A100845774148B09AFD987423307E3B"/>
        <w:category>
          <w:name w:val="General"/>
          <w:gallery w:val="placeholder"/>
        </w:category>
        <w:types>
          <w:type w:val="bbPlcHdr"/>
        </w:types>
        <w:behaviors>
          <w:behavior w:val="content"/>
        </w:behaviors>
        <w:guid w:val="{C93BDEBB-5C33-4CF3-AFAC-47EC13EA404C}"/>
      </w:docPartPr>
      <w:docPartBody>
        <w:p w:rsidR="00C2797F" w:rsidRDefault="005F21F3" w:rsidP="005F21F3">
          <w:pPr>
            <w:pStyle w:val="6A100845774148B09AFD987423307E3B5"/>
          </w:pPr>
          <w:r w:rsidRPr="003B1CC5">
            <w:rPr>
              <w:rStyle w:val="PlaceholderText"/>
              <w:rFonts w:cstheme="minorHAnsi"/>
              <w:color w:val="A6A6A6" w:themeColor="background1" w:themeShade="A6"/>
            </w:rPr>
            <w:t>Click here to enter a date</w:t>
          </w:r>
        </w:p>
      </w:docPartBody>
    </w:docPart>
    <w:docPart>
      <w:docPartPr>
        <w:name w:val="8924E7CB4D5C4CC4905BEA5FE80343E5"/>
        <w:category>
          <w:name w:val="General"/>
          <w:gallery w:val="placeholder"/>
        </w:category>
        <w:types>
          <w:type w:val="bbPlcHdr"/>
        </w:types>
        <w:behaviors>
          <w:behavior w:val="content"/>
        </w:behaviors>
        <w:guid w:val="{2370C905-DBFD-41F3-8967-63518602B157}"/>
      </w:docPartPr>
      <w:docPartBody>
        <w:p w:rsidR="00160241" w:rsidRDefault="005F21F3" w:rsidP="005F21F3">
          <w:pPr>
            <w:pStyle w:val="8924E7CB4D5C4CC4905BEA5FE80343E53"/>
          </w:pPr>
          <w:r w:rsidRPr="003B1CC5">
            <w:rPr>
              <w:rStyle w:val="PlaceholderText"/>
              <w:rFonts w:cstheme="minorHAnsi"/>
              <w:color w:val="A6A6A6" w:themeColor="background1" w:themeShade="A6"/>
            </w:rPr>
            <w:t>Click here to enter composite measure #/ title</w:t>
          </w:r>
        </w:p>
      </w:docPartBody>
    </w:docPart>
    <w:docPart>
      <w:docPartPr>
        <w:name w:val="AB1B0578B87C4E9EA043F449B0E6989F"/>
        <w:category>
          <w:name w:val="General"/>
          <w:gallery w:val="placeholder"/>
        </w:category>
        <w:types>
          <w:type w:val="bbPlcHdr"/>
        </w:types>
        <w:behaviors>
          <w:behavior w:val="content"/>
        </w:behaviors>
        <w:guid w:val="{A95D2EEA-3EEB-40FF-BC18-D5CD98C305C8}"/>
      </w:docPartPr>
      <w:docPartBody>
        <w:p w:rsidR="00BE0F2D" w:rsidRDefault="005F21F3" w:rsidP="005F21F3">
          <w:pPr>
            <w:pStyle w:val="AB1B0578B87C4E9EA043F449B0E6989F2"/>
          </w:pPr>
          <w:r w:rsidRPr="003B1CC5">
            <w:rPr>
              <w:rStyle w:val="PlaceholderText"/>
            </w:rPr>
            <w:t>Click here to enter NQF number</w:t>
          </w:r>
        </w:p>
      </w:docPartBody>
    </w:docPart>
    <w:docPart>
      <w:docPartPr>
        <w:name w:val="FE70CAAC3DF144259590A923A45CFA47"/>
        <w:category>
          <w:name w:val="General"/>
          <w:gallery w:val="placeholder"/>
        </w:category>
        <w:types>
          <w:type w:val="bbPlcHdr"/>
        </w:types>
        <w:behaviors>
          <w:behavior w:val="content"/>
        </w:behaviors>
        <w:guid w:val="{91AF57EF-14BB-4A93-BCC7-C4E2C5C513C5}"/>
      </w:docPartPr>
      <w:docPartBody>
        <w:p w:rsidR="00A673B9" w:rsidRDefault="0054355D" w:rsidP="0054355D">
          <w:pPr>
            <w:pStyle w:val="FE70CAAC3DF144259590A923A45CFA47"/>
          </w:pPr>
          <w:r w:rsidRPr="00B83BC5">
            <w:rPr>
              <w:rStyle w:val="PlaceholderText"/>
              <w:rFonts w:cstheme="minorHAnsi"/>
              <w:color w:val="A6A6A6" w:themeColor="background1" w:themeShade="A6"/>
            </w:rPr>
            <w:t>Click here to enter measure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Melior">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30A1"/>
    <w:rsid w:val="00160241"/>
    <w:rsid w:val="001957C7"/>
    <w:rsid w:val="001F47A0"/>
    <w:rsid w:val="002B5F47"/>
    <w:rsid w:val="003A1E4B"/>
    <w:rsid w:val="00455EB5"/>
    <w:rsid w:val="00461C1C"/>
    <w:rsid w:val="004B72ED"/>
    <w:rsid w:val="004E2027"/>
    <w:rsid w:val="0054355D"/>
    <w:rsid w:val="005F21F3"/>
    <w:rsid w:val="00870040"/>
    <w:rsid w:val="008F6A9B"/>
    <w:rsid w:val="00A673B9"/>
    <w:rsid w:val="00A77B15"/>
    <w:rsid w:val="00BE0F2D"/>
    <w:rsid w:val="00C03643"/>
    <w:rsid w:val="00C2797F"/>
    <w:rsid w:val="00C80225"/>
    <w:rsid w:val="00D228C9"/>
    <w:rsid w:val="00D2552B"/>
    <w:rsid w:val="00D75B64"/>
    <w:rsid w:val="00DB5324"/>
    <w:rsid w:val="00E97654"/>
    <w:rsid w:val="00EA555A"/>
    <w:rsid w:val="00F87EB9"/>
    <w:rsid w:val="00FC30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EB6041B"/>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4355D"/>
    <w:rPr>
      <w:color w:val="808080"/>
    </w:rPr>
  </w:style>
  <w:style w:type="paragraph" w:customStyle="1" w:styleId="61E91D4220034A64A72268AE9C6EBC95">
    <w:name w:val="61E91D4220034A64A72268AE9C6EBC95"/>
    <w:rsid w:val="00FC30A1"/>
  </w:style>
  <w:style w:type="paragraph" w:customStyle="1" w:styleId="6A100845774148B09AFD987423307E3B">
    <w:name w:val="6A100845774148B09AFD987423307E3B"/>
    <w:rsid w:val="00FC30A1"/>
  </w:style>
  <w:style w:type="paragraph" w:customStyle="1" w:styleId="B59CD9F2DCBD416F8DD4ACE1656AAD1E">
    <w:name w:val="B59CD9F2DCBD416F8DD4ACE1656AAD1E"/>
    <w:rsid w:val="00FC30A1"/>
  </w:style>
  <w:style w:type="paragraph" w:customStyle="1" w:styleId="8ED943CC099849739225897FA985A43B">
    <w:name w:val="8ED943CC099849739225897FA985A43B"/>
    <w:rsid w:val="00FC30A1"/>
  </w:style>
  <w:style w:type="paragraph" w:customStyle="1" w:styleId="FE39700CCB674637AE5F6C6E2061646C">
    <w:name w:val="FE39700CCB674637AE5F6C6E2061646C"/>
    <w:rsid w:val="00FC30A1"/>
  </w:style>
  <w:style w:type="paragraph" w:customStyle="1" w:styleId="7B079A827B8044F6A41B2928311FF845">
    <w:name w:val="7B079A827B8044F6A41B2928311FF845"/>
    <w:rsid w:val="00FC30A1"/>
  </w:style>
  <w:style w:type="paragraph" w:customStyle="1" w:styleId="7AD354A3534E470A93D37CC867B6592A">
    <w:name w:val="7AD354A3534E470A93D37CC867B6592A"/>
    <w:rsid w:val="00FC30A1"/>
  </w:style>
  <w:style w:type="paragraph" w:customStyle="1" w:styleId="E4B3B6CDCBD242798A4970CADFA5E45C">
    <w:name w:val="E4B3B6CDCBD242798A4970CADFA5E45C"/>
    <w:rsid w:val="00FC30A1"/>
  </w:style>
  <w:style w:type="paragraph" w:customStyle="1" w:styleId="83C1F2711A1D449CA51A71C971CF21CF">
    <w:name w:val="83C1F2711A1D449CA51A71C971CF21CF"/>
    <w:rsid w:val="00FC30A1"/>
  </w:style>
  <w:style w:type="paragraph" w:customStyle="1" w:styleId="02A26E1EFA164EA1871864CD9111681B">
    <w:name w:val="02A26E1EFA164EA1871864CD9111681B"/>
    <w:rsid w:val="00FC30A1"/>
  </w:style>
  <w:style w:type="paragraph" w:customStyle="1" w:styleId="3D9FB160D9F84384B14F2A497B2D7AAC">
    <w:name w:val="3D9FB160D9F84384B14F2A497B2D7AAC"/>
    <w:rsid w:val="00FC30A1"/>
  </w:style>
  <w:style w:type="paragraph" w:customStyle="1" w:styleId="6B50521F14D742858FCF97254FD58AC4">
    <w:name w:val="6B50521F14D742858FCF97254FD58AC4"/>
    <w:rsid w:val="00FC30A1"/>
  </w:style>
  <w:style w:type="paragraph" w:customStyle="1" w:styleId="61E91D4220034A64A72268AE9C6EBC951">
    <w:name w:val="61E91D4220034A64A72268AE9C6EBC951"/>
    <w:rsid w:val="00C2797F"/>
    <w:pPr>
      <w:spacing w:after="0" w:line="240" w:lineRule="auto"/>
      <w:ind w:left="360" w:hanging="360"/>
    </w:pPr>
    <w:rPr>
      <w:rFonts w:eastAsiaTheme="minorHAnsi"/>
    </w:rPr>
  </w:style>
  <w:style w:type="paragraph" w:customStyle="1" w:styleId="6A100845774148B09AFD987423307E3B1">
    <w:name w:val="6A100845774148B09AFD987423307E3B1"/>
    <w:rsid w:val="00C2797F"/>
    <w:pPr>
      <w:spacing w:after="0" w:line="240" w:lineRule="auto"/>
      <w:ind w:left="360" w:hanging="360"/>
    </w:pPr>
    <w:rPr>
      <w:rFonts w:eastAsiaTheme="minorHAnsi"/>
    </w:rPr>
  </w:style>
  <w:style w:type="paragraph" w:customStyle="1" w:styleId="B59CD9F2DCBD416F8DD4ACE1656AAD1E1">
    <w:name w:val="B59CD9F2DCBD416F8DD4ACE1656AAD1E1"/>
    <w:rsid w:val="00C2797F"/>
    <w:pPr>
      <w:spacing w:after="0" w:line="240" w:lineRule="auto"/>
      <w:ind w:left="360" w:hanging="360"/>
    </w:pPr>
    <w:rPr>
      <w:rFonts w:eastAsiaTheme="minorHAnsi"/>
    </w:rPr>
  </w:style>
  <w:style w:type="paragraph" w:customStyle="1" w:styleId="8ED943CC099849739225897FA985A43B1">
    <w:name w:val="8ED943CC099849739225897FA985A43B1"/>
    <w:rsid w:val="00C2797F"/>
    <w:pPr>
      <w:spacing w:after="0" w:line="240" w:lineRule="auto"/>
      <w:ind w:left="360" w:hanging="360"/>
    </w:pPr>
    <w:rPr>
      <w:rFonts w:eastAsiaTheme="minorHAnsi"/>
    </w:rPr>
  </w:style>
  <w:style w:type="paragraph" w:customStyle="1" w:styleId="FE39700CCB674637AE5F6C6E2061646C1">
    <w:name w:val="FE39700CCB674637AE5F6C6E2061646C1"/>
    <w:rsid w:val="00C2797F"/>
    <w:pPr>
      <w:spacing w:after="0" w:line="240" w:lineRule="auto"/>
      <w:ind w:left="360" w:hanging="360"/>
    </w:pPr>
    <w:rPr>
      <w:rFonts w:eastAsiaTheme="minorHAnsi"/>
    </w:rPr>
  </w:style>
  <w:style w:type="paragraph" w:customStyle="1" w:styleId="7B079A827B8044F6A41B2928311FF8451">
    <w:name w:val="7B079A827B8044F6A41B2928311FF8451"/>
    <w:rsid w:val="00C2797F"/>
    <w:pPr>
      <w:spacing w:after="0" w:line="240" w:lineRule="auto"/>
      <w:ind w:left="360" w:hanging="360"/>
    </w:pPr>
    <w:rPr>
      <w:rFonts w:eastAsiaTheme="minorHAnsi"/>
    </w:rPr>
  </w:style>
  <w:style w:type="paragraph" w:customStyle="1" w:styleId="7AD354A3534E470A93D37CC867B6592A1">
    <w:name w:val="7AD354A3534E470A93D37CC867B6592A1"/>
    <w:rsid w:val="00C2797F"/>
    <w:pPr>
      <w:spacing w:after="0" w:line="240" w:lineRule="auto"/>
      <w:ind w:left="360" w:hanging="360"/>
    </w:pPr>
    <w:rPr>
      <w:rFonts w:eastAsiaTheme="minorHAnsi"/>
    </w:rPr>
  </w:style>
  <w:style w:type="paragraph" w:customStyle="1" w:styleId="D7595CF80D4D484686C7EB51E001CF5E">
    <w:name w:val="D7595CF80D4D484686C7EB51E001CF5E"/>
    <w:rsid w:val="00C2797F"/>
    <w:pPr>
      <w:spacing w:after="0" w:line="240" w:lineRule="auto"/>
      <w:ind w:left="360" w:hanging="360"/>
    </w:pPr>
    <w:rPr>
      <w:rFonts w:eastAsiaTheme="minorHAnsi"/>
    </w:rPr>
  </w:style>
  <w:style w:type="paragraph" w:customStyle="1" w:styleId="1FB0BFDDF2E04426AA7D3CB9F5B78DEE">
    <w:name w:val="1FB0BFDDF2E04426AA7D3CB9F5B78DEE"/>
    <w:rsid w:val="00C2797F"/>
    <w:pPr>
      <w:tabs>
        <w:tab w:val="center" w:pos="4680"/>
        <w:tab w:val="right" w:pos="9360"/>
      </w:tabs>
      <w:spacing w:after="0" w:line="240" w:lineRule="auto"/>
      <w:ind w:left="360" w:hanging="360"/>
    </w:pPr>
    <w:rPr>
      <w:rFonts w:eastAsiaTheme="minorHAnsi"/>
    </w:rPr>
  </w:style>
  <w:style w:type="paragraph" w:customStyle="1" w:styleId="F1560DAC280943FAB9895231379C9EBC">
    <w:name w:val="F1560DAC280943FAB9895231379C9EBC"/>
    <w:rsid w:val="00C2797F"/>
  </w:style>
  <w:style w:type="paragraph" w:customStyle="1" w:styleId="72600D3732554DC083A096F37118546F">
    <w:name w:val="72600D3732554DC083A096F37118546F"/>
    <w:rsid w:val="008F6A9B"/>
  </w:style>
  <w:style w:type="paragraph" w:customStyle="1" w:styleId="D591CFA96B3D49F29BCCC4C398F45B0E">
    <w:name w:val="D591CFA96B3D49F29BCCC4C398F45B0E"/>
    <w:rsid w:val="008F6A9B"/>
  </w:style>
  <w:style w:type="paragraph" w:customStyle="1" w:styleId="61E91D4220034A64A72268AE9C6EBC952">
    <w:name w:val="61E91D4220034A64A72268AE9C6EBC952"/>
    <w:rsid w:val="008F6A9B"/>
    <w:pPr>
      <w:spacing w:after="0" w:line="240" w:lineRule="auto"/>
      <w:ind w:left="360" w:hanging="360"/>
    </w:pPr>
    <w:rPr>
      <w:rFonts w:eastAsiaTheme="minorHAnsi"/>
    </w:rPr>
  </w:style>
  <w:style w:type="paragraph" w:customStyle="1" w:styleId="6A100845774148B09AFD987423307E3B2">
    <w:name w:val="6A100845774148B09AFD987423307E3B2"/>
    <w:rsid w:val="008F6A9B"/>
    <w:pPr>
      <w:spacing w:after="0" w:line="240" w:lineRule="auto"/>
      <w:ind w:left="360" w:hanging="360"/>
    </w:pPr>
    <w:rPr>
      <w:rFonts w:eastAsiaTheme="minorHAnsi"/>
    </w:rPr>
  </w:style>
  <w:style w:type="paragraph" w:customStyle="1" w:styleId="B59CD9F2DCBD416F8DD4ACE1656AAD1E2">
    <w:name w:val="B59CD9F2DCBD416F8DD4ACE1656AAD1E2"/>
    <w:rsid w:val="008F6A9B"/>
    <w:pPr>
      <w:spacing w:after="0" w:line="240" w:lineRule="auto"/>
      <w:ind w:left="360" w:hanging="360"/>
    </w:pPr>
    <w:rPr>
      <w:rFonts w:eastAsiaTheme="minorHAnsi"/>
    </w:rPr>
  </w:style>
  <w:style w:type="paragraph" w:customStyle="1" w:styleId="8ED943CC099849739225897FA985A43B2">
    <w:name w:val="8ED943CC099849739225897FA985A43B2"/>
    <w:rsid w:val="008F6A9B"/>
    <w:pPr>
      <w:spacing w:after="0" w:line="240" w:lineRule="auto"/>
      <w:ind w:left="360" w:hanging="360"/>
    </w:pPr>
    <w:rPr>
      <w:rFonts w:eastAsiaTheme="minorHAnsi"/>
    </w:rPr>
  </w:style>
  <w:style w:type="paragraph" w:customStyle="1" w:styleId="FE39700CCB674637AE5F6C6E2061646C2">
    <w:name w:val="FE39700CCB674637AE5F6C6E2061646C2"/>
    <w:rsid w:val="008F6A9B"/>
    <w:pPr>
      <w:spacing w:after="0" w:line="240" w:lineRule="auto"/>
      <w:ind w:left="360" w:hanging="360"/>
    </w:pPr>
    <w:rPr>
      <w:rFonts w:eastAsiaTheme="minorHAnsi"/>
    </w:rPr>
  </w:style>
  <w:style w:type="paragraph" w:customStyle="1" w:styleId="7B079A827B8044F6A41B2928311FF8452">
    <w:name w:val="7B079A827B8044F6A41B2928311FF8452"/>
    <w:rsid w:val="008F6A9B"/>
    <w:pPr>
      <w:spacing w:after="0" w:line="240" w:lineRule="auto"/>
      <w:ind w:left="360" w:hanging="360"/>
    </w:pPr>
    <w:rPr>
      <w:rFonts w:eastAsiaTheme="minorHAnsi"/>
    </w:rPr>
  </w:style>
  <w:style w:type="paragraph" w:customStyle="1" w:styleId="7AD354A3534E470A93D37CC867B6592A2">
    <w:name w:val="7AD354A3534E470A93D37CC867B6592A2"/>
    <w:rsid w:val="008F6A9B"/>
    <w:pPr>
      <w:spacing w:after="0" w:line="240" w:lineRule="auto"/>
      <w:ind w:left="360" w:hanging="360"/>
    </w:pPr>
    <w:rPr>
      <w:rFonts w:eastAsiaTheme="minorHAnsi"/>
    </w:rPr>
  </w:style>
  <w:style w:type="paragraph" w:customStyle="1" w:styleId="690F238D284B4D6FBB345393104A00B7">
    <w:name w:val="690F238D284B4D6FBB345393104A00B7"/>
    <w:rsid w:val="008F6A9B"/>
    <w:pPr>
      <w:spacing w:after="0" w:line="240" w:lineRule="auto"/>
      <w:ind w:left="360" w:hanging="360"/>
    </w:pPr>
    <w:rPr>
      <w:rFonts w:eastAsiaTheme="minorHAnsi"/>
    </w:rPr>
  </w:style>
  <w:style w:type="paragraph" w:customStyle="1" w:styleId="16055023A8FF46AD93F9B03E59DA7CDD">
    <w:name w:val="16055023A8FF46AD93F9B03E59DA7CDD"/>
    <w:rsid w:val="008F6A9B"/>
    <w:pPr>
      <w:tabs>
        <w:tab w:val="center" w:pos="4680"/>
        <w:tab w:val="right" w:pos="9360"/>
      </w:tabs>
      <w:spacing w:after="0" w:line="240" w:lineRule="auto"/>
      <w:ind w:left="360" w:hanging="360"/>
    </w:pPr>
    <w:rPr>
      <w:rFonts w:eastAsiaTheme="minorHAnsi"/>
    </w:rPr>
  </w:style>
  <w:style w:type="paragraph" w:customStyle="1" w:styleId="8924E7CB4D5C4CC4905BEA5FE80343E5">
    <w:name w:val="8924E7CB4D5C4CC4905BEA5FE80343E5"/>
    <w:rsid w:val="00160241"/>
  </w:style>
  <w:style w:type="paragraph" w:customStyle="1" w:styleId="F30279444DFD4347858F1E4C80B7C67C">
    <w:name w:val="F30279444DFD4347858F1E4C80B7C67C"/>
    <w:rsid w:val="00461C1C"/>
  </w:style>
  <w:style w:type="paragraph" w:customStyle="1" w:styleId="61E91D4220034A64A72268AE9C6EBC953">
    <w:name w:val="61E91D4220034A64A72268AE9C6EBC953"/>
    <w:rsid w:val="00F87EB9"/>
    <w:pPr>
      <w:spacing w:after="0" w:line="240" w:lineRule="auto"/>
      <w:ind w:left="360" w:hanging="360"/>
    </w:pPr>
    <w:rPr>
      <w:rFonts w:eastAsiaTheme="minorHAnsi"/>
    </w:rPr>
  </w:style>
  <w:style w:type="paragraph" w:customStyle="1" w:styleId="8924E7CB4D5C4CC4905BEA5FE80343E51">
    <w:name w:val="8924E7CB4D5C4CC4905BEA5FE80343E51"/>
    <w:rsid w:val="00F87EB9"/>
    <w:pPr>
      <w:spacing w:after="0" w:line="240" w:lineRule="auto"/>
      <w:ind w:left="360" w:hanging="360"/>
    </w:pPr>
    <w:rPr>
      <w:rFonts w:eastAsiaTheme="minorHAnsi"/>
    </w:rPr>
  </w:style>
  <w:style w:type="paragraph" w:customStyle="1" w:styleId="6A100845774148B09AFD987423307E3B3">
    <w:name w:val="6A100845774148B09AFD987423307E3B3"/>
    <w:rsid w:val="00F87EB9"/>
    <w:pPr>
      <w:spacing w:after="0" w:line="240" w:lineRule="auto"/>
      <w:ind w:left="360" w:hanging="360"/>
    </w:pPr>
    <w:rPr>
      <w:rFonts w:eastAsiaTheme="minorHAnsi"/>
    </w:rPr>
  </w:style>
  <w:style w:type="paragraph" w:customStyle="1" w:styleId="041DAD2E359F4FA2848EB67C2E48F029">
    <w:name w:val="041DAD2E359F4FA2848EB67C2E48F029"/>
    <w:rsid w:val="00F87EB9"/>
    <w:pPr>
      <w:spacing w:after="0" w:line="240" w:lineRule="auto"/>
      <w:ind w:left="360" w:hanging="360"/>
    </w:pPr>
    <w:rPr>
      <w:rFonts w:eastAsiaTheme="minorHAnsi"/>
    </w:rPr>
  </w:style>
  <w:style w:type="paragraph" w:customStyle="1" w:styleId="8976851BFEE34EC8AB577B36C7EC1773">
    <w:name w:val="8976851BFEE34EC8AB577B36C7EC1773"/>
    <w:rsid w:val="00F87EB9"/>
    <w:pPr>
      <w:spacing w:after="0" w:line="240" w:lineRule="auto"/>
      <w:ind w:left="360" w:hanging="360"/>
    </w:pPr>
    <w:rPr>
      <w:rFonts w:eastAsiaTheme="minorHAnsi"/>
    </w:rPr>
  </w:style>
  <w:style w:type="paragraph" w:customStyle="1" w:styleId="B89F06B695EF41C8905F2C302ADDC341">
    <w:name w:val="B89F06B695EF41C8905F2C302ADDC341"/>
    <w:rsid w:val="00F87EB9"/>
    <w:pPr>
      <w:spacing w:after="0" w:line="240" w:lineRule="auto"/>
      <w:ind w:left="360" w:hanging="360"/>
    </w:pPr>
    <w:rPr>
      <w:rFonts w:eastAsiaTheme="minorHAnsi"/>
    </w:rPr>
  </w:style>
  <w:style w:type="paragraph" w:customStyle="1" w:styleId="18E069800924413B8B0DCF1E4629BFB3">
    <w:name w:val="18E069800924413B8B0DCF1E4629BFB3"/>
    <w:rsid w:val="00F87EB9"/>
    <w:pPr>
      <w:spacing w:after="0" w:line="240" w:lineRule="auto"/>
      <w:ind w:left="360" w:hanging="360"/>
    </w:pPr>
    <w:rPr>
      <w:rFonts w:eastAsiaTheme="minorHAnsi"/>
    </w:rPr>
  </w:style>
  <w:style w:type="paragraph" w:customStyle="1" w:styleId="2258D32411FA4C08AE3CF99A001894E9">
    <w:name w:val="2258D32411FA4C08AE3CF99A001894E9"/>
    <w:rsid w:val="00F87EB9"/>
    <w:pPr>
      <w:spacing w:after="0" w:line="240" w:lineRule="auto"/>
      <w:ind w:left="360" w:hanging="360"/>
    </w:pPr>
    <w:rPr>
      <w:rFonts w:eastAsiaTheme="minorHAnsi"/>
    </w:rPr>
  </w:style>
  <w:style w:type="paragraph" w:customStyle="1" w:styleId="50D6FDEC50A4467E8187F237C444E603">
    <w:name w:val="50D6FDEC50A4467E8187F237C444E603"/>
    <w:rsid w:val="00F87EB9"/>
    <w:pPr>
      <w:spacing w:after="0" w:line="240" w:lineRule="auto"/>
      <w:ind w:left="360" w:hanging="360"/>
    </w:pPr>
    <w:rPr>
      <w:rFonts w:eastAsiaTheme="minorHAnsi"/>
    </w:rPr>
  </w:style>
  <w:style w:type="paragraph" w:customStyle="1" w:styleId="FE4951A9A79F4E89AADB293907F0FCBF">
    <w:name w:val="FE4951A9A79F4E89AADB293907F0FCBF"/>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1">
    <w:name w:val="FE4951A9A79F4E89AADB293907F0FCBF1"/>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2">
    <w:name w:val="FE4951A9A79F4E89AADB293907F0FCBF2"/>
    <w:rsid w:val="00F87EB9"/>
    <w:pPr>
      <w:tabs>
        <w:tab w:val="center" w:pos="4680"/>
        <w:tab w:val="right" w:pos="9360"/>
      </w:tabs>
      <w:spacing w:after="0" w:line="240" w:lineRule="auto"/>
      <w:ind w:left="360" w:hanging="360"/>
    </w:pPr>
    <w:rPr>
      <w:rFonts w:eastAsiaTheme="minorHAnsi"/>
    </w:rPr>
  </w:style>
  <w:style w:type="paragraph" w:customStyle="1" w:styleId="AB1B0578B87C4E9EA043F449B0E6989F">
    <w:name w:val="AB1B0578B87C4E9EA043F449B0E6989F"/>
    <w:rsid w:val="002B5F47"/>
  </w:style>
  <w:style w:type="paragraph" w:customStyle="1" w:styleId="AB1B0578B87C4E9EA043F449B0E6989F1">
    <w:name w:val="AB1B0578B87C4E9EA043F449B0E6989F1"/>
    <w:rsid w:val="002B5F47"/>
    <w:pPr>
      <w:spacing w:after="0" w:line="240" w:lineRule="auto"/>
      <w:ind w:left="360" w:hanging="360"/>
    </w:pPr>
    <w:rPr>
      <w:rFonts w:eastAsiaTheme="minorHAnsi"/>
    </w:rPr>
  </w:style>
  <w:style w:type="paragraph" w:customStyle="1" w:styleId="61E91D4220034A64A72268AE9C6EBC954">
    <w:name w:val="61E91D4220034A64A72268AE9C6EBC954"/>
    <w:rsid w:val="002B5F47"/>
    <w:pPr>
      <w:spacing w:after="0" w:line="240" w:lineRule="auto"/>
      <w:ind w:left="360" w:hanging="360"/>
    </w:pPr>
    <w:rPr>
      <w:rFonts w:eastAsiaTheme="minorHAnsi"/>
    </w:rPr>
  </w:style>
  <w:style w:type="paragraph" w:customStyle="1" w:styleId="8924E7CB4D5C4CC4905BEA5FE80343E52">
    <w:name w:val="8924E7CB4D5C4CC4905BEA5FE80343E52"/>
    <w:rsid w:val="002B5F47"/>
    <w:pPr>
      <w:spacing w:after="0" w:line="240" w:lineRule="auto"/>
      <w:ind w:left="360" w:hanging="360"/>
    </w:pPr>
    <w:rPr>
      <w:rFonts w:eastAsiaTheme="minorHAnsi"/>
    </w:rPr>
  </w:style>
  <w:style w:type="paragraph" w:customStyle="1" w:styleId="6A100845774148B09AFD987423307E3B4">
    <w:name w:val="6A100845774148B09AFD987423307E3B4"/>
    <w:rsid w:val="002B5F47"/>
    <w:pPr>
      <w:spacing w:after="0" w:line="240" w:lineRule="auto"/>
      <w:ind w:left="360" w:hanging="360"/>
    </w:pPr>
    <w:rPr>
      <w:rFonts w:eastAsiaTheme="minorHAnsi"/>
    </w:rPr>
  </w:style>
  <w:style w:type="paragraph" w:customStyle="1" w:styleId="9D75847318FD4C758784349FFB06DC38">
    <w:name w:val="9D75847318FD4C758784349FFB06DC38"/>
    <w:rsid w:val="002B5F47"/>
    <w:pPr>
      <w:spacing w:after="0" w:line="240" w:lineRule="auto"/>
      <w:ind w:left="360" w:hanging="360"/>
    </w:pPr>
    <w:rPr>
      <w:rFonts w:eastAsiaTheme="minorHAnsi"/>
    </w:rPr>
  </w:style>
  <w:style w:type="paragraph" w:customStyle="1" w:styleId="2B99015EBC8C42E59EAF748FDFC94310">
    <w:name w:val="2B99015EBC8C42E59EAF748FDFC94310"/>
    <w:rsid w:val="002B5F47"/>
    <w:pPr>
      <w:spacing w:after="0" w:line="240" w:lineRule="auto"/>
      <w:ind w:left="360" w:hanging="360"/>
    </w:pPr>
    <w:rPr>
      <w:rFonts w:eastAsiaTheme="minorHAnsi"/>
    </w:rPr>
  </w:style>
  <w:style w:type="paragraph" w:customStyle="1" w:styleId="B238509E1F334D88A227ED52EA5BF893">
    <w:name w:val="B238509E1F334D88A227ED52EA5BF893"/>
    <w:rsid w:val="002B5F47"/>
    <w:pPr>
      <w:spacing w:after="0" w:line="240" w:lineRule="auto"/>
      <w:ind w:left="360" w:hanging="360"/>
    </w:pPr>
    <w:rPr>
      <w:rFonts w:eastAsiaTheme="minorHAnsi"/>
    </w:rPr>
  </w:style>
  <w:style w:type="paragraph" w:customStyle="1" w:styleId="6FD8CFA6B3E24BCD87EAA8CD44E95587">
    <w:name w:val="6FD8CFA6B3E24BCD87EAA8CD44E95587"/>
    <w:rsid w:val="002B5F47"/>
    <w:pPr>
      <w:spacing w:after="0" w:line="240" w:lineRule="auto"/>
      <w:ind w:left="360" w:hanging="360"/>
    </w:pPr>
    <w:rPr>
      <w:rFonts w:eastAsiaTheme="minorHAnsi"/>
    </w:rPr>
  </w:style>
  <w:style w:type="paragraph" w:customStyle="1" w:styleId="2B38FBE0E45547A4943ABCE42B70AADA">
    <w:name w:val="2B38FBE0E45547A4943ABCE42B70AADA"/>
    <w:rsid w:val="002B5F47"/>
    <w:pPr>
      <w:spacing w:after="0" w:line="240" w:lineRule="auto"/>
      <w:ind w:left="360" w:hanging="360"/>
    </w:pPr>
    <w:rPr>
      <w:rFonts w:eastAsiaTheme="minorHAnsi"/>
    </w:rPr>
  </w:style>
  <w:style w:type="paragraph" w:customStyle="1" w:styleId="7CCD991507AC445D9F97128E4909AC5D">
    <w:name w:val="7CCD991507AC445D9F97128E4909AC5D"/>
    <w:rsid w:val="002B5F47"/>
    <w:pPr>
      <w:spacing w:after="0" w:line="240" w:lineRule="auto"/>
      <w:ind w:left="360" w:hanging="360"/>
    </w:pPr>
    <w:rPr>
      <w:rFonts w:eastAsiaTheme="minorHAnsi"/>
    </w:rPr>
  </w:style>
  <w:style w:type="paragraph" w:customStyle="1" w:styleId="C159F3E80A2E45EF9EE3AB3F0528C605">
    <w:name w:val="C159F3E80A2E45EF9EE3AB3F0528C605"/>
    <w:rsid w:val="002B5F47"/>
    <w:pPr>
      <w:spacing w:after="0" w:line="240" w:lineRule="auto"/>
      <w:ind w:left="360" w:hanging="360"/>
    </w:pPr>
    <w:rPr>
      <w:rFonts w:eastAsiaTheme="minorHAnsi"/>
    </w:rPr>
  </w:style>
  <w:style w:type="paragraph" w:customStyle="1" w:styleId="F166DE160DBD4651BD173FF69E398136">
    <w:name w:val="F166DE160DBD4651BD173FF69E398136"/>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1">
    <w:name w:val="F166DE160DBD4651BD173FF69E3981361"/>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2">
    <w:name w:val="F166DE160DBD4651BD173FF69E3981362"/>
    <w:rsid w:val="002B5F47"/>
    <w:pPr>
      <w:tabs>
        <w:tab w:val="center" w:pos="4680"/>
        <w:tab w:val="right" w:pos="9360"/>
      </w:tabs>
      <w:spacing w:after="0" w:line="240" w:lineRule="auto"/>
      <w:ind w:left="360" w:hanging="360"/>
    </w:pPr>
    <w:rPr>
      <w:rFonts w:eastAsiaTheme="minorHAnsi"/>
    </w:rPr>
  </w:style>
  <w:style w:type="paragraph" w:customStyle="1" w:styleId="AB1B0578B87C4E9EA043F449B0E6989F2">
    <w:name w:val="AB1B0578B87C4E9EA043F449B0E6989F2"/>
    <w:rsid w:val="005F21F3"/>
    <w:pPr>
      <w:spacing w:after="0" w:line="240" w:lineRule="auto"/>
      <w:ind w:left="360" w:hanging="360"/>
    </w:pPr>
    <w:rPr>
      <w:rFonts w:eastAsiaTheme="minorHAnsi"/>
    </w:rPr>
  </w:style>
  <w:style w:type="paragraph" w:customStyle="1" w:styleId="61E91D4220034A64A72268AE9C6EBC955">
    <w:name w:val="61E91D4220034A64A72268AE9C6EBC955"/>
    <w:rsid w:val="005F21F3"/>
    <w:pPr>
      <w:spacing w:after="0" w:line="240" w:lineRule="auto"/>
      <w:ind w:left="360" w:hanging="360"/>
    </w:pPr>
    <w:rPr>
      <w:rFonts w:eastAsiaTheme="minorHAnsi"/>
    </w:rPr>
  </w:style>
  <w:style w:type="paragraph" w:customStyle="1" w:styleId="8924E7CB4D5C4CC4905BEA5FE80343E53">
    <w:name w:val="8924E7CB4D5C4CC4905BEA5FE80343E53"/>
    <w:rsid w:val="005F21F3"/>
    <w:pPr>
      <w:spacing w:after="0" w:line="240" w:lineRule="auto"/>
      <w:ind w:left="360" w:hanging="360"/>
    </w:pPr>
    <w:rPr>
      <w:rFonts w:eastAsiaTheme="minorHAnsi"/>
    </w:rPr>
  </w:style>
  <w:style w:type="paragraph" w:customStyle="1" w:styleId="6A100845774148B09AFD987423307E3B5">
    <w:name w:val="6A100845774148B09AFD987423307E3B5"/>
    <w:rsid w:val="005F21F3"/>
    <w:pPr>
      <w:spacing w:after="0" w:line="240" w:lineRule="auto"/>
      <w:ind w:left="360" w:hanging="360"/>
    </w:pPr>
    <w:rPr>
      <w:rFonts w:eastAsiaTheme="minorHAnsi"/>
    </w:rPr>
  </w:style>
  <w:style w:type="paragraph" w:customStyle="1" w:styleId="8A37B22604104FD58FD9B5969045D3F1">
    <w:name w:val="8A37B22604104FD58FD9B5969045D3F1"/>
    <w:rsid w:val="005F21F3"/>
    <w:pPr>
      <w:spacing w:after="0" w:line="240" w:lineRule="auto"/>
      <w:ind w:left="360" w:hanging="360"/>
    </w:pPr>
    <w:rPr>
      <w:rFonts w:eastAsiaTheme="minorHAnsi"/>
    </w:rPr>
  </w:style>
  <w:style w:type="paragraph" w:customStyle="1" w:styleId="962214A8263E430591B9ED4CADA7154B">
    <w:name w:val="962214A8263E430591B9ED4CADA7154B"/>
    <w:rsid w:val="005F21F3"/>
    <w:pPr>
      <w:spacing w:after="0" w:line="240" w:lineRule="auto"/>
      <w:ind w:left="360" w:hanging="360"/>
    </w:pPr>
    <w:rPr>
      <w:rFonts w:eastAsiaTheme="minorHAnsi"/>
    </w:rPr>
  </w:style>
  <w:style w:type="paragraph" w:customStyle="1" w:styleId="15AC292313CE45DC8AC3FC91D340CC66">
    <w:name w:val="15AC292313CE45DC8AC3FC91D340CC66"/>
    <w:rsid w:val="005F21F3"/>
    <w:pPr>
      <w:spacing w:after="0" w:line="240" w:lineRule="auto"/>
      <w:ind w:left="360" w:hanging="360"/>
    </w:pPr>
    <w:rPr>
      <w:rFonts w:eastAsiaTheme="minorHAnsi"/>
    </w:rPr>
  </w:style>
  <w:style w:type="paragraph" w:customStyle="1" w:styleId="4CBFC8EF1476485CBF0E82C994E3DC6E">
    <w:name w:val="4CBFC8EF1476485CBF0E82C994E3DC6E"/>
    <w:rsid w:val="005F21F3"/>
    <w:pPr>
      <w:spacing w:after="0" w:line="240" w:lineRule="auto"/>
      <w:ind w:left="360" w:hanging="360"/>
    </w:pPr>
    <w:rPr>
      <w:rFonts w:eastAsiaTheme="minorHAnsi"/>
    </w:rPr>
  </w:style>
  <w:style w:type="paragraph" w:customStyle="1" w:styleId="32094DA73C124CA8A717FF8A8F08AF3B">
    <w:name w:val="32094DA73C124CA8A717FF8A8F08AF3B"/>
    <w:rsid w:val="005F21F3"/>
    <w:pPr>
      <w:spacing w:after="0" w:line="240" w:lineRule="auto"/>
      <w:ind w:left="360" w:hanging="360"/>
    </w:pPr>
    <w:rPr>
      <w:rFonts w:eastAsiaTheme="minorHAnsi"/>
    </w:rPr>
  </w:style>
  <w:style w:type="paragraph" w:customStyle="1" w:styleId="A47729CCDE844CBF86BF69FF0481955B">
    <w:name w:val="A47729CCDE844CBF86BF69FF0481955B"/>
    <w:rsid w:val="005F21F3"/>
    <w:pPr>
      <w:spacing w:after="0" w:line="240" w:lineRule="auto"/>
      <w:ind w:left="360" w:hanging="360"/>
    </w:pPr>
    <w:rPr>
      <w:rFonts w:eastAsiaTheme="minorHAnsi"/>
    </w:rPr>
  </w:style>
  <w:style w:type="paragraph" w:customStyle="1" w:styleId="4FF54B78223544A29AA39B5261EBE67D">
    <w:name w:val="4FF54B78223544A29AA39B5261EBE67D"/>
    <w:rsid w:val="005F21F3"/>
    <w:pPr>
      <w:spacing w:after="0" w:line="240" w:lineRule="auto"/>
      <w:ind w:left="360" w:hanging="360"/>
    </w:pPr>
    <w:rPr>
      <w:rFonts w:eastAsiaTheme="minorHAnsi"/>
    </w:rPr>
  </w:style>
  <w:style w:type="paragraph" w:customStyle="1" w:styleId="73B308F1A99D4788BA3E9AC2AFE5C701">
    <w:name w:val="73B308F1A99D4788BA3E9AC2AFE5C701"/>
    <w:rsid w:val="001F47A0"/>
  </w:style>
  <w:style w:type="paragraph" w:customStyle="1" w:styleId="FE70CAAC3DF144259590A923A45CFA47">
    <w:name w:val="FE70CAAC3DF144259590A923A45CFA47"/>
    <w:rsid w:val="0054355D"/>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Custom 7">
      <a:dk1>
        <a:srgbClr val="543302"/>
      </a:dk1>
      <a:lt1>
        <a:srgbClr val="543302"/>
      </a:lt1>
      <a:dk2>
        <a:srgbClr val="E4EDEB"/>
      </a:dk2>
      <a:lt2>
        <a:srgbClr val="E4EDEB"/>
      </a:lt2>
      <a:accent1>
        <a:srgbClr val="E4EDEB"/>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634863537806517836</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ntent_x0020_Type xmlns="836b82f1-340d-495e-85b5-201c5296619a"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8CC1047693B9C4E82C98949384232E3" ma:contentTypeVersion="0" ma:contentTypeDescription="Create a new document." ma:contentTypeScope="" ma:versionID="f1f971ac7d559ead76220319017d3656">
  <xsd:schema xmlns:xsd="http://www.w3.org/2001/XMLSchema" xmlns:xs="http://www.w3.org/2001/XMLSchema" xmlns:p="http://schemas.microsoft.com/office/2006/metadata/properties" xmlns:ns2="836b82f1-340d-495e-85b5-201c5296619a" targetNamespace="http://schemas.microsoft.com/office/2006/metadata/properties" ma:root="true" ma:fieldsID="3be9963e7f408cfe264e4739eaeea019" ns2:_="">
    <xsd:import namespace="836b82f1-340d-495e-85b5-201c5296619a"/>
    <xsd:element name="properties">
      <xsd:complexType>
        <xsd:sequence>
          <xsd:element name="documentManagement">
            <xsd:complexType>
              <xsd:all>
                <xsd:element ref="ns2:Cont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6b82f1-340d-495e-85b5-201c5296619a" elementFormDefault="qualified">
    <xsd:import namespace="http://schemas.microsoft.com/office/2006/documentManagement/types"/>
    <xsd:import namespace="http://schemas.microsoft.com/office/infopath/2007/PartnerControls"/>
    <xsd:element name="Content_x0020_Type" ma:index="2" nillable="true" ma:displayName="Document Type" ma:format="Dropdown" ma:internalName="Content_x0020_Type">
      <xsd:simpleType>
        <xsd:restriction base="dms:Choice">
          <xsd:enumeration value="Policies &amp; Procedures"/>
          <xsd:enumeration value="Maintenance Forms"/>
          <xsd:enumeration value="Measure Developer Webinars"/>
          <xsd:enumeration value="Maintenance Tracking Documents"/>
          <xsd:enumeration value="CSAC Materials"/>
          <xsd:enumeration value="Reference Materials"/>
          <xsd:enumeration value="Measure Developer Workshop"/>
          <xsd:enumeration value="Measure Developer Schedules"/>
          <xsd:enumeration value="Measure Developer Advisory Panel"/>
          <xsd:enumeration value="Restructuring Maintenance"/>
          <xsd:enumeration value="Project Management"/>
          <xsd:enumeration value="Archiv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E77C6A-324F-4FC0-B7AC-A64B0A132FFF}">
  <ds:schemaRefs>
    <ds:schemaRef ds:uri="http://schemas.microsoft.com/sharepoint/events"/>
  </ds:schemaRefs>
</ds:datastoreItem>
</file>

<file path=customXml/itemProps2.xml><?xml version="1.0" encoding="utf-8"?>
<ds:datastoreItem xmlns:ds="http://schemas.openxmlformats.org/officeDocument/2006/customXml" ds:itemID="{910DB350-FC8B-4433-8EFB-33E9A67FD251}">
  <ds:schemaRefs>
    <ds:schemaRef ds:uri="http://schemas.microsoft.com/sharepoint/v3/contenttype/forms"/>
  </ds:schemaRefs>
</ds:datastoreItem>
</file>

<file path=customXml/itemProps3.xml><?xml version="1.0" encoding="utf-8"?>
<ds:datastoreItem xmlns:ds="http://schemas.openxmlformats.org/officeDocument/2006/customXml" ds:itemID="{DF2CDBE7-7F08-4F52-B308-EE351D989842}">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836b82f1-340d-495e-85b5-201c5296619a"/>
    <ds:schemaRef ds:uri="http://www.w3.org/XML/1998/namespace"/>
    <ds:schemaRef ds:uri="http://purl.org/dc/dcmitype/"/>
  </ds:schemaRefs>
</ds:datastoreItem>
</file>

<file path=customXml/itemProps4.xml><?xml version="1.0" encoding="utf-8"?>
<ds:datastoreItem xmlns:ds="http://schemas.openxmlformats.org/officeDocument/2006/customXml" ds:itemID="{8C703B16-F147-463E-8909-145470A06C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6b82f1-340d-495e-85b5-201c52966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9A0293D-2A40-43BD-AAA6-782D6C834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27</Pages>
  <Words>14116</Words>
  <Characters>80462</Characters>
  <Application>Microsoft Office Word</Application>
  <DocSecurity>0</DocSecurity>
  <Lines>670</Lines>
  <Paragraphs>188</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94390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Karen Pace</dc:creator>
  <cp:lastModifiedBy>Magda I</cp:lastModifiedBy>
  <cp:revision>5</cp:revision>
  <dcterms:created xsi:type="dcterms:W3CDTF">2019-04-19T14:54:00Z</dcterms:created>
  <dcterms:modified xsi:type="dcterms:W3CDTF">2019-04-22T18:29:00Z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0x010100B8CC1047693B9C4E82C98949384232E3</vt:lpwstr>
  </property>
</Properties>
</file>