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199D22F6"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color w:val="7030A0"/>
          </w:rPr>
          <w:id w:val="1103681744"/>
          <w:placeholder>
            <w:docPart w:val="AB1B0578B87C4E9EA043F449B0E6989F"/>
          </w:placeholder>
        </w:sdtPr>
        <w:sdtEndPr>
          <w:rPr>
            <w:rStyle w:val="DefaultParagraphFont"/>
            <w:rFonts w:cstheme="minorHAnsi"/>
            <w:b/>
            <w:noProof/>
          </w:rPr>
        </w:sdtEndPr>
        <w:sdtContent>
          <w:r w:rsidR="00BE711E" w:rsidRPr="00651E2E">
            <w:rPr>
              <w:rStyle w:val="Style1"/>
              <w:color w:val="7030A0"/>
            </w:rPr>
            <w:t>1550</w:t>
          </w:r>
        </w:sdtContent>
      </w:sdt>
    </w:p>
    <w:p w14:paraId="55B8DA2F" w14:textId="34258B7A"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BE711E" w:rsidRPr="00651E2E">
            <w:rPr>
              <w:rStyle w:val="Style1"/>
              <w:color w:val="7030A0"/>
            </w:rPr>
            <w:t>Hospital-level risk-standardized complication rate (RSCR) following elective primary total hip arthroplasty (THA) and/or total knee arthroplasty (TKA)</w:t>
          </w:r>
        </w:sdtContent>
      </w:sdt>
    </w:p>
    <w:p w14:paraId="55B8DA30" w14:textId="77777777"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14:paraId="55B8DA31" w14:textId="0774F38C"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color w:val="C00000"/>
          </w:rPr>
          <w:id w:val="-1689821638"/>
          <w:placeholder>
            <w:docPart w:val="6A100845774148B09AFD987423307E3B"/>
          </w:placeholder>
          <w:date w:fullDate="2020-11-02T00:00:00Z">
            <w:dateFormat w:val="M/d/yyyy"/>
            <w:lid w:val="en-US"/>
            <w:storeMappedDataAs w:val="dateTime"/>
            <w:calendar w:val="gregorian"/>
          </w:date>
        </w:sdtPr>
        <w:sdtEndPr>
          <w:rPr>
            <w:rStyle w:val="DefaultParagraphFont"/>
            <w:noProof/>
            <w:u w:val="none"/>
          </w:rPr>
        </w:sdtEndPr>
        <w:sdtContent>
          <w:r w:rsidR="00BE711E" w:rsidRPr="00651E2E">
            <w:rPr>
              <w:rStyle w:val="Style2"/>
              <w:color w:val="C00000"/>
            </w:rPr>
            <w:t>11/2/2020</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proofErr w:type="spellStart"/>
            <w:r w:rsidR="00A13867" w:rsidRPr="003B1CC5">
              <w:rPr>
                <w:rFonts w:cstheme="minorHAnsi"/>
              </w:rPr>
              <w:t>sub</w:t>
            </w:r>
            <w:r w:rsidRPr="003B1CC5">
              <w:rPr>
                <w:rFonts w:cstheme="minorHAnsi"/>
              </w:rPr>
              <w:t>criterion</w:t>
            </w:r>
            <w:proofErr w:type="spellEnd"/>
            <w:r w:rsidRPr="003B1CC5">
              <w:rPr>
                <w:rFonts w:cstheme="minorHAnsi"/>
              </w:rPr>
              <w:t xml:space="preserve">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2"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0" w:name="Note2"/>
            <w:bookmarkEnd w:id="0"/>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3"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4"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5"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0D673F71" w:rsidR="00496AF8" w:rsidRPr="003B1CC5" w:rsidRDefault="00090083" w:rsidP="00A9011D">
      <w:pPr>
        <w:ind w:left="432" w:hanging="432"/>
        <w:rPr>
          <w:rStyle w:val="Style2"/>
          <w:rFonts w:cstheme="minorHAnsi"/>
        </w:rPr>
      </w:pPr>
      <w:sdt>
        <w:sdtPr>
          <w:rPr>
            <w:bCs/>
            <w:color w:val="0000FF"/>
            <w:u w:val="single"/>
          </w:rPr>
          <w:id w:val="1077707841"/>
          <w14:checkbox>
            <w14:checked w14:val="1"/>
            <w14:checkedState w14:val="2612" w14:font="MS Gothic"/>
            <w14:uncheckedState w14:val="2610" w14:font="MS Gothic"/>
          </w14:checkbox>
        </w:sdtPr>
        <w:sdtEndPr/>
        <w:sdtContent>
          <w:r w:rsidR="00573A3A">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dtPr>
        <w:sdtEndPr>
          <w:rPr>
            <w:rStyle w:val="DefaultParagraphFont"/>
            <w:rFonts w:cstheme="minorBidi"/>
            <w:color w:val="auto"/>
            <w:u w:val="none"/>
          </w:rPr>
        </w:sdtEndPr>
        <w:sdtContent>
          <w:r w:rsidR="00BE711E" w:rsidRPr="009E11C0">
            <w:rPr>
              <w:rStyle w:val="Style2"/>
              <w:rFonts w:cstheme="minorHAnsi"/>
              <w:color w:val="7030A0"/>
              <w:u w:val="none"/>
            </w:rPr>
            <w:t>Hospital-level risk-standardized complication rate (RSCR) following elective primary total hip arthroplasty (THA) and/or total knee arthroplasty (TKA)</w:t>
          </w:r>
        </w:sdtContent>
      </w:sdt>
    </w:p>
    <w:p w14:paraId="55B8DA52" w14:textId="77777777" w:rsidR="00236F87" w:rsidRPr="003B1CC5" w:rsidRDefault="00090083"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090083"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777777" w:rsidR="00D73685" w:rsidRDefault="00090083"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howingPlcHdr/>
        </w:sdtPr>
        <w:sdtEndPr>
          <w:rPr>
            <w:rStyle w:val="DefaultParagraphFont"/>
            <w:rFonts w:cstheme="minorBidi"/>
            <w:bCs/>
            <w:color w:val="auto"/>
            <w:u w:val="none"/>
          </w:rPr>
        </w:sdtEndPr>
        <w:sdtContent>
          <w:r w:rsidR="00D73685" w:rsidRPr="003B1CC5">
            <w:rPr>
              <w:rStyle w:val="PlaceholderText"/>
              <w:rFonts w:cstheme="minorHAnsi"/>
              <w:color w:val="A6A6A6" w:themeColor="background1" w:themeShade="A6"/>
            </w:rPr>
            <w:t>Click here to name what is being measured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090083"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090083"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36A23E61" w:rsidR="002B06BD" w:rsidRDefault="00676BD4" w:rsidP="00090083">
      <w:pPr>
        <w:spacing w:before="120" w:after="120"/>
        <w:ind w:left="432" w:hanging="432"/>
        <w:rPr>
          <w:iCs/>
        </w:rPr>
      </w:pPr>
      <w:r>
        <w:rPr>
          <w:b/>
          <w:bCs/>
          <w:color w:val="0000FF"/>
        </w:rPr>
        <w:t>1a.</w:t>
      </w:r>
      <w:r w:rsidR="00C41794" w:rsidRPr="00832987">
        <w:rPr>
          <w:b/>
          <w:bCs/>
          <w:color w:val="0000FF"/>
        </w:rPr>
        <w:t>2</w:t>
      </w:r>
      <w:r w:rsidR="002B06BD" w:rsidRPr="00832987">
        <w:rPr>
          <w:bCs/>
        </w:rPr>
        <w:t xml:space="preserve"> </w:t>
      </w:r>
      <w:r w:rsidRPr="00832987">
        <w:rPr>
          <w:b/>
          <w:bCs/>
        </w:rPr>
        <w:t>LOGIC MODEL</w:t>
      </w:r>
      <w:r w:rsidRPr="00832987">
        <w:rPr>
          <w:bCs/>
        </w:rPr>
        <w:t xml:space="preserve"> </w:t>
      </w:r>
      <w:r w:rsidRPr="00832987">
        <w:rPr>
          <w:iCs/>
        </w:rPr>
        <w:t>Diagram or briefly describe</w:t>
      </w:r>
      <w:r w:rsidR="002B06BD" w:rsidRPr="00832987">
        <w:rPr>
          <w:iCs/>
        </w:rPr>
        <w:t xml:space="preserve"> the </w:t>
      </w:r>
      <w:r w:rsidRPr="00832987">
        <w:rPr>
          <w:iCs/>
        </w:rPr>
        <w:t>steps</w:t>
      </w:r>
      <w:r w:rsidR="00236F87" w:rsidRPr="00832987">
        <w:rPr>
          <w:iCs/>
        </w:rPr>
        <w:t xml:space="preserve"> </w:t>
      </w:r>
      <w:r w:rsidR="002B06BD" w:rsidRPr="00832987">
        <w:rPr>
          <w:iCs/>
        </w:rPr>
        <w:t xml:space="preserve">between </w:t>
      </w:r>
      <w:r w:rsidR="00CB06C9" w:rsidRPr="00832987">
        <w:rPr>
          <w:iCs/>
        </w:rPr>
        <w:t>the</w:t>
      </w:r>
      <w:r w:rsidR="002B06BD" w:rsidRPr="00832987">
        <w:rPr>
          <w:iCs/>
        </w:rPr>
        <w:t xml:space="preserve"> healthcare structure</w:t>
      </w:r>
      <w:r w:rsidR="00CB06C9" w:rsidRPr="00832987">
        <w:rPr>
          <w:iCs/>
        </w:rPr>
        <w:t>s</w:t>
      </w:r>
      <w:r w:rsidR="00F90F82" w:rsidRPr="00832987">
        <w:rPr>
          <w:iCs/>
        </w:rPr>
        <w:t xml:space="preserve"> and</w:t>
      </w:r>
      <w:r w:rsidR="002B06BD" w:rsidRPr="00832987">
        <w:rPr>
          <w:iCs/>
        </w:rPr>
        <w:t xml:space="preserve"> process</w:t>
      </w:r>
      <w:r w:rsidR="00CB06C9" w:rsidRPr="00832987">
        <w:rPr>
          <w:iCs/>
        </w:rPr>
        <w:t>es</w:t>
      </w:r>
      <w:r w:rsidRPr="00832987">
        <w:rPr>
          <w:iCs/>
        </w:rPr>
        <w:t xml:space="preserve"> (e.g.,</w:t>
      </w:r>
      <w:r w:rsidR="002B06BD" w:rsidRPr="00832987">
        <w:rPr>
          <w:iCs/>
        </w:rPr>
        <w:t xml:space="preserve"> intervention</w:t>
      </w:r>
      <w:r w:rsidR="00CB06C9" w:rsidRPr="00832987">
        <w:rPr>
          <w:iCs/>
        </w:rPr>
        <w:t>s</w:t>
      </w:r>
      <w:r w:rsidR="002B06BD" w:rsidRPr="00832987">
        <w:rPr>
          <w:iCs/>
        </w:rPr>
        <w:t>, or service</w:t>
      </w:r>
      <w:r w:rsidR="00CB06C9" w:rsidRPr="00832987">
        <w:rPr>
          <w:iCs/>
        </w:rPr>
        <w:t>s</w:t>
      </w:r>
      <w:r w:rsidRPr="00832987">
        <w:rPr>
          <w:iCs/>
        </w:rPr>
        <w:t>)</w:t>
      </w:r>
      <w:r w:rsidR="00CB06C9" w:rsidRPr="00832987">
        <w:rPr>
          <w:iCs/>
        </w:rPr>
        <w:t xml:space="preserve"> </w:t>
      </w:r>
      <w:r w:rsidRPr="00832987">
        <w:rPr>
          <w:iCs/>
        </w:rPr>
        <w:t>and the patient’s health outcome</w:t>
      </w:r>
      <w:r w:rsidR="00F90F82" w:rsidRPr="00832987">
        <w:rPr>
          <w:iCs/>
        </w:rPr>
        <w:t>(s)</w:t>
      </w:r>
      <w:r w:rsidRPr="00832987">
        <w:rPr>
          <w:iCs/>
        </w:rPr>
        <w:t xml:space="preserve">. The relationships in the diagram should be easily understood by general, non-technical audiences. Indicate the </w:t>
      </w:r>
      <w:r w:rsidR="00F90F82" w:rsidRPr="00832987">
        <w:rPr>
          <w:iCs/>
        </w:rPr>
        <w:t xml:space="preserve">structure, </w:t>
      </w:r>
      <w:r w:rsidRPr="00832987">
        <w:rPr>
          <w:iCs/>
        </w:rPr>
        <w:t>process or outcome being measured.</w:t>
      </w:r>
      <w:bookmarkStart w:id="5" w:name="_GoBack"/>
      <w:bookmarkEnd w:id="5"/>
    </w:p>
    <w:p w14:paraId="32C2FB6E" w14:textId="05CA0735" w:rsidR="00000DF2" w:rsidRPr="00000DF2" w:rsidRDefault="00000DF2" w:rsidP="00090083">
      <w:pPr>
        <w:spacing w:before="120" w:after="120"/>
        <w:ind w:left="432" w:hanging="432"/>
        <w:rPr>
          <w:iCs/>
          <w:color w:val="7030A0"/>
        </w:rPr>
      </w:pPr>
      <w:r w:rsidRPr="00000DF2">
        <w:rPr>
          <w:iCs/>
          <w:color w:val="7030A0"/>
        </w:rPr>
        <w:t>Figure 1. THA/TKA Complications Logic Model</w:t>
      </w:r>
    </w:p>
    <w:p w14:paraId="25E85EA0" w14:textId="0AC09EF7" w:rsidR="00651E2E" w:rsidRDefault="00000DF2" w:rsidP="00090083">
      <w:pPr>
        <w:spacing w:before="120" w:after="120"/>
        <w:ind w:left="432" w:hanging="432"/>
        <w:rPr>
          <w:iCs/>
        </w:rPr>
      </w:pPr>
      <w:r>
        <w:object w:dxaOrig="12711" w:dyaOrig="5041" w14:anchorId="516FA0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The goal of this measure is to improve patient outcomes by providing patients, physicians, and hospitals with information about hospital-level, risk-standardized complication rates following elective primary total hip arthroplasty (THA) and/or total knee arthroplasty (TKA). Measurement of patient outcomes allows for a broader view of a hospital’s quality of care that encompasses more than what can be captured by individual process of care measures. More specifically, complex and critical aspects of care, such as communication between providers, prevention of, and response to complications, patient safety and coordinated transitions to the outpatient environment, all contribute to patient outcomes but are difficult to measure by individual process measures. The goal of outcomes measurement is to risk adjust for patients’ conditions at the time of hospital admission and then evaluate patient outcomes. This complication measure was developed to identify institutions, whose performance is better or worse than expected based on their patient case mix, and therefore promote hospital quality improvement and better inform consumers about the quality of care." style="width:468pt;height:186pt" o:ole="">
            <v:imagedata r:id="rId16" o:title=""/>
          </v:shape>
          <o:OLEObject Type="Embed" ProgID="Visio.Drawing.15" ShapeID="_x0000_i1025" DrawAspect="Content" ObjectID="_1655011284" r:id="rId17"/>
        </w:object>
      </w:r>
    </w:p>
    <w:p w14:paraId="098A5C07" w14:textId="4C6C5454" w:rsidR="00BE711E" w:rsidRPr="00651E2E" w:rsidRDefault="00BE711E" w:rsidP="00090083">
      <w:pPr>
        <w:spacing w:before="120" w:after="120"/>
        <w:ind w:left="0" w:firstLine="0"/>
        <w:rPr>
          <w:iCs/>
          <w:color w:val="7030A0"/>
        </w:rPr>
      </w:pPr>
      <w:r w:rsidRPr="00651E2E">
        <w:rPr>
          <w:color w:val="7030A0"/>
        </w:rPr>
        <w:t xml:space="preserve">The goal of this measure is to improve patient outcomes by providing patients, physicians, and hospitals with information about hospital-level, risk-standardized complication rates following elective primary total hip arthroplasty (THA) and/or total knee arthroplasty (TKA). Measurement of patient outcomes allows for a broader view of a hospital’s quality of care that encompasses more than what can be captured by individual process of care measures. More specifically, complex and critical aspects of care, such as communication between providers, prevention of, and response to complications, patient safety and coordinated transitions to the outpatient environment, all contribute to patient outcomes but are difficult to measure by individual process measures. The goal of outcomes measurement is to risk adjust </w:t>
      </w:r>
      <w:r w:rsidRPr="00651E2E">
        <w:rPr>
          <w:color w:val="7030A0"/>
        </w:rPr>
        <w:lastRenderedPageBreak/>
        <w:t>for patients’ conditions at the time of hospital admission and then evaluate patient outcomes. This complication measure was developed to identify institutions, whose performance is better or worse than expected based on their patient case mix, and therefore promote hospital quality improvement and better inform consumers about the quality of care.</w:t>
      </w:r>
    </w:p>
    <w:p w14:paraId="528DEFA2" w14:textId="69C9E2B7" w:rsidR="00651E2E" w:rsidRDefault="004922E4" w:rsidP="00090083">
      <w:pPr>
        <w:spacing w:before="120" w:after="120"/>
        <w:ind w:right="140"/>
        <w:rPr>
          <w:iCs/>
        </w:rPr>
      </w:pPr>
      <w:r>
        <w:rPr>
          <w:b/>
          <w:bCs/>
          <w:color w:val="0000FF"/>
        </w:rPr>
        <w:t>1a.</w:t>
      </w:r>
      <w:r w:rsidRPr="00832987">
        <w:rPr>
          <w:b/>
          <w:bCs/>
          <w:color w:val="0000FF"/>
        </w:rPr>
        <w:t>3</w:t>
      </w:r>
      <w:r w:rsidRPr="00832987">
        <w:rPr>
          <w:bCs/>
        </w:rPr>
        <w:t xml:space="preserve"> </w:t>
      </w:r>
      <w:r w:rsidRPr="00832987">
        <w:rPr>
          <w:b/>
          <w:bCs/>
        </w:rPr>
        <w:t xml:space="preserve">Value and Meaningfulness:  </w:t>
      </w:r>
      <w:r w:rsidRPr="00832987">
        <w:rPr>
          <w:bCs/>
        </w:rPr>
        <w:t xml:space="preserve"> </w:t>
      </w:r>
      <w:r w:rsidRPr="00832987">
        <w:rPr>
          <w:b/>
          <w:iCs/>
        </w:rPr>
        <w:t xml:space="preserve">IF </w:t>
      </w:r>
      <w:r w:rsidRPr="00832987">
        <w:rPr>
          <w:iCs/>
        </w:rPr>
        <w:t xml:space="preserve">this measure is derived from patient report, provide evidence that the target population values the measured </w:t>
      </w:r>
      <w:r w:rsidRPr="00832987">
        <w:rPr>
          <w:b/>
          <w:i/>
          <w:iCs/>
        </w:rPr>
        <w:t>outcome, process, or structure</w:t>
      </w:r>
      <w:r w:rsidRPr="00832987">
        <w:rPr>
          <w:iCs/>
        </w:rPr>
        <w:t xml:space="preserve"> and finds it meaningful. (Describe how and from whom their input was obtained.)</w:t>
      </w:r>
    </w:p>
    <w:p w14:paraId="5E2D6693" w14:textId="77777777" w:rsidR="00090083" w:rsidRDefault="000711B0" w:rsidP="00090083">
      <w:pPr>
        <w:spacing w:before="120" w:after="120"/>
        <w:ind w:left="432" w:hanging="432"/>
        <w:rPr>
          <w:iCs/>
          <w:color w:val="7030A0"/>
        </w:rPr>
      </w:pPr>
      <w:r w:rsidRPr="00651E2E">
        <w:rPr>
          <w:iCs/>
          <w:color w:val="7030A0"/>
        </w:rPr>
        <w:t>N/A. This measure is not an intermediate outcome, process, or structure performance measure.</w:t>
      </w:r>
    </w:p>
    <w:p w14:paraId="55B8DA61" w14:textId="1E3B25FF" w:rsidR="00676BD4" w:rsidRDefault="00C41794" w:rsidP="00090083">
      <w:pPr>
        <w:spacing w:before="120" w:after="120"/>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3278109B" w14:textId="77777777" w:rsidR="00651E2E" w:rsidRDefault="00B058A6" w:rsidP="00090083">
      <w:pPr>
        <w:spacing w:before="120" w:after="120"/>
        <w:ind w:left="432" w:hanging="432"/>
        <w:rPr>
          <w:b/>
        </w:rPr>
      </w:pPr>
      <w:r w:rsidRPr="00832987">
        <w:rPr>
          <w:b/>
          <w:color w:val="0000FF"/>
        </w:rPr>
        <w:t>1</w:t>
      </w:r>
      <w:r w:rsidR="00773485" w:rsidRPr="00832987">
        <w:rPr>
          <w:b/>
          <w:color w:val="0000FF"/>
        </w:rPr>
        <w:t>a</w:t>
      </w:r>
      <w:r w:rsidRPr="00832987">
        <w:rPr>
          <w:b/>
          <w:color w:val="0000FF"/>
        </w:rPr>
        <w:t>.2</w:t>
      </w:r>
      <w:r w:rsidR="00E41417" w:rsidRPr="00832987">
        <w:rPr>
          <w:iCs/>
        </w:rPr>
        <w:t xml:space="preserve"> </w:t>
      </w:r>
      <w:r w:rsidR="00C41794" w:rsidRPr="00832987">
        <w:rPr>
          <w:b/>
        </w:rPr>
        <w:t>FOR OUTCOME MEASURES including PATIENT REPORTED OUTCOMES</w:t>
      </w:r>
      <w:r w:rsidR="003D6721" w:rsidRPr="00832987">
        <w:rPr>
          <w:b/>
        </w:rPr>
        <w:t xml:space="preserve"> </w:t>
      </w:r>
      <w:r w:rsidR="00C41794" w:rsidRPr="00832987">
        <w:rPr>
          <w:b/>
        </w:rPr>
        <w:t>-</w:t>
      </w:r>
      <w:r w:rsidR="00C41794" w:rsidRPr="00832987">
        <w:rPr>
          <w:b/>
          <w:iCs/>
        </w:rPr>
        <w:t xml:space="preserve"> </w:t>
      </w:r>
      <w:r w:rsidR="003D6721" w:rsidRPr="00832987">
        <w:rPr>
          <w:b/>
          <w:iCs/>
        </w:rPr>
        <w:t xml:space="preserve">Provide empirical data demonstrating </w:t>
      </w:r>
      <w:r w:rsidR="008B51D9" w:rsidRPr="00832987">
        <w:rPr>
          <w:b/>
          <w:iCs/>
        </w:rPr>
        <w:t xml:space="preserve">the </w:t>
      </w:r>
      <w:r w:rsidR="005D25E9" w:rsidRPr="00832987">
        <w:rPr>
          <w:b/>
          <w:iCs/>
        </w:rPr>
        <w:t xml:space="preserve">relationship </w:t>
      </w:r>
      <w:r w:rsidR="00AC1E53" w:rsidRPr="00832987">
        <w:rPr>
          <w:b/>
          <w:iCs/>
        </w:rPr>
        <w:t>between</w:t>
      </w:r>
      <w:r w:rsidR="005D25E9" w:rsidRPr="00832987">
        <w:rPr>
          <w:b/>
          <w:iCs/>
        </w:rPr>
        <w:t xml:space="preserve"> the </w:t>
      </w:r>
      <w:r w:rsidR="008B51D9" w:rsidRPr="00832987">
        <w:rPr>
          <w:b/>
          <w:iCs/>
        </w:rPr>
        <w:t>outcome</w:t>
      </w:r>
      <w:r w:rsidR="005857F8" w:rsidRPr="00832987">
        <w:rPr>
          <w:b/>
          <w:iCs/>
        </w:rPr>
        <w:t xml:space="preserve"> </w:t>
      </w:r>
      <w:r w:rsidR="00AA5587" w:rsidRPr="00832987">
        <w:rPr>
          <w:b/>
          <w:iCs/>
        </w:rPr>
        <w:t>(</w:t>
      </w:r>
      <w:r w:rsidR="005857F8" w:rsidRPr="00832987">
        <w:rPr>
          <w:b/>
          <w:iCs/>
        </w:rPr>
        <w:t>or PRO</w:t>
      </w:r>
      <w:r w:rsidR="00AA5587" w:rsidRPr="00832987">
        <w:rPr>
          <w:b/>
          <w:iCs/>
        </w:rPr>
        <w:t>)</w:t>
      </w:r>
      <w:r w:rsidR="008B51D9" w:rsidRPr="00832987">
        <w:rPr>
          <w:b/>
          <w:iCs/>
        </w:rPr>
        <w:t xml:space="preserve"> </w:t>
      </w:r>
      <w:r w:rsidR="005D25E9" w:rsidRPr="00832987">
        <w:rPr>
          <w:b/>
          <w:iCs/>
        </w:rPr>
        <w:t>to</w:t>
      </w:r>
      <w:r w:rsidR="00236F87" w:rsidRPr="00832987">
        <w:rPr>
          <w:b/>
          <w:iCs/>
        </w:rPr>
        <w:t xml:space="preserve"> </w:t>
      </w:r>
      <w:r w:rsidR="00496AF8" w:rsidRPr="00832987">
        <w:rPr>
          <w:b/>
          <w:iCs/>
        </w:rPr>
        <w:t>at least one</w:t>
      </w:r>
      <w:r w:rsidR="009B5BEA" w:rsidRPr="00832987">
        <w:rPr>
          <w:b/>
          <w:iCs/>
        </w:rPr>
        <w:t xml:space="preserve"> </w:t>
      </w:r>
      <w:r w:rsidR="003D6721" w:rsidRPr="00832987">
        <w:rPr>
          <w:b/>
          <w:iCs/>
        </w:rPr>
        <w:t xml:space="preserve">healthcare structure, process, </w:t>
      </w:r>
      <w:r w:rsidR="00496AF8" w:rsidRPr="00832987">
        <w:rPr>
          <w:b/>
          <w:iCs/>
        </w:rPr>
        <w:t>intervention, or service</w:t>
      </w:r>
      <w:r w:rsidR="00676BD4" w:rsidRPr="00832987">
        <w:rPr>
          <w:b/>
          <w:iCs/>
        </w:rPr>
        <w:t>.</w:t>
      </w:r>
      <w:r w:rsidR="00AC1E53">
        <w:rPr>
          <w:b/>
          <w:iCs/>
        </w:rPr>
        <w:t xml:space="preserve"> </w:t>
      </w:r>
    </w:p>
    <w:p w14:paraId="54CCE3C5" w14:textId="7917861F" w:rsidR="000711B0" w:rsidRDefault="000711B0" w:rsidP="00090083">
      <w:pPr>
        <w:spacing w:before="120" w:after="120"/>
        <w:ind w:left="0" w:right="140" w:firstLine="0"/>
        <w:rPr>
          <w:b/>
          <w:iCs/>
        </w:rPr>
      </w:pPr>
      <w:r w:rsidRPr="00651E2E">
        <w:rPr>
          <w:color w:val="7030A0"/>
        </w:rPr>
        <w:t>In 2010</w:t>
      </w:r>
      <w:r>
        <w:rPr>
          <w:color w:val="7030A0"/>
        </w:rPr>
        <w:t>,</w:t>
      </w:r>
      <w:r w:rsidRPr="00651E2E">
        <w:rPr>
          <w:color w:val="7030A0"/>
        </w:rPr>
        <w:t xml:space="preserve"> there were 168,000 THAs and 385,000 TKAs performed on Medicare beneficiaries 65 years and older (National Center for Health Statistics, 2010).</w:t>
      </w:r>
      <w:r w:rsidRPr="00651E2E" w:rsidDel="0035099E">
        <w:rPr>
          <w:color w:val="7030A0"/>
        </w:rPr>
        <w:t xml:space="preserve"> </w:t>
      </w:r>
      <w:r w:rsidRPr="00FE70EE">
        <w:rPr>
          <w:color w:val="C00000"/>
        </w:rPr>
        <w:t xml:space="preserve">There is an increasing trend in </w:t>
      </w:r>
      <w:proofErr w:type="gramStart"/>
      <w:r w:rsidRPr="00FE70EE">
        <w:rPr>
          <w:color w:val="C00000"/>
        </w:rPr>
        <w:t>both of these</w:t>
      </w:r>
      <w:proofErr w:type="gramEnd"/>
      <w:r w:rsidRPr="00FE70EE">
        <w:rPr>
          <w:color w:val="C00000"/>
        </w:rPr>
        <w:t xml:space="preserve"> procedures, with some projecting that annual TKA and THA volume will reach more than 3 million and 500,000 by 2030 respectively (Kurtz et al., 2007; Kurtz et al., 2014</w:t>
      </w:r>
      <w:r>
        <w:rPr>
          <w:color w:val="C00000"/>
        </w:rPr>
        <w:t xml:space="preserve">). </w:t>
      </w:r>
      <w:r w:rsidRPr="00651E2E">
        <w:rPr>
          <w:color w:val="7030A0"/>
        </w:rPr>
        <w:t>Although these procedures dramatically improve quality of life, they are costly. In 2005, annual hospital charges totaled $3.95 billion and $7.42 billion for primary THA and TKA, respectively (Kurtz et al., 2007).</w:t>
      </w:r>
      <w:r w:rsidRPr="00C85E58">
        <w:rPr>
          <w:color w:val="C00000"/>
        </w:rPr>
        <w:t xml:space="preserve"> These costs are projected to increase significantly for both THAs and TKAs by 2020 (Kurtz et al., 2014). </w:t>
      </w:r>
      <w:r w:rsidRPr="00651E2E">
        <w:rPr>
          <w:color w:val="7030A0"/>
        </w:rPr>
        <w:t>Medicare is the single largest payer for these procedures, covering approximately two-thirds of all THAs and TKAs performed in the US (Ong et al., 2006).</w:t>
      </w:r>
      <w:r w:rsidRPr="00651E2E" w:rsidDel="0035099E">
        <w:rPr>
          <w:color w:val="7030A0"/>
        </w:rPr>
        <w:t xml:space="preserve"> </w:t>
      </w:r>
      <w:r w:rsidRPr="00651E2E">
        <w:rPr>
          <w:color w:val="7030A0"/>
        </w:rPr>
        <w:t>Combined, THA and TKA procedures account for the largest procedural cost in the Medicare budget (</w:t>
      </w:r>
      <w:proofErr w:type="spellStart"/>
      <w:r w:rsidRPr="00651E2E">
        <w:rPr>
          <w:color w:val="7030A0"/>
        </w:rPr>
        <w:t>Bozic</w:t>
      </w:r>
      <w:proofErr w:type="spellEnd"/>
      <w:r w:rsidRPr="00651E2E">
        <w:rPr>
          <w:color w:val="7030A0"/>
        </w:rPr>
        <w:t xml:space="preserve"> et al., 2008).</w:t>
      </w:r>
    </w:p>
    <w:p w14:paraId="534AE8B0" w14:textId="77777777" w:rsidR="000711B0" w:rsidRDefault="000711B0" w:rsidP="00090083">
      <w:pPr>
        <w:spacing w:before="120" w:after="120"/>
        <w:ind w:left="0" w:right="140" w:firstLine="0"/>
        <w:rPr>
          <w:b/>
          <w:iCs/>
        </w:rPr>
      </w:pPr>
      <w:r w:rsidRPr="00651E2E">
        <w:rPr>
          <w:color w:val="7030A0"/>
        </w:rPr>
        <w:t xml:space="preserve">Since THAs and TKAs are commonly performed and costly procedures, it is imperative to address quality of care. Complications increase costs associated with THA and TKA and affect the quality, and potentially quantity, of life for patients. Although complications following elective THA and TKA are rare, the results can be devastating. Rates for periprosthetic joint infection following THA and TKA range from 1.6% to 2.3%, depending upon the </w:t>
      </w:r>
      <w:r w:rsidRPr="00651E2E">
        <w:rPr>
          <w:color w:val="7030A0"/>
        </w:rPr>
        <w:t>population (</w:t>
      </w:r>
      <w:proofErr w:type="spellStart"/>
      <w:r w:rsidRPr="00651E2E">
        <w:rPr>
          <w:color w:val="7030A0"/>
        </w:rPr>
        <w:t>Bongartz</w:t>
      </w:r>
      <w:proofErr w:type="spellEnd"/>
      <w:r w:rsidRPr="00651E2E">
        <w:rPr>
          <w:color w:val="7030A0"/>
        </w:rPr>
        <w:t xml:space="preserve"> et al., 2008; Kurtz et al., 2010). Reported 90-day death rates following THA range from 0.7% (</w:t>
      </w:r>
      <w:proofErr w:type="spellStart"/>
      <w:r w:rsidRPr="00651E2E">
        <w:rPr>
          <w:color w:val="7030A0"/>
        </w:rPr>
        <w:t>Soohoo</w:t>
      </w:r>
      <w:proofErr w:type="spellEnd"/>
      <w:r w:rsidRPr="00651E2E">
        <w:rPr>
          <w:color w:val="7030A0"/>
        </w:rPr>
        <w:t xml:space="preserve"> et al., 2010) to 2.7% (Cram et al., 2007). Rates for pulmonary embolism following TKA range from 0.5% to 0.9% (Cram et al., 2007; </w:t>
      </w:r>
      <w:r w:rsidRPr="00651E2E">
        <w:rPr>
          <w:iCs/>
          <w:color w:val="7030A0"/>
        </w:rPr>
        <w:t xml:space="preserve">Mahomed et al., 2003; </w:t>
      </w:r>
      <w:proofErr w:type="spellStart"/>
      <w:r w:rsidRPr="00651E2E">
        <w:rPr>
          <w:iCs/>
          <w:color w:val="7030A0"/>
        </w:rPr>
        <w:t>Khatod</w:t>
      </w:r>
      <w:proofErr w:type="spellEnd"/>
      <w:r w:rsidRPr="00651E2E">
        <w:rPr>
          <w:iCs/>
          <w:color w:val="7030A0"/>
        </w:rPr>
        <w:t xml:space="preserve"> et al., 2008; Solomon et al., 2006</w:t>
      </w:r>
      <w:r>
        <w:rPr>
          <w:iCs/>
          <w:color w:val="7030A0"/>
        </w:rPr>
        <w:t xml:space="preserve">; </w:t>
      </w:r>
      <w:proofErr w:type="spellStart"/>
      <w:r w:rsidRPr="00876E10">
        <w:rPr>
          <w:iCs/>
          <w:color w:val="C00000"/>
        </w:rPr>
        <w:t>Bozic</w:t>
      </w:r>
      <w:proofErr w:type="spellEnd"/>
      <w:r w:rsidRPr="00876E10">
        <w:rPr>
          <w:iCs/>
          <w:color w:val="C00000"/>
        </w:rPr>
        <w:t xml:space="preserve"> et al., 2014</w:t>
      </w:r>
      <w:r w:rsidRPr="00651E2E">
        <w:rPr>
          <w:color w:val="7030A0"/>
        </w:rPr>
        <w:t>).</w:t>
      </w:r>
      <w:r w:rsidRPr="00651E2E" w:rsidDel="00117613">
        <w:rPr>
          <w:color w:val="7030A0"/>
        </w:rPr>
        <w:t xml:space="preserve"> </w:t>
      </w:r>
      <w:r w:rsidRPr="00651E2E">
        <w:rPr>
          <w:color w:val="7030A0"/>
        </w:rPr>
        <w:t xml:space="preserve">Rates for wound infection in Medicare population-based studies vary between 0.3% and 1.0% (Cram et al., 2007; </w:t>
      </w:r>
      <w:r w:rsidRPr="00651E2E">
        <w:rPr>
          <w:iCs/>
          <w:color w:val="7030A0"/>
        </w:rPr>
        <w:t>Mahomed et al., 2003; Solomon et al., 2006</w:t>
      </w:r>
      <w:r>
        <w:rPr>
          <w:iCs/>
          <w:color w:val="7030A0"/>
        </w:rPr>
        <w:t xml:space="preserve">; </w:t>
      </w:r>
      <w:proofErr w:type="spellStart"/>
      <w:r w:rsidRPr="00876E10">
        <w:rPr>
          <w:iCs/>
          <w:color w:val="C00000"/>
        </w:rPr>
        <w:t>Bozic</w:t>
      </w:r>
      <w:proofErr w:type="spellEnd"/>
      <w:r w:rsidRPr="00876E10">
        <w:rPr>
          <w:iCs/>
          <w:color w:val="C00000"/>
        </w:rPr>
        <w:t xml:space="preserve"> et al., 2014</w:t>
      </w:r>
      <w:r w:rsidRPr="00651E2E">
        <w:rPr>
          <w:color w:val="7030A0"/>
        </w:rPr>
        <w:t>).</w:t>
      </w:r>
      <w:r w:rsidRPr="00651E2E" w:rsidDel="0035099E">
        <w:rPr>
          <w:color w:val="7030A0"/>
        </w:rPr>
        <w:t xml:space="preserve"> </w:t>
      </w:r>
      <w:r w:rsidRPr="00651E2E">
        <w:rPr>
          <w:color w:val="7030A0"/>
        </w:rPr>
        <w:t xml:space="preserve"> Rates for septicemia range from 0.1%, during the index admission (Browne et al., 2010) to 0.3%, 90 days following discharge for primary TKA (Cram et al., 2007</w:t>
      </w:r>
      <w:r>
        <w:rPr>
          <w:color w:val="7030A0"/>
        </w:rPr>
        <w:t xml:space="preserve">; </w:t>
      </w:r>
      <w:proofErr w:type="spellStart"/>
      <w:r w:rsidRPr="00876E10">
        <w:rPr>
          <w:iCs/>
          <w:color w:val="C00000"/>
        </w:rPr>
        <w:t>Bozic</w:t>
      </w:r>
      <w:proofErr w:type="spellEnd"/>
      <w:r w:rsidRPr="00876E10">
        <w:rPr>
          <w:iCs/>
          <w:color w:val="C00000"/>
        </w:rPr>
        <w:t xml:space="preserve"> et al., 2014</w:t>
      </w:r>
      <w:r w:rsidRPr="00651E2E">
        <w:rPr>
          <w:color w:val="7030A0"/>
        </w:rPr>
        <w:t>). Rates for bleeding and hemato</w:t>
      </w:r>
      <w:r>
        <w:rPr>
          <w:color w:val="7030A0"/>
        </w:rPr>
        <w:t>ma following TKA range from 0.9</w:t>
      </w:r>
      <w:r w:rsidRPr="00651E2E">
        <w:rPr>
          <w:color w:val="7030A0"/>
        </w:rPr>
        <w:t>% (Browne et al., 2010</w:t>
      </w:r>
      <w:r>
        <w:rPr>
          <w:color w:val="7030A0"/>
        </w:rPr>
        <w:t xml:space="preserve">; </w:t>
      </w:r>
      <w:proofErr w:type="spellStart"/>
      <w:r w:rsidRPr="00876E10">
        <w:rPr>
          <w:iCs/>
          <w:color w:val="C00000"/>
        </w:rPr>
        <w:t>Bozic</w:t>
      </w:r>
      <w:proofErr w:type="spellEnd"/>
      <w:r w:rsidRPr="00876E10">
        <w:rPr>
          <w:iCs/>
          <w:color w:val="C00000"/>
        </w:rPr>
        <w:t xml:space="preserve"> et al., 2014</w:t>
      </w:r>
      <w:r w:rsidRPr="00651E2E">
        <w:rPr>
          <w:color w:val="7030A0"/>
        </w:rPr>
        <w:t>) to 1.7% (Huddleston et al., 2009).</w:t>
      </w:r>
    </w:p>
    <w:p w14:paraId="7BCD85E5" w14:textId="77777777" w:rsidR="000711B0" w:rsidRDefault="000711B0" w:rsidP="00090083">
      <w:pPr>
        <w:spacing w:before="120" w:after="120"/>
        <w:ind w:left="0" w:right="140" w:firstLine="0"/>
        <w:rPr>
          <w:b/>
          <w:iCs/>
        </w:rPr>
      </w:pPr>
      <w:r w:rsidRPr="00651E2E">
        <w:rPr>
          <w:color w:val="7030A0"/>
        </w:rPr>
        <w:t>The variation in complication rates across hospitals indicates there is room for quality improvement and targeted efforts to reduce these complications could result in better patient care and potential cost savings (</w:t>
      </w:r>
      <w:proofErr w:type="spellStart"/>
      <w:r w:rsidRPr="00583096">
        <w:rPr>
          <w:color w:val="C00000"/>
        </w:rPr>
        <w:t>Navathe</w:t>
      </w:r>
      <w:proofErr w:type="spellEnd"/>
      <w:r w:rsidRPr="00583096">
        <w:rPr>
          <w:color w:val="C00000"/>
        </w:rPr>
        <w:t xml:space="preserve"> et al, 2017</w:t>
      </w:r>
      <w:r>
        <w:t xml:space="preserve">; </w:t>
      </w:r>
      <w:proofErr w:type="spellStart"/>
      <w:r w:rsidRPr="00583096">
        <w:rPr>
          <w:color w:val="C00000"/>
        </w:rPr>
        <w:t>Cyriac</w:t>
      </w:r>
      <w:proofErr w:type="spellEnd"/>
      <w:r w:rsidRPr="00583096">
        <w:rPr>
          <w:color w:val="C00000"/>
        </w:rPr>
        <w:t xml:space="preserve"> et al., 2016</w:t>
      </w:r>
      <w:r>
        <w:rPr>
          <w:color w:val="C00000"/>
        </w:rPr>
        <w:t>; Borza et al., 2019</w:t>
      </w:r>
      <w:r w:rsidRPr="00651E2E">
        <w:rPr>
          <w:color w:val="7030A0"/>
        </w:rPr>
        <w:t xml:space="preserve">). Measurement of patient </w:t>
      </w:r>
      <w:r w:rsidRPr="00651E2E">
        <w:rPr>
          <w:color w:val="7030A0"/>
        </w:rPr>
        <w:t>outcomes allows for a comprehensive view of quality of care that reflects complex aspects of care such as communication between providers and coordinated transitions to the outpatient environment. These aspects are critical to patient outcomes, and are broader than what can be captured by individual process of care measures.</w:t>
      </w:r>
    </w:p>
    <w:p w14:paraId="169699DB" w14:textId="28B20EB8" w:rsidR="000711B0" w:rsidRDefault="000711B0" w:rsidP="00090083">
      <w:pPr>
        <w:spacing w:before="120" w:after="120"/>
        <w:ind w:left="0" w:right="140" w:firstLine="0"/>
        <w:rPr>
          <w:b/>
          <w:iCs/>
        </w:rPr>
      </w:pPr>
      <w:r w:rsidRPr="00651E2E">
        <w:rPr>
          <w:iCs/>
          <w:color w:val="7030A0"/>
        </w:rPr>
        <w:t xml:space="preserve">The THA/TKA hospital-specific risk-standardized complication rate (RSCR) measure is thus intended to inform quality-of-care improvement efforts, as individual process-based performance measures cannot </w:t>
      </w:r>
      <w:r w:rsidRPr="00651E2E">
        <w:rPr>
          <w:iCs/>
          <w:color w:val="7030A0"/>
        </w:rPr>
        <w:lastRenderedPageBreak/>
        <w:t>encompass all the complex and critical aspects of care within a hospital that contribute to patient outcomes.</w:t>
      </w:r>
    </w:p>
    <w:p w14:paraId="2A991D2F" w14:textId="77777777" w:rsidR="000711B0" w:rsidRDefault="000711B0" w:rsidP="00090083">
      <w:pPr>
        <w:spacing w:before="120" w:after="120"/>
        <w:ind w:left="0" w:right="140" w:firstLine="0"/>
        <w:rPr>
          <w:b/>
          <w:iCs/>
        </w:rPr>
      </w:pPr>
      <w:r w:rsidRPr="00651E2E">
        <w:rPr>
          <w:iCs/>
          <w:color w:val="7030A0"/>
          <w:u w:val="single"/>
        </w:rPr>
        <w:t>References</w:t>
      </w:r>
      <w:r w:rsidRPr="00090083">
        <w:rPr>
          <w:iCs/>
          <w:color w:val="7030A0"/>
        </w:rPr>
        <w:t>:</w:t>
      </w:r>
    </w:p>
    <w:p w14:paraId="4F015782" w14:textId="77777777" w:rsidR="000711B0" w:rsidRDefault="000711B0" w:rsidP="00090083">
      <w:pPr>
        <w:spacing w:before="120" w:after="120"/>
        <w:ind w:left="0" w:right="140" w:firstLine="0"/>
        <w:rPr>
          <w:b/>
          <w:iCs/>
        </w:rPr>
      </w:pPr>
      <w:proofErr w:type="spellStart"/>
      <w:r w:rsidRPr="00651E2E">
        <w:rPr>
          <w:color w:val="7030A0"/>
        </w:rPr>
        <w:t>Bongartz</w:t>
      </w:r>
      <w:proofErr w:type="spellEnd"/>
      <w:r w:rsidRPr="00651E2E">
        <w:rPr>
          <w:color w:val="7030A0"/>
        </w:rPr>
        <w:t xml:space="preserve"> T, Halligan CS, </w:t>
      </w:r>
      <w:proofErr w:type="spellStart"/>
      <w:r w:rsidRPr="00651E2E">
        <w:rPr>
          <w:color w:val="7030A0"/>
        </w:rPr>
        <w:t>Osmon</w:t>
      </w:r>
      <w:proofErr w:type="spellEnd"/>
      <w:r w:rsidRPr="00651E2E">
        <w:rPr>
          <w:color w:val="7030A0"/>
        </w:rPr>
        <w:t xml:space="preserve"> DR, et al. Incidence and risk factors of prosthetic joint infection after total hip or knee replacement in patients with rheumatoid arthritis. Arthritis Rheum. Dec </w:t>
      </w:r>
      <w:proofErr w:type="gramStart"/>
      <w:r w:rsidRPr="00651E2E">
        <w:rPr>
          <w:color w:val="7030A0"/>
        </w:rPr>
        <w:t>15</w:t>
      </w:r>
      <w:proofErr w:type="gramEnd"/>
      <w:r w:rsidRPr="00651E2E">
        <w:rPr>
          <w:color w:val="7030A0"/>
        </w:rPr>
        <w:t xml:space="preserve"> 2008;59(12):1713-1720.</w:t>
      </w:r>
    </w:p>
    <w:p w14:paraId="0187025A" w14:textId="1DB5C8A5" w:rsidR="000711B0" w:rsidRDefault="000711B0" w:rsidP="00090083">
      <w:pPr>
        <w:spacing w:before="120" w:after="120"/>
        <w:ind w:left="0" w:right="140" w:firstLine="0"/>
        <w:rPr>
          <w:rFonts w:cstheme="minorHAnsi"/>
          <w:color w:val="C00000"/>
          <w:shd w:val="clear" w:color="auto" w:fill="FFFFFF"/>
        </w:rPr>
      </w:pPr>
      <w:r w:rsidRPr="003526A7">
        <w:rPr>
          <w:rFonts w:cstheme="minorHAnsi"/>
          <w:color w:val="C00000"/>
          <w:shd w:val="clear" w:color="auto" w:fill="FFFFFF"/>
        </w:rPr>
        <w:t xml:space="preserve">Borza T, </w:t>
      </w:r>
      <w:proofErr w:type="spellStart"/>
      <w:r w:rsidRPr="003526A7">
        <w:rPr>
          <w:rFonts w:cstheme="minorHAnsi"/>
          <w:color w:val="C00000"/>
          <w:shd w:val="clear" w:color="auto" w:fill="FFFFFF"/>
        </w:rPr>
        <w:t>Oerline</w:t>
      </w:r>
      <w:proofErr w:type="spellEnd"/>
      <w:r w:rsidRPr="003526A7">
        <w:rPr>
          <w:rFonts w:cstheme="minorHAnsi"/>
          <w:color w:val="C00000"/>
          <w:shd w:val="clear" w:color="auto" w:fill="FFFFFF"/>
        </w:rPr>
        <w:t xml:space="preserve"> MK, </w:t>
      </w:r>
      <w:proofErr w:type="spellStart"/>
      <w:r w:rsidRPr="003526A7">
        <w:rPr>
          <w:rFonts w:cstheme="minorHAnsi"/>
          <w:color w:val="C00000"/>
          <w:shd w:val="clear" w:color="auto" w:fill="FFFFFF"/>
        </w:rPr>
        <w:t>Skolarus</w:t>
      </w:r>
      <w:proofErr w:type="spellEnd"/>
      <w:r w:rsidRPr="003526A7">
        <w:rPr>
          <w:rFonts w:cstheme="minorHAnsi"/>
          <w:color w:val="C00000"/>
          <w:shd w:val="clear" w:color="auto" w:fill="FFFFFF"/>
        </w:rPr>
        <w:t xml:space="preserve"> TA, et al. Association Between Hospital Participation in Medicare Shared Savings Program Accountable Care Organizations and Readmission Following Major Surgery. </w:t>
      </w:r>
      <w:r w:rsidRPr="003526A7">
        <w:rPr>
          <w:rFonts w:cstheme="minorHAnsi"/>
          <w:i/>
          <w:iCs/>
          <w:color w:val="C00000"/>
          <w:shd w:val="clear" w:color="auto" w:fill="FFFFFF"/>
        </w:rPr>
        <w:t>Ann Surg</w:t>
      </w:r>
      <w:r w:rsidRPr="003526A7">
        <w:rPr>
          <w:rFonts w:cstheme="minorHAnsi"/>
          <w:color w:val="C00000"/>
          <w:shd w:val="clear" w:color="auto" w:fill="FFFFFF"/>
        </w:rPr>
        <w:t>. 2019;269(5):873‐878. doi:10.1097/SLA.0000000000002737</w:t>
      </w:r>
      <w:r>
        <w:rPr>
          <w:rFonts w:cstheme="minorHAnsi"/>
          <w:color w:val="C00000"/>
          <w:shd w:val="clear" w:color="auto" w:fill="FFFFFF"/>
        </w:rPr>
        <w:t>.</w:t>
      </w:r>
    </w:p>
    <w:p w14:paraId="5CC8A71A" w14:textId="77777777" w:rsidR="004A2DE2" w:rsidRPr="00D85438" w:rsidRDefault="004A2DE2" w:rsidP="004A2DE2">
      <w:pPr>
        <w:spacing w:before="120" w:after="120"/>
        <w:ind w:left="0" w:right="140" w:firstLine="0"/>
        <w:rPr>
          <w:rFonts w:cstheme="minorHAnsi"/>
          <w:b/>
          <w:iCs/>
          <w:color w:val="C00000"/>
        </w:rPr>
      </w:pPr>
      <w:proofErr w:type="spellStart"/>
      <w:r w:rsidRPr="00876E10">
        <w:rPr>
          <w:rFonts w:cstheme="minorHAnsi"/>
          <w:color w:val="C00000"/>
          <w:shd w:val="clear" w:color="auto" w:fill="FFFFFF"/>
        </w:rPr>
        <w:t>Bozic</w:t>
      </w:r>
      <w:proofErr w:type="spellEnd"/>
      <w:r w:rsidRPr="00876E10">
        <w:rPr>
          <w:rFonts w:cstheme="minorHAnsi"/>
          <w:color w:val="C00000"/>
          <w:shd w:val="clear" w:color="auto" w:fill="FFFFFF"/>
        </w:rPr>
        <w:t xml:space="preserve"> KJ, Grosso LM, Lin Z, et al. Variation in hospital-level risk-standardized complication rates following elective primary total hip and knee arthroplasty. </w:t>
      </w:r>
      <w:r w:rsidRPr="00876E10">
        <w:rPr>
          <w:rFonts w:cstheme="minorHAnsi"/>
          <w:i/>
          <w:iCs/>
          <w:color w:val="C00000"/>
          <w:shd w:val="clear" w:color="auto" w:fill="FFFFFF"/>
        </w:rPr>
        <w:t>J Bone Joint Surg Am</w:t>
      </w:r>
      <w:r w:rsidRPr="00876E10">
        <w:rPr>
          <w:rFonts w:cstheme="minorHAnsi"/>
          <w:color w:val="C00000"/>
          <w:shd w:val="clear" w:color="auto" w:fill="FFFFFF"/>
        </w:rPr>
        <w:t>. 2014;96(8):640‐647. doi:10.2106/JBJS.L.01639.</w:t>
      </w:r>
    </w:p>
    <w:p w14:paraId="3371EE4B" w14:textId="77777777" w:rsidR="000711B0" w:rsidRDefault="000711B0" w:rsidP="00090083">
      <w:pPr>
        <w:spacing w:before="120" w:after="120"/>
        <w:ind w:left="0" w:right="140" w:firstLine="0"/>
        <w:rPr>
          <w:color w:val="7030A0"/>
        </w:rPr>
      </w:pPr>
      <w:proofErr w:type="spellStart"/>
      <w:r w:rsidRPr="00651E2E">
        <w:rPr>
          <w:color w:val="7030A0"/>
        </w:rPr>
        <w:t>Bozic</w:t>
      </w:r>
      <w:proofErr w:type="spellEnd"/>
      <w:r w:rsidRPr="00651E2E">
        <w:rPr>
          <w:color w:val="7030A0"/>
        </w:rPr>
        <w:t xml:space="preserve"> KJ, </w:t>
      </w:r>
      <w:proofErr w:type="spellStart"/>
      <w:r w:rsidRPr="00651E2E">
        <w:rPr>
          <w:color w:val="7030A0"/>
        </w:rPr>
        <w:t>Rubash</w:t>
      </w:r>
      <w:proofErr w:type="spellEnd"/>
      <w:r w:rsidRPr="00651E2E">
        <w:rPr>
          <w:color w:val="7030A0"/>
        </w:rPr>
        <w:t xml:space="preserve"> HE, </w:t>
      </w:r>
      <w:proofErr w:type="spellStart"/>
      <w:r w:rsidRPr="00651E2E">
        <w:rPr>
          <w:color w:val="7030A0"/>
        </w:rPr>
        <w:t>Sculco</w:t>
      </w:r>
      <w:proofErr w:type="spellEnd"/>
      <w:r w:rsidRPr="00651E2E">
        <w:rPr>
          <w:color w:val="7030A0"/>
        </w:rPr>
        <w:t xml:space="preserve"> TP, Berry DJ. An analysis of </w:t>
      </w:r>
      <w:proofErr w:type="spellStart"/>
      <w:r w:rsidRPr="00651E2E">
        <w:rPr>
          <w:color w:val="7030A0"/>
        </w:rPr>
        <w:t>medicare</w:t>
      </w:r>
      <w:proofErr w:type="spellEnd"/>
      <w:r w:rsidRPr="00651E2E">
        <w:rPr>
          <w:color w:val="7030A0"/>
        </w:rPr>
        <w:t xml:space="preserve"> payment policy for total joint arthroplasty. </w:t>
      </w:r>
      <w:r w:rsidRPr="00651E2E">
        <w:rPr>
          <w:i/>
          <w:iCs/>
          <w:color w:val="7030A0"/>
        </w:rPr>
        <w:t xml:space="preserve">J Arthroplasty. </w:t>
      </w:r>
      <w:r w:rsidRPr="00651E2E">
        <w:rPr>
          <w:color w:val="7030A0"/>
        </w:rPr>
        <w:t>Sep 2008;23(6 Suppl 1):133-138.</w:t>
      </w:r>
    </w:p>
    <w:p w14:paraId="181CB0E9" w14:textId="3A86CDE1" w:rsidR="000711B0" w:rsidRDefault="000711B0" w:rsidP="00090083">
      <w:pPr>
        <w:spacing w:before="120" w:after="120"/>
        <w:ind w:left="0" w:right="140" w:firstLine="0"/>
        <w:rPr>
          <w:b/>
          <w:iCs/>
        </w:rPr>
      </w:pPr>
      <w:r w:rsidRPr="00651E2E">
        <w:rPr>
          <w:iCs/>
          <w:color w:val="7030A0"/>
        </w:rPr>
        <w:t xml:space="preserve">Browne J, Cook C, Hofmann A, </w:t>
      </w:r>
      <w:proofErr w:type="spellStart"/>
      <w:r w:rsidRPr="00651E2E">
        <w:rPr>
          <w:iCs/>
          <w:color w:val="7030A0"/>
        </w:rPr>
        <w:t>Bolognesi</w:t>
      </w:r>
      <w:proofErr w:type="spellEnd"/>
      <w:r w:rsidRPr="00651E2E">
        <w:rPr>
          <w:iCs/>
          <w:color w:val="7030A0"/>
        </w:rPr>
        <w:t xml:space="preserve"> M. Postoperative morbidity and mortality following total knee arthroplasty with computer navigation. Knee. Mar 2010;17(2):152-156.</w:t>
      </w:r>
    </w:p>
    <w:p w14:paraId="1FBBA5C3" w14:textId="77777777" w:rsidR="000711B0" w:rsidRDefault="000711B0" w:rsidP="00090083">
      <w:pPr>
        <w:spacing w:before="120" w:after="120"/>
        <w:ind w:left="0" w:right="140" w:firstLine="0"/>
        <w:rPr>
          <w:b/>
          <w:iCs/>
        </w:rPr>
      </w:pPr>
      <w:r w:rsidRPr="00651E2E">
        <w:rPr>
          <w:iCs/>
          <w:color w:val="7030A0"/>
        </w:rPr>
        <w:t>Cram P, Vaughan-</w:t>
      </w:r>
      <w:proofErr w:type="spellStart"/>
      <w:r w:rsidRPr="00651E2E">
        <w:rPr>
          <w:iCs/>
          <w:color w:val="7030A0"/>
        </w:rPr>
        <w:t>Sarrazin</w:t>
      </w:r>
      <w:proofErr w:type="spellEnd"/>
      <w:r w:rsidRPr="00651E2E">
        <w:rPr>
          <w:iCs/>
          <w:color w:val="7030A0"/>
        </w:rPr>
        <w:t xml:space="preserve"> MS, Wolf B, Katz JN, Rosenthal GE. A comparison of total hip and knee replacement in specialty and general hospitals. J Bone Joint Surg Am. Aug 2007;89(8):1675-1684.</w:t>
      </w:r>
    </w:p>
    <w:p w14:paraId="7CD2F421" w14:textId="5E29B41D" w:rsidR="000711B0" w:rsidRDefault="000711B0" w:rsidP="00090083">
      <w:pPr>
        <w:spacing w:before="120" w:after="120"/>
        <w:ind w:left="0" w:right="140" w:firstLine="0"/>
        <w:rPr>
          <w:b/>
          <w:iCs/>
        </w:rPr>
      </w:pPr>
      <w:proofErr w:type="spellStart"/>
      <w:r w:rsidRPr="00583096">
        <w:rPr>
          <w:rFonts w:cstheme="minorHAnsi"/>
          <w:color w:val="C00000"/>
          <w:shd w:val="clear" w:color="auto" w:fill="FFFFFF"/>
        </w:rPr>
        <w:t>Cyriac</w:t>
      </w:r>
      <w:proofErr w:type="spellEnd"/>
      <w:r w:rsidRPr="00583096">
        <w:rPr>
          <w:rFonts w:cstheme="minorHAnsi"/>
          <w:color w:val="C00000"/>
          <w:shd w:val="clear" w:color="auto" w:fill="FFFFFF"/>
        </w:rPr>
        <w:t xml:space="preserve">, James MD; Garson, Leslie MD; Schwarzkopf, Ran MD; </w:t>
      </w:r>
      <w:proofErr w:type="spellStart"/>
      <w:r w:rsidRPr="00583096">
        <w:rPr>
          <w:rFonts w:cstheme="minorHAnsi"/>
          <w:color w:val="C00000"/>
          <w:shd w:val="clear" w:color="auto" w:fill="FFFFFF"/>
        </w:rPr>
        <w:t>Ahn</w:t>
      </w:r>
      <w:proofErr w:type="spellEnd"/>
      <w:r w:rsidRPr="00583096">
        <w:rPr>
          <w:rFonts w:cstheme="minorHAnsi"/>
          <w:color w:val="C00000"/>
          <w:shd w:val="clear" w:color="auto" w:fill="FFFFFF"/>
        </w:rPr>
        <w:t xml:space="preserve">, Kyle MD; Rinehart, Joseph MD; </w:t>
      </w:r>
      <w:proofErr w:type="spellStart"/>
      <w:r w:rsidRPr="00583096">
        <w:rPr>
          <w:rFonts w:cstheme="minorHAnsi"/>
          <w:color w:val="C00000"/>
          <w:shd w:val="clear" w:color="auto" w:fill="FFFFFF"/>
        </w:rPr>
        <w:t>Vakharia</w:t>
      </w:r>
      <w:proofErr w:type="spellEnd"/>
      <w:r w:rsidRPr="00583096">
        <w:rPr>
          <w:rFonts w:cstheme="minorHAnsi"/>
          <w:color w:val="C00000"/>
          <w:shd w:val="clear" w:color="auto" w:fill="FFFFFF"/>
        </w:rPr>
        <w:t xml:space="preserve">, </w:t>
      </w:r>
      <w:proofErr w:type="spellStart"/>
      <w:r w:rsidRPr="00583096">
        <w:rPr>
          <w:rFonts w:cstheme="minorHAnsi"/>
          <w:color w:val="C00000"/>
          <w:shd w:val="clear" w:color="auto" w:fill="FFFFFF"/>
        </w:rPr>
        <w:t>Shermeen</w:t>
      </w:r>
      <w:proofErr w:type="spellEnd"/>
      <w:r w:rsidRPr="00583096">
        <w:rPr>
          <w:rFonts w:cstheme="minorHAnsi"/>
          <w:color w:val="C00000"/>
          <w:shd w:val="clear" w:color="auto" w:fill="FFFFFF"/>
        </w:rPr>
        <w:t xml:space="preserve"> MD, MBA; </w:t>
      </w:r>
      <w:proofErr w:type="spellStart"/>
      <w:r w:rsidRPr="00583096">
        <w:rPr>
          <w:rFonts w:cstheme="minorHAnsi"/>
          <w:color w:val="C00000"/>
          <w:shd w:val="clear" w:color="auto" w:fill="FFFFFF"/>
        </w:rPr>
        <w:t>Cannesson</w:t>
      </w:r>
      <w:proofErr w:type="spellEnd"/>
      <w:r w:rsidRPr="00583096">
        <w:rPr>
          <w:rFonts w:cstheme="minorHAnsi"/>
          <w:color w:val="C00000"/>
          <w:shd w:val="clear" w:color="auto" w:fill="FFFFFF"/>
        </w:rPr>
        <w:t xml:space="preserve">, Maxime MD, PhD; </w:t>
      </w:r>
      <w:proofErr w:type="spellStart"/>
      <w:r w:rsidRPr="00583096">
        <w:rPr>
          <w:rFonts w:cstheme="minorHAnsi"/>
          <w:color w:val="C00000"/>
          <w:shd w:val="clear" w:color="auto" w:fill="FFFFFF"/>
        </w:rPr>
        <w:t>Kain</w:t>
      </w:r>
      <w:proofErr w:type="spellEnd"/>
      <w:r w:rsidRPr="00583096">
        <w:rPr>
          <w:rFonts w:cstheme="minorHAnsi"/>
          <w:color w:val="C00000"/>
          <w:shd w:val="clear" w:color="auto" w:fill="FFFFFF"/>
        </w:rPr>
        <w:t xml:space="preserve">, </w:t>
      </w:r>
      <w:proofErr w:type="spellStart"/>
      <w:r w:rsidRPr="00583096">
        <w:rPr>
          <w:rFonts w:cstheme="minorHAnsi"/>
          <w:color w:val="C00000"/>
          <w:shd w:val="clear" w:color="auto" w:fill="FFFFFF"/>
        </w:rPr>
        <w:t>Zeev</w:t>
      </w:r>
      <w:proofErr w:type="spellEnd"/>
      <w:r w:rsidRPr="00583096">
        <w:rPr>
          <w:rFonts w:cstheme="minorHAnsi"/>
          <w:color w:val="C00000"/>
          <w:shd w:val="clear" w:color="auto" w:fill="FFFFFF"/>
        </w:rPr>
        <w:t xml:space="preserve"> MD, MBA</w:t>
      </w:r>
      <w:r>
        <w:rPr>
          <w:rFonts w:cstheme="minorHAnsi"/>
          <w:color w:val="C00000"/>
          <w:shd w:val="clear" w:color="auto" w:fill="FFFFFF"/>
        </w:rPr>
        <w:t xml:space="preserve">. </w:t>
      </w:r>
      <w:r w:rsidRPr="00583096">
        <w:rPr>
          <w:rFonts w:cstheme="minorHAnsi"/>
          <w:color w:val="C00000"/>
          <w:shd w:val="clear" w:color="auto" w:fill="FFFFFF"/>
        </w:rPr>
        <w:t xml:space="preserve">Total Joint Replacement Perioperative Surgical Home Program: 2-Year Follow-Up, Anesthesia &amp; Analgesia: July 2016 - Volume 123 - Issue 1 - p 51-62 </w:t>
      </w:r>
      <w:proofErr w:type="spellStart"/>
      <w:r w:rsidRPr="00583096">
        <w:rPr>
          <w:rFonts w:cstheme="minorHAnsi"/>
          <w:color w:val="C00000"/>
          <w:shd w:val="clear" w:color="auto" w:fill="FFFFFF"/>
        </w:rPr>
        <w:t>doi</w:t>
      </w:r>
      <w:proofErr w:type="spellEnd"/>
      <w:r w:rsidRPr="00583096">
        <w:rPr>
          <w:rFonts w:cstheme="minorHAnsi"/>
          <w:color w:val="C00000"/>
          <w:shd w:val="clear" w:color="auto" w:fill="FFFFFF"/>
        </w:rPr>
        <w:t>: 10.1213/ANE.0000000000001308.</w:t>
      </w:r>
    </w:p>
    <w:p w14:paraId="43EC86B8" w14:textId="00EFA4B1" w:rsidR="000711B0" w:rsidRDefault="000711B0" w:rsidP="00090083">
      <w:pPr>
        <w:spacing w:before="120" w:after="120"/>
        <w:ind w:left="0" w:right="140" w:firstLine="0"/>
        <w:rPr>
          <w:b/>
          <w:iCs/>
        </w:rPr>
      </w:pPr>
      <w:r w:rsidRPr="00651E2E">
        <w:rPr>
          <w:iCs/>
          <w:color w:val="7030A0"/>
        </w:rPr>
        <w:t xml:space="preserve">Huddleston JI, Maloney WJ, Wang Y, </w:t>
      </w:r>
      <w:proofErr w:type="spellStart"/>
      <w:r w:rsidRPr="00651E2E">
        <w:rPr>
          <w:iCs/>
          <w:color w:val="7030A0"/>
        </w:rPr>
        <w:t>Verzier</w:t>
      </w:r>
      <w:proofErr w:type="spellEnd"/>
      <w:r w:rsidRPr="00651E2E">
        <w:rPr>
          <w:iCs/>
          <w:color w:val="7030A0"/>
        </w:rPr>
        <w:t xml:space="preserve"> N, Hunt DR, Herndon JH. Adverse Events After Total Knee Arthroplasty: A National Medicare Study. The Journal of Arthroplasty. 2009;24(6, Supplement 1):95-100.</w:t>
      </w:r>
    </w:p>
    <w:p w14:paraId="63F9124A" w14:textId="77777777" w:rsidR="000711B0" w:rsidRDefault="000711B0" w:rsidP="00090083">
      <w:pPr>
        <w:spacing w:before="120" w:after="120"/>
        <w:ind w:left="0" w:right="140" w:firstLine="0"/>
        <w:rPr>
          <w:iCs/>
          <w:color w:val="7030A0"/>
        </w:rPr>
      </w:pPr>
      <w:proofErr w:type="spellStart"/>
      <w:r w:rsidRPr="00651E2E">
        <w:rPr>
          <w:iCs/>
          <w:color w:val="7030A0"/>
        </w:rPr>
        <w:t>Khatod</w:t>
      </w:r>
      <w:proofErr w:type="spellEnd"/>
      <w:r w:rsidRPr="00651E2E">
        <w:rPr>
          <w:iCs/>
          <w:color w:val="7030A0"/>
        </w:rPr>
        <w:t xml:space="preserve"> M, </w:t>
      </w:r>
      <w:proofErr w:type="spellStart"/>
      <w:r w:rsidRPr="00651E2E">
        <w:rPr>
          <w:iCs/>
          <w:color w:val="7030A0"/>
        </w:rPr>
        <w:t>Inacio</w:t>
      </w:r>
      <w:proofErr w:type="spellEnd"/>
      <w:r w:rsidRPr="00651E2E">
        <w:rPr>
          <w:iCs/>
          <w:color w:val="7030A0"/>
        </w:rPr>
        <w:t xml:space="preserve"> M, Paxton EW, et al. Knee replacement: epidemiology, outcomes, and trends in Southern California: 17,080 replacements from 1995 through 2004. Acta </w:t>
      </w:r>
      <w:proofErr w:type="spellStart"/>
      <w:r w:rsidRPr="00651E2E">
        <w:rPr>
          <w:iCs/>
          <w:color w:val="7030A0"/>
        </w:rPr>
        <w:t>Orthop</w:t>
      </w:r>
      <w:proofErr w:type="spellEnd"/>
      <w:r w:rsidRPr="00651E2E">
        <w:rPr>
          <w:iCs/>
          <w:color w:val="7030A0"/>
        </w:rPr>
        <w:t>. Dec 2008;79(6):812-819.</w:t>
      </w:r>
    </w:p>
    <w:p w14:paraId="31DC66F0" w14:textId="77777777" w:rsidR="00585EFB" w:rsidRPr="00C85E58" w:rsidRDefault="00585EFB" w:rsidP="00585EFB">
      <w:pPr>
        <w:spacing w:before="120" w:after="120"/>
        <w:ind w:left="0" w:right="140" w:firstLine="0"/>
        <w:rPr>
          <w:iCs/>
          <w:color w:val="C00000"/>
        </w:rPr>
      </w:pPr>
      <w:r w:rsidRPr="00C85E58">
        <w:rPr>
          <w:iCs/>
          <w:color w:val="C00000"/>
        </w:rPr>
        <w:t xml:space="preserve">Kurtz S, Ong K, Lau E, </w:t>
      </w:r>
      <w:proofErr w:type="spellStart"/>
      <w:r w:rsidRPr="00C85E58">
        <w:rPr>
          <w:iCs/>
          <w:color w:val="C00000"/>
        </w:rPr>
        <w:t>Bozic</w:t>
      </w:r>
      <w:proofErr w:type="spellEnd"/>
      <w:r w:rsidRPr="00C85E58">
        <w:rPr>
          <w:iCs/>
          <w:color w:val="C00000"/>
        </w:rPr>
        <w:t xml:space="preserve"> K. </w:t>
      </w:r>
      <w:r w:rsidRPr="00C85E58">
        <w:rPr>
          <w:bCs/>
          <w:iCs/>
          <w:color w:val="C00000"/>
        </w:rPr>
        <w:t>Impact of the economic downturn on total joint replacement demand in the United States: updated projections to 2021</w:t>
      </w:r>
      <w:r w:rsidRPr="00C85E58">
        <w:rPr>
          <w:iCs/>
          <w:color w:val="C00000"/>
        </w:rPr>
        <w:t>. J Bone Joint Surg Am, 96 (2014), pp. 624-630.</w:t>
      </w:r>
    </w:p>
    <w:p w14:paraId="5EC000D1" w14:textId="77777777" w:rsidR="00585EFB" w:rsidRPr="00D85438" w:rsidRDefault="00585EFB" w:rsidP="00585EFB">
      <w:pPr>
        <w:spacing w:before="120" w:after="120"/>
        <w:ind w:left="0" w:right="140" w:firstLine="0"/>
        <w:rPr>
          <w:b/>
          <w:iCs/>
        </w:rPr>
      </w:pPr>
      <w:r w:rsidRPr="00651E2E">
        <w:rPr>
          <w:iCs/>
          <w:color w:val="7030A0"/>
        </w:rPr>
        <w:t xml:space="preserve">Kurtz S, Ong K, Lau E, </w:t>
      </w:r>
      <w:proofErr w:type="spellStart"/>
      <w:r w:rsidRPr="00651E2E">
        <w:rPr>
          <w:iCs/>
          <w:color w:val="7030A0"/>
        </w:rPr>
        <w:t>Bozic</w:t>
      </w:r>
      <w:proofErr w:type="spellEnd"/>
      <w:r w:rsidRPr="00651E2E">
        <w:rPr>
          <w:iCs/>
          <w:color w:val="7030A0"/>
        </w:rPr>
        <w:t xml:space="preserve"> K, Berry D, </w:t>
      </w:r>
      <w:proofErr w:type="spellStart"/>
      <w:r w:rsidRPr="00651E2E">
        <w:rPr>
          <w:iCs/>
          <w:color w:val="7030A0"/>
        </w:rPr>
        <w:t>Parvizi</w:t>
      </w:r>
      <w:proofErr w:type="spellEnd"/>
      <w:r w:rsidRPr="00651E2E">
        <w:rPr>
          <w:iCs/>
          <w:color w:val="7030A0"/>
        </w:rPr>
        <w:t xml:space="preserve"> J. Prosthetic joint infection risk after TKA in the Medicare population. </w:t>
      </w:r>
      <w:proofErr w:type="spellStart"/>
      <w:r w:rsidRPr="00651E2E">
        <w:rPr>
          <w:iCs/>
          <w:color w:val="7030A0"/>
        </w:rPr>
        <w:t>Clin</w:t>
      </w:r>
      <w:proofErr w:type="spellEnd"/>
      <w:r w:rsidRPr="00651E2E">
        <w:rPr>
          <w:iCs/>
          <w:color w:val="7030A0"/>
        </w:rPr>
        <w:t xml:space="preserve"> </w:t>
      </w:r>
      <w:proofErr w:type="spellStart"/>
      <w:r w:rsidRPr="00651E2E">
        <w:rPr>
          <w:iCs/>
          <w:color w:val="7030A0"/>
        </w:rPr>
        <w:t>Orthop</w:t>
      </w:r>
      <w:proofErr w:type="spellEnd"/>
      <w:r w:rsidRPr="00651E2E">
        <w:rPr>
          <w:iCs/>
          <w:color w:val="7030A0"/>
        </w:rPr>
        <w:t xml:space="preserve"> </w:t>
      </w:r>
      <w:proofErr w:type="spellStart"/>
      <w:r w:rsidRPr="00651E2E">
        <w:rPr>
          <w:iCs/>
          <w:color w:val="7030A0"/>
        </w:rPr>
        <w:t>Relat</w:t>
      </w:r>
      <w:proofErr w:type="spellEnd"/>
      <w:r w:rsidRPr="00651E2E">
        <w:rPr>
          <w:iCs/>
          <w:color w:val="7030A0"/>
        </w:rPr>
        <w:t xml:space="preserve"> Res. </w:t>
      </w:r>
      <w:proofErr w:type="gramStart"/>
      <w:r w:rsidRPr="00651E2E">
        <w:rPr>
          <w:iCs/>
          <w:color w:val="7030A0"/>
        </w:rPr>
        <w:t>2010;468:5</w:t>
      </w:r>
      <w:proofErr w:type="gramEnd"/>
      <w:r w:rsidRPr="00651E2E">
        <w:rPr>
          <w:iCs/>
          <w:color w:val="7030A0"/>
        </w:rPr>
        <w:t>.</w:t>
      </w:r>
    </w:p>
    <w:p w14:paraId="004EA555" w14:textId="77777777" w:rsidR="00585EFB" w:rsidRPr="00C85E58" w:rsidRDefault="00585EFB" w:rsidP="00090083">
      <w:pPr>
        <w:spacing w:before="120" w:after="120"/>
        <w:ind w:left="0" w:right="140" w:firstLine="0"/>
        <w:rPr>
          <w:iCs/>
          <w:color w:val="7030A0"/>
        </w:rPr>
      </w:pPr>
      <w:r w:rsidRPr="00C85E58">
        <w:rPr>
          <w:iCs/>
          <w:color w:val="7030A0"/>
        </w:rPr>
        <w:t>Kurtz S, Ong K, Lau E, Mowat F, Halpern M. Projections of primary and revision hip and knee arthroplasty in the United States from 2005 to 2030. J Bone Joint Surg Am. 2007 Apr;89(4):780-5.</w:t>
      </w:r>
    </w:p>
    <w:p w14:paraId="2771473E" w14:textId="77777777" w:rsidR="000711B0" w:rsidRDefault="000711B0" w:rsidP="00090083">
      <w:pPr>
        <w:spacing w:before="120" w:after="120"/>
        <w:ind w:left="0" w:right="140" w:firstLine="0"/>
        <w:rPr>
          <w:b/>
          <w:iCs/>
        </w:rPr>
      </w:pPr>
      <w:r w:rsidRPr="00651E2E">
        <w:rPr>
          <w:iCs/>
          <w:color w:val="7030A0"/>
        </w:rPr>
        <w:t xml:space="preserve">Mahomed NN, Barrett JA, Katz JN, et al. Rates and outcomes of primary and revision total hip replacement in the United States </w:t>
      </w:r>
      <w:proofErr w:type="spellStart"/>
      <w:r w:rsidRPr="00651E2E">
        <w:rPr>
          <w:iCs/>
          <w:color w:val="7030A0"/>
        </w:rPr>
        <w:t>medicare</w:t>
      </w:r>
      <w:proofErr w:type="spellEnd"/>
      <w:r w:rsidRPr="00651E2E">
        <w:rPr>
          <w:iCs/>
          <w:color w:val="7030A0"/>
        </w:rPr>
        <w:t xml:space="preserve"> population. J Bone Joint Surg Am. Jan 2003;85-</w:t>
      </w:r>
      <w:proofErr w:type="gramStart"/>
      <w:r w:rsidRPr="00651E2E">
        <w:rPr>
          <w:iCs/>
          <w:color w:val="7030A0"/>
        </w:rPr>
        <w:t>A(</w:t>
      </w:r>
      <w:proofErr w:type="gramEnd"/>
      <w:r w:rsidRPr="00651E2E">
        <w:rPr>
          <w:iCs/>
          <w:color w:val="7030A0"/>
        </w:rPr>
        <w:t>1):27-32.</w:t>
      </w:r>
    </w:p>
    <w:p w14:paraId="3FC6E77F" w14:textId="77777777" w:rsidR="000711B0" w:rsidRDefault="000711B0" w:rsidP="00090083">
      <w:pPr>
        <w:spacing w:before="120" w:after="120"/>
        <w:ind w:left="0" w:right="140" w:firstLine="0"/>
        <w:rPr>
          <w:b/>
          <w:iCs/>
        </w:rPr>
      </w:pPr>
      <w:r w:rsidRPr="00651E2E">
        <w:rPr>
          <w:iCs/>
          <w:color w:val="7030A0"/>
        </w:rPr>
        <w:t>National Center for Health Statistics. National Hospital Discharge Survey: 2010 table, Procedures by selected patient characteristics - Number by procedure category and age.</w:t>
      </w:r>
      <w:r w:rsidRPr="00651E2E">
        <w:rPr>
          <w:color w:val="7030A0"/>
        </w:rPr>
        <w:t xml:space="preserve"> Available at </w:t>
      </w:r>
      <w:hyperlink r:id="rId18" w:history="1">
        <w:r w:rsidRPr="00651E2E">
          <w:rPr>
            <w:rStyle w:val="Hyperlink"/>
            <w:color w:val="7030A0"/>
          </w:rPr>
          <w:t>http://www.cdc.gov/nchs/data/nhds/4procedures/2010pro4_numberprocedureage.pdf</w:t>
        </w:r>
      </w:hyperlink>
      <w:r w:rsidRPr="00651E2E">
        <w:rPr>
          <w:iCs/>
          <w:color w:val="7030A0"/>
        </w:rPr>
        <w:t>.</w:t>
      </w:r>
    </w:p>
    <w:p w14:paraId="4CABC209" w14:textId="77777777" w:rsidR="000711B0" w:rsidRPr="00651E2E" w:rsidRDefault="000711B0" w:rsidP="00090083">
      <w:pPr>
        <w:spacing w:before="120" w:after="120"/>
        <w:ind w:left="0" w:right="140" w:firstLine="0"/>
        <w:rPr>
          <w:b/>
          <w:iCs/>
          <w:color w:val="C00000"/>
        </w:rPr>
      </w:pPr>
      <w:proofErr w:type="spellStart"/>
      <w:r w:rsidRPr="00651E2E">
        <w:rPr>
          <w:rFonts w:cstheme="minorHAnsi"/>
          <w:color w:val="C00000"/>
          <w:shd w:val="clear" w:color="auto" w:fill="FFFFFF"/>
        </w:rPr>
        <w:t>Navathe</w:t>
      </w:r>
      <w:proofErr w:type="spellEnd"/>
      <w:r w:rsidRPr="00651E2E">
        <w:rPr>
          <w:rFonts w:cstheme="minorHAnsi"/>
          <w:color w:val="C00000"/>
          <w:shd w:val="clear" w:color="auto" w:fill="FFFFFF"/>
        </w:rPr>
        <w:t xml:space="preserve"> AS, </w:t>
      </w:r>
      <w:proofErr w:type="spellStart"/>
      <w:r w:rsidRPr="00651E2E">
        <w:rPr>
          <w:rFonts w:cstheme="minorHAnsi"/>
          <w:color w:val="C00000"/>
          <w:shd w:val="clear" w:color="auto" w:fill="FFFFFF"/>
        </w:rPr>
        <w:t>Troxel</w:t>
      </w:r>
      <w:proofErr w:type="spellEnd"/>
      <w:r w:rsidRPr="00651E2E">
        <w:rPr>
          <w:rFonts w:cstheme="minorHAnsi"/>
          <w:color w:val="C00000"/>
          <w:shd w:val="clear" w:color="auto" w:fill="FFFFFF"/>
        </w:rPr>
        <w:t xml:space="preserve"> AB, Liao JM, et al. Cost of Joint Replacement Using Bundled Payment Models. </w:t>
      </w:r>
      <w:r w:rsidRPr="00651E2E">
        <w:rPr>
          <w:rStyle w:val="Emphasis"/>
          <w:rFonts w:cstheme="minorHAnsi"/>
          <w:color w:val="C00000"/>
          <w:shd w:val="clear" w:color="auto" w:fill="FFFFFF"/>
        </w:rPr>
        <w:t>JAMA Intern Med.</w:t>
      </w:r>
      <w:r w:rsidRPr="00651E2E">
        <w:rPr>
          <w:rFonts w:cstheme="minorHAnsi"/>
          <w:color w:val="C00000"/>
          <w:shd w:val="clear" w:color="auto" w:fill="FFFFFF"/>
        </w:rPr>
        <w:t> 2017;177(2):214–222. doi:10.1001/jamainternmed.2016.8263.</w:t>
      </w:r>
    </w:p>
    <w:p w14:paraId="743FB75F" w14:textId="77777777" w:rsidR="000711B0" w:rsidRDefault="000711B0" w:rsidP="00090083">
      <w:pPr>
        <w:spacing w:before="120" w:after="120"/>
        <w:ind w:left="0" w:right="140" w:firstLine="0"/>
        <w:rPr>
          <w:b/>
          <w:iCs/>
        </w:rPr>
      </w:pPr>
      <w:r w:rsidRPr="00651E2E">
        <w:rPr>
          <w:iCs/>
          <w:color w:val="7030A0"/>
        </w:rPr>
        <w:lastRenderedPageBreak/>
        <w:t xml:space="preserve">Ong KL, Mowat FS, Chan N, Lau E, Halpern MT, Kurtz SM. Economic burden of revision hip and knee arthroplasty in Medicare enrollees. </w:t>
      </w:r>
      <w:proofErr w:type="spellStart"/>
      <w:r w:rsidRPr="00651E2E">
        <w:rPr>
          <w:iCs/>
          <w:color w:val="7030A0"/>
        </w:rPr>
        <w:t>Clin</w:t>
      </w:r>
      <w:proofErr w:type="spellEnd"/>
      <w:r w:rsidRPr="00651E2E">
        <w:rPr>
          <w:iCs/>
          <w:color w:val="7030A0"/>
        </w:rPr>
        <w:t xml:space="preserve"> </w:t>
      </w:r>
      <w:proofErr w:type="spellStart"/>
      <w:r w:rsidRPr="00651E2E">
        <w:rPr>
          <w:iCs/>
          <w:color w:val="7030A0"/>
        </w:rPr>
        <w:t>Orthop</w:t>
      </w:r>
      <w:proofErr w:type="spellEnd"/>
      <w:r w:rsidRPr="00651E2E">
        <w:rPr>
          <w:iCs/>
          <w:color w:val="7030A0"/>
        </w:rPr>
        <w:t xml:space="preserve"> </w:t>
      </w:r>
      <w:proofErr w:type="spellStart"/>
      <w:r w:rsidRPr="00651E2E">
        <w:rPr>
          <w:iCs/>
          <w:color w:val="7030A0"/>
        </w:rPr>
        <w:t>Relat</w:t>
      </w:r>
      <w:proofErr w:type="spellEnd"/>
      <w:r w:rsidRPr="00651E2E">
        <w:rPr>
          <w:iCs/>
          <w:color w:val="7030A0"/>
        </w:rPr>
        <w:t xml:space="preserve"> Res. May </w:t>
      </w:r>
      <w:proofErr w:type="gramStart"/>
      <w:r w:rsidRPr="00651E2E">
        <w:rPr>
          <w:iCs/>
          <w:color w:val="7030A0"/>
        </w:rPr>
        <w:t>2006;446:22</w:t>
      </w:r>
      <w:proofErr w:type="gramEnd"/>
      <w:r w:rsidRPr="00651E2E">
        <w:rPr>
          <w:iCs/>
          <w:color w:val="7030A0"/>
        </w:rPr>
        <w:t>-28.</w:t>
      </w:r>
    </w:p>
    <w:p w14:paraId="4B6AAB20" w14:textId="77777777" w:rsidR="000711B0" w:rsidRDefault="000711B0" w:rsidP="00090083">
      <w:pPr>
        <w:spacing w:before="120" w:after="120"/>
        <w:ind w:left="0" w:right="140" w:firstLine="0"/>
        <w:rPr>
          <w:b/>
          <w:iCs/>
        </w:rPr>
      </w:pPr>
      <w:r w:rsidRPr="00651E2E">
        <w:rPr>
          <w:iCs/>
          <w:color w:val="7030A0"/>
        </w:rPr>
        <w:t xml:space="preserve">Solomon DH, </w:t>
      </w:r>
      <w:proofErr w:type="spellStart"/>
      <w:r w:rsidRPr="00651E2E">
        <w:rPr>
          <w:iCs/>
          <w:color w:val="7030A0"/>
        </w:rPr>
        <w:t>Chibnik</w:t>
      </w:r>
      <w:proofErr w:type="spellEnd"/>
      <w:r w:rsidRPr="00651E2E">
        <w:rPr>
          <w:iCs/>
          <w:color w:val="7030A0"/>
        </w:rPr>
        <w:t xml:space="preserve"> LB, </w:t>
      </w:r>
      <w:proofErr w:type="spellStart"/>
      <w:r w:rsidRPr="00651E2E">
        <w:rPr>
          <w:iCs/>
          <w:color w:val="7030A0"/>
        </w:rPr>
        <w:t>Losina</w:t>
      </w:r>
      <w:proofErr w:type="spellEnd"/>
      <w:r w:rsidRPr="00651E2E">
        <w:rPr>
          <w:iCs/>
          <w:color w:val="7030A0"/>
        </w:rPr>
        <w:t xml:space="preserve"> E, et al. Development of a preliminary index that predicts adverse events after total knee replacement. Arthritis &amp; Rheumatism. 2006;54(5):1536-1542.</w:t>
      </w:r>
    </w:p>
    <w:p w14:paraId="5633CEF4" w14:textId="77777777" w:rsidR="000711B0" w:rsidRPr="00651E2E" w:rsidRDefault="000711B0" w:rsidP="00090083">
      <w:pPr>
        <w:spacing w:before="120" w:after="120"/>
        <w:ind w:left="0" w:right="140" w:firstLine="0"/>
        <w:rPr>
          <w:b/>
          <w:iCs/>
        </w:rPr>
      </w:pPr>
      <w:proofErr w:type="spellStart"/>
      <w:r w:rsidRPr="00651E2E">
        <w:rPr>
          <w:iCs/>
          <w:color w:val="7030A0"/>
        </w:rPr>
        <w:t>Soohoo</w:t>
      </w:r>
      <w:proofErr w:type="spellEnd"/>
      <w:r w:rsidRPr="00651E2E">
        <w:rPr>
          <w:iCs/>
          <w:color w:val="7030A0"/>
        </w:rPr>
        <w:t xml:space="preserve"> NF, </w:t>
      </w:r>
      <w:proofErr w:type="spellStart"/>
      <w:r w:rsidRPr="00651E2E">
        <w:rPr>
          <w:iCs/>
          <w:color w:val="7030A0"/>
        </w:rPr>
        <w:t>Farng</w:t>
      </w:r>
      <w:proofErr w:type="spellEnd"/>
      <w:r w:rsidRPr="00651E2E">
        <w:rPr>
          <w:iCs/>
          <w:color w:val="7030A0"/>
        </w:rPr>
        <w:t xml:space="preserve"> E, Lieberman JR, Chambers L, </w:t>
      </w:r>
      <w:proofErr w:type="spellStart"/>
      <w:r w:rsidRPr="00651E2E">
        <w:rPr>
          <w:iCs/>
          <w:color w:val="7030A0"/>
        </w:rPr>
        <w:t>Zingmond</w:t>
      </w:r>
      <w:proofErr w:type="spellEnd"/>
      <w:r w:rsidRPr="00651E2E">
        <w:rPr>
          <w:iCs/>
          <w:color w:val="7030A0"/>
        </w:rPr>
        <w:t xml:space="preserve"> DS. Factors That Predict Short-term Complication Rates After Total Hip Arthroplasty. </w:t>
      </w:r>
      <w:proofErr w:type="spellStart"/>
      <w:r w:rsidRPr="00651E2E">
        <w:rPr>
          <w:iCs/>
          <w:color w:val="7030A0"/>
        </w:rPr>
        <w:t>Clin</w:t>
      </w:r>
      <w:proofErr w:type="spellEnd"/>
      <w:r w:rsidRPr="00651E2E">
        <w:rPr>
          <w:iCs/>
          <w:color w:val="7030A0"/>
        </w:rPr>
        <w:t xml:space="preserve"> </w:t>
      </w:r>
      <w:proofErr w:type="spellStart"/>
      <w:r w:rsidRPr="00651E2E">
        <w:rPr>
          <w:iCs/>
          <w:color w:val="7030A0"/>
        </w:rPr>
        <w:t>Orthop</w:t>
      </w:r>
      <w:proofErr w:type="spellEnd"/>
      <w:r w:rsidRPr="00651E2E">
        <w:rPr>
          <w:iCs/>
          <w:color w:val="7030A0"/>
        </w:rPr>
        <w:t xml:space="preserve"> </w:t>
      </w:r>
      <w:proofErr w:type="spellStart"/>
      <w:r w:rsidRPr="00651E2E">
        <w:rPr>
          <w:iCs/>
          <w:color w:val="7030A0"/>
        </w:rPr>
        <w:t>Relat</w:t>
      </w:r>
      <w:proofErr w:type="spellEnd"/>
      <w:r w:rsidRPr="00651E2E">
        <w:rPr>
          <w:iCs/>
          <w:color w:val="7030A0"/>
        </w:rPr>
        <w:t xml:space="preserve"> Res. Sep 2010;468(9):2363-2371.</w:t>
      </w:r>
    </w:p>
    <w:p w14:paraId="55B8DA66" w14:textId="48EEF364" w:rsidR="00C41794" w:rsidRPr="003B1CC5" w:rsidRDefault="002B06BD" w:rsidP="00090083">
      <w:pPr>
        <w:spacing w:before="120" w:after="120"/>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r w:rsidR="00C41794" w:rsidRPr="00F90F82">
        <w:rPr>
          <w:b/>
          <w:iCs/>
        </w:rPr>
        <w:t>for</w:t>
      </w:r>
      <w:r w:rsidR="00C41794">
        <w:rPr>
          <w:b/>
          <w:iCs/>
          <w:caps/>
        </w:rPr>
        <w:t xml:space="preserve"> </w:t>
      </w:r>
      <w:r w:rsidR="00C41794" w:rsidRPr="003B1CC5">
        <w:rPr>
          <w:b/>
          <w:iCs/>
          <w:caps/>
        </w:rPr>
        <w:t>intermediate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Pr>
          <w:rFonts w:ascii="Times New Roman" w:eastAsia="Arial Unicode MS" w:hAnsi="Times New Roman" w:cs="Mangal"/>
          <w:color w:val="0000FF"/>
          <w:kern w:val="1"/>
          <w:sz w:val="24"/>
          <w:szCs w:val="24"/>
          <w:lang w:eastAsia="hi-IN" w:bidi="hi-IN"/>
        </w:rPr>
        <w:t xml:space="preserve"> </w:t>
      </w:r>
      <w:r w:rsidR="00A9011D" w:rsidRPr="00A9011D">
        <w:rPr>
          <w:rFonts w:ascii="Calibri" w:eastAsia="Calibri" w:hAnsi="Calibri" w:cs="Times New Roman"/>
        </w:rPr>
        <w:t xml:space="preserve">Clinical Practice Guideline recommendation </w:t>
      </w:r>
      <w:r>
        <w:rPr>
          <w:rFonts w:ascii="Calibri" w:eastAsia="Calibri" w:hAnsi="Calibri" w:cs="Times New Roman"/>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systematic review and grading of the body of evidence (</w:t>
      </w:r>
      <w:r w:rsidRPr="00A9011D">
        <w:rPr>
          <w:rFonts w:ascii="Calibri" w:eastAsia="Calibri" w:hAnsi="Calibri" w:cs="Times New Roman"/>
          <w:i/>
        </w:rPr>
        <w:t>e.g., Cochrane Collaboration, AHRQ Evidence Practice Center</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Default="00A9011D" w:rsidP="002E2177">
      <w:pPr>
        <w:ind w:left="0" w:firstLine="0"/>
        <w:rPr>
          <w:i/>
          <w:iCs/>
        </w:rPr>
      </w:pPr>
    </w:p>
    <w:p w14:paraId="55B8DA6E" w14:textId="77777777" w:rsidR="004E7215" w:rsidRPr="003B1CC5" w:rsidRDefault="004E7215" w:rsidP="002E2177">
      <w:pPr>
        <w:ind w:left="0" w:firstLine="0"/>
        <w:rPr>
          <w:i/>
          <w:iCs/>
        </w:rPr>
      </w:pPr>
    </w:p>
    <w:tbl>
      <w:tblPr>
        <w:tblStyle w:val="TableGrid"/>
        <w:tblW w:w="0" w:type="auto"/>
        <w:tblLook w:val="04A0" w:firstRow="1" w:lastRow="0" w:firstColumn="1" w:lastColumn="0" w:noHBand="0" w:noVBand="1"/>
      </w:tblPr>
      <w:tblGrid>
        <w:gridCol w:w="4068"/>
        <w:gridCol w:w="5130"/>
      </w:tblGrid>
      <w:tr w:rsidR="00AB4ECE" w14:paraId="55B8DA76" w14:textId="77777777" w:rsidTr="00F90F82">
        <w:tc>
          <w:tcPr>
            <w:tcW w:w="4068" w:type="dxa"/>
          </w:tcPr>
          <w:p w14:paraId="55B8DA6F" w14:textId="77777777" w:rsidR="00AB4ECE" w:rsidRPr="00AB4ECE" w:rsidRDefault="00AB4ECE" w:rsidP="002E2177">
            <w:pPr>
              <w:ind w:left="0" w:firstLine="0"/>
              <w:rPr>
                <w:b/>
              </w:rPr>
            </w:pPr>
            <w:r w:rsidRPr="00AB4ECE">
              <w:rPr>
                <w:b/>
              </w:rPr>
              <w:t>Source of Systematic Review:</w:t>
            </w:r>
          </w:p>
          <w:p w14:paraId="55B8DA70" w14:textId="77777777" w:rsidR="00AB4ECE" w:rsidRPr="00AB4ECE" w:rsidRDefault="00AB4ECE" w:rsidP="00AB4ECE">
            <w:pPr>
              <w:pStyle w:val="ListParagraph"/>
              <w:numPr>
                <w:ilvl w:val="0"/>
                <w:numId w:val="9"/>
              </w:numPr>
              <w:rPr>
                <w:b/>
              </w:rPr>
            </w:pPr>
            <w:r w:rsidRPr="00AB4ECE">
              <w:rPr>
                <w:b/>
              </w:rPr>
              <w:t>Title</w:t>
            </w:r>
          </w:p>
          <w:p w14:paraId="55B8DA71" w14:textId="77777777" w:rsidR="00AB4ECE" w:rsidRPr="00AB4ECE" w:rsidRDefault="00AB4ECE" w:rsidP="00AB4ECE">
            <w:pPr>
              <w:pStyle w:val="ListParagraph"/>
              <w:numPr>
                <w:ilvl w:val="0"/>
                <w:numId w:val="9"/>
              </w:numPr>
              <w:rPr>
                <w:b/>
              </w:rPr>
            </w:pPr>
            <w:r w:rsidRPr="00AB4ECE">
              <w:rPr>
                <w:b/>
              </w:rPr>
              <w:t>Author</w:t>
            </w:r>
          </w:p>
          <w:p w14:paraId="55B8DA72" w14:textId="77777777" w:rsidR="00AB4ECE" w:rsidRPr="00AB4ECE" w:rsidRDefault="00AB4ECE" w:rsidP="00AB4ECE">
            <w:pPr>
              <w:pStyle w:val="ListParagraph"/>
              <w:numPr>
                <w:ilvl w:val="0"/>
                <w:numId w:val="9"/>
              </w:numPr>
              <w:rPr>
                <w:b/>
              </w:rPr>
            </w:pPr>
            <w:r w:rsidRPr="00AB4ECE">
              <w:rPr>
                <w:b/>
              </w:rPr>
              <w:t>Date</w:t>
            </w:r>
          </w:p>
          <w:p w14:paraId="55B8DA73" w14:textId="77777777" w:rsidR="00AB4ECE" w:rsidRPr="00AB4ECE" w:rsidRDefault="00AB4ECE" w:rsidP="00AB4ECE">
            <w:pPr>
              <w:pStyle w:val="ListParagraph"/>
              <w:numPr>
                <w:ilvl w:val="0"/>
                <w:numId w:val="9"/>
              </w:numPr>
              <w:rPr>
                <w:b/>
              </w:rPr>
            </w:pPr>
            <w:r w:rsidRPr="00AB4ECE">
              <w:rPr>
                <w:b/>
              </w:rPr>
              <w:t>Citation, including page number</w:t>
            </w:r>
          </w:p>
          <w:p w14:paraId="55B8DA74" w14:textId="77777777" w:rsidR="00AB4ECE" w:rsidRPr="00AB4ECE" w:rsidRDefault="00AB4ECE" w:rsidP="00AB4ECE">
            <w:pPr>
              <w:pStyle w:val="ListParagraph"/>
              <w:numPr>
                <w:ilvl w:val="0"/>
                <w:numId w:val="9"/>
              </w:numPr>
              <w:rPr>
                <w:b/>
              </w:rPr>
            </w:pPr>
            <w:r w:rsidRPr="00AB4ECE">
              <w:rPr>
                <w:b/>
              </w:rPr>
              <w:t>URL</w:t>
            </w:r>
          </w:p>
        </w:tc>
        <w:tc>
          <w:tcPr>
            <w:tcW w:w="5130" w:type="dxa"/>
          </w:tcPr>
          <w:p w14:paraId="55B8DA75" w14:textId="77777777" w:rsidR="00AB4ECE" w:rsidRPr="00AB4ECE" w:rsidRDefault="00AB4ECE" w:rsidP="002E2177">
            <w:pPr>
              <w:ind w:left="0" w:firstLine="0"/>
              <w:rPr>
                <w:b/>
              </w:rPr>
            </w:pPr>
          </w:p>
        </w:tc>
      </w:tr>
      <w:tr w:rsidR="00AB4ECE" w14:paraId="55B8DA79" w14:textId="77777777" w:rsidTr="00F90F82">
        <w:tc>
          <w:tcPr>
            <w:tcW w:w="4068" w:type="dxa"/>
          </w:tcPr>
          <w:p w14:paraId="55B8DA77" w14:textId="77777777" w:rsidR="00AB4ECE" w:rsidRDefault="00AB4ECE" w:rsidP="002E2177">
            <w:pPr>
              <w:ind w:left="0" w:firstLine="0"/>
            </w:pPr>
            <w:r>
              <w:t>Quote the guideline or recommendation verbatim about the process, structure or intermediate outcome being measured.</w:t>
            </w:r>
            <w:r w:rsidR="000E5C93">
              <w:t xml:space="preserve"> If not a guideline, summarize the conclusions from the SR.</w:t>
            </w:r>
          </w:p>
        </w:tc>
        <w:tc>
          <w:tcPr>
            <w:tcW w:w="5130" w:type="dxa"/>
          </w:tcPr>
          <w:p w14:paraId="55B8DA78" w14:textId="77777777" w:rsidR="00AB4ECE" w:rsidRDefault="00AB4ECE" w:rsidP="002E2177">
            <w:pPr>
              <w:ind w:left="0" w:firstLine="0"/>
            </w:pPr>
          </w:p>
        </w:tc>
      </w:tr>
      <w:tr w:rsidR="00AB4ECE" w14:paraId="55B8DA7C" w14:textId="77777777" w:rsidTr="00F90F82">
        <w:tc>
          <w:tcPr>
            <w:tcW w:w="4068" w:type="dxa"/>
          </w:tcPr>
          <w:p w14:paraId="55B8DA7A" w14:textId="77777777" w:rsidR="00AB4ECE" w:rsidRDefault="00AB4ECE" w:rsidP="00E42FAA">
            <w:pPr>
              <w:ind w:left="0" w:firstLine="0"/>
            </w:pPr>
            <w:r>
              <w:t xml:space="preserve">Grade assigned to the </w:t>
            </w:r>
            <w:r w:rsidRPr="004E7215">
              <w:rPr>
                <w:b/>
              </w:rPr>
              <w:t>evidence</w:t>
            </w:r>
            <w:r>
              <w:t xml:space="preserve"> associated with the recommendation with the definition of the grade</w:t>
            </w:r>
          </w:p>
        </w:tc>
        <w:tc>
          <w:tcPr>
            <w:tcW w:w="5130" w:type="dxa"/>
          </w:tcPr>
          <w:p w14:paraId="55B8DA7B" w14:textId="77777777" w:rsidR="00AB4ECE" w:rsidRDefault="00AB4ECE" w:rsidP="002E2177">
            <w:pPr>
              <w:ind w:left="0" w:firstLine="0"/>
            </w:pPr>
          </w:p>
        </w:tc>
      </w:tr>
      <w:tr w:rsidR="00AB4ECE" w14:paraId="55B8DA7F" w14:textId="77777777" w:rsidTr="00F90F82">
        <w:tc>
          <w:tcPr>
            <w:tcW w:w="4068" w:type="dxa"/>
          </w:tcPr>
          <w:p w14:paraId="55B8DA7D" w14:textId="77777777" w:rsidR="00AB4ECE" w:rsidRDefault="00AB4ECE" w:rsidP="00E42FAA">
            <w:pPr>
              <w:ind w:left="0" w:firstLine="0"/>
            </w:pPr>
            <w:r>
              <w:t>Provide all other grades and definitions from the evidence grading system</w:t>
            </w:r>
          </w:p>
        </w:tc>
        <w:tc>
          <w:tcPr>
            <w:tcW w:w="5130" w:type="dxa"/>
          </w:tcPr>
          <w:p w14:paraId="55B8DA7E" w14:textId="77777777" w:rsidR="00AB4ECE" w:rsidRDefault="00AB4ECE" w:rsidP="002E2177">
            <w:pPr>
              <w:ind w:left="0" w:firstLine="0"/>
            </w:pPr>
          </w:p>
        </w:tc>
      </w:tr>
      <w:tr w:rsidR="00AB4ECE" w14:paraId="55B8DA82" w14:textId="77777777" w:rsidTr="00F90F82">
        <w:tc>
          <w:tcPr>
            <w:tcW w:w="4068" w:type="dxa"/>
          </w:tcPr>
          <w:p w14:paraId="55B8DA80" w14:textId="77777777" w:rsidR="00AB4ECE" w:rsidRDefault="00AB4ECE" w:rsidP="00E42FAA">
            <w:pPr>
              <w:ind w:left="0" w:firstLine="0"/>
            </w:pPr>
            <w:r>
              <w:t xml:space="preserve">Grade assigned to the </w:t>
            </w:r>
            <w:r w:rsidRPr="004E7215">
              <w:rPr>
                <w:b/>
              </w:rPr>
              <w:t>recommendation</w:t>
            </w:r>
            <w:r>
              <w:t xml:space="preserve"> with definition of the grade</w:t>
            </w:r>
          </w:p>
        </w:tc>
        <w:tc>
          <w:tcPr>
            <w:tcW w:w="5130" w:type="dxa"/>
          </w:tcPr>
          <w:p w14:paraId="55B8DA81" w14:textId="77777777" w:rsidR="00AB4ECE" w:rsidRDefault="00AB4ECE" w:rsidP="002E2177">
            <w:pPr>
              <w:ind w:left="0" w:firstLine="0"/>
            </w:pPr>
          </w:p>
        </w:tc>
      </w:tr>
      <w:tr w:rsidR="00AB4ECE" w14:paraId="55B8DA85" w14:textId="77777777" w:rsidTr="00F90F82">
        <w:tc>
          <w:tcPr>
            <w:tcW w:w="4068" w:type="dxa"/>
          </w:tcPr>
          <w:p w14:paraId="55B8DA83" w14:textId="77777777" w:rsidR="00AB4ECE" w:rsidRDefault="00AB4ECE" w:rsidP="00E42FAA">
            <w:pPr>
              <w:ind w:left="0" w:firstLine="0"/>
            </w:pPr>
            <w:r>
              <w:lastRenderedPageBreak/>
              <w:t>Provide all other grades and definitions from the recommendation grading system</w:t>
            </w:r>
          </w:p>
        </w:tc>
        <w:tc>
          <w:tcPr>
            <w:tcW w:w="5130" w:type="dxa"/>
          </w:tcPr>
          <w:p w14:paraId="55B8DA84" w14:textId="77777777" w:rsidR="00AB4ECE" w:rsidRDefault="00AB4ECE" w:rsidP="002E2177">
            <w:pPr>
              <w:ind w:left="0" w:firstLine="0"/>
            </w:pPr>
          </w:p>
        </w:tc>
      </w:tr>
      <w:tr w:rsidR="00AB4ECE" w14:paraId="55B8DA8A" w14:textId="77777777" w:rsidTr="00F90F82">
        <w:tc>
          <w:tcPr>
            <w:tcW w:w="4068" w:type="dxa"/>
          </w:tcPr>
          <w:p w14:paraId="55B8DA86" w14:textId="77777777" w:rsidR="00AB4ECE" w:rsidRDefault="000E5C93" w:rsidP="002E2177">
            <w:pPr>
              <w:ind w:left="0" w:firstLine="0"/>
            </w:pPr>
            <w:r>
              <w:t>Body of evidence:</w:t>
            </w:r>
          </w:p>
          <w:p w14:paraId="55B8DA87" w14:textId="77777777" w:rsidR="000E5C93" w:rsidRDefault="000E5C93" w:rsidP="000E5C93">
            <w:pPr>
              <w:pStyle w:val="ListParagraph"/>
              <w:numPr>
                <w:ilvl w:val="0"/>
                <w:numId w:val="10"/>
              </w:numPr>
            </w:pPr>
            <w:r>
              <w:t>Quantity – how many studies?</w:t>
            </w:r>
          </w:p>
          <w:p w14:paraId="55B8DA88" w14:textId="77777777" w:rsidR="000E5C93" w:rsidRDefault="000E5C93" w:rsidP="000E5C93">
            <w:pPr>
              <w:pStyle w:val="ListParagraph"/>
              <w:numPr>
                <w:ilvl w:val="0"/>
                <w:numId w:val="10"/>
              </w:numPr>
            </w:pPr>
            <w:r>
              <w:t>Quality – what type of studies?</w:t>
            </w:r>
          </w:p>
        </w:tc>
        <w:tc>
          <w:tcPr>
            <w:tcW w:w="5130" w:type="dxa"/>
          </w:tcPr>
          <w:p w14:paraId="55B8DA89" w14:textId="77777777" w:rsidR="00AB4ECE" w:rsidRDefault="00AB4ECE" w:rsidP="002E2177">
            <w:pPr>
              <w:ind w:left="0" w:firstLine="0"/>
            </w:pPr>
          </w:p>
        </w:tc>
      </w:tr>
      <w:tr w:rsidR="00AB4ECE" w14:paraId="55B8DA8D" w14:textId="77777777" w:rsidTr="00F90F82">
        <w:tc>
          <w:tcPr>
            <w:tcW w:w="4068" w:type="dxa"/>
          </w:tcPr>
          <w:p w14:paraId="55B8DA8B" w14:textId="77777777" w:rsidR="00AB4ECE" w:rsidRDefault="000E5C93" w:rsidP="002E2177">
            <w:pPr>
              <w:ind w:left="0" w:firstLine="0"/>
            </w:pPr>
            <w:r>
              <w:t xml:space="preserve">Estimates of benefit and consistency across studies </w:t>
            </w:r>
          </w:p>
        </w:tc>
        <w:tc>
          <w:tcPr>
            <w:tcW w:w="5130" w:type="dxa"/>
          </w:tcPr>
          <w:p w14:paraId="55B8DA8C" w14:textId="77777777" w:rsidR="00AB4ECE" w:rsidRDefault="00AB4ECE" w:rsidP="002E2177">
            <w:pPr>
              <w:ind w:left="0" w:firstLine="0"/>
            </w:pPr>
          </w:p>
        </w:tc>
      </w:tr>
      <w:tr w:rsidR="000E5C93" w14:paraId="55B8DA90" w14:textId="77777777" w:rsidTr="00F90F82">
        <w:tc>
          <w:tcPr>
            <w:tcW w:w="4068" w:type="dxa"/>
          </w:tcPr>
          <w:p w14:paraId="55B8DA8E" w14:textId="77777777" w:rsidR="000E5C93" w:rsidRDefault="000E5C93" w:rsidP="002E2177">
            <w:pPr>
              <w:ind w:left="0" w:firstLine="0"/>
            </w:pPr>
            <w:r>
              <w:t>What harms were identified?</w:t>
            </w:r>
          </w:p>
        </w:tc>
        <w:tc>
          <w:tcPr>
            <w:tcW w:w="5130" w:type="dxa"/>
          </w:tcPr>
          <w:p w14:paraId="55B8DA8F" w14:textId="77777777" w:rsidR="000E5C93" w:rsidRDefault="000E5C93" w:rsidP="002E2177">
            <w:pPr>
              <w:ind w:left="0" w:firstLine="0"/>
            </w:pPr>
          </w:p>
        </w:tc>
      </w:tr>
      <w:tr w:rsidR="000E5C93" w14:paraId="55B8DA93" w14:textId="77777777" w:rsidTr="00F90F82">
        <w:tc>
          <w:tcPr>
            <w:tcW w:w="4068" w:type="dxa"/>
          </w:tcPr>
          <w:p w14:paraId="55B8DA91" w14:textId="77777777" w:rsidR="000E5C93" w:rsidRDefault="000E5C93" w:rsidP="000E5C93">
            <w:pPr>
              <w:ind w:left="0" w:firstLine="0"/>
            </w:pPr>
            <w:r>
              <w:t>Identify any new studies conducted since the SR. Do the new studies change the conclusions from the SR?</w:t>
            </w:r>
          </w:p>
        </w:tc>
        <w:tc>
          <w:tcPr>
            <w:tcW w:w="5130" w:type="dxa"/>
          </w:tcPr>
          <w:p w14:paraId="55B8DA92" w14:textId="77777777" w:rsidR="000E5C93" w:rsidRDefault="000E5C93" w:rsidP="002E2177">
            <w:pPr>
              <w:ind w:left="0" w:firstLine="0"/>
            </w:pPr>
          </w:p>
        </w:tc>
      </w:tr>
    </w:tbl>
    <w:p w14:paraId="55B8DA94" w14:textId="77777777" w:rsidR="007C1887" w:rsidRPr="003B1CC5" w:rsidRDefault="007C1887" w:rsidP="002E2177">
      <w:pPr>
        <w:ind w:left="0" w:firstLine="0"/>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6BFC2FC1" w14:textId="557235F9" w:rsidR="00651E2E" w:rsidRDefault="00837121" w:rsidP="00651E2E">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00651E2E">
        <w:rPr>
          <w:i/>
        </w:rPr>
        <w:t>performance measure</w:t>
      </w:r>
    </w:p>
    <w:p w14:paraId="55B8DA98" w14:textId="767E7284" w:rsidR="00837121" w:rsidRPr="00651E2E" w:rsidRDefault="00BE711E" w:rsidP="00651E2E">
      <w:pPr>
        <w:spacing w:before="120" w:after="120"/>
        <w:ind w:left="0" w:firstLine="0"/>
        <w:rPr>
          <w:i/>
          <w:color w:val="7030A0"/>
        </w:rPr>
      </w:pPr>
      <w:r w:rsidRPr="00651E2E">
        <w:rPr>
          <w:color w:val="7030A0"/>
        </w:rPr>
        <w:t>N/A</w:t>
      </w:r>
    </w:p>
    <w:p w14:paraId="55B8DA9A" w14:textId="7B4E138B" w:rsidR="000E5C93" w:rsidRDefault="000E5C93" w:rsidP="002E2177">
      <w:pPr>
        <w:ind w:left="0" w:firstLine="0"/>
      </w:pPr>
      <w:r>
        <w:rPr>
          <w:b/>
          <w:color w:val="0000FF"/>
        </w:rPr>
        <w:t>1a.4</w:t>
      </w:r>
      <w:r w:rsidR="00837121" w:rsidRPr="003B1CC5">
        <w:rPr>
          <w:b/>
          <w:color w:val="0000FF"/>
        </w:rPr>
        <w:t>.1</w:t>
      </w:r>
      <w:r w:rsidR="00837121" w:rsidRPr="003B1CC5">
        <w:rPr>
          <w:color w:val="0070C0"/>
        </w:rPr>
        <w:t xml:space="preserve"> </w:t>
      </w:r>
      <w:r w:rsidRPr="000E5C93">
        <w:rPr>
          <w:b/>
        </w:rPr>
        <w:t>B</w:t>
      </w:r>
      <w:r>
        <w:rPr>
          <w:b/>
        </w:rPr>
        <w:t xml:space="preserve">riefly </w:t>
      </w:r>
      <w:r w:rsidR="00E42FAA">
        <w:rPr>
          <w:b/>
        </w:rPr>
        <w:t>SYNTHESIZE</w:t>
      </w:r>
      <w:r w:rsidR="00E42FAA" w:rsidRPr="000E5C93">
        <w:rPr>
          <w:b/>
        </w:rPr>
        <w:t xml:space="preserve"> </w:t>
      </w:r>
      <w:r>
        <w:rPr>
          <w:b/>
        </w:rPr>
        <w:t xml:space="preserve">the evidence that supports the measure. </w:t>
      </w:r>
      <w:r>
        <w:t>A list of references without a summary is not acceptable.</w:t>
      </w:r>
    </w:p>
    <w:p w14:paraId="2A084F8B" w14:textId="611FA347" w:rsidR="00651E2E" w:rsidRPr="00651E2E" w:rsidRDefault="00651E2E" w:rsidP="00651E2E">
      <w:pPr>
        <w:spacing w:before="120" w:after="120"/>
        <w:ind w:left="0" w:firstLine="0"/>
        <w:rPr>
          <w:i/>
          <w:color w:val="7030A0"/>
        </w:rPr>
      </w:pPr>
      <w:r w:rsidRPr="00651E2E">
        <w:rPr>
          <w:color w:val="7030A0"/>
        </w:rPr>
        <w:t>N/A</w:t>
      </w:r>
    </w:p>
    <w:p w14:paraId="55B8DA9B" w14:textId="77777777" w:rsidR="00837121" w:rsidRPr="003B1CC5" w:rsidRDefault="000E5C93" w:rsidP="002E2177">
      <w:pPr>
        <w:ind w:left="0" w:firstLine="0"/>
      </w:pPr>
      <w:r w:rsidRPr="000E5C93">
        <w:rPr>
          <w:b/>
          <w:color w:val="244061" w:themeColor="accent1" w:themeShade="80"/>
        </w:rPr>
        <w:t xml:space="preserve">1a.4.2 </w:t>
      </w:r>
      <w:r w:rsidR="00837121" w:rsidRPr="003B1CC5">
        <w:rPr>
          <w:b/>
        </w:rPr>
        <w:t>What process was used to identify the evidence?</w:t>
      </w:r>
    </w:p>
    <w:p w14:paraId="458A5710" w14:textId="6B09A37A" w:rsidR="0023164B" w:rsidRPr="00651E2E" w:rsidRDefault="00651E2E" w:rsidP="00651E2E">
      <w:pPr>
        <w:spacing w:before="120" w:after="120"/>
        <w:ind w:left="0" w:firstLine="0"/>
        <w:rPr>
          <w:i/>
          <w:color w:val="7030A0"/>
        </w:rPr>
      </w:pPr>
      <w:r w:rsidRPr="00651E2E">
        <w:rPr>
          <w:color w:val="7030A0"/>
        </w:rPr>
        <w:t>N/A</w:t>
      </w:r>
    </w:p>
    <w:p w14:paraId="55B8DA9D" w14:textId="15C51A30" w:rsidR="00837121" w:rsidRDefault="000E5C93" w:rsidP="002E2177">
      <w:pPr>
        <w:ind w:left="0" w:firstLine="0"/>
        <w:rPr>
          <w:b/>
        </w:rPr>
      </w:pPr>
      <w:r>
        <w:rPr>
          <w:b/>
          <w:color w:val="0000FF"/>
        </w:rPr>
        <w:t>1a.4.3</w:t>
      </w:r>
      <w:r w:rsidR="00837121" w:rsidRPr="003B1CC5">
        <w:rPr>
          <w:b/>
          <w:color w:val="0000FF"/>
        </w:rPr>
        <w:t>.</w:t>
      </w:r>
      <w:r w:rsidR="00837121" w:rsidRPr="003B1CC5">
        <w:rPr>
          <w:color w:val="0070C0"/>
        </w:rPr>
        <w:t xml:space="preserve"> </w:t>
      </w:r>
      <w:r w:rsidR="006C7F30" w:rsidRPr="003B1CC5">
        <w:rPr>
          <w:b/>
        </w:rPr>
        <w:t>Provide the citation</w:t>
      </w:r>
      <w:r>
        <w:rPr>
          <w:b/>
        </w:rPr>
        <w:t>(s)</w:t>
      </w:r>
      <w:r w:rsidR="009E6B86" w:rsidRPr="003B1CC5">
        <w:rPr>
          <w:b/>
        </w:rPr>
        <w:t xml:space="preserve"> </w:t>
      </w:r>
      <w:r>
        <w:rPr>
          <w:b/>
        </w:rPr>
        <w:t>for the</w:t>
      </w:r>
      <w:r w:rsidR="006C7F30" w:rsidRPr="003B1CC5">
        <w:rPr>
          <w:b/>
        </w:rPr>
        <w:t xml:space="preserve"> evidence.</w:t>
      </w:r>
    </w:p>
    <w:p w14:paraId="401DA035" w14:textId="0FBFEDC7" w:rsidR="0023164B" w:rsidRPr="00651E2E" w:rsidRDefault="00651E2E" w:rsidP="00651E2E">
      <w:pPr>
        <w:spacing w:before="120" w:after="120"/>
        <w:ind w:left="0" w:firstLine="0"/>
        <w:rPr>
          <w:i/>
          <w:color w:val="7030A0"/>
        </w:rPr>
      </w:pPr>
      <w:r>
        <w:rPr>
          <w:color w:val="7030A0"/>
        </w:rPr>
        <w:t>N/A</w:t>
      </w:r>
    </w:p>
    <w:sectPr w:rsidR="0023164B" w:rsidRPr="00651E2E">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B8DAA0" w14:textId="77777777" w:rsidR="0040230E" w:rsidRDefault="0040230E" w:rsidP="007E37A5">
      <w:r>
        <w:separator/>
      </w:r>
    </w:p>
  </w:endnote>
  <w:endnote w:type="continuationSeparator" w:id="0">
    <w:p w14:paraId="55B8DAA1" w14:textId="77777777" w:rsidR="0040230E" w:rsidRDefault="0040230E"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2889EAEF" w:rsidR="00440687" w:rsidRDefault="00440687">
    <w:pPr>
      <w:pStyle w:val="Footer"/>
    </w:pPr>
    <w:r w:rsidRPr="00395263">
      <w:t xml:space="preserve">Version </w:t>
    </w:r>
    <w:proofErr w:type="gramStart"/>
    <w:r w:rsidR="00DC7F67">
      <w:t>7.1</w:t>
    </w:r>
    <w:r w:rsidR="00F63E8D">
      <w:t xml:space="preserve"> </w:t>
    </w:r>
    <w:r w:rsidRPr="00395263">
      <w:t xml:space="preserve"> </w:t>
    </w:r>
    <w:r w:rsidR="00CC0F87">
      <w:t>9</w:t>
    </w:r>
    <w:proofErr w:type="gramEnd"/>
    <w:r w:rsidR="00CC0F87">
      <w:t>/6</w:t>
    </w:r>
    <w:r w:rsidR="00DC7F67">
      <w:t>/17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090083">
      <w:rPr>
        <w:noProof/>
      </w:rPr>
      <w:t>3</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B8DA9E" w14:textId="77777777" w:rsidR="0040230E" w:rsidRDefault="0040230E" w:rsidP="007E37A5">
      <w:r>
        <w:separator/>
      </w:r>
    </w:p>
  </w:footnote>
  <w:footnote w:type="continuationSeparator" w:id="0">
    <w:p w14:paraId="55B8DA9F" w14:textId="77777777" w:rsidR="0040230E" w:rsidRDefault="0040230E" w:rsidP="007E3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440687" w:rsidRDefault="00440687"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CD8AC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0F11DF"/>
    <w:multiLevelType w:val="hybridMultilevel"/>
    <w:tmpl w:val="A4CEF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2"/>
  </w:num>
  <w:num w:numId="5">
    <w:abstractNumId w:val="4"/>
  </w:num>
  <w:num w:numId="6">
    <w:abstractNumId w:val="3"/>
  </w:num>
  <w:num w:numId="7">
    <w:abstractNumId w:val="9"/>
  </w:num>
  <w:num w:numId="8">
    <w:abstractNumId w:val="8"/>
  </w:num>
  <w:num w:numId="9">
    <w:abstractNumId w:val="10"/>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6AF8"/>
    <w:rsid w:val="00000DF2"/>
    <w:rsid w:val="00015986"/>
    <w:rsid w:val="000160E6"/>
    <w:rsid w:val="00024526"/>
    <w:rsid w:val="00030F43"/>
    <w:rsid w:val="00040DCF"/>
    <w:rsid w:val="00052C0B"/>
    <w:rsid w:val="00061CF3"/>
    <w:rsid w:val="00063601"/>
    <w:rsid w:val="000711B0"/>
    <w:rsid w:val="00073079"/>
    <w:rsid w:val="0007593F"/>
    <w:rsid w:val="00090083"/>
    <w:rsid w:val="00095EC9"/>
    <w:rsid w:val="00096A37"/>
    <w:rsid w:val="000A0810"/>
    <w:rsid w:val="000B627F"/>
    <w:rsid w:val="000D649E"/>
    <w:rsid w:val="000D6D06"/>
    <w:rsid w:val="000E5C93"/>
    <w:rsid w:val="000E71DD"/>
    <w:rsid w:val="000F4A48"/>
    <w:rsid w:val="000F4A7F"/>
    <w:rsid w:val="00114848"/>
    <w:rsid w:val="00120934"/>
    <w:rsid w:val="00130155"/>
    <w:rsid w:val="00132070"/>
    <w:rsid w:val="00141875"/>
    <w:rsid w:val="0014347E"/>
    <w:rsid w:val="00143DC7"/>
    <w:rsid w:val="00154438"/>
    <w:rsid w:val="001551F6"/>
    <w:rsid w:val="0015535B"/>
    <w:rsid w:val="00162036"/>
    <w:rsid w:val="001632DD"/>
    <w:rsid w:val="00176E60"/>
    <w:rsid w:val="00194913"/>
    <w:rsid w:val="00194D9A"/>
    <w:rsid w:val="001A196B"/>
    <w:rsid w:val="001A6D05"/>
    <w:rsid w:val="001B38BF"/>
    <w:rsid w:val="001B772D"/>
    <w:rsid w:val="001D5B5D"/>
    <w:rsid w:val="001E6153"/>
    <w:rsid w:val="00201FF9"/>
    <w:rsid w:val="00205857"/>
    <w:rsid w:val="0021751E"/>
    <w:rsid w:val="0023164B"/>
    <w:rsid w:val="00235ADC"/>
    <w:rsid w:val="00236F87"/>
    <w:rsid w:val="002535BD"/>
    <w:rsid w:val="00253EE3"/>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15E7F"/>
    <w:rsid w:val="00324D64"/>
    <w:rsid w:val="003526A7"/>
    <w:rsid w:val="00352B52"/>
    <w:rsid w:val="0035760D"/>
    <w:rsid w:val="00363ECC"/>
    <w:rsid w:val="0039020B"/>
    <w:rsid w:val="00395263"/>
    <w:rsid w:val="003956E0"/>
    <w:rsid w:val="0039609A"/>
    <w:rsid w:val="00397500"/>
    <w:rsid w:val="003B1CC5"/>
    <w:rsid w:val="003B65CE"/>
    <w:rsid w:val="003D6721"/>
    <w:rsid w:val="003E039E"/>
    <w:rsid w:val="0040230E"/>
    <w:rsid w:val="0041662F"/>
    <w:rsid w:val="00422917"/>
    <w:rsid w:val="00440687"/>
    <w:rsid w:val="0044131D"/>
    <w:rsid w:val="00441ADA"/>
    <w:rsid w:val="00457E46"/>
    <w:rsid w:val="00476440"/>
    <w:rsid w:val="004922E4"/>
    <w:rsid w:val="00496AF8"/>
    <w:rsid w:val="004A2DE2"/>
    <w:rsid w:val="004A575D"/>
    <w:rsid w:val="004B65C6"/>
    <w:rsid w:val="004B6A2B"/>
    <w:rsid w:val="004D1DC7"/>
    <w:rsid w:val="004E7215"/>
    <w:rsid w:val="004F7D7E"/>
    <w:rsid w:val="00500B0C"/>
    <w:rsid w:val="00515FDB"/>
    <w:rsid w:val="00537150"/>
    <w:rsid w:val="00540984"/>
    <w:rsid w:val="00543851"/>
    <w:rsid w:val="0055559D"/>
    <w:rsid w:val="005569AE"/>
    <w:rsid w:val="00573A3A"/>
    <w:rsid w:val="00583096"/>
    <w:rsid w:val="005857F8"/>
    <w:rsid w:val="00585EFB"/>
    <w:rsid w:val="005B0D18"/>
    <w:rsid w:val="005B12C3"/>
    <w:rsid w:val="005B409D"/>
    <w:rsid w:val="005D0FDB"/>
    <w:rsid w:val="005D25E9"/>
    <w:rsid w:val="005D6D59"/>
    <w:rsid w:val="0061327A"/>
    <w:rsid w:val="006157DF"/>
    <w:rsid w:val="00617390"/>
    <w:rsid w:val="00623420"/>
    <w:rsid w:val="00634768"/>
    <w:rsid w:val="0063596F"/>
    <w:rsid w:val="00651E2E"/>
    <w:rsid w:val="006709EB"/>
    <w:rsid w:val="00672824"/>
    <w:rsid w:val="00676BD4"/>
    <w:rsid w:val="0068184A"/>
    <w:rsid w:val="006A0249"/>
    <w:rsid w:val="006B5C51"/>
    <w:rsid w:val="006C7F30"/>
    <w:rsid w:val="006D43FF"/>
    <w:rsid w:val="006E6FDD"/>
    <w:rsid w:val="006F4B7F"/>
    <w:rsid w:val="006F760B"/>
    <w:rsid w:val="00701CC3"/>
    <w:rsid w:val="00713905"/>
    <w:rsid w:val="00724801"/>
    <w:rsid w:val="007248BC"/>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37A5"/>
    <w:rsid w:val="007F49D8"/>
    <w:rsid w:val="00805940"/>
    <w:rsid w:val="0081599C"/>
    <w:rsid w:val="00823D36"/>
    <w:rsid w:val="00832987"/>
    <w:rsid w:val="00837121"/>
    <w:rsid w:val="00840270"/>
    <w:rsid w:val="008471E5"/>
    <w:rsid w:val="00850C35"/>
    <w:rsid w:val="00851466"/>
    <w:rsid w:val="00863E43"/>
    <w:rsid w:val="008647C3"/>
    <w:rsid w:val="008659ED"/>
    <w:rsid w:val="008708DC"/>
    <w:rsid w:val="00870987"/>
    <w:rsid w:val="0087564A"/>
    <w:rsid w:val="00876E10"/>
    <w:rsid w:val="00881160"/>
    <w:rsid w:val="0088371C"/>
    <w:rsid w:val="008A45F3"/>
    <w:rsid w:val="008B51D9"/>
    <w:rsid w:val="008B652E"/>
    <w:rsid w:val="008D05B7"/>
    <w:rsid w:val="008F1DC6"/>
    <w:rsid w:val="008F6F51"/>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11C0"/>
    <w:rsid w:val="009E37BD"/>
    <w:rsid w:val="009E6B86"/>
    <w:rsid w:val="00A03301"/>
    <w:rsid w:val="00A12762"/>
    <w:rsid w:val="00A13867"/>
    <w:rsid w:val="00A26FED"/>
    <w:rsid w:val="00A421D4"/>
    <w:rsid w:val="00A44FF0"/>
    <w:rsid w:val="00A50E55"/>
    <w:rsid w:val="00A67EB1"/>
    <w:rsid w:val="00A9011D"/>
    <w:rsid w:val="00A91A47"/>
    <w:rsid w:val="00A95D2B"/>
    <w:rsid w:val="00AA5587"/>
    <w:rsid w:val="00AA76A1"/>
    <w:rsid w:val="00AB4ECE"/>
    <w:rsid w:val="00AC1E53"/>
    <w:rsid w:val="00AD79C8"/>
    <w:rsid w:val="00AE6CE0"/>
    <w:rsid w:val="00B058A6"/>
    <w:rsid w:val="00B117D0"/>
    <w:rsid w:val="00B13998"/>
    <w:rsid w:val="00B35C5F"/>
    <w:rsid w:val="00B439DD"/>
    <w:rsid w:val="00B52E0F"/>
    <w:rsid w:val="00B74629"/>
    <w:rsid w:val="00B91F58"/>
    <w:rsid w:val="00B96FFA"/>
    <w:rsid w:val="00BA579E"/>
    <w:rsid w:val="00BC3E39"/>
    <w:rsid w:val="00BE2295"/>
    <w:rsid w:val="00BE6373"/>
    <w:rsid w:val="00BE711E"/>
    <w:rsid w:val="00BF533A"/>
    <w:rsid w:val="00C05685"/>
    <w:rsid w:val="00C41794"/>
    <w:rsid w:val="00C46677"/>
    <w:rsid w:val="00C5180E"/>
    <w:rsid w:val="00C54E40"/>
    <w:rsid w:val="00C55F56"/>
    <w:rsid w:val="00C57BA4"/>
    <w:rsid w:val="00C613EB"/>
    <w:rsid w:val="00C71C1A"/>
    <w:rsid w:val="00C84623"/>
    <w:rsid w:val="00C85E58"/>
    <w:rsid w:val="00C97039"/>
    <w:rsid w:val="00CA4A93"/>
    <w:rsid w:val="00CB06C9"/>
    <w:rsid w:val="00CB1E41"/>
    <w:rsid w:val="00CB271C"/>
    <w:rsid w:val="00CC0F87"/>
    <w:rsid w:val="00CD1C32"/>
    <w:rsid w:val="00CE4F96"/>
    <w:rsid w:val="00CF0AB1"/>
    <w:rsid w:val="00CF4B9B"/>
    <w:rsid w:val="00CF55E6"/>
    <w:rsid w:val="00CF772F"/>
    <w:rsid w:val="00D048DB"/>
    <w:rsid w:val="00D14F0B"/>
    <w:rsid w:val="00D178CA"/>
    <w:rsid w:val="00D3311C"/>
    <w:rsid w:val="00D53405"/>
    <w:rsid w:val="00D5457B"/>
    <w:rsid w:val="00D72995"/>
    <w:rsid w:val="00D73685"/>
    <w:rsid w:val="00D85438"/>
    <w:rsid w:val="00D95B66"/>
    <w:rsid w:val="00DA7FA2"/>
    <w:rsid w:val="00DB314B"/>
    <w:rsid w:val="00DC2D8D"/>
    <w:rsid w:val="00DC325C"/>
    <w:rsid w:val="00DC7F67"/>
    <w:rsid w:val="00DE1F5D"/>
    <w:rsid w:val="00DE50D8"/>
    <w:rsid w:val="00DF278A"/>
    <w:rsid w:val="00E12153"/>
    <w:rsid w:val="00E1664B"/>
    <w:rsid w:val="00E30D12"/>
    <w:rsid w:val="00E3394E"/>
    <w:rsid w:val="00E35241"/>
    <w:rsid w:val="00E41417"/>
    <w:rsid w:val="00E42FAA"/>
    <w:rsid w:val="00E536D3"/>
    <w:rsid w:val="00E57BE2"/>
    <w:rsid w:val="00E62A95"/>
    <w:rsid w:val="00E746A2"/>
    <w:rsid w:val="00E90D06"/>
    <w:rsid w:val="00E97E59"/>
    <w:rsid w:val="00EA79C9"/>
    <w:rsid w:val="00EB66AC"/>
    <w:rsid w:val="00EC1225"/>
    <w:rsid w:val="00EC2247"/>
    <w:rsid w:val="00ED274F"/>
    <w:rsid w:val="00EE1F87"/>
    <w:rsid w:val="00EE3931"/>
    <w:rsid w:val="00EE5AF6"/>
    <w:rsid w:val="00EF2CEF"/>
    <w:rsid w:val="00F07D47"/>
    <w:rsid w:val="00F1092D"/>
    <w:rsid w:val="00F42C20"/>
    <w:rsid w:val="00F431D8"/>
    <w:rsid w:val="00F54829"/>
    <w:rsid w:val="00F63E8D"/>
    <w:rsid w:val="00F67706"/>
    <w:rsid w:val="00F81FE3"/>
    <w:rsid w:val="00F90F82"/>
    <w:rsid w:val="00F92D75"/>
    <w:rsid w:val="00F97327"/>
    <w:rsid w:val="00FA296F"/>
    <w:rsid w:val="00FA4E05"/>
    <w:rsid w:val="00FA7323"/>
    <w:rsid w:val="00FB1299"/>
    <w:rsid w:val="00FC32D3"/>
    <w:rsid w:val="00FD4D82"/>
    <w:rsid w:val="00FE57AE"/>
    <w:rsid w:val="00FE7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character" w:styleId="UnresolvedMention">
    <w:name w:val="Unresolved Mention"/>
    <w:basedOn w:val="DefaultParagraphFont"/>
    <w:uiPriority w:val="99"/>
    <w:semiHidden/>
    <w:unhideWhenUsed/>
    <w:rsid w:val="00583096"/>
    <w:rPr>
      <w:color w:val="808080"/>
      <w:shd w:val="clear" w:color="auto" w:fill="E6E6E6"/>
    </w:rPr>
  </w:style>
  <w:style w:type="character" w:styleId="Emphasis">
    <w:name w:val="Emphasis"/>
    <w:basedOn w:val="DefaultParagraphFont"/>
    <w:uiPriority w:val="20"/>
    <w:qFormat/>
    <w:rsid w:val="005830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830898">
      <w:bodyDiv w:val="1"/>
      <w:marLeft w:val="0"/>
      <w:marRight w:val="0"/>
      <w:marTop w:val="0"/>
      <w:marBottom w:val="0"/>
      <w:divBdr>
        <w:top w:val="none" w:sz="0" w:space="0" w:color="auto"/>
        <w:left w:val="none" w:sz="0" w:space="0" w:color="auto"/>
        <w:bottom w:val="none" w:sz="0" w:space="0" w:color="auto"/>
        <w:right w:val="none" w:sz="0" w:space="0" w:color="auto"/>
      </w:divBdr>
      <w:divsChild>
        <w:div w:id="1888224218">
          <w:marLeft w:val="0"/>
          <w:marRight w:val="0"/>
          <w:marTop w:val="0"/>
          <w:marBottom w:val="0"/>
          <w:divBdr>
            <w:top w:val="none" w:sz="0" w:space="0" w:color="auto"/>
            <w:left w:val="none" w:sz="0" w:space="0" w:color="auto"/>
            <w:bottom w:val="none" w:sz="0" w:space="0" w:color="auto"/>
            <w:right w:val="none" w:sz="0" w:space="0" w:color="auto"/>
          </w:divBdr>
        </w:div>
        <w:div w:id="1253927693">
          <w:marLeft w:val="0"/>
          <w:marRight w:val="0"/>
          <w:marTop w:val="0"/>
          <w:marBottom w:val="0"/>
          <w:divBdr>
            <w:top w:val="none" w:sz="0" w:space="0" w:color="auto"/>
            <w:left w:val="none" w:sz="0" w:space="0" w:color="auto"/>
            <w:bottom w:val="none" w:sz="0" w:space="0" w:color="auto"/>
            <w:right w:val="none" w:sz="0" w:space="0" w:color="auto"/>
          </w:divBdr>
        </w:div>
      </w:divsChild>
    </w:div>
    <w:div w:id="291980821">
      <w:bodyDiv w:val="1"/>
      <w:marLeft w:val="0"/>
      <w:marRight w:val="0"/>
      <w:marTop w:val="0"/>
      <w:marBottom w:val="0"/>
      <w:divBdr>
        <w:top w:val="none" w:sz="0" w:space="0" w:color="auto"/>
        <w:left w:val="none" w:sz="0" w:space="0" w:color="auto"/>
        <w:bottom w:val="none" w:sz="0" w:space="0" w:color="auto"/>
        <w:right w:val="none" w:sz="0" w:space="0" w:color="auto"/>
      </w:divBdr>
      <w:divsChild>
        <w:div w:id="692223476">
          <w:marLeft w:val="0"/>
          <w:marRight w:val="0"/>
          <w:marTop w:val="0"/>
          <w:marBottom w:val="0"/>
          <w:divBdr>
            <w:top w:val="none" w:sz="0" w:space="0" w:color="auto"/>
            <w:left w:val="none" w:sz="0" w:space="0" w:color="auto"/>
            <w:bottom w:val="none" w:sz="0" w:space="0" w:color="auto"/>
            <w:right w:val="none" w:sz="0" w:space="0" w:color="auto"/>
          </w:divBdr>
        </w:div>
        <w:div w:id="740179666">
          <w:marLeft w:val="0"/>
          <w:marRight w:val="0"/>
          <w:marTop w:val="0"/>
          <w:marBottom w:val="0"/>
          <w:divBdr>
            <w:top w:val="none" w:sz="0" w:space="0" w:color="auto"/>
            <w:left w:val="none" w:sz="0" w:space="0" w:color="auto"/>
            <w:bottom w:val="none" w:sz="0" w:space="0" w:color="auto"/>
            <w:right w:val="none" w:sz="0" w:space="0" w:color="auto"/>
          </w:divBdr>
        </w:div>
      </w:divsChild>
    </w:div>
    <w:div w:id="2097625184">
      <w:bodyDiv w:val="1"/>
      <w:marLeft w:val="0"/>
      <w:marRight w:val="0"/>
      <w:marTop w:val="0"/>
      <w:marBottom w:val="0"/>
      <w:divBdr>
        <w:top w:val="none" w:sz="0" w:space="0" w:color="auto"/>
        <w:left w:val="none" w:sz="0" w:space="0" w:color="auto"/>
        <w:bottom w:val="none" w:sz="0" w:space="0" w:color="auto"/>
        <w:right w:val="none" w:sz="0" w:space="0" w:color="auto"/>
      </w:divBdr>
      <w:divsChild>
        <w:div w:id="844055733">
          <w:marLeft w:val="0"/>
          <w:marRight w:val="0"/>
          <w:marTop w:val="0"/>
          <w:marBottom w:val="0"/>
          <w:divBdr>
            <w:top w:val="single" w:sz="6" w:space="0" w:color="DDDDDD"/>
            <w:left w:val="single" w:sz="6" w:space="0" w:color="DDDDDD"/>
            <w:bottom w:val="single" w:sz="6" w:space="0" w:color="DDDDDD"/>
            <w:right w:val="single" w:sz="6" w:space="0" w:color="DDDDDD"/>
          </w:divBdr>
          <w:divsChild>
            <w:div w:id="2037392251">
              <w:marLeft w:val="0"/>
              <w:marRight w:val="0"/>
              <w:marTop w:val="0"/>
              <w:marBottom w:val="0"/>
              <w:divBdr>
                <w:top w:val="none" w:sz="0" w:space="0" w:color="auto"/>
                <w:left w:val="none" w:sz="0" w:space="0" w:color="auto"/>
                <w:bottom w:val="none" w:sz="0" w:space="0" w:color="auto"/>
                <w:right w:val="none" w:sz="0" w:space="0" w:color="auto"/>
              </w:divBdr>
              <w:divsChild>
                <w:div w:id="1601252965">
                  <w:marLeft w:val="0"/>
                  <w:marRight w:val="0"/>
                  <w:marTop w:val="0"/>
                  <w:marBottom w:val="0"/>
                  <w:divBdr>
                    <w:top w:val="none" w:sz="0" w:space="0" w:color="auto"/>
                    <w:left w:val="none" w:sz="0" w:space="0" w:color="auto"/>
                    <w:bottom w:val="none" w:sz="0" w:space="0" w:color="auto"/>
                    <w:right w:val="none" w:sz="0" w:space="0" w:color="auto"/>
                  </w:divBdr>
                  <w:divsChild>
                    <w:div w:id="76830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3529503">
      <w:bodyDiv w:val="1"/>
      <w:marLeft w:val="0"/>
      <w:marRight w:val="0"/>
      <w:marTop w:val="0"/>
      <w:marBottom w:val="0"/>
      <w:divBdr>
        <w:top w:val="none" w:sz="0" w:space="0" w:color="auto"/>
        <w:left w:val="none" w:sz="0" w:space="0" w:color="auto"/>
        <w:bottom w:val="none" w:sz="0" w:space="0" w:color="auto"/>
        <w:right w:val="none" w:sz="0" w:space="0" w:color="auto"/>
      </w:divBdr>
      <w:divsChild>
        <w:div w:id="1560243341">
          <w:marLeft w:val="0"/>
          <w:marRight w:val="0"/>
          <w:marTop w:val="0"/>
          <w:marBottom w:val="0"/>
          <w:divBdr>
            <w:top w:val="single" w:sz="6" w:space="0" w:color="DDDDDD"/>
            <w:left w:val="single" w:sz="6" w:space="0" w:color="DDDDDD"/>
            <w:bottom w:val="single" w:sz="6" w:space="0" w:color="DDDDDD"/>
            <w:right w:val="single" w:sz="6" w:space="0" w:color="DDDDDD"/>
          </w:divBdr>
          <w:divsChild>
            <w:div w:id="1879658427">
              <w:marLeft w:val="0"/>
              <w:marRight w:val="0"/>
              <w:marTop w:val="0"/>
              <w:marBottom w:val="0"/>
              <w:divBdr>
                <w:top w:val="none" w:sz="0" w:space="0" w:color="auto"/>
                <w:left w:val="none" w:sz="0" w:space="0" w:color="auto"/>
                <w:bottom w:val="none" w:sz="0" w:space="0" w:color="auto"/>
                <w:right w:val="none" w:sz="0" w:space="0" w:color="auto"/>
              </w:divBdr>
              <w:divsChild>
                <w:div w:id="904485580">
                  <w:marLeft w:val="0"/>
                  <w:marRight w:val="0"/>
                  <w:marTop w:val="0"/>
                  <w:marBottom w:val="0"/>
                  <w:divBdr>
                    <w:top w:val="none" w:sz="0" w:space="0" w:color="auto"/>
                    <w:left w:val="none" w:sz="0" w:space="0" w:color="auto"/>
                    <w:bottom w:val="none" w:sz="0" w:space="0" w:color="auto"/>
                    <w:right w:val="none" w:sz="0" w:space="0" w:color="auto"/>
                  </w:divBdr>
                  <w:divsChild>
                    <w:div w:id="189545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radeworkinggroup.org" TargetMode="External"/><Relationship Id="rId18" Type="http://schemas.openxmlformats.org/officeDocument/2006/relationships/hyperlink" Target="http://www.cdc.gov/nchs/data/nhds/4procedures/2010pro4_numberprocedureage.pdf"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package" Target="embeddings/Microsoft_Visio_Drawing.vsdx"/><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aqaalliance.org/files/PrinciplesofEfficiencyMeasurementApril2006.doc"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qualityforum.org/Publications/2010/01/Measurement_Framework__Evaluating_Efficiency_Across_Patient-Focused_Episodes_of_Care.aspx"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1F47A0"/>
    <w:rsid w:val="002B5F47"/>
    <w:rsid w:val="003A1E4B"/>
    <w:rsid w:val="00455EB5"/>
    <w:rsid w:val="00461C1C"/>
    <w:rsid w:val="004E2027"/>
    <w:rsid w:val="005F21F3"/>
    <w:rsid w:val="008F6A9B"/>
    <w:rsid w:val="00A77B15"/>
    <w:rsid w:val="00BE0F2D"/>
    <w:rsid w:val="00C03643"/>
    <w:rsid w:val="00C2797F"/>
    <w:rsid w:val="00C80225"/>
    <w:rsid w:val="00D228C9"/>
    <w:rsid w:val="00D2552B"/>
    <w:rsid w:val="00D75B64"/>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CDBE7-7F08-4F52-B308-EE351D989842}">
  <ds:schemaRefs>
    <ds:schemaRef ds:uri="http://purl.org/dc/dcmitype/"/>
    <ds:schemaRef ds:uri="http://schemas.microsoft.com/office/infopath/2007/PartnerControls"/>
    <ds:schemaRef ds:uri="http://purl.org/dc/terms/"/>
    <ds:schemaRef ds:uri="http://schemas.microsoft.com/office/2006/documentManagement/types"/>
    <ds:schemaRef ds:uri="http://purl.org/dc/elements/1.1/"/>
    <ds:schemaRef ds:uri="836b82f1-340d-495e-85b5-201c5296619a"/>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8C703B16-F147-463E-8909-145470A06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E77C6A-324F-4FC0-B7AC-A64B0A132FFF}">
  <ds:schemaRefs>
    <ds:schemaRef ds:uri="http://schemas.microsoft.com/sharepoint/events"/>
  </ds:schemaRefs>
</ds:datastoreItem>
</file>

<file path=customXml/itemProps4.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5.xml><?xml version="1.0" encoding="utf-8"?>
<ds:datastoreItem xmlns:ds="http://schemas.openxmlformats.org/officeDocument/2006/customXml" ds:itemID="{03CA4D25-8B3B-4EDD-8545-126CBC52C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2545</Words>
  <Characters>14510</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Harris, Alexandra</cp:lastModifiedBy>
  <cp:revision>19</cp:revision>
  <dcterms:created xsi:type="dcterms:W3CDTF">2020-06-16T17:54:00Z</dcterms:created>
  <dcterms:modified xsi:type="dcterms:W3CDTF">2020-06-30T12:35:00Z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