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1E07CC0"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667B5F" w:rsidRPr="00A64E73">
            <w:rPr>
              <w:rStyle w:val="Style1"/>
              <w:color w:val="7030A0"/>
            </w:rPr>
            <w:t>0230</w:t>
          </w:r>
        </w:sdtContent>
      </w:sdt>
    </w:p>
    <w:p w14:paraId="55B8DA2F" w14:textId="66AC8729"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367064877"/>
              <w:placeholder>
                <w:docPart w:val="710070629B874F0CAFE6A6B4D6929E64"/>
              </w:placeholder>
            </w:sdtPr>
            <w:sdtEndPr>
              <w:rPr>
                <w:rStyle w:val="DefaultParagraphFont"/>
                <w:noProof/>
                <w:color w:val="auto"/>
              </w:rPr>
            </w:sdtEndPr>
            <w:sdtContent>
              <w:r w:rsidR="00667B5F" w:rsidRPr="00627CF1">
                <w:rPr>
                  <w:rFonts w:ascii="Calibri" w:eastAsia="Calibri" w:hAnsi="Calibri"/>
                  <w:color w:val="7030A0"/>
                </w:rPr>
                <w:t>Hospital 30-day, all-cause, risk-standardized mortality rate (RSMR) following acute myocardial infarction (AMI) hospitalization for patients 18 and older</w:t>
              </w:r>
              <w:r w:rsidR="00667B5F" w:rsidRPr="00A64E73">
                <w:rPr>
                  <w:rFonts w:ascii="Calibri" w:eastAsia="Calibri" w:hAnsi="Calibri"/>
                  <w:color w:val="7030A0"/>
                  <w:sz w:val="24"/>
                </w:rPr>
                <w:t xml:space="preserve">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C1031F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7030A0"/>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u w:val="none"/>
          </w:rPr>
        </w:sdtEndPr>
        <w:sdtContent>
          <w:r w:rsidR="00667B5F" w:rsidRPr="00A64E73">
            <w:rPr>
              <w:rStyle w:val="Style2"/>
              <w:color w:val="7030A0"/>
            </w:rPr>
            <w:t>11/2/2020</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3CD1B318" w:rsidR="00496AF8" w:rsidRPr="006134D2" w:rsidRDefault="00C06248" w:rsidP="00A9011D">
      <w:pPr>
        <w:ind w:left="432" w:hanging="432"/>
        <w:rPr>
          <w:rStyle w:val="Style2"/>
          <w:rFonts w:cstheme="minorHAnsi"/>
          <w:color w:val="7030A0"/>
        </w:rPr>
      </w:pPr>
      <w:sdt>
        <w:sdtPr>
          <w:rPr>
            <w:bCs/>
            <w:color w:val="0000FF"/>
            <w:u w:val="single"/>
          </w:rPr>
          <w:id w:val="1077707841"/>
          <w14:checkbox>
            <w14:checked w14:val="1"/>
            <w14:checkedState w14:val="2612" w14:font="MS Gothic"/>
            <w14:uncheckedState w14:val="2610" w14:font="MS Gothic"/>
          </w14:checkbox>
        </w:sdtPr>
        <w:sdtEndPr/>
        <w:sdtContent>
          <w:r w:rsidR="00573A3A">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7030A0"/>
            <w:u w:val="none"/>
          </w:rPr>
        </w:sdtEndPr>
        <w:sdtContent>
          <w:sdt>
            <w:sdtPr>
              <w:rPr>
                <w:rStyle w:val="Style1"/>
                <w:color w:val="7030A0"/>
              </w:rPr>
              <w:id w:val="546723441"/>
              <w:placeholder>
                <w:docPart w:val="016A45202C5A4844948EB894C73E1D55"/>
              </w:placeholder>
            </w:sdtPr>
            <w:sdtEndPr>
              <w:rPr>
                <w:rStyle w:val="DefaultParagraphFont"/>
                <w:noProof/>
              </w:rPr>
            </w:sdtEndPr>
            <w:sdtContent>
              <w:r w:rsidR="00667B5F" w:rsidRPr="00161ED9">
                <w:rPr>
                  <w:rFonts w:ascii="Calibri" w:eastAsia="Calibri" w:hAnsi="Calibri"/>
                  <w:color w:val="7030A0"/>
                </w:rPr>
                <w:t>Hospital 30-day, all-cause, risk-standardized mortality rate (RSMR) following acute myocardial infarction (AMI) hospitalization for patients 18 and older</w:t>
              </w:r>
              <w:r w:rsidR="00667B5F" w:rsidRPr="006134D2">
                <w:rPr>
                  <w:rFonts w:ascii="Calibri" w:eastAsia="Calibri" w:hAnsi="Calibri"/>
                  <w:color w:val="7030A0"/>
                  <w:sz w:val="24"/>
                </w:rPr>
                <w:t xml:space="preserve"> </w:t>
              </w:r>
            </w:sdtContent>
          </w:sdt>
        </w:sdtContent>
      </w:sdt>
    </w:p>
    <w:p w14:paraId="55B8DA52" w14:textId="77777777" w:rsidR="00236F87" w:rsidRPr="003B1CC5" w:rsidRDefault="00C06248"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C06248"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C06248"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C0624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C0624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0BED6F7F" w14:textId="0E147C3C" w:rsidR="00A64E73" w:rsidRDefault="00676BD4" w:rsidP="00A64E73">
      <w:pPr>
        <w:ind w:left="432" w:hanging="432"/>
        <w:rPr>
          <w:iCs/>
        </w:rPr>
      </w:pPr>
      <w:r>
        <w:rPr>
          <w:b/>
          <w:bCs/>
          <w:color w:val="0000FF"/>
        </w:rPr>
        <w:t>1a.</w:t>
      </w:r>
      <w:r w:rsidR="00C41794">
        <w:rPr>
          <w:b/>
          <w:bCs/>
          <w:color w:val="0000FF"/>
        </w:rPr>
        <w:t>2</w:t>
      </w:r>
      <w:r w:rsidR="002B06BD" w:rsidRPr="003B1CC5">
        <w:rPr>
          <w:bCs/>
        </w:rPr>
        <w:t xml:space="preserve"> </w:t>
      </w:r>
      <w:r w:rsidRPr="006134D2">
        <w:rPr>
          <w:b/>
          <w:bCs/>
        </w:rPr>
        <w:t>LOGIC MODEL</w:t>
      </w:r>
      <w:r w:rsidRPr="006134D2">
        <w:rPr>
          <w:bCs/>
        </w:rPr>
        <w:t xml:space="preserve"> </w:t>
      </w:r>
      <w:r w:rsidRPr="006134D2">
        <w:rPr>
          <w:iCs/>
        </w:rPr>
        <w:t>Diagram or briefly describe</w:t>
      </w:r>
      <w:r w:rsidR="002B06BD" w:rsidRPr="006134D2">
        <w:rPr>
          <w:iCs/>
        </w:rPr>
        <w:t xml:space="preserve"> the </w:t>
      </w:r>
      <w:r w:rsidRPr="006134D2">
        <w:rPr>
          <w:iCs/>
        </w:rPr>
        <w:t>steps</w:t>
      </w:r>
      <w:r w:rsidR="00236F87" w:rsidRPr="006134D2">
        <w:rPr>
          <w:iCs/>
        </w:rPr>
        <w:t xml:space="preserve"> </w:t>
      </w:r>
      <w:r w:rsidR="002B06BD" w:rsidRPr="006134D2">
        <w:rPr>
          <w:iCs/>
        </w:rPr>
        <w:t xml:space="preserve">between </w:t>
      </w:r>
      <w:r w:rsidR="00CB06C9" w:rsidRPr="006134D2">
        <w:rPr>
          <w:iCs/>
        </w:rPr>
        <w:t>the</w:t>
      </w:r>
      <w:r w:rsidR="002B06BD" w:rsidRPr="006134D2">
        <w:rPr>
          <w:iCs/>
        </w:rPr>
        <w:t xml:space="preserve"> healthcare structure</w:t>
      </w:r>
      <w:r w:rsidR="00CB06C9" w:rsidRPr="006134D2">
        <w:rPr>
          <w:iCs/>
        </w:rPr>
        <w:t>s</w:t>
      </w:r>
      <w:r w:rsidR="00F90F82" w:rsidRPr="006134D2">
        <w:rPr>
          <w:iCs/>
        </w:rPr>
        <w:t xml:space="preserve"> and</w:t>
      </w:r>
      <w:r w:rsidR="002B06BD" w:rsidRPr="006134D2">
        <w:rPr>
          <w:iCs/>
        </w:rPr>
        <w:t xml:space="preserve"> process</w:t>
      </w:r>
      <w:r w:rsidR="00CB06C9" w:rsidRPr="006134D2">
        <w:rPr>
          <w:iCs/>
        </w:rPr>
        <w:t>es</w:t>
      </w:r>
      <w:r w:rsidRPr="006134D2">
        <w:rPr>
          <w:iCs/>
        </w:rPr>
        <w:t xml:space="preserve"> (e.g.,</w:t>
      </w:r>
      <w:r w:rsidR="002B06BD" w:rsidRPr="006134D2">
        <w:rPr>
          <w:iCs/>
        </w:rPr>
        <w:t xml:space="preserve"> intervention</w:t>
      </w:r>
      <w:r w:rsidR="00CB06C9" w:rsidRPr="006134D2">
        <w:rPr>
          <w:iCs/>
        </w:rPr>
        <w:t>s</w:t>
      </w:r>
      <w:r w:rsidR="002B06BD" w:rsidRPr="006134D2">
        <w:rPr>
          <w:iCs/>
        </w:rPr>
        <w:t>, or service</w:t>
      </w:r>
      <w:r w:rsidR="00CB06C9" w:rsidRPr="006134D2">
        <w:rPr>
          <w:iCs/>
        </w:rPr>
        <w:t>s</w:t>
      </w:r>
      <w:r w:rsidRPr="006134D2">
        <w:rPr>
          <w:iCs/>
        </w:rPr>
        <w:t>)</w:t>
      </w:r>
      <w:r w:rsidR="00CB06C9" w:rsidRPr="006134D2">
        <w:rPr>
          <w:iCs/>
        </w:rPr>
        <w:t xml:space="preserve"> </w:t>
      </w:r>
      <w:r w:rsidRPr="006134D2">
        <w:rPr>
          <w:iCs/>
        </w:rPr>
        <w:t>and the patient’s health outcome</w:t>
      </w:r>
      <w:r w:rsidR="00F90F82" w:rsidRPr="006134D2">
        <w:rPr>
          <w:iCs/>
        </w:rPr>
        <w:t>(s)</w:t>
      </w:r>
      <w:r w:rsidRPr="006134D2">
        <w:rPr>
          <w:iCs/>
        </w:rPr>
        <w:t xml:space="preserve">. The relationships in the diagram should be easily understood by general, non-technical audiences. Indicate the </w:t>
      </w:r>
      <w:r w:rsidR="00F90F82" w:rsidRPr="006134D2">
        <w:rPr>
          <w:iCs/>
        </w:rPr>
        <w:t xml:space="preserve">structure, </w:t>
      </w:r>
      <w:r w:rsidRPr="006134D2">
        <w:rPr>
          <w:iCs/>
        </w:rPr>
        <w:t>process or outcome being measured.</w:t>
      </w:r>
    </w:p>
    <w:p w14:paraId="42EEC5BD" w14:textId="101A1F84" w:rsidR="00EC22B2" w:rsidRDefault="00EC22B2" w:rsidP="00A64E73">
      <w:pPr>
        <w:ind w:left="432" w:hanging="432"/>
        <w:rPr>
          <w:color w:val="0000FF"/>
        </w:rPr>
      </w:pPr>
    </w:p>
    <w:p w14:paraId="5537D38F" w14:textId="3F25DE07" w:rsidR="00EC22B2" w:rsidRPr="00C06248" w:rsidRDefault="00EC22B2" w:rsidP="00EC22B2">
      <w:pPr>
        <w:rPr>
          <w:color w:val="C00000"/>
        </w:rPr>
      </w:pPr>
      <w:r w:rsidRPr="00C06248">
        <w:rPr>
          <w:color w:val="C00000"/>
        </w:rPr>
        <w:t>Table 1. AMI Mortality Logic Model</w:t>
      </w:r>
    </w:p>
    <w:p w14:paraId="7C894901" w14:textId="5375132C" w:rsidR="00A64E73" w:rsidRDefault="008135F0" w:rsidP="00A64E73">
      <w:pPr>
        <w:ind w:left="0" w:firstLine="18"/>
        <w:rPr>
          <w:color w:val="7030A0"/>
        </w:rPr>
      </w:pPr>
      <w:r w:rsidRPr="00B716C7">
        <w:object w:dxaOrig="12711" w:dyaOrig="5041" w14:anchorId="13785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logic model illustrates the relatonship between care processes and patient outcomes. The goal of this measure is to directly affect patient outcomes by measuring risk-standardized rates of mortality. Measurement of patient outcomes, including mortality, allows for a broad view of quality of care that encompasses more than what can be captured by individual process-of-care measures.  As described below, mortality is likely to be influenced by a broad range of clinical activities such as the prevention of complications and the provision of evidenced-based care." style="width:468pt;height:186pt" o:ole="">
            <v:imagedata r:id="rId16" o:title=""/>
          </v:shape>
          <o:OLEObject Type="Embed" ProgID="Visio.Drawing.15" ShapeID="_x0000_i1025" DrawAspect="Content" ObjectID="_1655197131" r:id="rId17"/>
        </w:object>
      </w:r>
    </w:p>
    <w:p w14:paraId="721E6792" w14:textId="77777777" w:rsidR="00A64E73" w:rsidRDefault="00A64E73" w:rsidP="00A64E73">
      <w:pPr>
        <w:ind w:left="0" w:firstLine="18"/>
        <w:rPr>
          <w:color w:val="7030A0"/>
        </w:rPr>
      </w:pPr>
    </w:p>
    <w:p w14:paraId="0821B035" w14:textId="7A282B9F" w:rsidR="00667B5F" w:rsidRPr="00A64E73" w:rsidRDefault="00667B5F" w:rsidP="00A64E73">
      <w:pPr>
        <w:ind w:left="0" w:firstLine="18"/>
        <w:rPr>
          <w:color w:val="0000FF"/>
        </w:rPr>
      </w:pPr>
      <w:r w:rsidRPr="00A64E73">
        <w:rPr>
          <w:color w:val="7030A0"/>
        </w:rPr>
        <w:t>The goal of this measure is to directly affect patient outcomes by measuring risk-standardized rates of</w:t>
      </w:r>
      <w:r w:rsidR="00A64E73">
        <w:rPr>
          <w:color w:val="0000FF"/>
        </w:rPr>
        <w:t xml:space="preserve"> </w:t>
      </w:r>
      <w:r w:rsidRPr="00A64E73">
        <w:rPr>
          <w:color w:val="7030A0"/>
        </w:rPr>
        <w:t>mortality. Measurement of patient outcomes, including mortality, allows for a broad view of quality of</w:t>
      </w:r>
      <w:r w:rsidR="00A64E73">
        <w:rPr>
          <w:color w:val="0000FF"/>
        </w:rPr>
        <w:t xml:space="preserve"> </w:t>
      </w:r>
      <w:r w:rsidR="00A64E73">
        <w:rPr>
          <w:color w:val="7030A0"/>
        </w:rPr>
        <w:t>c</w:t>
      </w:r>
      <w:r w:rsidRPr="00A64E73">
        <w:rPr>
          <w:color w:val="7030A0"/>
        </w:rPr>
        <w:t>are that encompasses more than what can be captured by individual process-of-care measures.  As</w:t>
      </w:r>
      <w:r w:rsidR="00A64E73">
        <w:rPr>
          <w:color w:val="0000FF"/>
        </w:rPr>
        <w:t xml:space="preserve"> </w:t>
      </w:r>
      <w:r w:rsidRPr="00A64E73">
        <w:rPr>
          <w:color w:val="7030A0"/>
        </w:rPr>
        <w:t>described below, mortality is likely to be influenced by a broad range of clinical activities such as the</w:t>
      </w:r>
      <w:r w:rsidR="00A64E73">
        <w:rPr>
          <w:color w:val="0000FF"/>
        </w:rPr>
        <w:t xml:space="preserve"> </w:t>
      </w:r>
      <w:r w:rsidRPr="00A64E73">
        <w:rPr>
          <w:color w:val="7030A0"/>
        </w:rPr>
        <w:t>prevention of complications and the provision of evidenced-based care.</w:t>
      </w:r>
    </w:p>
    <w:p w14:paraId="55B8DA5C" w14:textId="47993695" w:rsidR="00676BD4" w:rsidRDefault="00676BD4" w:rsidP="002E2177">
      <w:pPr>
        <w:ind w:left="432" w:hanging="432"/>
        <w:rPr>
          <w:b/>
          <w:color w:val="0000FF"/>
        </w:rPr>
      </w:pPr>
    </w:p>
    <w:p w14:paraId="48113577" w14:textId="77777777" w:rsidR="00A64E73" w:rsidRDefault="004922E4" w:rsidP="00A64E73">
      <w:pPr>
        <w:ind w:right="140"/>
        <w:rPr>
          <w:iCs/>
        </w:rPr>
      </w:pPr>
      <w:r>
        <w:rPr>
          <w:b/>
          <w:bCs/>
          <w:color w:val="0000FF"/>
        </w:rPr>
        <w:lastRenderedPageBreak/>
        <w:t>1a.3</w:t>
      </w:r>
      <w:r w:rsidRPr="003B1CC5">
        <w:rPr>
          <w:bCs/>
        </w:rPr>
        <w:t xml:space="preserve"> </w:t>
      </w:r>
      <w:r w:rsidRPr="006134D2">
        <w:rPr>
          <w:b/>
          <w:bCs/>
        </w:rPr>
        <w:t xml:space="preserve">Value and Meaningfulness:  </w:t>
      </w:r>
      <w:r w:rsidRPr="006134D2">
        <w:rPr>
          <w:bCs/>
        </w:rPr>
        <w:t xml:space="preserve"> </w:t>
      </w:r>
      <w:r w:rsidRPr="006134D2">
        <w:rPr>
          <w:b/>
          <w:iCs/>
        </w:rPr>
        <w:t xml:space="preserve">IF </w:t>
      </w:r>
      <w:r w:rsidRPr="006134D2">
        <w:rPr>
          <w:iCs/>
        </w:rPr>
        <w:t xml:space="preserve">this measure is derived from patient report, provide evidence that the target population values the measured </w:t>
      </w:r>
      <w:r w:rsidRPr="006134D2">
        <w:rPr>
          <w:b/>
          <w:i/>
          <w:iCs/>
        </w:rPr>
        <w:t>outcome, process, or structure</w:t>
      </w:r>
      <w:r w:rsidRPr="006134D2">
        <w:rPr>
          <w:iCs/>
        </w:rPr>
        <w:t xml:space="preserve"> and finds it meaningful. (Describe how and from whom their input was obtained.)</w:t>
      </w:r>
    </w:p>
    <w:p w14:paraId="55B8DA60" w14:textId="140C7593" w:rsidR="00676BD4" w:rsidRPr="00A64E73" w:rsidRDefault="00667B5F" w:rsidP="00A64E73">
      <w:pPr>
        <w:spacing w:before="120" w:after="120"/>
        <w:ind w:right="140"/>
        <w:rPr>
          <w:iCs/>
        </w:rPr>
      </w:pPr>
      <w:r w:rsidRPr="00A64E73">
        <w:rPr>
          <w:iCs/>
          <w:color w:val="7030A0"/>
        </w:rPr>
        <w:t>N/A. This measure is not an intermediate outcome, process, o</w:t>
      </w:r>
      <w:r w:rsidR="00460160" w:rsidRPr="00A64E73">
        <w:rPr>
          <w:iCs/>
          <w:color w:val="7030A0"/>
        </w:rPr>
        <w:t>r structure performance measure.</w:t>
      </w: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42282689" w14:textId="77777777" w:rsidR="00A64E73" w:rsidRDefault="00B058A6" w:rsidP="00A64E73">
      <w:pPr>
        <w:ind w:left="432" w:hanging="432"/>
        <w:rPr>
          <w:b/>
        </w:rPr>
      </w:pPr>
      <w:r w:rsidRPr="006134D2">
        <w:rPr>
          <w:b/>
          <w:color w:val="0000FF"/>
        </w:rPr>
        <w:t>1</w:t>
      </w:r>
      <w:r w:rsidR="00773485" w:rsidRPr="006134D2">
        <w:rPr>
          <w:b/>
          <w:color w:val="0000FF"/>
        </w:rPr>
        <w:t>a</w:t>
      </w:r>
      <w:r w:rsidRPr="006134D2">
        <w:rPr>
          <w:b/>
          <w:color w:val="0000FF"/>
        </w:rPr>
        <w:t>.2</w:t>
      </w:r>
      <w:r w:rsidR="00E41417" w:rsidRPr="006134D2">
        <w:rPr>
          <w:iCs/>
        </w:rPr>
        <w:t xml:space="preserve"> </w:t>
      </w:r>
      <w:r w:rsidR="00C41794" w:rsidRPr="006134D2">
        <w:rPr>
          <w:b/>
        </w:rPr>
        <w:t>FOR OUTCOME MEASURES including PATIENT REPORTED OUTCOMES</w:t>
      </w:r>
      <w:r w:rsidR="003D6721" w:rsidRPr="006134D2">
        <w:rPr>
          <w:b/>
        </w:rPr>
        <w:t xml:space="preserve"> </w:t>
      </w:r>
      <w:r w:rsidR="00C41794" w:rsidRPr="006134D2">
        <w:rPr>
          <w:b/>
        </w:rPr>
        <w:t>-</w:t>
      </w:r>
      <w:r w:rsidR="00C41794" w:rsidRPr="006134D2">
        <w:rPr>
          <w:b/>
          <w:iCs/>
        </w:rPr>
        <w:t xml:space="preserve"> </w:t>
      </w:r>
      <w:r w:rsidR="003D6721" w:rsidRPr="006134D2">
        <w:rPr>
          <w:b/>
          <w:iCs/>
        </w:rPr>
        <w:t xml:space="preserve">Provide empirical data demonstrating </w:t>
      </w:r>
      <w:r w:rsidR="008B51D9" w:rsidRPr="006134D2">
        <w:rPr>
          <w:b/>
          <w:iCs/>
        </w:rPr>
        <w:t xml:space="preserve">the </w:t>
      </w:r>
      <w:r w:rsidR="005D25E9" w:rsidRPr="006134D2">
        <w:rPr>
          <w:b/>
          <w:iCs/>
        </w:rPr>
        <w:t xml:space="preserve">relationship </w:t>
      </w:r>
      <w:r w:rsidR="00AC1E53" w:rsidRPr="006134D2">
        <w:rPr>
          <w:b/>
          <w:iCs/>
        </w:rPr>
        <w:t>between</w:t>
      </w:r>
      <w:r w:rsidR="005D25E9" w:rsidRPr="006134D2">
        <w:rPr>
          <w:b/>
          <w:iCs/>
        </w:rPr>
        <w:t xml:space="preserve"> the </w:t>
      </w:r>
      <w:r w:rsidR="008B51D9" w:rsidRPr="006134D2">
        <w:rPr>
          <w:b/>
          <w:iCs/>
        </w:rPr>
        <w:t>outcome</w:t>
      </w:r>
      <w:r w:rsidR="005857F8" w:rsidRPr="006134D2">
        <w:rPr>
          <w:b/>
          <w:iCs/>
        </w:rPr>
        <w:t xml:space="preserve"> </w:t>
      </w:r>
      <w:r w:rsidR="00AA5587" w:rsidRPr="006134D2">
        <w:rPr>
          <w:b/>
          <w:iCs/>
        </w:rPr>
        <w:t>(</w:t>
      </w:r>
      <w:r w:rsidR="005857F8" w:rsidRPr="006134D2">
        <w:rPr>
          <w:b/>
          <w:iCs/>
        </w:rPr>
        <w:t>or PRO</w:t>
      </w:r>
      <w:r w:rsidR="00AA5587" w:rsidRPr="006134D2">
        <w:rPr>
          <w:b/>
          <w:iCs/>
        </w:rPr>
        <w:t>)</w:t>
      </w:r>
      <w:r w:rsidR="008B51D9" w:rsidRPr="006134D2">
        <w:rPr>
          <w:b/>
          <w:iCs/>
        </w:rPr>
        <w:t xml:space="preserve"> </w:t>
      </w:r>
      <w:r w:rsidR="005D25E9" w:rsidRPr="006134D2">
        <w:rPr>
          <w:b/>
          <w:iCs/>
        </w:rPr>
        <w:t>to</w:t>
      </w:r>
      <w:r w:rsidR="00236F87" w:rsidRPr="006134D2">
        <w:rPr>
          <w:b/>
          <w:iCs/>
        </w:rPr>
        <w:t xml:space="preserve"> </w:t>
      </w:r>
      <w:r w:rsidR="00496AF8" w:rsidRPr="006134D2">
        <w:rPr>
          <w:b/>
          <w:iCs/>
        </w:rPr>
        <w:t>at least one</w:t>
      </w:r>
      <w:r w:rsidR="009B5BEA" w:rsidRPr="006134D2">
        <w:rPr>
          <w:b/>
          <w:iCs/>
        </w:rPr>
        <w:t xml:space="preserve"> </w:t>
      </w:r>
      <w:r w:rsidR="003D6721" w:rsidRPr="006134D2">
        <w:rPr>
          <w:b/>
          <w:iCs/>
        </w:rPr>
        <w:t xml:space="preserve">healthcare structure, process, </w:t>
      </w:r>
      <w:r w:rsidR="00496AF8" w:rsidRPr="006134D2">
        <w:rPr>
          <w:b/>
          <w:iCs/>
        </w:rPr>
        <w:t>intervention, or service</w:t>
      </w:r>
      <w:r w:rsidR="00676BD4" w:rsidRPr="006134D2">
        <w:rPr>
          <w:b/>
          <w:iCs/>
        </w:rPr>
        <w:t>.</w:t>
      </w:r>
      <w:r w:rsidR="00AC1E53">
        <w:rPr>
          <w:b/>
          <w:iCs/>
        </w:rPr>
        <w:t xml:space="preserve"> </w:t>
      </w:r>
    </w:p>
    <w:p w14:paraId="5C017C8D" w14:textId="4149D844" w:rsidR="008135F0" w:rsidRPr="008135F0" w:rsidRDefault="008135F0" w:rsidP="00A64E73">
      <w:pPr>
        <w:spacing w:before="120" w:after="120"/>
        <w:ind w:left="0" w:firstLine="0"/>
        <w:rPr>
          <w:iCs/>
          <w:color w:val="C00000"/>
        </w:rPr>
      </w:pPr>
      <w:r w:rsidRPr="000D243B">
        <w:rPr>
          <w:iCs/>
          <w:color w:val="7030A0"/>
        </w:rPr>
        <w:t>AMI is among the most common principal hospital discharge diagnoses among Medicare beneficiarie</w:t>
      </w:r>
      <w:r>
        <w:rPr>
          <w:iCs/>
          <w:color w:val="7030A0"/>
        </w:rPr>
        <w:t>s</w:t>
      </w:r>
      <w:r w:rsidR="004B152E">
        <w:rPr>
          <w:iCs/>
          <w:color w:val="7030A0"/>
        </w:rPr>
        <w:t>. In</w:t>
      </w:r>
      <w:r w:rsidRPr="00BC0318">
        <w:rPr>
          <w:iCs/>
          <w:color w:val="C00000"/>
        </w:rPr>
        <w:t xml:space="preserve">2013, it was the fifth most </w:t>
      </w:r>
      <w:r w:rsidRPr="00FF693C">
        <w:rPr>
          <w:rFonts w:cstheme="minorHAnsi"/>
          <w:iCs/>
          <w:color w:val="C00000"/>
        </w:rPr>
        <w:t xml:space="preserve">expensive condition treated in US hospitals, accounting for 3.5% of national healthcare costs (Torio et al., 2016). </w:t>
      </w:r>
      <w:r w:rsidR="00496FF8" w:rsidRPr="00496FF8">
        <w:rPr>
          <w:rFonts w:cstheme="minorHAnsi"/>
          <w:color w:val="C00000"/>
          <w:shd w:val="clear" w:color="auto" w:fill="FFFFFF"/>
        </w:rPr>
        <w:t xml:space="preserve">The estimated annual incidence of </w:t>
      </w:r>
      <w:r w:rsidR="004B152E">
        <w:rPr>
          <w:rFonts w:cstheme="minorHAnsi"/>
          <w:color w:val="C00000"/>
          <w:shd w:val="clear" w:color="auto" w:fill="FFFFFF"/>
        </w:rPr>
        <w:t>A</w:t>
      </w:r>
      <w:r w:rsidR="00496FF8" w:rsidRPr="00496FF8">
        <w:rPr>
          <w:rFonts w:cstheme="minorHAnsi"/>
          <w:color w:val="C00000"/>
          <w:shd w:val="clear" w:color="auto" w:fill="FFFFFF"/>
        </w:rPr>
        <w:t>MI is 605 000 new attacks and 200 000 recurrent attacks (Benjamin et al., 2019).</w:t>
      </w:r>
      <w:r w:rsidR="00496FF8" w:rsidRPr="00496FF8">
        <w:rPr>
          <w:rFonts w:ascii="Helvetica" w:hAnsi="Helvetica"/>
          <w:color w:val="C00000"/>
          <w:shd w:val="clear" w:color="auto" w:fill="FFFFFF"/>
        </w:rPr>
        <w:t xml:space="preserve"> </w:t>
      </w:r>
      <w:r>
        <w:rPr>
          <w:iCs/>
          <w:color w:val="7030A0"/>
        </w:rPr>
        <w:t>Mortality</w:t>
      </w:r>
      <w:r w:rsidRPr="000D243B">
        <w:rPr>
          <w:iCs/>
          <w:color w:val="7030A0"/>
        </w:rPr>
        <w:t xml:space="preserve"> rates </w:t>
      </w:r>
      <w:r>
        <w:rPr>
          <w:iCs/>
          <w:color w:val="7030A0"/>
        </w:rPr>
        <w:t>after an</w:t>
      </w:r>
      <w:r w:rsidRPr="000D243B">
        <w:rPr>
          <w:iCs/>
          <w:color w:val="7030A0"/>
        </w:rPr>
        <w:t xml:space="preserve"> AMI</w:t>
      </w:r>
      <w:r>
        <w:rPr>
          <w:iCs/>
          <w:color w:val="7030A0"/>
        </w:rPr>
        <w:t xml:space="preserve"> admission</w:t>
      </w:r>
      <w:r w:rsidRPr="000D243B">
        <w:rPr>
          <w:iCs/>
          <w:color w:val="7030A0"/>
        </w:rPr>
        <w:t xml:space="preserve"> are high and variable across hospitals in the United States </w:t>
      </w:r>
      <w:r w:rsidRPr="00496FF8">
        <w:rPr>
          <w:iCs/>
          <w:color w:val="C00000"/>
        </w:rPr>
        <w:t>(</w:t>
      </w:r>
      <w:r w:rsidR="00496FF8" w:rsidRPr="00496FF8">
        <w:rPr>
          <w:iCs/>
          <w:color w:val="C00000"/>
        </w:rPr>
        <w:t xml:space="preserve">Benjamin et al., 2019; </w:t>
      </w:r>
      <w:r w:rsidRPr="000D243B">
        <w:rPr>
          <w:iCs/>
          <w:color w:val="7030A0"/>
        </w:rPr>
        <w:t xml:space="preserve">Krumholz et al., 2009; Bernheim et al., 2010). </w:t>
      </w:r>
      <w:r w:rsidRPr="003F7797">
        <w:rPr>
          <w:iCs/>
          <w:color w:val="C00000"/>
        </w:rPr>
        <w:t xml:space="preserve">For example, for the time period of July 2015-June 2018, publicly reported 30-day risk-standardized </w:t>
      </w:r>
      <w:r w:rsidR="00FF693C">
        <w:rPr>
          <w:iCs/>
          <w:color w:val="C00000"/>
        </w:rPr>
        <w:t>mortality rates ranged from 8.8% to 17.2</w:t>
      </w:r>
      <w:r w:rsidRPr="003F7797">
        <w:rPr>
          <w:iCs/>
          <w:color w:val="C00000"/>
        </w:rPr>
        <w:t>% for patie</w:t>
      </w:r>
      <w:r>
        <w:rPr>
          <w:iCs/>
          <w:color w:val="C00000"/>
        </w:rPr>
        <w:t>nts admitted with AMI (Wallace et al.</w:t>
      </w:r>
      <w:r w:rsidRPr="003F7797">
        <w:rPr>
          <w:iCs/>
          <w:color w:val="C00000"/>
        </w:rPr>
        <w:t>, 2019).</w:t>
      </w:r>
    </w:p>
    <w:p w14:paraId="0F10B8F7" w14:textId="3E6053DF" w:rsidR="00E81F48" w:rsidRDefault="00667B5F" w:rsidP="00A64E73">
      <w:pPr>
        <w:spacing w:before="120" w:after="120"/>
        <w:ind w:left="0" w:firstLine="0"/>
        <w:rPr>
          <w:iCs/>
          <w:color w:val="7030A0"/>
        </w:rPr>
      </w:pPr>
      <w:r w:rsidRPr="00A64E73">
        <w:rPr>
          <w:iCs/>
          <w:color w:val="7030A0"/>
        </w:rPr>
        <w:t>The high prevalence and considerable morbidity and mortality associated with AMI create an economic burden on the healthcare system (Ame</w:t>
      </w:r>
      <w:r w:rsidR="00496FF8">
        <w:rPr>
          <w:iCs/>
          <w:color w:val="7030A0"/>
        </w:rPr>
        <w:t xml:space="preserve">rican Heart Association, 2010), </w:t>
      </w:r>
      <w:r w:rsidR="00496FF8" w:rsidRPr="00496FF8">
        <w:rPr>
          <w:iCs/>
          <w:color w:val="C00000"/>
        </w:rPr>
        <w:t>with some estimating the aggregate cost of inpatient medical care following AMI to be upwards of $12 billion dollars (Torio et al., 2016; Alghanem et al., 2020; Benjamin et al., 2018)</w:t>
      </w:r>
      <w:r w:rsidR="00496FF8">
        <w:rPr>
          <w:iCs/>
          <w:color w:val="7030A0"/>
        </w:rPr>
        <w:t xml:space="preserve">. </w:t>
      </w:r>
      <w:r w:rsidR="00E81F48">
        <w:rPr>
          <w:iCs/>
          <w:color w:val="7030A0"/>
        </w:rPr>
        <w:t>Over the last 20</w:t>
      </w:r>
      <w:r w:rsidR="00E81F48" w:rsidRPr="00A64E73">
        <w:rPr>
          <w:iCs/>
          <w:color w:val="7030A0"/>
        </w:rPr>
        <w:t xml:space="preserve"> years, nationally, risk-standardized mortality rates have decreased for AMI (Krumholz et al. 2009</w:t>
      </w:r>
      <w:r w:rsidR="00E81F48">
        <w:rPr>
          <w:iCs/>
          <w:color w:val="7030A0"/>
        </w:rPr>
        <w:t xml:space="preserve">; </w:t>
      </w:r>
      <w:r w:rsidR="00E81F48" w:rsidRPr="008135F0">
        <w:rPr>
          <w:iCs/>
          <w:color w:val="C00000"/>
        </w:rPr>
        <w:t>Krumholz et al., 2019</w:t>
      </w:r>
      <w:r w:rsidR="00E81F48" w:rsidRPr="00A64E73">
        <w:rPr>
          <w:iCs/>
          <w:color w:val="7030A0"/>
        </w:rPr>
        <w:t xml:space="preserve">). Yet, continued variation in performance suggests continued opportunities for improvements. In addition, recent qualitative research funded by AHRQ, Commonwealth Fund, and United Healthcare identified common system-level approaches to care and, </w:t>
      </w:r>
      <w:bookmarkStart w:id="5" w:name="_GoBack"/>
      <w:bookmarkEnd w:id="5"/>
      <w:r w:rsidR="00E81F48" w:rsidRPr="00A64E73">
        <w:rPr>
          <w:iCs/>
          <w:color w:val="7030A0"/>
        </w:rPr>
        <w:t>specifically, the tailored use of protocols in those hospitals that have low RSMRs compared with hospitals with high RSMRs (Curry et al. 2011).</w:t>
      </w:r>
    </w:p>
    <w:p w14:paraId="72119393" w14:textId="48FA744E" w:rsidR="00A64E73" w:rsidRDefault="00667B5F" w:rsidP="00A64E73">
      <w:pPr>
        <w:spacing w:before="120" w:after="120"/>
        <w:ind w:left="0" w:firstLine="0"/>
        <w:rPr>
          <w:b/>
        </w:rPr>
      </w:pPr>
      <w:r w:rsidRPr="00A64E73">
        <w:rPr>
          <w:iCs/>
          <w:color w:val="7030A0"/>
        </w:rPr>
        <w:t>Hospital interventions, such as use of appropriate medications, timely percutaneous coronary interventions</w:t>
      </w:r>
      <w:r w:rsidR="00D2749F">
        <w:rPr>
          <w:iCs/>
          <w:color w:val="7030A0"/>
        </w:rPr>
        <w:t>,</w:t>
      </w:r>
      <w:r w:rsidRPr="00A64E73">
        <w:rPr>
          <w:iCs/>
          <w:color w:val="7030A0"/>
        </w:rPr>
        <w:t xml:space="preserve"> and prevention of complications are known to decrease the risk of death within 30 days of hospital admission (Rathore et al. 2009; Antman et al. 2008; Jha et al. 2007</w:t>
      </w:r>
      <w:r w:rsidR="00496FF8">
        <w:rPr>
          <w:iCs/>
          <w:color w:val="7030A0"/>
        </w:rPr>
        <w:t xml:space="preserve">; </w:t>
      </w:r>
      <w:r w:rsidR="00496FF8" w:rsidRPr="00496FF8">
        <w:rPr>
          <w:iCs/>
          <w:color w:val="C00000"/>
        </w:rPr>
        <w:t>Alghanem et al., 2020</w:t>
      </w:r>
      <w:r w:rsidRPr="00A64E73">
        <w:rPr>
          <w:iCs/>
          <w:color w:val="7030A0"/>
        </w:rPr>
        <w:t>).</w:t>
      </w:r>
      <w:r w:rsidR="00460160" w:rsidRPr="00A64E73">
        <w:rPr>
          <w:iCs/>
          <w:color w:val="7030A0"/>
        </w:rPr>
        <w:t xml:space="preserve"> </w:t>
      </w:r>
      <w:r w:rsidRPr="00A64E73">
        <w:rPr>
          <w:iCs/>
          <w:color w:val="7030A0"/>
        </w:rPr>
        <w:t>Current process-based performance measures, however, cannot capture all the ways that care within the hospital might influence outcomes. As a result, many stakeholders, including patient organizations, are interested in outcomes measures that allow patients and providers to assess relative outcomes performance for hospitals.</w:t>
      </w:r>
      <w:r w:rsidRPr="00A64E73">
        <w:rPr>
          <w:iCs/>
          <w:color w:val="7030A0"/>
        </w:rPr>
        <w:br/>
      </w:r>
      <w:r w:rsidRPr="00A64E73">
        <w:rPr>
          <w:iCs/>
          <w:color w:val="7030A0"/>
        </w:rPr>
        <w:br/>
      </w:r>
      <w:r w:rsidRPr="00E81F48">
        <w:rPr>
          <w:iCs/>
          <w:color w:val="7030A0"/>
          <w:u w:val="single"/>
        </w:rPr>
        <w:t>References</w:t>
      </w:r>
      <w:r w:rsidRPr="00A64E73">
        <w:rPr>
          <w:iCs/>
          <w:color w:val="7030A0"/>
        </w:rPr>
        <w:t>:</w:t>
      </w:r>
    </w:p>
    <w:p w14:paraId="1620171D" w14:textId="06140DF5" w:rsidR="00A64E73" w:rsidRDefault="00667B5F" w:rsidP="00A64E73">
      <w:pPr>
        <w:spacing w:before="120" w:after="120"/>
        <w:ind w:left="0" w:firstLine="0"/>
        <w:rPr>
          <w:iCs/>
        </w:rPr>
      </w:pPr>
      <w:r w:rsidRPr="00A64E73">
        <w:rPr>
          <w:iCs/>
          <w:color w:val="7030A0"/>
        </w:rPr>
        <w:t xml:space="preserve">Agency for Healthcare Research and Quality (AHRQ). </w:t>
      </w:r>
      <w:r w:rsidRPr="00A64E73">
        <w:rPr>
          <w:i/>
          <w:iCs/>
          <w:color w:val="7030A0"/>
        </w:rPr>
        <w:t>Healthcare Cost and Utilization Project (HCUP)</w:t>
      </w:r>
      <w:r w:rsidRPr="00A64E73">
        <w:rPr>
          <w:iCs/>
          <w:color w:val="7030A0"/>
        </w:rPr>
        <w:t xml:space="preserve">  </w:t>
      </w:r>
      <w:hyperlink r:id="rId18" w:history="1">
        <w:r w:rsidR="00E81F48" w:rsidRPr="00221920">
          <w:rPr>
            <w:rStyle w:val="Hyperlink"/>
          </w:rPr>
          <w:t>http://hcupnet.ahrq.gov</w:t>
        </w:r>
      </w:hyperlink>
    </w:p>
    <w:p w14:paraId="4A6825E1" w14:textId="289BB898" w:rsidR="00E81F48" w:rsidRPr="00E81F48" w:rsidRDefault="00E81F48" w:rsidP="00A64E73">
      <w:pPr>
        <w:spacing w:before="120" w:after="120"/>
        <w:ind w:left="0" w:firstLine="0"/>
        <w:rPr>
          <w:rStyle w:val="Hyperlink"/>
          <w:rFonts w:cstheme="minorHAnsi"/>
          <w:iCs/>
          <w:color w:val="C00000"/>
        </w:rPr>
      </w:pPr>
      <w:r w:rsidRPr="00E81F48">
        <w:rPr>
          <w:rFonts w:cstheme="minorHAnsi"/>
          <w:color w:val="C00000"/>
          <w:shd w:val="clear" w:color="auto" w:fill="FFFFFF"/>
        </w:rPr>
        <w:t>Alghanem F, Clements JM. Narrowing performance gap between rural and urban hospitals for acute myocardial infarction care. </w:t>
      </w:r>
      <w:r w:rsidRPr="00E81F48">
        <w:rPr>
          <w:rFonts w:cstheme="minorHAnsi"/>
          <w:i/>
          <w:iCs/>
          <w:color w:val="C00000"/>
          <w:shd w:val="clear" w:color="auto" w:fill="FFFFFF"/>
        </w:rPr>
        <w:t>Am J Emerg Med</w:t>
      </w:r>
      <w:r w:rsidRPr="00E81F48">
        <w:rPr>
          <w:rFonts w:cstheme="minorHAnsi"/>
          <w:color w:val="C00000"/>
          <w:shd w:val="clear" w:color="auto" w:fill="FFFFFF"/>
        </w:rPr>
        <w:t xml:space="preserve">. 2020;38(1):89-94. doi:10.1016/j.ajem.2019.04.030. </w:t>
      </w:r>
    </w:p>
    <w:p w14:paraId="2B2F5BA8" w14:textId="77777777" w:rsidR="00A64E73" w:rsidRDefault="00667B5F" w:rsidP="00A64E73">
      <w:pPr>
        <w:spacing w:before="120" w:after="120"/>
        <w:ind w:left="0" w:firstLine="0"/>
        <w:rPr>
          <w:iCs/>
          <w:color w:val="7030A0"/>
        </w:rPr>
      </w:pPr>
      <w:r w:rsidRPr="00A64E73">
        <w:rPr>
          <w:iCs/>
          <w:color w:val="7030A0"/>
        </w:rPr>
        <w:t>American Heart Association. Heart Disease and Stroke Statistics – 2010 Update. Dallas, Texas: American Heart Association; 2010. c20</w:t>
      </w:r>
      <w:r w:rsidR="00A64E73">
        <w:rPr>
          <w:iCs/>
          <w:color w:val="7030A0"/>
        </w:rPr>
        <w:t>10, American Heart Association.</w:t>
      </w:r>
    </w:p>
    <w:p w14:paraId="34E1D5DA" w14:textId="76B22481" w:rsidR="00A64E73" w:rsidRDefault="00667B5F" w:rsidP="00A64E73">
      <w:pPr>
        <w:spacing w:before="120" w:after="120"/>
        <w:ind w:left="0" w:firstLine="0"/>
        <w:rPr>
          <w:iCs/>
          <w:color w:val="7030A0"/>
        </w:rPr>
      </w:pPr>
      <w:r w:rsidRPr="00A64E73">
        <w:rPr>
          <w:iCs/>
          <w:color w:val="7030A0"/>
        </w:rPr>
        <w:t>Andrews RM, Elixhauser A. The national hospital bill: growth trends and 2005 update on the most expensive conditions by payer. Rockville, MD: Agency for Healthcare Research and Quality (AHRQ); 2007 Dec. (HCUP statistical brief; no. 42).</w:t>
      </w:r>
    </w:p>
    <w:p w14:paraId="15DC2FF7" w14:textId="5F7343C0" w:rsidR="00A64E73" w:rsidRDefault="00667B5F" w:rsidP="00A64E73">
      <w:pPr>
        <w:spacing w:before="120" w:after="120"/>
        <w:ind w:left="0" w:firstLine="0"/>
        <w:rPr>
          <w:iCs/>
          <w:color w:val="7030A0"/>
        </w:rPr>
      </w:pPr>
      <w:r w:rsidRPr="00A64E73">
        <w:rPr>
          <w:iCs/>
          <w:color w:val="7030A0"/>
        </w:rPr>
        <w:lastRenderedPageBreak/>
        <w:t>Antman EM, Hand M, Armstrong PW, et al. 2007 focused update of the ACC/AHA 2004 guidelines for the management of patients with ST-elevation myocardial infarction: a report of the American College of Cardiology/American Heart Association Task Force on Practice Guidelines. J Am Coll Cardiol. 2008 Jan 15;51(2):210-247.</w:t>
      </w:r>
    </w:p>
    <w:p w14:paraId="63FB037A" w14:textId="6BC7EF3D" w:rsidR="00496FF8" w:rsidRDefault="00496FF8" w:rsidP="00496FF8">
      <w:pPr>
        <w:spacing w:before="120"/>
        <w:ind w:left="0" w:firstLine="0"/>
        <w:rPr>
          <w:rFonts w:cstheme="minorHAnsi"/>
          <w:iCs/>
          <w:color w:val="7030A0"/>
        </w:rPr>
      </w:pPr>
      <w:bookmarkStart w:id="6" w:name="_Hlk42162905"/>
      <w:r w:rsidRPr="003E6F36">
        <w:rPr>
          <w:rFonts w:cstheme="minorHAnsi"/>
          <w:color w:val="C00000"/>
          <w:shd w:val="clear" w:color="auto" w:fill="FFFFFF"/>
        </w:rPr>
        <w:t>Benjamin EJ, Muntner P, Alonso A, et al. Heart Disease and Stroke Statistics-2019 Update: A Report From the American Heart Association [published correction appears in Circulation. 2020 Jan 14;141(2):e33]. </w:t>
      </w:r>
      <w:r w:rsidRPr="003E6F36">
        <w:rPr>
          <w:rFonts w:cstheme="minorHAnsi"/>
          <w:i/>
          <w:iCs/>
          <w:color w:val="C00000"/>
          <w:shd w:val="clear" w:color="auto" w:fill="FFFFFF"/>
        </w:rPr>
        <w:t>Circulation</w:t>
      </w:r>
      <w:r w:rsidRPr="003E6F36">
        <w:rPr>
          <w:rFonts w:cstheme="minorHAnsi"/>
          <w:color w:val="C00000"/>
          <w:shd w:val="clear" w:color="auto" w:fill="FFFFFF"/>
        </w:rPr>
        <w:t>. 2019;139(10):e56–e528. doi:10.1161/CIR.0000000000000659.</w:t>
      </w:r>
      <w:bookmarkEnd w:id="6"/>
    </w:p>
    <w:p w14:paraId="67A01E03" w14:textId="77777777" w:rsidR="00A64E73" w:rsidRDefault="00667B5F" w:rsidP="00496FF8">
      <w:pPr>
        <w:spacing w:before="240" w:after="120"/>
        <w:ind w:left="0" w:firstLine="0"/>
        <w:rPr>
          <w:iCs/>
          <w:color w:val="7030A0"/>
        </w:rPr>
      </w:pPr>
      <w:r w:rsidRPr="00A64E73">
        <w:rPr>
          <w:iCs/>
          <w:color w:val="7030A0"/>
        </w:rPr>
        <w:t>Curry LA, Spatz E, Cherlin E, Thompson JW, Berg D, Ting HH, Decker C, Krumholz HM, Bradley EH . What Distinguishes Top-Performing Hospitals in Acute Myocardial Infarction Mortality Rates? A Qualitative Study. Ann Intern Med. 2011;154:384-390.</w:t>
      </w:r>
    </w:p>
    <w:p w14:paraId="42B94438" w14:textId="5F73C5FB" w:rsidR="00A64E73" w:rsidRDefault="00667B5F" w:rsidP="00A64E73">
      <w:pPr>
        <w:spacing w:before="120" w:after="120"/>
        <w:ind w:left="0" w:firstLine="0"/>
        <w:rPr>
          <w:iCs/>
          <w:color w:val="7030A0"/>
        </w:rPr>
      </w:pPr>
      <w:r w:rsidRPr="00A64E73">
        <w:rPr>
          <w:iCs/>
          <w:color w:val="7030A0"/>
        </w:rPr>
        <w:t>National Quality Measures, C. "Acute myocardial infarction (AMI): mortality rate." Retrieved 4/7/2015, from http://www.qualitymeasures.ahrq.gov/content.aspx?id=38492&amp;search=Mortality+rate.</w:t>
      </w:r>
    </w:p>
    <w:p w14:paraId="1D698857" w14:textId="77777777" w:rsidR="00A64E73" w:rsidRDefault="00667B5F" w:rsidP="00A64E73">
      <w:pPr>
        <w:spacing w:before="120" w:after="120"/>
        <w:ind w:left="0" w:firstLine="0"/>
        <w:rPr>
          <w:iCs/>
          <w:color w:val="7030A0"/>
        </w:rPr>
      </w:pPr>
      <w:r w:rsidRPr="00A64E73">
        <w:rPr>
          <w:iCs/>
          <w:color w:val="7030A0"/>
        </w:rPr>
        <w:t>Go, A. S., et al. (2013). "Heart disease and stroke statistics--2013 update: a report from the American Heart Association." Circulation 127(1): e6-e245.</w:t>
      </w:r>
    </w:p>
    <w:p w14:paraId="2212C179" w14:textId="43183DB9" w:rsidR="00A64E73" w:rsidRDefault="00667B5F" w:rsidP="00A64E73">
      <w:pPr>
        <w:spacing w:before="120" w:after="120"/>
        <w:ind w:left="0" w:firstLine="0"/>
        <w:rPr>
          <w:iCs/>
          <w:color w:val="7030A0"/>
        </w:rPr>
      </w:pPr>
      <w:r w:rsidRPr="00A64E73">
        <w:rPr>
          <w:iCs/>
          <w:color w:val="7030A0"/>
        </w:rPr>
        <w:t>Krumholz HM, Wang Y, Chen J, Drye EE, Spertus JA, Ross JS, Curtis JP,</w:t>
      </w:r>
      <w:r w:rsidR="00A64E73">
        <w:rPr>
          <w:iCs/>
          <w:color w:val="7030A0"/>
        </w:rPr>
        <w:t xml:space="preserve"> </w:t>
      </w:r>
      <w:r w:rsidRPr="00A64E73">
        <w:rPr>
          <w:iCs/>
          <w:color w:val="7030A0"/>
        </w:rPr>
        <w:t>Nallamothu BK, Lichtman JH, Havranek EP, Masoudi FA, Radford MJ, Han LF, Rapp MT, Straube BM, Normand SL. Reduction in acute myocardial infarction mortality in the United States: risk-standardized mortality rates from 1995-2006. JAMA. 2009 Aug 19;302(7):767-73.</w:t>
      </w:r>
    </w:p>
    <w:p w14:paraId="1404B2AF" w14:textId="522D3743" w:rsidR="008135F0" w:rsidRPr="008135F0" w:rsidRDefault="008135F0" w:rsidP="00A64E73">
      <w:pPr>
        <w:spacing w:before="120" w:after="120"/>
        <w:ind w:left="0" w:firstLine="0"/>
        <w:rPr>
          <w:rFonts w:cstheme="minorHAnsi"/>
          <w:iCs/>
          <w:color w:val="C00000"/>
        </w:rPr>
      </w:pPr>
      <w:r w:rsidRPr="00E3392B">
        <w:rPr>
          <w:rFonts w:cstheme="minorHAnsi"/>
          <w:color w:val="C00000"/>
          <w:shd w:val="clear" w:color="auto" w:fill="FFFFFF"/>
        </w:rPr>
        <w:t>Krumholz HM, Normand ST, Wang Y. Twenty-Year Trends in Outcomes for Older Adults With Acute Myocardial Infarction in the United States. </w:t>
      </w:r>
      <w:r w:rsidRPr="00E3392B">
        <w:rPr>
          <w:rFonts w:cstheme="minorHAnsi"/>
          <w:i/>
          <w:iCs/>
          <w:color w:val="C00000"/>
          <w:shd w:val="clear" w:color="auto" w:fill="FFFFFF"/>
        </w:rPr>
        <w:t>JAMA Netw Open</w:t>
      </w:r>
      <w:r w:rsidRPr="00E3392B">
        <w:rPr>
          <w:rFonts w:cstheme="minorHAnsi"/>
          <w:color w:val="C00000"/>
          <w:shd w:val="clear" w:color="auto" w:fill="FFFFFF"/>
        </w:rPr>
        <w:t>. 2019;2(3):e191938. Published 2019 Mar 1. doi:10.1001/jamanetworkopen.2019.1938.</w:t>
      </w:r>
    </w:p>
    <w:p w14:paraId="46CAC697" w14:textId="77777777" w:rsidR="00A64E73" w:rsidRDefault="00667B5F" w:rsidP="00A64E73">
      <w:pPr>
        <w:spacing w:before="120" w:after="120"/>
        <w:ind w:left="0" w:firstLine="0"/>
        <w:rPr>
          <w:iCs/>
          <w:color w:val="7030A0"/>
        </w:rPr>
      </w:pPr>
      <w:r w:rsidRPr="00A64E73">
        <w:rPr>
          <w:iCs/>
          <w:color w:val="7030A0"/>
        </w:rPr>
        <w:t>Jha AK, Orav EJ, Li Z, Epstein AM. The inverse relationship between mortality rates and performance in the Hospital Quality Alliance measures. Health Aff (Millwood). 2007 Jul-Aug;</w:t>
      </w:r>
      <w:r w:rsidR="00A64E73">
        <w:rPr>
          <w:iCs/>
          <w:color w:val="7030A0"/>
        </w:rPr>
        <w:t xml:space="preserve"> 26(4):1104-10.</w:t>
      </w:r>
    </w:p>
    <w:p w14:paraId="11379485" w14:textId="77777777" w:rsidR="00A64E73" w:rsidRDefault="00667B5F" w:rsidP="00A64E73">
      <w:pPr>
        <w:spacing w:before="120" w:after="120"/>
        <w:ind w:left="0" w:firstLine="0"/>
        <w:rPr>
          <w:iCs/>
          <w:color w:val="7030A0"/>
        </w:rPr>
      </w:pPr>
      <w:r w:rsidRPr="00A64E73">
        <w:rPr>
          <w:iCs/>
          <w:color w:val="7030A0"/>
        </w:rPr>
        <w:t>Rathore SS, Curtis JP, Chen J, Wang Y, Nallamothu BK, Epstein AJ, Krumholz HM; National Cardiovascular Data Registry. Association of door-to-balloon time and mortality in patients admitted to hospital with ST elevation myocardial infarction: national cohort stud</w:t>
      </w:r>
      <w:r w:rsidR="00A64E73">
        <w:rPr>
          <w:iCs/>
          <w:color w:val="7030A0"/>
        </w:rPr>
        <w:t xml:space="preserve">y. BMJ. 2009 May 19; 338:b1807. </w:t>
      </w:r>
    </w:p>
    <w:p w14:paraId="026CCE28" w14:textId="77777777" w:rsidR="00A64E73" w:rsidRDefault="00667B5F" w:rsidP="00A64E73">
      <w:pPr>
        <w:spacing w:before="120" w:after="120"/>
        <w:ind w:left="0" w:firstLine="0"/>
        <w:rPr>
          <w:rFonts w:ascii="Calibri" w:eastAsia="Times New Roman" w:hAnsi="Calibri" w:cs="Calibri"/>
          <w:color w:val="7030A0"/>
        </w:rPr>
      </w:pPr>
      <w:r w:rsidRPr="00A64E73">
        <w:rPr>
          <w:rFonts w:ascii="Calibri" w:eastAsia="Times New Roman" w:hAnsi="Calibri" w:cs="Calibri"/>
          <w:color w:val="7030A0"/>
        </w:rPr>
        <w:t>Statistics Committee and Stroke Statistics Subcommittee. Heart disease and stroke statistics— 2013 update: a report from the American Heart Association. Circulation. 2013; 127:e6-e245.</w:t>
      </w:r>
    </w:p>
    <w:p w14:paraId="7C44D11F" w14:textId="6E1E35F3" w:rsidR="00FF693C" w:rsidRPr="00FF693C" w:rsidRDefault="00FF693C" w:rsidP="00A64E73">
      <w:pPr>
        <w:spacing w:before="120" w:after="120"/>
        <w:ind w:left="0" w:firstLine="0"/>
        <w:rPr>
          <w:color w:val="C00000"/>
          <w:shd w:val="clear" w:color="auto" w:fill="FFFFFF"/>
        </w:rPr>
      </w:pPr>
      <w:r w:rsidRPr="00BC0318">
        <w:rPr>
          <w:color w:val="C00000"/>
          <w:shd w:val="clear" w:color="auto" w:fill="FFFFFF"/>
        </w:rPr>
        <w:t>Torio CM, Moore BJ. </w:t>
      </w:r>
      <w:r w:rsidRPr="00BC0318">
        <w:rPr>
          <w:rStyle w:val="ref-title"/>
          <w:color w:val="C00000"/>
          <w:shd w:val="clear" w:color="auto" w:fill="FFFFFF"/>
        </w:rPr>
        <w:t>National Inpatient Hospital Costs: The Most Expensive Conditions by Payer, 2013</w:t>
      </w:r>
      <w:r w:rsidRPr="00BC0318">
        <w:rPr>
          <w:color w:val="C00000"/>
          <w:shd w:val="clear" w:color="auto" w:fill="FFFFFF"/>
        </w:rPr>
        <w:t>. HCUP Statistical Brief # 204. Available at: </w:t>
      </w:r>
      <w:hyperlink r:id="rId19" w:history="1">
        <w:r w:rsidRPr="00572632">
          <w:rPr>
            <w:rStyle w:val="Hyperlink"/>
            <w:shd w:val="clear" w:color="auto" w:fill="FFFFFF"/>
          </w:rPr>
          <w:t>http://www.hcup-us.ahrq.gov/reports/statbriefs/sb204-Most-Expensive-Hospital-Conditions.pdf</w:t>
        </w:r>
      </w:hyperlink>
      <w:r>
        <w:rPr>
          <w:color w:val="C00000"/>
          <w:shd w:val="clear" w:color="auto" w:fill="FFFFFF"/>
        </w:rPr>
        <w:t xml:space="preserve">. </w:t>
      </w:r>
      <w:r w:rsidRPr="00BC0318">
        <w:rPr>
          <w:color w:val="C00000"/>
          <w:shd w:val="clear" w:color="auto" w:fill="FFFFFF"/>
        </w:rPr>
        <w:t>Published May 2016. Accessed May 23, 2020.</w:t>
      </w:r>
    </w:p>
    <w:p w14:paraId="0DDB3436" w14:textId="6207201C" w:rsidR="00FF693C" w:rsidRPr="00FF693C" w:rsidRDefault="00FF693C" w:rsidP="00FF693C">
      <w:pPr>
        <w:ind w:left="0" w:firstLine="0"/>
        <w:rPr>
          <w:rFonts w:cstheme="minorHAnsi"/>
          <w:color w:val="C00000"/>
        </w:rPr>
      </w:pPr>
      <w:bookmarkStart w:id="7" w:name="_Hlk42094040"/>
      <w:r w:rsidRPr="002F55D8">
        <w:rPr>
          <w:rFonts w:cstheme="minorHAnsi"/>
          <w:color w:val="C00000"/>
        </w:rPr>
        <w:t xml:space="preserve">Wallace L., Grady J., Djordjevic, D., et al. 2019 Condition-Specific Measures Updates and Specifications Report Hospital-Level 30-Day Risk-Standardized </w:t>
      </w:r>
      <w:r>
        <w:rPr>
          <w:rFonts w:cstheme="minorHAnsi"/>
          <w:color w:val="C00000"/>
        </w:rPr>
        <w:t>Mortality</w:t>
      </w:r>
      <w:r w:rsidRPr="002F55D8">
        <w:rPr>
          <w:rFonts w:cstheme="minorHAnsi"/>
          <w:color w:val="C00000"/>
        </w:rPr>
        <w:t xml:space="preserve"> Measures: Acute My</w:t>
      </w:r>
      <w:r>
        <w:rPr>
          <w:rFonts w:cstheme="minorHAnsi"/>
          <w:color w:val="C00000"/>
        </w:rPr>
        <w:t>ocardial Infarction – Version 13</w:t>
      </w:r>
      <w:r w:rsidRPr="002F55D8">
        <w:rPr>
          <w:rFonts w:cstheme="minorHAnsi"/>
          <w:color w:val="C00000"/>
        </w:rPr>
        <w:t>.0, Chronic Obstructive Pulmonary Disease – Version</w:t>
      </w:r>
      <w:r>
        <w:rPr>
          <w:rFonts w:cstheme="minorHAnsi"/>
          <w:color w:val="C00000"/>
        </w:rPr>
        <w:t xml:space="preserve"> 8.0, Heart Failure – Version 13.0, Pneumonia – Version 13</w:t>
      </w:r>
      <w:r w:rsidRPr="002F55D8">
        <w:rPr>
          <w:rFonts w:cstheme="minorHAnsi"/>
          <w:color w:val="C00000"/>
        </w:rPr>
        <w:t>.0</w:t>
      </w:r>
      <w:bookmarkEnd w:id="7"/>
      <w:r>
        <w:rPr>
          <w:rFonts w:cstheme="minorHAnsi"/>
          <w:color w:val="C00000"/>
        </w:rPr>
        <w:t xml:space="preserve">, Stroke – Version 8.0. 2019; </w:t>
      </w:r>
      <w:hyperlink r:id="rId20" w:history="1">
        <w:r w:rsidRPr="002F55D8">
          <w:rPr>
            <w:rStyle w:val="Hyperlink"/>
            <w:rFonts w:cstheme="minorHAnsi"/>
            <w:color w:val="C00000"/>
          </w:rPr>
          <w:t>https://qualitynet.org/inpatient/measures/readmission/methodology</w:t>
        </w:r>
      </w:hyperlink>
      <w:r w:rsidRPr="002F55D8">
        <w:rPr>
          <w:rFonts w:cstheme="minorHAnsi"/>
          <w:color w:val="C00000"/>
        </w:rPr>
        <w:t>. Available as of April 23, 2019.</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8" w:name="Section1a3"/>
      <w:bookmarkEnd w:id="8"/>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9" w:name="Section1a8"/>
      <w:bookmarkEnd w:id="9"/>
      <w:r>
        <w:rPr>
          <w:b/>
          <w:color w:val="0000FF"/>
        </w:rPr>
        <w:lastRenderedPageBreak/>
        <w:t>1a.4</w:t>
      </w:r>
      <w:r w:rsidR="00837121" w:rsidRPr="003B1CC5">
        <w:rPr>
          <w:b/>
          <w:color w:val="0000FF"/>
        </w:rPr>
        <w:t xml:space="preserve"> </w:t>
      </w:r>
      <w:r w:rsidR="00837121" w:rsidRPr="003B1CC5">
        <w:rPr>
          <w:b/>
        </w:rPr>
        <w:t>OTHER SOURCE OF EVIDENCE</w:t>
      </w:r>
    </w:p>
    <w:p w14:paraId="7BBF73D3" w14:textId="77777777" w:rsidR="00A64E73" w:rsidRDefault="00837121" w:rsidP="00A64E73">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0515890" w:rsidR="00837121" w:rsidRPr="00A64E73" w:rsidRDefault="00667B5F" w:rsidP="00A64E73">
      <w:pPr>
        <w:spacing w:before="120" w:after="120"/>
        <w:ind w:left="0" w:firstLine="0"/>
        <w:rPr>
          <w:i/>
          <w:color w:val="7030A0"/>
        </w:rPr>
      </w:pPr>
      <w:r w:rsidRPr="00A64E73">
        <w:rPr>
          <w:color w:val="7030A0"/>
        </w:rPr>
        <w:t>N/A</w:t>
      </w:r>
    </w:p>
    <w:p w14:paraId="55B8DA99" w14:textId="7ACB5046"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01F408EA" w14:textId="77777777" w:rsidR="00A64E73" w:rsidRPr="00A64E73" w:rsidRDefault="00A64E73" w:rsidP="00A64E73">
      <w:pPr>
        <w:spacing w:before="120" w:after="120"/>
        <w:ind w:left="0" w:firstLine="0"/>
        <w:rPr>
          <w:i/>
          <w:color w:val="7030A0"/>
        </w:rPr>
      </w:pPr>
      <w:r w:rsidRPr="00A64E73">
        <w:rPr>
          <w:color w:val="7030A0"/>
        </w:rPr>
        <w:t>N/A</w:t>
      </w:r>
    </w:p>
    <w:p w14:paraId="55B8DA9B" w14:textId="714F60E3" w:rsidR="00837121" w:rsidRDefault="000E5C93" w:rsidP="002E2177">
      <w:pPr>
        <w:ind w:left="0" w:firstLine="0"/>
        <w:rPr>
          <w:b/>
        </w:rPr>
      </w:pPr>
      <w:r w:rsidRPr="000E5C93">
        <w:rPr>
          <w:b/>
          <w:color w:val="244061" w:themeColor="accent1" w:themeShade="80"/>
        </w:rPr>
        <w:t xml:space="preserve">1a.4.2 </w:t>
      </w:r>
      <w:r w:rsidR="00837121" w:rsidRPr="003B1CC5">
        <w:rPr>
          <w:b/>
        </w:rPr>
        <w:t>What process was used to identify the evidence?</w:t>
      </w:r>
    </w:p>
    <w:p w14:paraId="231FD2AC" w14:textId="77777777" w:rsidR="00A64E73" w:rsidRPr="00A64E73" w:rsidRDefault="00A64E73" w:rsidP="00A64E73">
      <w:pPr>
        <w:spacing w:before="120" w:after="120"/>
        <w:ind w:left="0" w:firstLine="0"/>
        <w:rPr>
          <w:i/>
          <w:color w:val="7030A0"/>
        </w:rPr>
      </w:pPr>
      <w:r w:rsidRPr="00A64E73">
        <w:rPr>
          <w:color w:val="7030A0"/>
        </w:rPr>
        <w:t>N/A</w:t>
      </w:r>
    </w:p>
    <w:p w14:paraId="55B8DA9D" w14:textId="7D2FA260"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A64E73">
        <w:rPr>
          <w:b/>
        </w:rPr>
        <w:t xml:space="preserve"> evidence.</w:t>
      </w:r>
    </w:p>
    <w:p w14:paraId="54DADADC" w14:textId="77777777" w:rsidR="00A64E73" w:rsidRPr="00A64E73" w:rsidRDefault="00A64E73" w:rsidP="00A64E73">
      <w:pPr>
        <w:spacing w:before="120" w:after="120"/>
        <w:ind w:left="0" w:firstLine="0"/>
        <w:rPr>
          <w:i/>
          <w:color w:val="7030A0"/>
        </w:rPr>
      </w:pPr>
      <w:r w:rsidRPr="00A64E73">
        <w:rPr>
          <w:color w:val="7030A0"/>
        </w:rPr>
        <w:t>N/A</w:t>
      </w:r>
    </w:p>
    <w:p w14:paraId="27752A0C" w14:textId="77777777" w:rsidR="00A64E73" w:rsidRDefault="00A64E73" w:rsidP="002E2177">
      <w:pPr>
        <w:ind w:left="0" w:firstLine="0"/>
        <w:rPr>
          <w:b/>
        </w:rPr>
      </w:pPr>
    </w:p>
    <w:sectPr w:rsidR="00A64E73">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4E1C608F"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06248">
      <w:rPr>
        <w:noProof/>
      </w:rPr>
      <w:t>5</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1ED9"/>
    <w:rsid w:val="00162036"/>
    <w:rsid w:val="001632DD"/>
    <w:rsid w:val="00176E60"/>
    <w:rsid w:val="00194913"/>
    <w:rsid w:val="00194D9A"/>
    <w:rsid w:val="001A196B"/>
    <w:rsid w:val="001A6D05"/>
    <w:rsid w:val="001B38BF"/>
    <w:rsid w:val="001B772D"/>
    <w:rsid w:val="001D5B5D"/>
    <w:rsid w:val="001E6153"/>
    <w:rsid w:val="00201FF9"/>
    <w:rsid w:val="00205857"/>
    <w:rsid w:val="0023164B"/>
    <w:rsid w:val="00235ADC"/>
    <w:rsid w:val="00236F87"/>
    <w:rsid w:val="00252430"/>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60160"/>
    <w:rsid w:val="004922E4"/>
    <w:rsid w:val="00496AF8"/>
    <w:rsid w:val="00496FF8"/>
    <w:rsid w:val="004A575D"/>
    <w:rsid w:val="004B152E"/>
    <w:rsid w:val="004B65C6"/>
    <w:rsid w:val="004D1DC7"/>
    <w:rsid w:val="004E7215"/>
    <w:rsid w:val="004F7D7E"/>
    <w:rsid w:val="00500B0C"/>
    <w:rsid w:val="00515FDB"/>
    <w:rsid w:val="00537150"/>
    <w:rsid w:val="00540984"/>
    <w:rsid w:val="00543851"/>
    <w:rsid w:val="0055559D"/>
    <w:rsid w:val="005569AE"/>
    <w:rsid w:val="00573A3A"/>
    <w:rsid w:val="005857F8"/>
    <w:rsid w:val="005B0D18"/>
    <w:rsid w:val="005B12C3"/>
    <w:rsid w:val="005B409D"/>
    <w:rsid w:val="005D0FDB"/>
    <w:rsid w:val="005D25E9"/>
    <w:rsid w:val="005D6D59"/>
    <w:rsid w:val="0061327A"/>
    <w:rsid w:val="006134D2"/>
    <w:rsid w:val="00617390"/>
    <w:rsid w:val="00623420"/>
    <w:rsid w:val="00627CF1"/>
    <w:rsid w:val="00634768"/>
    <w:rsid w:val="0063596F"/>
    <w:rsid w:val="00667B5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35F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4E73"/>
    <w:rsid w:val="00A67EB1"/>
    <w:rsid w:val="00A8365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16C7"/>
    <w:rsid w:val="00B74629"/>
    <w:rsid w:val="00B91F58"/>
    <w:rsid w:val="00BA579E"/>
    <w:rsid w:val="00BE2295"/>
    <w:rsid w:val="00BE6373"/>
    <w:rsid w:val="00BF533A"/>
    <w:rsid w:val="00C05685"/>
    <w:rsid w:val="00C06248"/>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2749F"/>
    <w:rsid w:val="00D3311C"/>
    <w:rsid w:val="00D53405"/>
    <w:rsid w:val="00D5457B"/>
    <w:rsid w:val="00D72995"/>
    <w:rsid w:val="00D73685"/>
    <w:rsid w:val="00DA7FA2"/>
    <w:rsid w:val="00DC2D8D"/>
    <w:rsid w:val="00DC7F67"/>
    <w:rsid w:val="00DE1F5D"/>
    <w:rsid w:val="00DE50D8"/>
    <w:rsid w:val="00DF278A"/>
    <w:rsid w:val="00E12153"/>
    <w:rsid w:val="00E1664B"/>
    <w:rsid w:val="00E30D12"/>
    <w:rsid w:val="00E3394E"/>
    <w:rsid w:val="00E35241"/>
    <w:rsid w:val="00E41417"/>
    <w:rsid w:val="00E42FAA"/>
    <w:rsid w:val="00E536D3"/>
    <w:rsid w:val="00E57BE2"/>
    <w:rsid w:val="00E62A95"/>
    <w:rsid w:val="00E746A2"/>
    <w:rsid w:val="00E81F48"/>
    <w:rsid w:val="00E90D06"/>
    <w:rsid w:val="00E97E59"/>
    <w:rsid w:val="00EA79C9"/>
    <w:rsid w:val="00EB66AC"/>
    <w:rsid w:val="00EC1225"/>
    <w:rsid w:val="00EC2247"/>
    <w:rsid w:val="00EC22B2"/>
    <w:rsid w:val="00EC252E"/>
    <w:rsid w:val="00EE1F87"/>
    <w:rsid w:val="00EE3931"/>
    <w:rsid w:val="00EE5AF6"/>
    <w:rsid w:val="00EF2CEF"/>
    <w:rsid w:val="00F1092D"/>
    <w:rsid w:val="00F42C20"/>
    <w:rsid w:val="00F431D8"/>
    <w:rsid w:val="00F63E8D"/>
    <w:rsid w:val="00F67706"/>
    <w:rsid w:val="00F76BBF"/>
    <w:rsid w:val="00F81FE3"/>
    <w:rsid w:val="00F90F82"/>
    <w:rsid w:val="00F92D75"/>
    <w:rsid w:val="00F97327"/>
    <w:rsid w:val="00FA296F"/>
    <w:rsid w:val="00FA4E05"/>
    <w:rsid w:val="00FA7323"/>
    <w:rsid w:val="00FB1299"/>
    <w:rsid w:val="00FC32D3"/>
    <w:rsid w:val="00FD4D82"/>
    <w:rsid w:val="00FE57AE"/>
    <w:rsid w:val="00FF6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ref-title">
    <w:name w:val="ref-title"/>
    <w:basedOn w:val="DefaultParagraphFont"/>
    <w:rsid w:val="00FF693C"/>
  </w:style>
  <w:style w:type="character" w:styleId="UnresolvedMention">
    <w:name w:val="Unresolved Mention"/>
    <w:basedOn w:val="DefaultParagraphFont"/>
    <w:uiPriority w:val="99"/>
    <w:semiHidden/>
    <w:unhideWhenUsed/>
    <w:rsid w:val="00E81F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hcupnet.ahrq.gov"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package" Target="embeddings/Microsoft_Visio_Drawing.vsdx"/><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https://qualitynet.org/inpatient/measures/readmission/methodolog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hcup-us.ahrq.gov/reports/statbriefs/sb204-Most-Expensive-Hospital-Condition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710070629B874F0CAFE6A6B4D6929E64"/>
        <w:category>
          <w:name w:val="General"/>
          <w:gallery w:val="placeholder"/>
        </w:category>
        <w:types>
          <w:type w:val="bbPlcHdr"/>
        </w:types>
        <w:behaviors>
          <w:behavior w:val="content"/>
        </w:behaviors>
        <w:guid w:val="{076AE7B2-7D80-415C-B68B-5E3CB6FB6A39}"/>
      </w:docPartPr>
      <w:docPartBody>
        <w:p w:rsidR="00B2749B" w:rsidRDefault="00842BE5" w:rsidP="00842BE5">
          <w:pPr>
            <w:pStyle w:val="710070629B874F0CAFE6A6B4D6929E64"/>
          </w:pPr>
          <w:r w:rsidRPr="00B83BC5">
            <w:rPr>
              <w:rStyle w:val="PlaceholderText"/>
              <w:rFonts w:cstheme="minorHAnsi"/>
              <w:color w:val="A6A6A6" w:themeColor="background1" w:themeShade="A6"/>
            </w:rPr>
            <w:t>Click here to enter measure title</w:t>
          </w:r>
        </w:p>
      </w:docPartBody>
    </w:docPart>
    <w:docPart>
      <w:docPartPr>
        <w:name w:val="016A45202C5A4844948EB894C73E1D55"/>
        <w:category>
          <w:name w:val="General"/>
          <w:gallery w:val="placeholder"/>
        </w:category>
        <w:types>
          <w:type w:val="bbPlcHdr"/>
        </w:types>
        <w:behaviors>
          <w:behavior w:val="content"/>
        </w:behaviors>
        <w:guid w:val="{D72A0E3A-F10B-4F08-94CD-2D88ECEFF628}"/>
      </w:docPartPr>
      <w:docPartBody>
        <w:p w:rsidR="00B2749B" w:rsidRDefault="00842BE5" w:rsidP="00842BE5">
          <w:pPr>
            <w:pStyle w:val="016A45202C5A4844948EB894C73E1D55"/>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42BE5"/>
    <w:rsid w:val="008F6A9B"/>
    <w:rsid w:val="00A77B15"/>
    <w:rsid w:val="00B2749B"/>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2BE5"/>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710070629B874F0CAFE6A6B4D6929E64">
    <w:name w:val="710070629B874F0CAFE6A6B4D6929E64"/>
    <w:rsid w:val="00842BE5"/>
    <w:pPr>
      <w:spacing w:after="160" w:line="259" w:lineRule="auto"/>
    </w:pPr>
  </w:style>
  <w:style w:type="paragraph" w:customStyle="1" w:styleId="016A45202C5A4844948EB894C73E1D55">
    <w:name w:val="016A45202C5A4844948EB894C73E1D55"/>
    <w:rsid w:val="00842B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836b82f1-340d-495e-85b5-201c5296619a"/>
    <ds:schemaRef ds:uri="http://www.w3.org/XML/1998/namespace"/>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15354F-D1BF-4237-9A39-D6315D681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2350</Words>
  <Characters>13400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Harris, Alexandra</cp:lastModifiedBy>
  <cp:revision>3</cp:revision>
  <dcterms:created xsi:type="dcterms:W3CDTF">2020-07-01T17:06:00Z</dcterms:created>
  <dcterms:modified xsi:type="dcterms:W3CDTF">2020-07-02T16:12:00Z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